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8AED" w14:textId="77777777" w:rsidR="00CA7016" w:rsidRPr="00FC1976" w:rsidRDefault="00CA7016" w:rsidP="00CA7016">
      <w:pPr>
        <w:pStyle w:val="Subtitle"/>
        <w:pBdr>
          <w:top w:val="double" w:sz="4" w:space="6" w:color="B66113"/>
          <w:bottom w:val="double" w:sz="4" w:space="6" w:color="B66113"/>
        </w:pBdr>
        <w:ind w:right="-188"/>
        <w:jc w:val="center"/>
        <w:rPr>
          <w:rFonts w:asciiTheme="minorHAnsi" w:hAnsiTheme="minorHAnsi"/>
          <w:b/>
          <w:color w:val="01653F"/>
          <w:sz w:val="48"/>
          <w:lang w:val="en-AU"/>
        </w:rPr>
      </w:pPr>
      <w:bookmarkStart w:id="0" w:name="_Toc448369494"/>
      <w:bookmarkStart w:id="1" w:name="_Toc427153112"/>
      <w:bookmarkStart w:id="2" w:name="_Toc456045433"/>
      <w:bookmarkStart w:id="3" w:name="_Toc459996812"/>
      <w:bookmarkStart w:id="4" w:name="_Toc458167000"/>
      <w:bookmarkStart w:id="5" w:name="_Toc485302792"/>
      <w:r w:rsidRPr="00FC1976">
        <w:rPr>
          <w:rFonts w:asciiTheme="minorHAnsi" w:hAnsiTheme="minorHAnsi"/>
          <w:b/>
          <w:color w:val="01653F"/>
          <w:sz w:val="48"/>
          <w:lang w:val="en-AU"/>
        </w:rPr>
        <w:t>Medicare Benefits Schedule Review Taskforce</w:t>
      </w:r>
      <w:r w:rsidRPr="00FC1976">
        <w:rPr>
          <w:rFonts w:asciiTheme="minorHAnsi" w:hAnsiTheme="minorHAnsi"/>
          <w:b/>
          <w:color w:val="01653F"/>
          <w:sz w:val="48"/>
          <w:lang w:val="en-AU"/>
        </w:rPr>
        <w:br/>
      </w:r>
      <w:r w:rsidRPr="00FC1976">
        <w:rPr>
          <w:rFonts w:asciiTheme="minorHAnsi" w:hAnsiTheme="minorHAnsi"/>
          <w:b/>
          <w:color w:val="01653F"/>
          <w:sz w:val="48"/>
          <w:lang w:val="en-AU"/>
        </w:rPr>
        <w:br/>
      </w:r>
      <w:r w:rsidRPr="00FC1976">
        <w:rPr>
          <w:rFonts w:asciiTheme="minorHAnsi" w:hAnsiTheme="minorHAnsi"/>
          <w:b/>
          <w:color w:val="01653F"/>
          <w:sz w:val="48"/>
          <w:lang w:val="en-AU"/>
        </w:rPr>
        <w:br/>
      </w:r>
      <w:r w:rsidRPr="00FC1976">
        <w:rPr>
          <w:rFonts w:asciiTheme="minorHAnsi" w:hAnsiTheme="minorHAnsi"/>
          <w:b/>
          <w:color w:val="000000" w:themeColor="text1"/>
          <w:sz w:val="60"/>
          <w:lang w:val="en-AU"/>
        </w:rPr>
        <w:t xml:space="preserve">Report from the </w:t>
      </w:r>
      <w:r w:rsidRPr="00CB015E">
        <w:rPr>
          <w:rFonts w:asciiTheme="minorHAnsi" w:hAnsiTheme="minorHAnsi"/>
          <w:b/>
          <w:color w:val="000000" w:themeColor="text1"/>
          <w:sz w:val="60"/>
          <w:lang w:val="en-AU"/>
        </w:rPr>
        <w:t xml:space="preserve">Pathology </w:t>
      </w:r>
      <w:r w:rsidRPr="00FC1976">
        <w:rPr>
          <w:rFonts w:asciiTheme="minorHAnsi" w:hAnsiTheme="minorHAnsi"/>
          <w:b/>
          <w:color w:val="000000" w:themeColor="text1"/>
          <w:sz w:val="60"/>
          <w:lang w:val="en-AU"/>
        </w:rPr>
        <w:t>Clinical Committee</w:t>
      </w:r>
      <w:r>
        <w:rPr>
          <w:rFonts w:asciiTheme="minorHAnsi" w:hAnsiTheme="minorHAnsi"/>
          <w:b/>
          <w:color w:val="000000" w:themeColor="text1"/>
          <w:sz w:val="60"/>
          <w:lang w:val="en-AU"/>
        </w:rPr>
        <w:t>—</w:t>
      </w:r>
      <w:r w:rsidRPr="00CB015E">
        <w:rPr>
          <w:rFonts w:asciiTheme="minorHAnsi" w:hAnsiTheme="minorHAnsi"/>
          <w:b/>
          <w:color w:val="000000" w:themeColor="text1"/>
          <w:sz w:val="60"/>
          <w:lang w:val="en-AU"/>
        </w:rPr>
        <w:t>Microbiology</w:t>
      </w:r>
      <w:r w:rsidRPr="00FC1976">
        <w:rPr>
          <w:color w:val="01653F"/>
          <w:sz w:val="60"/>
          <w:lang w:val="en-AU"/>
        </w:rPr>
        <w:br/>
      </w:r>
      <w:r w:rsidRPr="00FC1976">
        <w:rPr>
          <w:color w:val="01653F"/>
          <w:sz w:val="60"/>
          <w:lang w:val="en-AU"/>
        </w:rPr>
        <w:br/>
      </w:r>
      <w:r>
        <w:rPr>
          <w:rFonts w:asciiTheme="minorHAnsi" w:hAnsiTheme="minorHAnsi"/>
          <w:b/>
          <w:color w:val="01653F"/>
          <w:sz w:val="48"/>
          <w:lang w:val="en-AU"/>
        </w:rPr>
        <w:t>October 2017</w:t>
      </w:r>
    </w:p>
    <w:p w14:paraId="67AD712C" w14:textId="77777777" w:rsidR="00CA7016" w:rsidRPr="00FC1976" w:rsidRDefault="00CA7016" w:rsidP="00CA7016">
      <w:pPr>
        <w:rPr>
          <w:lang w:val="en-AU"/>
        </w:rPr>
      </w:pPr>
    </w:p>
    <w:p w14:paraId="03DBA557" w14:textId="77777777" w:rsidR="00CA7016" w:rsidRPr="00FC1976" w:rsidRDefault="00CA7016" w:rsidP="00CA7016">
      <w:pPr>
        <w:rPr>
          <w:lang w:val="en-AU"/>
        </w:rPr>
      </w:pPr>
    </w:p>
    <w:p w14:paraId="1C62B3DA" w14:textId="77777777" w:rsidR="00CA7016" w:rsidRPr="00FC1976" w:rsidRDefault="00CA7016" w:rsidP="00CA7016">
      <w:pPr>
        <w:rPr>
          <w:lang w:val="en-AU"/>
        </w:rPr>
        <w:sectPr w:rsidR="00CA7016" w:rsidRPr="00FC1976" w:rsidSect="0048563C">
          <w:footerReference w:type="default" r:id="rId8"/>
          <w:pgSz w:w="11906" w:h="16838" w:code="9"/>
          <w:pgMar w:top="1440" w:right="1440" w:bottom="1276" w:left="1440" w:header="720" w:footer="720" w:gutter="0"/>
          <w:paperSrc w:first="2" w:other="2"/>
          <w:cols w:space="720"/>
          <w:docGrid w:linePitch="326"/>
        </w:sectPr>
      </w:pPr>
    </w:p>
    <w:tbl>
      <w:tblPr>
        <w:tblStyle w:val="TableGrid"/>
        <w:tblW w:w="5000" w:type="pct"/>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CellMar>
          <w:top w:w="28" w:type="dxa"/>
          <w:left w:w="28" w:type="dxa"/>
          <w:bottom w:w="28" w:type="dxa"/>
          <w:right w:w="28" w:type="dxa"/>
        </w:tblCellMar>
        <w:tblLook w:val="04A0" w:firstRow="1" w:lastRow="0" w:firstColumn="1" w:lastColumn="0" w:noHBand="0" w:noVBand="1"/>
        <w:tblCaption w:val="Important Note"/>
        <w:tblDescription w:val="The views and recommendations in this report from the Clinical Committee have been released for the purpose of seeking the views of stakeholders.&#10;This report does not constitute the final position on these items, which is subject to: &#10;Δ Stakeholder feedback.&#10;Then&#10;Δ Consideration by the MBS Review Taskforce.&#10;Then, if endorsed, consideration by&#10;Δ The Minister for Health. &#10;Δ The Government.&#10;Stakeholders should provide comment on the recommendations via mbsreviews@health.gov.au.&#10;Confidentiality of comments: &#10;If you would like your feedback to remain confidential, please mark it as such. It is important to be aware that confidential feedback may still be subject to access under freedom of information law.&#10;"/>
      </w:tblPr>
      <w:tblGrid>
        <w:gridCol w:w="8996"/>
      </w:tblGrid>
      <w:tr w:rsidR="00BE0CAE" w14:paraId="0AAF9BA3" w14:textId="77777777" w:rsidTr="00BE0CAE">
        <w:trPr>
          <w:tblHeader/>
        </w:trPr>
        <w:tc>
          <w:tcPr>
            <w:tcW w:w="9016"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hideMark/>
          </w:tcPr>
          <w:p w14:paraId="119A8359" w14:textId="77777777" w:rsidR="00BE0CAE" w:rsidRDefault="00BE0CAE">
            <w:pPr>
              <w:rPr>
                <w:rFonts w:cstheme="minorHAnsi"/>
                <w:b/>
                <w:color w:val="01653F"/>
                <w:sz w:val="32"/>
                <w:szCs w:val="32"/>
                <w:lang w:val="en-AU"/>
              </w:rPr>
            </w:pPr>
            <w:r>
              <w:rPr>
                <w:rFonts w:cstheme="minorHAnsi"/>
                <w:b/>
                <w:color w:val="01653F"/>
                <w:sz w:val="32"/>
                <w:szCs w:val="32"/>
              </w:rPr>
              <w:lastRenderedPageBreak/>
              <w:t>Important note</w:t>
            </w:r>
          </w:p>
          <w:p w14:paraId="6FAD95F1" w14:textId="77777777" w:rsidR="00BE0CAE" w:rsidRDefault="00BE0CAE">
            <w:pPr>
              <w:rPr>
                <w:rFonts w:ascii="Calibri" w:hAnsi="Calibri"/>
                <w:szCs w:val="22"/>
              </w:rPr>
            </w:pPr>
            <w:r>
              <w:t xml:space="preserve">The views and recommendations in this report from the Clinical Committee have been released for the purpose of seeking the views of stakeholders. </w:t>
            </w:r>
          </w:p>
          <w:p w14:paraId="715E299F" w14:textId="77777777" w:rsidR="00BE0CAE" w:rsidRDefault="00BE0CAE">
            <w:r>
              <w:t xml:space="preserve">This report does not constitute the final position on these items, which is subject to: </w:t>
            </w:r>
          </w:p>
          <w:p w14:paraId="446FA854" w14:textId="77777777" w:rsidR="00BE0CAE" w:rsidRDefault="00BE0CAE" w:rsidP="00BE0CAE">
            <w:pPr>
              <w:pStyle w:val="01squarebullet"/>
              <w:numPr>
                <w:ilvl w:val="0"/>
                <w:numId w:val="34"/>
              </w:numPr>
              <w:ind w:right="0"/>
            </w:pPr>
            <w:r>
              <w:t>Stakeholder feedback.</w:t>
            </w:r>
          </w:p>
          <w:p w14:paraId="0A998A31" w14:textId="77777777" w:rsidR="00BE0CAE" w:rsidRDefault="00BE0CAE">
            <w:pPr>
              <w:pStyle w:val="01squarebullet"/>
              <w:numPr>
                <w:ilvl w:val="0"/>
                <w:numId w:val="0"/>
              </w:numPr>
            </w:pPr>
            <w:r>
              <w:t>Then</w:t>
            </w:r>
          </w:p>
          <w:p w14:paraId="3F572DF4" w14:textId="77777777" w:rsidR="00BE0CAE" w:rsidRDefault="00BE0CAE" w:rsidP="00BE0CAE">
            <w:pPr>
              <w:pStyle w:val="01squarebullet"/>
              <w:numPr>
                <w:ilvl w:val="0"/>
                <w:numId w:val="34"/>
              </w:numPr>
              <w:ind w:right="0"/>
            </w:pPr>
            <w:r>
              <w:t>Consideration by the MBS Review Taskforce.</w:t>
            </w:r>
          </w:p>
          <w:p w14:paraId="0E8AAD4E" w14:textId="77777777" w:rsidR="00BE0CAE" w:rsidRDefault="00BE0CAE">
            <w:pPr>
              <w:pStyle w:val="01squarebullet"/>
              <w:numPr>
                <w:ilvl w:val="0"/>
                <w:numId w:val="0"/>
              </w:numPr>
            </w:pPr>
            <w:r>
              <w:t xml:space="preserve">Then, </w:t>
            </w:r>
            <w:r>
              <w:rPr>
                <w:i/>
              </w:rPr>
              <w:t>if endorsed</w:t>
            </w:r>
            <w:r>
              <w:t>, consideration by</w:t>
            </w:r>
          </w:p>
          <w:p w14:paraId="79273DA2" w14:textId="77777777" w:rsidR="00BE0CAE" w:rsidRDefault="00BE0CAE" w:rsidP="00BE0CAE">
            <w:pPr>
              <w:pStyle w:val="01squarebullet"/>
              <w:numPr>
                <w:ilvl w:val="0"/>
                <w:numId w:val="34"/>
              </w:numPr>
              <w:ind w:right="0"/>
            </w:pPr>
            <w:r>
              <w:t xml:space="preserve">The Minister for Health. </w:t>
            </w:r>
          </w:p>
          <w:p w14:paraId="717467CF" w14:textId="77777777" w:rsidR="00BE0CAE" w:rsidRDefault="00BE0CAE" w:rsidP="00BE0CAE">
            <w:pPr>
              <w:pStyle w:val="01squarebullet"/>
              <w:numPr>
                <w:ilvl w:val="0"/>
                <w:numId w:val="34"/>
              </w:numPr>
              <w:ind w:right="0"/>
            </w:pPr>
            <w:r>
              <w:t>The Government.</w:t>
            </w:r>
          </w:p>
          <w:p w14:paraId="19BF6910" w14:textId="77777777" w:rsidR="00BE0CAE" w:rsidRDefault="00BE0CAE">
            <w:pPr>
              <w:rPr>
                <w:u w:val="single"/>
              </w:rPr>
            </w:pPr>
            <w:r>
              <w:t xml:space="preserve">Stakeholders should provide comment on the recommendations via </w:t>
            </w:r>
            <w:hyperlink r:id="rId9" w:history="1">
              <w:r>
                <w:rPr>
                  <w:rStyle w:val="Hyperlink"/>
                </w:rPr>
                <w:t>mbsreviews@health.gov.au</w:t>
              </w:r>
            </w:hyperlink>
            <w:r>
              <w:t>.</w:t>
            </w:r>
          </w:p>
          <w:p w14:paraId="5F2E3DD6" w14:textId="77777777" w:rsidR="00BE0CAE" w:rsidRDefault="00BE0CAE">
            <w:pPr>
              <w:rPr>
                <w:rFonts w:cstheme="minorHAnsi"/>
                <w:b/>
                <w:color w:val="01653F"/>
                <w:sz w:val="32"/>
                <w:szCs w:val="32"/>
                <w:lang w:val="en-AU"/>
              </w:rPr>
            </w:pPr>
            <w:r>
              <w:rPr>
                <w:rFonts w:cstheme="minorHAnsi"/>
                <w:b/>
                <w:color w:val="01653F"/>
                <w:sz w:val="32"/>
                <w:szCs w:val="32"/>
              </w:rPr>
              <w:t xml:space="preserve">Confidentiality of comments: </w:t>
            </w:r>
          </w:p>
          <w:p w14:paraId="0C072F56" w14:textId="77777777" w:rsidR="00BE0CAE" w:rsidRDefault="00BE0CAE">
            <w:pPr>
              <w:rPr>
                <w:rFonts w:ascii="Calibri" w:hAnsi="Calibri"/>
                <w:szCs w:val="22"/>
              </w:rPr>
            </w:pPr>
            <w:r>
              <w:t>If you would like your feedback to remain confidential, please mark it as such. It is important to be aware that confidential feedback may still be subject to access under freedom of information law.</w:t>
            </w:r>
          </w:p>
        </w:tc>
      </w:tr>
    </w:tbl>
    <w:p w14:paraId="0DF261D5" w14:textId="77777777" w:rsidR="00CA7016" w:rsidRPr="00FC1976" w:rsidRDefault="00CA7016" w:rsidP="00CA7016">
      <w:pPr>
        <w:rPr>
          <w:lang w:val="en-AU"/>
        </w:rPr>
      </w:pPr>
    </w:p>
    <w:p w14:paraId="269FE2E6" w14:textId="77777777" w:rsidR="00CA7016" w:rsidRPr="00FC1976" w:rsidRDefault="00CA7016" w:rsidP="00CA7016">
      <w:pPr>
        <w:rPr>
          <w:lang w:val="en-AU"/>
        </w:rPr>
      </w:pPr>
      <w:r w:rsidRPr="00FC1976">
        <w:rPr>
          <w:lang w:val="en-AU"/>
        </w:rPr>
        <w:br w:type="page"/>
      </w:r>
    </w:p>
    <w:p w14:paraId="5ED06612" w14:textId="77777777" w:rsidR="00CA7016" w:rsidRPr="00A773F4" w:rsidRDefault="00CA7016" w:rsidP="00CA7016">
      <w:pPr>
        <w:rPr>
          <w:b/>
          <w:color w:val="01653F"/>
          <w:sz w:val="32"/>
          <w:lang w:val="en-AU"/>
        </w:rPr>
      </w:pPr>
      <w:r w:rsidRPr="00FC1976">
        <w:rPr>
          <w:b/>
          <w:color w:val="01653F"/>
          <w:sz w:val="32"/>
          <w:lang w:val="en-AU"/>
        </w:rPr>
        <w:lastRenderedPageBreak/>
        <w:t>Table of Contents</w:t>
      </w:r>
      <w:bookmarkEnd w:id="0"/>
    </w:p>
    <w:p w14:paraId="7BE8BC8B" w14:textId="77777777" w:rsidR="00FB0EF2" w:rsidRDefault="00CA7016">
      <w:pPr>
        <w:pStyle w:val="TOC1"/>
        <w:rPr>
          <w:rFonts w:eastAsiaTheme="minorEastAsia" w:cstheme="minorBidi"/>
          <w:b w:val="0"/>
          <w:bCs w:val="0"/>
          <w:noProof/>
          <w:sz w:val="22"/>
          <w:szCs w:val="22"/>
          <w:lang w:val="en-AU"/>
        </w:rPr>
      </w:pPr>
      <w:r w:rsidRPr="00FC1976">
        <w:rPr>
          <w:lang w:val="en-AU"/>
        </w:rPr>
        <w:fldChar w:fldCharType="begin"/>
      </w:r>
      <w:r w:rsidRPr="00FC1976">
        <w:rPr>
          <w:lang w:val="en-AU"/>
        </w:rPr>
        <w:instrText xml:space="preserve"> TOC \h \z \u \t "Heading 1,1,Heading 2,2,Heading 3,3, Appendix Style 1, 1" </w:instrText>
      </w:r>
      <w:r w:rsidRPr="00FC1976">
        <w:rPr>
          <w:lang w:val="en-AU"/>
        </w:rPr>
        <w:fldChar w:fldCharType="separate"/>
      </w:r>
      <w:hyperlink w:anchor="_Toc12886523" w:history="1">
        <w:r w:rsidR="00FB0EF2" w:rsidRPr="00230DEC">
          <w:rPr>
            <w:rStyle w:val="Hyperlink"/>
            <w:noProof/>
            <w:lang w:bidi="x-none"/>
            <w14:scene3d>
              <w14:camera w14:prst="orthographicFront"/>
              <w14:lightRig w14:rig="threePt" w14:dir="t">
                <w14:rot w14:lat="0" w14:lon="0" w14:rev="0"/>
              </w14:lightRig>
            </w14:scene3d>
          </w:rPr>
          <w:t>1.</w:t>
        </w:r>
        <w:r w:rsidR="00FB0EF2">
          <w:rPr>
            <w:rFonts w:eastAsiaTheme="minorEastAsia" w:cstheme="minorBidi"/>
            <w:b w:val="0"/>
            <w:bCs w:val="0"/>
            <w:noProof/>
            <w:sz w:val="22"/>
            <w:szCs w:val="22"/>
            <w:lang w:val="en-AU"/>
          </w:rPr>
          <w:tab/>
        </w:r>
        <w:r w:rsidR="00FB0EF2" w:rsidRPr="00230DEC">
          <w:rPr>
            <w:rStyle w:val="Hyperlink"/>
            <w:noProof/>
          </w:rPr>
          <w:t>Executive summary</w:t>
        </w:r>
        <w:r w:rsidR="00FB0EF2">
          <w:rPr>
            <w:noProof/>
            <w:webHidden/>
          </w:rPr>
          <w:tab/>
        </w:r>
        <w:r w:rsidR="00FB0EF2">
          <w:rPr>
            <w:noProof/>
            <w:webHidden/>
          </w:rPr>
          <w:fldChar w:fldCharType="begin"/>
        </w:r>
        <w:r w:rsidR="00FB0EF2">
          <w:rPr>
            <w:noProof/>
            <w:webHidden/>
          </w:rPr>
          <w:instrText xml:space="preserve"> PAGEREF _Toc12886523 \h </w:instrText>
        </w:r>
        <w:r w:rsidR="00FB0EF2">
          <w:rPr>
            <w:noProof/>
            <w:webHidden/>
          </w:rPr>
        </w:r>
        <w:r w:rsidR="00FB0EF2">
          <w:rPr>
            <w:noProof/>
            <w:webHidden/>
          </w:rPr>
          <w:fldChar w:fldCharType="separate"/>
        </w:r>
        <w:r w:rsidR="00FB0EF2">
          <w:rPr>
            <w:noProof/>
            <w:webHidden/>
          </w:rPr>
          <w:t>1</w:t>
        </w:r>
        <w:r w:rsidR="00FB0EF2">
          <w:rPr>
            <w:noProof/>
            <w:webHidden/>
          </w:rPr>
          <w:fldChar w:fldCharType="end"/>
        </w:r>
      </w:hyperlink>
    </w:p>
    <w:p w14:paraId="2A9611F0" w14:textId="77777777" w:rsidR="00FB0EF2" w:rsidRDefault="004B0F6A">
      <w:pPr>
        <w:pStyle w:val="TOC2"/>
        <w:rPr>
          <w:rFonts w:eastAsiaTheme="minorEastAsia" w:cstheme="minorBidi"/>
          <w:i w:val="0"/>
          <w:iCs w:val="0"/>
          <w:noProof/>
          <w:sz w:val="22"/>
          <w:szCs w:val="22"/>
          <w:lang w:val="en-AU"/>
        </w:rPr>
      </w:pPr>
      <w:hyperlink w:anchor="_Toc12886524" w:history="1">
        <w:r w:rsidR="00FB0EF2" w:rsidRPr="00230DEC">
          <w:rPr>
            <w:rStyle w:val="Hyperlink"/>
            <w:noProof/>
          </w:rPr>
          <w:t>1.1</w:t>
        </w:r>
        <w:r w:rsidR="00FB0EF2">
          <w:rPr>
            <w:rFonts w:eastAsiaTheme="minorEastAsia" w:cstheme="minorBidi"/>
            <w:i w:val="0"/>
            <w:iCs w:val="0"/>
            <w:noProof/>
            <w:sz w:val="22"/>
            <w:szCs w:val="22"/>
            <w:lang w:val="en-AU"/>
          </w:rPr>
          <w:tab/>
        </w:r>
        <w:r w:rsidR="00FB0EF2" w:rsidRPr="00230DEC">
          <w:rPr>
            <w:rStyle w:val="Hyperlink"/>
            <w:noProof/>
          </w:rPr>
          <w:t>MBS Review process</w:t>
        </w:r>
        <w:r w:rsidR="00FB0EF2">
          <w:rPr>
            <w:noProof/>
            <w:webHidden/>
          </w:rPr>
          <w:tab/>
        </w:r>
        <w:r w:rsidR="00FB0EF2">
          <w:rPr>
            <w:noProof/>
            <w:webHidden/>
          </w:rPr>
          <w:fldChar w:fldCharType="begin"/>
        </w:r>
        <w:r w:rsidR="00FB0EF2">
          <w:rPr>
            <w:noProof/>
            <w:webHidden/>
          </w:rPr>
          <w:instrText xml:space="preserve"> PAGEREF _Toc12886524 \h </w:instrText>
        </w:r>
        <w:r w:rsidR="00FB0EF2">
          <w:rPr>
            <w:noProof/>
            <w:webHidden/>
          </w:rPr>
        </w:r>
        <w:r w:rsidR="00FB0EF2">
          <w:rPr>
            <w:noProof/>
            <w:webHidden/>
          </w:rPr>
          <w:fldChar w:fldCharType="separate"/>
        </w:r>
        <w:r w:rsidR="00FB0EF2">
          <w:rPr>
            <w:noProof/>
            <w:webHidden/>
          </w:rPr>
          <w:t>1</w:t>
        </w:r>
        <w:r w:rsidR="00FB0EF2">
          <w:rPr>
            <w:noProof/>
            <w:webHidden/>
          </w:rPr>
          <w:fldChar w:fldCharType="end"/>
        </w:r>
      </w:hyperlink>
    </w:p>
    <w:p w14:paraId="5A3AFE53" w14:textId="77777777" w:rsidR="00FB0EF2" w:rsidRDefault="004B0F6A">
      <w:pPr>
        <w:pStyle w:val="TOC2"/>
        <w:rPr>
          <w:rFonts w:eastAsiaTheme="minorEastAsia" w:cstheme="minorBidi"/>
          <w:i w:val="0"/>
          <w:iCs w:val="0"/>
          <w:noProof/>
          <w:sz w:val="22"/>
          <w:szCs w:val="22"/>
          <w:lang w:val="en-AU"/>
        </w:rPr>
      </w:pPr>
      <w:hyperlink w:anchor="_Toc12886525" w:history="1">
        <w:r w:rsidR="00FB0EF2" w:rsidRPr="00230DEC">
          <w:rPr>
            <w:rStyle w:val="Hyperlink"/>
            <w:noProof/>
          </w:rPr>
          <w:t>1.2</w:t>
        </w:r>
        <w:r w:rsidR="00FB0EF2">
          <w:rPr>
            <w:rFonts w:eastAsiaTheme="minorEastAsia" w:cstheme="minorBidi"/>
            <w:i w:val="0"/>
            <w:iCs w:val="0"/>
            <w:noProof/>
            <w:sz w:val="22"/>
            <w:szCs w:val="22"/>
            <w:lang w:val="en-AU"/>
          </w:rPr>
          <w:tab/>
        </w:r>
        <w:r w:rsidR="00FB0EF2" w:rsidRPr="00230DEC">
          <w:rPr>
            <w:rStyle w:val="Hyperlink"/>
            <w:noProof/>
          </w:rPr>
          <w:t>The Pathology Clinical Committee</w:t>
        </w:r>
        <w:r w:rsidR="00FB0EF2">
          <w:rPr>
            <w:noProof/>
            <w:webHidden/>
          </w:rPr>
          <w:tab/>
        </w:r>
        <w:r w:rsidR="00FB0EF2">
          <w:rPr>
            <w:noProof/>
            <w:webHidden/>
          </w:rPr>
          <w:fldChar w:fldCharType="begin"/>
        </w:r>
        <w:r w:rsidR="00FB0EF2">
          <w:rPr>
            <w:noProof/>
            <w:webHidden/>
          </w:rPr>
          <w:instrText xml:space="preserve"> PAGEREF _Toc12886525 \h </w:instrText>
        </w:r>
        <w:r w:rsidR="00FB0EF2">
          <w:rPr>
            <w:noProof/>
            <w:webHidden/>
          </w:rPr>
        </w:r>
        <w:r w:rsidR="00FB0EF2">
          <w:rPr>
            <w:noProof/>
            <w:webHidden/>
          </w:rPr>
          <w:fldChar w:fldCharType="separate"/>
        </w:r>
        <w:r w:rsidR="00FB0EF2">
          <w:rPr>
            <w:noProof/>
            <w:webHidden/>
          </w:rPr>
          <w:t>2</w:t>
        </w:r>
        <w:r w:rsidR="00FB0EF2">
          <w:rPr>
            <w:noProof/>
            <w:webHidden/>
          </w:rPr>
          <w:fldChar w:fldCharType="end"/>
        </w:r>
      </w:hyperlink>
    </w:p>
    <w:p w14:paraId="243BA3B3" w14:textId="77777777" w:rsidR="00FB0EF2" w:rsidRDefault="004B0F6A">
      <w:pPr>
        <w:pStyle w:val="TOC2"/>
        <w:rPr>
          <w:rFonts w:eastAsiaTheme="minorEastAsia" w:cstheme="minorBidi"/>
          <w:i w:val="0"/>
          <w:iCs w:val="0"/>
          <w:noProof/>
          <w:sz w:val="22"/>
          <w:szCs w:val="22"/>
          <w:lang w:val="en-AU"/>
        </w:rPr>
      </w:pPr>
      <w:hyperlink w:anchor="_Toc12886526" w:history="1">
        <w:r w:rsidR="00FB0EF2" w:rsidRPr="00230DEC">
          <w:rPr>
            <w:rStyle w:val="Hyperlink"/>
            <w:noProof/>
          </w:rPr>
          <w:t>1.3</w:t>
        </w:r>
        <w:r w:rsidR="00FB0EF2">
          <w:rPr>
            <w:rFonts w:eastAsiaTheme="minorEastAsia" w:cstheme="minorBidi"/>
            <w:i w:val="0"/>
            <w:iCs w:val="0"/>
            <w:noProof/>
            <w:sz w:val="22"/>
            <w:szCs w:val="22"/>
            <w:lang w:val="en-AU"/>
          </w:rPr>
          <w:tab/>
        </w:r>
        <w:r w:rsidR="00FB0EF2" w:rsidRPr="00230DEC">
          <w:rPr>
            <w:rStyle w:val="Hyperlink"/>
            <w:noProof/>
          </w:rPr>
          <w:t>Recommendations</w:t>
        </w:r>
        <w:r w:rsidR="00FB0EF2">
          <w:rPr>
            <w:noProof/>
            <w:webHidden/>
          </w:rPr>
          <w:tab/>
        </w:r>
        <w:r w:rsidR="00FB0EF2">
          <w:rPr>
            <w:noProof/>
            <w:webHidden/>
          </w:rPr>
          <w:fldChar w:fldCharType="begin"/>
        </w:r>
        <w:r w:rsidR="00FB0EF2">
          <w:rPr>
            <w:noProof/>
            <w:webHidden/>
          </w:rPr>
          <w:instrText xml:space="preserve"> PAGEREF _Toc12886526 \h </w:instrText>
        </w:r>
        <w:r w:rsidR="00FB0EF2">
          <w:rPr>
            <w:noProof/>
            <w:webHidden/>
          </w:rPr>
        </w:r>
        <w:r w:rsidR="00FB0EF2">
          <w:rPr>
            <w:noProof/>
            <w:webHidden/>
          </w:rPr>
          <w:fldChar w:fldCharType="separate"/>
        </w:r>
        <w:r w:rsidR="00FB0EF2">
          <w:rPr>
            <w:noProof/>
            <w:webHidden/>
          </w:rPr>
          <w:t>2</w:t>
        </w:r>
        <w:r w:rsidR="00FB0EF2">
          <w:rPr>
            <w:noProof/>
            <w:webHidden/>
          </w:rPr>
          <w:fldChar w:fldCharType="end"/>
        </w:r>
      </w:hyperlink>
    </w:p>
    <w:p w14:paraId="1F03D2EF" w14:textId="77777777" w:rsidR="00FB0EF2" w:rsidRDefault="004B0F6A">
      <w:pPr>
        <w:pStyle w:val="TOC3"/>
        <w:tabs>
          <w:tab w:val="left" w:pos="1474"/>
        </w:tabs>
        <w:rPr>
          <w:rFonts w:eastAsiaTheme="minorEastAsia" w:cstheme="minorBidi"/>
          <w:noProof/>
          <w:sz w:val="22"/>
          <w:szCs w:val="22"/>
          <w:lang w:val="en-AU"/>
        </w:rPr>
      </w:pPr>
      <w:hyperlink w:anchor="_Toc12886527" w:history="1">
        <w:r w:rsidR="00FB0EF2" w:rsidRPr="00230DEC">
          <w:rPr>
            <w:rStyle w:val="Hyperlink"/>
            <w:noProof/>
          </w:rPr>
          <w:t>1.3.1</w:t>
        </w:r>
        <w:r w:rsidR="00FB0EF2">
          <w:rPr>
            <w:rFonts w:eastAsiaTheme="minorEastAsia" w:cstheme="minorBidi"/>
            <w:noProof/>
            <w:sz w:val="22"/>
            <w:szCs w:val="22"/>
            <w:lang w:val="en-AU"/>
          </w:rPr>
          <w:tab/>
        </w:r>
        <w:r w:rsidR="00FB0EF2" w:rsidRPr="00230DEC">
          <w:rPr>
            <w:rStyle w:val="Hyperlink"/>
            <w:noProof/>
          </w:rPr>
          <w:t>Recommendations for consultation</w:t>
        </w:r>
        <w:r w:rsidR="00FB0EF2">
          <w:rPr>
            <w:noProof/>
            <w:webHidden/>
          </w:rPr>
          <w:tab/>
        </w:r>
        <w:r w:rsidR="00FB0EF2">
          <w:rPr>
            <w:noProof/>
            <w:webHidden/>
          </w:rPr>
          <w:fldChar w:fldCharType="begin"/>
        </w:r>
        <w:r w:rsidR="00FB0EF2">
          <w:rPr>
            <w:noProof/>
            <w:webHidden/>
          </w:rPr>
          <w:instrText xml:space="preserve"> PAGEREF _Toc12886527 \h </w:instrText>
        </w:r>
        <w:r w:rsidR="00FB0EF2">
          <w:rPr>
            <w:noProof/>
            <w:webHidden/>
          </w:rPr>
        </w:r>
        <w:r w:rsidR="00FB0EF2">
          <w:rPr>
            <w:noProof/>
            <w:webHidden/>
          </w:rPr>
          <w:fldChar w:fldCharType="separate"/>
        </w:r>
        <w:r w:rsidR="00FB0EF2">
          <w:rPr>
            <w:noProof/>
            <w:webHidden/>
          </w:rPr>
          <w:t>2</w:t>
        </w:r>
        <w:r w:rsidR="00FB0EF2">
          <w:rPr>
            <w:noProof/>
            <w:webHidden/>
          </w:rPr>
          <w:fldChar w:fldCharType="end"/>
        </w:r>
      </w:hyperlink>
    </w:p>
    <w:p w14:paraId="70BFEA8C" w14:textId="77777777" w:rsidR="00FB0EF2" w:rsidRDefault="004B0F6A">
      <w:pPr>
        <w:pStyle w:val="TOC3"/>
        <w:tabs>
          <w:tab w:val="left" w:pos="1474"/>
        </w:tabs>
        <w:rPr>
          <w:rFonts w:eastAsiaTheme="minorEastAsia" w:cstheme="minorBidi"/>
          <w:noProof/>
          <w:sz w:val="22"/>
          <w:szCs w:val="22"/>
          <w:lang w:val="en-AU"/>
        </w:rPr>
      </w:pPr>
      <w:hyperlink w:anchor="_Toc12886528" w:history="1">
        <w:r w:rsidR="00FB0EF2" w:rsidRPr="00230DEC">
          <w:rPr>
            <w:rStyle w:val="Hyperlink"/>
            <w:noProof/>
          </w:rPr>
          <w:t>1.3.2</w:t>
        </w:r>
        <w:r w:rsidR="00FB0EF2">
          <w:rPr>
            <w:rFonts w:eastAsiaTheme="minorEastAsia" w:cstheme="minorBidi"/>
            <w:noProof/>
            <w:sz w:val="22"/>
            <w:szCs w:val="22"/>
            <w:lang w:val="en-AU"/>
          </w:rPr>
          <w:tab/>
        </w:r>
        <w:r w:rsidR="00FB0EF2" w:rsidRPr="00230DEC">
          <w:rPr>
            <w:rStyle w:val="Hyperlink"/>
            <w:noProof/>
          </w:rPr>
          <w:t>Recommendations for referral to other committees</w:t>
        </w:r>
        <w:r w:rsidR="00FB0EF2">
          <w:rPr>
            <w:noProof/>
            <w:webHidden/>
          </w:rPr>
          <w:tab/>
        </w:r>
        <w:r w:rsidR="00FB0EF2">
          <w:rPr>
            <w:noProof/>
            <w:webHidden/>
          </w:rPr>
          <w:fldChar w:fldCharType="begin"/>
        </w:r>
        <w:r w:rsidR="00FB0EF2">
          <w:rPr>
            <w:noProof/>
            <w:webHidden/>
          </w:rPr>
          <w:instrText xml:space="preserve"> PAGEREF _Toc12886528 \h </w:instrText>
        </w:r>
        <w:r w:rsidR="00FB0EF2">
          <w:rPr>
            <w:noProof/>
            <w:webHidden/>
          </w:rPr>
        </w:r>
        <w:r w:rsidR="00FB0EF2">
          <w:rPr>
            <w:noProof/>
            <w:webHidden/>
          </w:rPr>
          <w:fldChar w:fldCharType="separate"/>
        </w:r>
        <w:r w:rsidR="00FB0EF2">
          <w:rPr>
            <w:noProof/>
            <w:webHidden/>
          </w:rPr>
          <w:t>3</w:t>
        </w:r>
        <w:r w:rsidR="00FB0EF2">
          <w:rPr>
            <w:noProof/>
            <w:webHidden/>
          </w:rPr>
          <w:fldChar w:fldCharType="end"/>
        </w:r>
      </w:hyperlink>
    </w:p>
    <w:p w14:paraId="0D95E0E4" w14:textId="77777777" w:rsidR="00FB0EF2" w:rsidRDefault="004B0F6A">
      <w:pPr>
        <w:pStyle w:val="TOC2"/>
        <w:rPr>
          <w:rFonts w:eastAsiaTheme="minorEastAsia" w:cstheme="minorBidi"/>
          <w:i w:val="0"/>
          <w:iCs w:val="0"/>
          <w:noProof/>
          <w:sz w:val="22"/>
          <w:szCs w:val="22"/>
          <w:lang w:val="en-AU"/>
        </w:rPr>
      </w:pPr>
      <w:hyperlink w:anchor="_Toc12886529" w:history="1">
        <w:r w:rsidR="00FB0EF2" w:rsidRPr="00230DEC">
          <w:rPr>
            <w:rStyle w:val="Hyperlink"/>
            <w:noProof/>
            <w:lang w:val="en-US"/>
          </w:rPr>
          <w:t>1.4</w:t>
        </w:r>
        <w:r w:rsidR="00FB0EF2">
          <w:rPr>
            <w:rFonts w:eastAsiaTheme="minorEastAsia" w:cstheme="minorBidi"/>
            <w:i w:val="0"/>
            <w:iCs w:val="0"/>
            <w:noProof/>
            <w:sz w:val="22"/>
            <w:szCs w:val="22"/>
            <w:lang w:val="en-AU"/>
          </w:rPr>
          <w:tab/>
        </w:r>
        <w:r w:rsidR="00FB0EF2" w:rsidRPr="00230DEC">
          <w:rPr>
            <w:rStyle w:val="Hyperlink"/>
            <w:noProof/>
            <w:lang w:val="en-US"/>
          </w:rPr>
          <w:t>Consumer engagement and impact</w:t>
        </w:r>
        <w:r w:rsidR="00FB0EF2">
          <w:rPr>
            <w:noProof/>
            <w:webHidden/>
          </w:rPr>
          <w:tab/>
        </w:r>
        <w:r w:rsidR="00FB0EF2">
          <w:rPr>
            <w:noProof/>
            <w:webHidden/>
          </w:rPr>
          <w:fldChar w:fldCharType="begin"/>
        </w:r>
        <w:r w:rsidR="00FB0EF2">
          <w:rPr>
            <w:noProof/>
            <w:webHidden/>
          </w:rPr>
          <w:instrText xml:space="preserve"> PAGEREF _Toc12886529 \h </w:instrText>
        </w:r>
        <w:r w:rsidR="00FB0EF2">
          <w:rPr>
            <w:noProof/>
            <w:webHidden/>
          </w:rPr>
        </w:r>
        <w:r w:rsidR="00FB0EF2">
          <w:rPr>
            <w:noProof/>
            <w:webHidden/>
          </w:rPr>
          <w:fldChar w:fldCharType="separate"/>
        </w:r>
        <w:r w:rsidR="00FB0EF2">
          <w:rPr>
            <w:noProof/>
            <w:webHidden/>
          </w:rPr>
          <w:t>3</w:t>
        </w:r>
        <w:r w:rsidR="00FB0EF2">
          <w:rPr>
            <w:noProof/>
            <w:webHidden/>
          </w:rPr>
          <w:fldChar w:fldCharType="end"/>
        </w:r>
      </w:hyperlink>
    </w:p>
    <w:p w14:paraId="49E1512F" w14:textId="77777777" w:rsidR="00FB0EF2" w:rsidRDefault="004B0F6A">
      <w:pPr>
        <w:pStyle w:val="TOC1"/>
        <w:rPr>
          <w:rFonts w:eastAsiaTheme="minorEastAsia" w:cstheme="minorBidi"/>
          <w:b w:val="0"/>
          <w:bCs w:val="0"/>
          <w:noProof/>
          <w:sz w:val="22"/>
          <w:szCs w:val="22"/>
          <w:lang w:val="en-AU"/>
        </w:rPr>
      </w:pPr>
      <w:hyperlink w:anchor="_Toc12886530" w:history="1">
        <w:r w:rsidR="00FB0EF2" w:rsidRPr="00230DEC">
          <w:rPr>
            <w:rStyle w:val="Hyperlink"/>
            <w:noProof/>
            <w:lang w:bidi="x-none"/>
            <w14:scene3d>
              <w14:camera w14:prst="orthographicFront"/>
              <w14:lightRig w14:rig="threePt" w14:dir="t">
                <w14:rot w14:lat="0" w14:lon="0" w14:rev="0"/>
              </w14:lightRig>
            </w14:scene3d>
          </w:rPr>
          <w:t>2.</w:t>
        </w:r>
        <w:r w:rsidR="00FB0EF2">
          <w:rPr>
            <w:rFonts w:eastAsiaTheme="minorEastAsia" w:cstheme="minorBidi"/>
            <w:b w:val="0"/>
            <w:bCs w:val="0"/>
            <w:noProof/>
            <w:sz w:val="22"/>
            <w:szCs w:val="22"/>
            <w:lang w:val="en-AU"/>
          </w:rPr>
          <w:tab/>
        </w:r>
        <w:r w:rsidR="00FB0EF2" w:rsidRPr="00230DEC">
          <w:rPr>
            <w:rStyle w:val="Hyperlink"/>
            <w:noProof/>
          </w:rPr>
          <w:t>About the Medicare Benefits Schedule (MBS) Review</w:t>
        </w:r>
        <w:r w:rsidR="00FB0EF2">
          <w:rPr>
            <w:noProof/>
            <w:webHidden/>
          </w:rPr>
          <w:tab/>
        </w:r>
        <w:r w:rsidR="00FB0EF2">
          <w:rPr>
            <w:noProof/>
            <w:webHidden/>
          </w:rPr>
          <w:fldChar w:fldCharType="begin"/>
        </w:r>
        <w:r w:rsidR="00FB0EF2">
          <w:rPr>
            <w:noProof/>
            <w:webHidden/>
          </w:rPr>
          <w:instrText xml:space="preserve"> PAGEREF _Toc12886530 \h </w:instrText>
        </w:r>
        <w:r w:rsidR="00FB0EF2">
          <w:rPr>
            <w:noProof/>
            <w:webHidden/>
          </w:rPr>
        </w:r>
        <w:r w:rsidR="00FB0EF2">
          <w:rPr>
            <w:noProof/>
            <w:webHidden/>
          </w:rPr>
          <w:fldChar w:fldCharType="separate"/>
        </w:r>
        <w:r w:rsidR="00FB0EF2">
          <w:rPr>
            <w:noProof/>
            <w:webHidden/>
          </w:rPr>
          <w:t>5</w:t>
        </w:r>
        <w:r w:rsidR="00FB0EF2">
          <w:rPr>
            <w:noProof/>
            <w:webHidden/>
          </w:rPr>
          <w:fldChar w:fldCharType="end"/>
        </w:r>
      </w:hyperlink>
    </w:p>
    <w:p w14:paraId="63F4676A" w14:textId="77777777" w:rsidR="00FB0EF2" w:rsidRDefault="004B0F6A">
      <w:pPr>
        <w:pStyle w:val="TOC2"/>
        <w:rPr>
          <w:rFonts w:eastAsiaTheme="minorEastAsia" w:cstheme="minorBidi"/>
          <w:i w:val="0"/>
          <w:iCs w:val="0"/>
          <w:noProof/>
          <w:sz w:val="22"/>
          <w:szCs w:val="22"/>
          <w:lang w:val="en-AU"/>
        </w:rPr>
      </w:pPr>
      <w:hyperlink w:anchor="_Toc12886531" w:history="1">
        <w:r w:rsidR="00FB0EF2" w:rsidRPr="00230DEC">
          <w:rPr>
            <w:rStyle w:val="Hyperlink"/>
            <w:noProof/>
          </w:rPr>
          <w:t>2.1</w:t>
        </w:r>
        <w:r w:rsidR="00FB0EF2">
          <w:rPr>
            <w:rFonts w:eastAsiaTheme="minorEastAsia" w:cstheme="minorBidi"/>
            <w:i w:val="0"/>
            <w:iCs w:val="0"/>
            <w:noProof/>
            <w:sz w:val="22"/>
            <w:szCs w:val="22"/>
            <w:lang w:val="en-AU"/>
          </w:rPr>
          <w:tab/>
        </w:r>
        <w:r w:rsidR="00FB0EF2" w:rsidRPr="00230DEC">
          <w:rPr>
            <w:rStyle w:val="Hyperlink"/>
            <w:noProof/>
          </w:rPr>
          <w:t>Medicare and the MBS</w:t>
        </w:r>
        <w:r w:rsidR="00FB0EF2">
          <w:rPr>
            <w:noProof/>
            <w:webHidden/>
          </w:rPr>
          <w:tab/>
        </w:r>
        <w:r w:rsidR="00FB0EF2">
          <w:rPr>
            <w:noProof/>
            <w:webHidden/>
          </w:rPr>
          <w:fldChar w:fldCharType="begin"/>
        </w:r>
        <w:r w:rsidR="00FB0EF2">
          <w:rPr>
            <w:noProof/>
            <w:webHidden/>
          </w:rPr>
          <w:instrText xml:space="preserve"> PAGEREF _Toc12886531 \h </w:instrText>
        </w:r>
        <w:r w:rsidR="00FB0EF2">
          <w:rPr>
            <w:noProof/>
            <w:webHidden/>
          </w:rPr>
        </w:r>
        <w:r w:rsidR="00FB0EF2">
          <w:rPr>
            <w:noProof/>
            <w:webHidden/>
          </w:rPr>
          <w:fldChar w:fldCharType="separate"/>
        </w:r>
        <w:r w:rsidR="00FB0EF2">
          <w:rPr>
            <w:noProof/>
            <w:webHidden/>
          </w:rPr>
          <w:t>5</w:t>
        </w:r>
        <w:r w:rsidR="00FB0EF2">
          <w:rPr>
            <w:noProof/>
            <w:webHidden/>
          </w:rPr>
          <w:fldChar w:fldCharType="end"/>
        </w:r>
      </w:hyperlink>
    </w:p>
    <w:p w14:paraId="32304A90" w14:textId="77777777" w:rsidR="00FB0EF2" w:rsidRDefault="004B0F6A">
      <w:pPr>
        <w:pStyle w:val="TOC3"/>
        <w:tabs>
          <w:tab w:val="left" w:pos="1474"/>
        </w:tabs>
        <w:rPr>
          <w:rFonts w:eastAsiaTheme="minorEastAsia" w:cstheme="minorBidi"/>
          <w:noProof/>
          <w:sz w:val="22"/>
          <w:szCs w:val="22"/>
          <w:lang w:val="en-AU"/>
        </w:rPr>
      </w:pPr>
      <w:hyperlink w:anchor="_Toc12886532" w:history="1">
        <w:r w:rsidR="00FB0EF2" w:rsidRPr="00230DEC">
          <w:rPr>
            <w:rStyle w:val="Hyperlink"/>
            <w:noProof/>
          </w:rPr>
          <w:t>2.1.1</w:t>
        </w:r>
        <w:r w:rsidR="00FB0EF2">
          <w:rPr>
            <w:rFonts w:eastAsiaTheme="minorEastAsia" w:cstheme="minorBidi"/>
            <w:noProof/>
            <w:sz w:val="22"/>
            <w:szCs w:val="22"/>
            <w:lang w:val="en-AU"/>
          </w:rPr>
          <w:tab/>
        </w:r>
        <w:r w:rsidR="00FB0EF2" w:rsidRPr="00230DEC">
          <w:rPr>
            <w:rStyle w:val="Hyperlink"/>
            <w:noProof/>
          </w:rPr>
          <w:t>What is Medicare?</w:t>
        </w:r>
        <w:r w:rsidR="00FB0EF2">
          <w:rPr>
            <w:noProof/>
            <w:webHidden/>
          </w:rPr>
          <w:tab/>
        </w:r>
        <w:r w:rsidR="00FB0EF2">
          <w:rPr>
            <w:noProof/>
            <w:webHidden/>
          </w:rPr>
          <w:fldChar w:fldCharType="begin"/>
        </w:r>
        <w:r w:rsidR="00FB0EF2">
          <w:rPr>
            <w:noProof/>
            <w:webHidden/>
          </w:rPr>
          <w:instrText xml:space="preserve"> PAGEREF _Toc12886532 \h </w:instrText>
        </w:r>
        <w:r w:rsidR="00FB0EF2">
          <w:rPr>
            <w:noProof/>
            <w:webHidden/>
          </w:rPr>
        </w:r>
        <w:r w:rsidR="00FB0EF2">
          <w:rPr>
            <w:noProof/>
            <w:webHidden/>
          </w:rPr>
          <w:fldChar w:fldCharType="separate"/>
        </w:r>
        <w:r w:rsidR="00FB0EF2">
          <w:rPr>
            <w:noProof/>
            <w:webHidden/>
          </w:rPr>
          <w:t>5</w:t>
        </w:r>
        <w:r w:rsidR="00FB0EF2">
          <w:rPr>
            <w:noProof/>
            <w:webHidden/>
          </w:rPr>
          <w:fldChar w:fldCharType="end"/>
        </w:r>
      </w:hyperlink>
    </w:p>
    <w:p w14:paraId="01A9563A" w14:textId="77777777" w:rsidR="00FB0EF2" w:rsidRDefault="004B0F6A">
      <w:pPr>
        <w:pStyle w:val="TOC3"/>
        <w:tabs>
          <w:tab w:val="left" w:pos="1474"/>
        </w:tabs>
        <w:rPr>
          <w:rFonts w:eastAsiaTheme="minorEastAsia" w:cstheme="minorBidi"/>
          <w:noProof/>
          <w:sz w:val="22"/>
          <w:szCs w:val="22"/>
          <w:lang w:val="en-AU"/>
        </w:rPr>
      </w:pPr>
      <w:hyperlink w:anchor="_Toc12886533" w:history="1">
        <w:r w:rsidR="00FB0EF2" w:rsidRPr="00230DEC">
          <w:rPr>
            <w:rStyle w:val="Hyperlink"/>
            <w:noProof/>
          </w:rPr>
          <w:t>2.1.2</w:t>
        </w:r>
        <w:r w:rsidR="00FB0EF2">
          <w:rPr>
            <w:rFonts w:eastAsiaTheme="minorEastAsia" w:cstheme="minorBidi"/>
            <w:noProof/>
            <w:sz w:val="22"/>
            <w:szCs w:val="22"/>
            <w:lang w:val="en-AU"/>
          </w:rPr>
          <w:tab/>
        </w:r>
        <w:r w:rsidR="00FB0EF2" w:rsidRPr="00230DEC">
          <w:rPr>
            <w:rStyle w:val="Hyperlink"/>
            <w:noProof/>
          </w:rPr>
          <w:t>What is the MBS?</w:t>
        </w:r>
        <w:r w:rsidR="00FB0EF2">
          <w:rPr>
            <w:noProof/>
            <w:webHidden/>
          </w:rPr>
          <w:tab/>
        </w:r>
        <w:r w:rsidR="00FB0EF2">
          <w:rPr>
            <w:noProof/>
            <w:webHidden/>
          </w:rPr>
          <w:fldChar w:fldCharType="begin"/>
        </w:r>
        <w:r w:rsidR="00FB0EF2">
          <w:rPr>
            <w:noProof/>
            <w:webHidden/>
          </w:rPr>
          <w:instrText xml:space="preserve"> PAGEREF _Toc12886533 \h </w:instrText>
        </w:r>
        <w:r w:rsidR="00FB0EF2">
          <w:rPr>
            <w:noProof/>
            <w:webHidden/>
          </w:rPr>
        </w:r>
        <w:r w:rsidR="00FB0EF2">
          <w:rPr>
            <w:noProof/>
            <w:webHidden/>
          </w:rPr>
          <w:fldChar w:fldCharType="separate"/>
        </w:r>
        <w:r w:rsidR="00FB0EF2">
          <w:rPr>
            <w:noProof/>
            <w:webHidden/>
          </w:rPr>
          <w:t>5</w:t>
        </w:r>
        <w:r w:rsidR="00FB0EF2">
          <w:rPr>
            <w:noProof/>
            <w:webHidden/>
          </w:rPr>
          <w:fldChar w:fldCharType="end"/>
        </w:r>
      </w:hyperlink>
    </w:p>
    <w:p w14:paraId="585D8F5D" w14:textId="77777777" w:rsidR="00FB0EF2" w:rsidRDefault="004B0F6A">
      <w:pPr>
        <w:pStyle w:val="TOC2"/>
        <w:rPr>
          <w:rFonts w:eastAsiaTheme="minorEastAsia" w:cstheme="minorBidi"/>
          <w:i w:val="0"/>
          <w:iCs w:val="0"/>
          <w:noProof/>
          <w:sz w:val="22"/>
          <w:szCs w:val="22"/>
          <w:lang w:val="en-AU"/>
        </w:rPr>
      </w:pPr>
      <w:hyperlink w:anchor="_Toc12886534" w:history="1">
        <w:r w:rsidR="00FB0EF2" w:rsidRPr="00230DEC">
          <w:rPr>
            <w:rStyle w:val="Hyperlink"/>
            <w:noProof/>
          </w:rPr>
          <w:t>2.2</w:t>
        </w:r>
        <w:r w:rsidR="00FB0EF2">
          <w:rPr>
            <w:rFonts w:eastAsiaTheme="minorEastAsia" w:cstheme="minorBidi"/>
            <w:i w:val="0"/>
            <w:iCs w:val="0"/>
            <w:noProof/>
            <w:sz w:val="22"/>
            <w:szCs w:val="22"/>
            <w:lang w:val="en-AU"/>
          </w:rPr>
          <w:tab/>
        </w:r>
        <w:r w:rsidR="00FB0EF2" w:rsidRPr="00230DEC">
          <w:rPr>
            <w:rStyle w:val="Hyperlink"/>
            <w:noProof/>
          </w:rPr>
          <w:t>The MBS Review Taskforce</w:t>
        </w:r>
        <w:r w:rsidR="00FB0EF2">
          <w:rPr>
            <w:noProof/>
            <w:webHidden/>
          </w:rPr>
          <w:tab/>
        </w:r>
        <w:r w:rsidR="00FB0EF2">
          <w:rPr>
            <w:noProof/>
            <w:webHidden/>
          </w:rPr>
          <w:fldChar w:fldCharType="begin"/>
        </w:r>
        <w:r w:rsidR="00FB0EF2">
          <w:rPr>
            <w:noProof/>
            <w:webHidden/>
          </w:rPr>
          <w:instrText xml:space="preserve"> PAGEREF _Toc12886534 \h </w:instrText>
        </w:r>
        <w:r w:rsidR="00FB0EF2">
          <w:rPr>
            <w:noProof/>
            <w:webHidden/>
          </w:rPr>
        </w:r>
        <w:r w:rsidR="00FB0EF2">
          <w:rPr>
            <w:noProof/>
            <w:webHidden/>
          </w:rPr>
          <w:fldChar w:fldCharType="separate"/>
        </w:r>
        <w:r w:rsidR="00FB0EF2">
          <w:rPr>
            <w:noProof/>
            <w:webHidden/>
          </w:rPr>
          <w:t>5</w:t>
        </w:r>
        <w:r w:rsidR="00FB0EF2">
          <w:rPr>
            <w:noProof/>
            <w:webHidden/>
          </w:rPr>
          <w:fldChar w:fldCharType="end"/>
        </w:r>
      </w:hyperlink>
    </w:p>
    <w:p w14:paraId="1851C7A4" w14:textId="77777777" w:rsidR="00FB0EF2" w:rsidRDefault="004B0F6A">
      <w:pPr>
        <w:pStyle w:val="TOC3"/>
        <w:tabs>
          <w:tab w:val="left" w:pos="1474"/>
        </w:tabs>
        <w:rPr>
          <w:rFonts w:eastAsiaTheme="minorEastAsia" w:cstheme="minorBidi"/>
          <w:noProof/>
          <w:sz w:val="22"/>
          <w:szCs w:val="22"/>
          <w:lang w:val="en-AU"/>
        </w:rPr>
      </w:pPr>
      <w:hyperlink w:anchor="_Toc12886535" w:history="1">
        <w:r w:rsidR="00FB0EF2" w:rsidRPr="00230DEC">
          <w:rPr>
            <w:rStyle w:val="Hyperlink"/>
            <w:noProof/>
          </w:rPr>
          <w:t>2.2.1</w:t>
        </w:r>
        <w:r w:rsidR="00FB0EF2">
          <w:rPr>
            <w:rFonts w:eastAsiaTheme="minorEastAsia" w:cstheme="minorBidi"/>
            <w:noProof/>
            <w:sz w:val="22"/>
            <w:szCs w:val="22"/>
            <w:lang w:val="en-AU"/>
          </w:rPr>
          <w:tab/>
        </w:r>
        <w:r w:rsidR="00FB0EF2" w:rsidRPr="00230DEC">
          <w:rPr>
            <w:rStyle w:val="Hyperlink"/>
            <w:noProof/>
          </w:rPr>
          <w:t>What is the MBS Review Taskforce?</w:t>
        </w:r>
        <w:r w:rsidR="00FB0EF2">
          <w:rPr>
            <w:noProof/>
            <w:webHidden/>
          </w:rPr>
          <w:tab/>
        </w:r>
        <w:r w:rsidR="00FB0EF2">
          <w:rPr>
            <w:noProof/>
            <w:webHidden/>
          </w:rPr>
          <w:fldChar w:fldCharType="begin"/>
        </w:r>
        <w:r w:rsidR="00FB0EF2">
          <w:rPr>
            <w:noProof/>
            <w:webHidden/>
          </w:rPr>
          <w:instrText xml:space="preserve"> PAGEREF _Toc12886535 \h </w:instrText>
        </w:r>
        <w:r w:rsidR="00FB0EF2">
          <w:rPr>
            <w:noProof/>
            <w:webHidden/>
          </w:rPr>
        </w:r>
        <w:r w:rsidR="00FB0EF2">
          <w:rPr>
            <w:noProof/>
            <w:webHidden/>
          </w:rPr>
          <w:fldChar w:fldCharType="separate"/>
        </w:r>
        <w:r w:rsidR="00FB0EF2">
          <w:rPr>
            <w:noProof/>
            <w:webHidden/>
          </w:rPr>
          <w:t>5</w:t>
        </w:r>
        <w:r w:rsidR="00FB0EF2">
          <w:rPr>
            <w:noProof/>
            <w:webHidden/>
          </w:rPr>
          <w:fldChar w:fldCharType="end"/>
        </w:r>
      </w:hyperlink>
    </w:p>
    <w:p w14:paraId="1464B041" w14:textId="77777777" w:rsidR="00FB0EF2" w:rsidRDefault="004B0F6A">
      <w:pPr>
        <w:pStyle w:val="TOC3"/>
        <w:tabs>
          <w:tab w:val="left" w:pos="1474"/>
        </w:tabs>
        <w:rPr>
          <w:rFonts w:eastAsiaTheme="minorEastAsia" w:cstheme="minorBidi"/>
          <w:noProof/>
          <w:sz w:val="22"/>
          <w:szCs w:val="22"/>
          <w:lang w:val="en-AU"/>
        </w:rPr>
      </w:pPr>
      <w:hyperlink w:anchor="_Toc12886536" w:history="1">
        <w:r w:rsidR="00FB0EF2" w:rsidRPr="00230DEC">
          <w:rPr>
            <w:rStyle w:val="Hyperlink"/>
            <w:noProof/>
          </w:rPr>
          <w:t>2.2.2</w:t>
        </w:r>
        <w:r w:rsidR="00FB0EF2">
          <w:rPr>
            <w:rFonts w:eastAsiaTheme="minorEastAsia" w:cstheme="minorBidi"/>
            <w:noProof/>
            <w:sz w:val="22"/>
            <w:szCs w:val="22"/>
            <w:lang w:val="en-AU"/>
          </w:rPr>
          <w:tab/>
        </w:r>
        <w:r w:rsidR="00FB0EF2" w:rsidRPr="00230DEC">
          <w:rPr>
            <w:rStyle w:val="Hyperlink"/>
            <w:noProof/>
          </w:rPr>
          <w:t>What are the goals of the Taskforce?</w:t>
        </w:r>
        <w:r w:rsidR="00FB0EF2">
          <w:rPr>
            <w:noProof/>
            <w:webHidden/>
          </w:rPr>
          <w:tab/>
        </w:r>
        <w:r w:rsidR="00FB0EF2">
          <w:rPr>
            <w:noProof/>
            <w:webHidden/>
          </w:rPr>
          <w:fldChar w:fldCharType="begin"/>
        </w:r>
        <w:r w:rsidR="00FB0EF2">
          <w:rPr>
            <w:noProof/>
            <w:webHidden/>
          </w:rPr>
          <w:instrText xml:space="preserve"> PAGEREF _Toc12886536 \h </w:instrText>
        </w:r>
        <w:r w:rsidR="00FB0EF2">
          <w:rPr>
            <w:noProof/>
            <w:webHidden/>
          </w:rPr>
        </w:r>
        <w:r w:rsidR="00FB0EF2">
          <w:rPr>
            <w:noProof/>
            <w:webHidden/>
          </w:rPr>
          <w:fldChar w:fldCharType="separate"/>
        </w:r>
        <w:r w:rsidR="00FB0EF2">
          <w:rPr>
            <w:noProof/>
            <w:webHidden/>
          </w:rPr>
          <w:t>5</w:t>
        </w:r>
        <w:r w:rsidR="00FB0EF2">
          <w:rPr>
            <w:noProof/>
            <w:webHidden/>
          </w:rPr>
          <w:fldChar w:fldCharType="end"/>
        </w:r>
      </w:hyperlink>
    </w:p>
    <w:p w14:paraId="75CA60A3" w14:textId="77777777" w:rsidR="00FB0EF2" w:rsidRDefault="004B0F6A">
      <w:pPr>
        <w:pStyle w:val="TOC2"/>
        <w:rPr>
          <w:rFonts w:eastAsiaTheme="minorEastAsia" w:cstheme="minorBidi"/>
          <w:i w:val="0"/>
          <w:iCs w:val="0"/>
          <w:noProof/>
          <w:sz w:val="22"/>
          <w:szCs w:val="22"/>
          <w:lang w:val="en-AU"/>
        </w:rPr>
      </w:pPr>
      <w:hyperlink w:anchor="_Toc12886537" w:history="1">
        <w:r w:rsidR="00FB0EF2" w:rsidRPr="00230DEC">
          <w:rPr>
            <w:rStyle w:val="Hyperlink"/>
            <w:noProof/>
          </w:rPr>
          <w:t>2.3</w:t>
        </w:r>
        <w:r w:rsidR="00FB0EF2">
          <w:rPr>
            <w:rFonts w:eastAsiaTheme="minorEastAsia" w:cstheme="minorBidi"/>
            <w:i w:val="0"/>
            <w:iCs w:val="0"/>
            <w:noProof/>
            <w:sz w:val="22"/>
            <w:szCs w:val="22"/>
            <w:lang w:val="en-AU"/>
          </w:rPr>
          <w:tab/>
        </w:r>
        <w:r w:rsidR="00FB0EF2" w:rsidRPr="00230DEC">
          <w:rPr>
            <w:rStyle w:val="Hyperlink"/>
            <w:noProof/>
          </w:rPr>
          <w:t>The Taskforce’s approach</w:t>
        </w:r>
        <w:r w:rsidR="00FB0EF2">
          <w:rPr>
            <w:noProof/>
            <w:webHidden/>
          </w:rPr>
          <w:tab/>
        </w:r>
        <w:r w:rsidR="00FB0EF2">
          <w:rPr>
            <w:noProof/>
            <w:webHidden/>
          </w:rPr>
          <w:fldChar w:fldCharType="begin"/>
        </w:r>
        <w:r w:rsidR="00FB0EF2">
          <w:rPr>
            <w:noProof/>
            <w:webHidden/>
          </w:rPr>
          <w:instrText xml:space="preserve"> PAGEREF _Toc12886537 \h </w:instrText>
        </w:r>
        <w:r w:rsidR="00FB0EF2">
          <w:rPr>
            <w:noProof/>
            <w:webHidden/>
          </w:rPr>
        </w:r>
        <w:r w:rsidR="00FB0EF2">
          <w:rPr>
            <w:noProof/>
            <w:webHidden/>
          </w:rPr>
          <w:fldChar w:fldCharType="separate"/>
        </w:r>
        <w:r w:rsidR="00FB0EF2">
          <w:rPr>
            <w:noProof/>
            <w:webHidden/>
          </w:rPr>
          <w:t>6</w:t>
        </w:r>
        <w:r w:rsidR="00FB0EF2">
          <w:rPr>
            <w:noProof/>
            <w:webHidden/>
          </w:rPr>
          <w:fldChar w:fldCharType="end"/>
        </w:r>
      </w:hyperlink>
    </w:p>
    <w:p w14:paraId="6FEA41CD" w14:textId="77777777" w:rsidR="00FB0EF2" w:rsidRDefault="004B0F6A">
      <w:pPr>
        <w:pStyle w:val="TOC1"/>
        <w:rPr>
          <w:rFonts w:eastAsiaTheme="minorEastAsia" w:cstheme="minorBidi"/>
          <w:b w:val="0"/>
          <w:bCs w:val="0"/>
          <w:noProof/>
          <w:sz w:val="22"/>
          <w:szCs w:val="22"/>
          <w:lang w:val="en-AU"/>
        </w:rPr>
      </w:pPr>
      <w:hyperlink w:anchor="_Toc12886538" w:history="1">
        <w:r w:rsidR="00FB0EF2" w:rsidRPr="00230DEC">
          <w:rPr>
            <w:rStyle w:val="Hyperlink"/>
            <w:noProof/>
            <w:lang w:bidi="x-none"/>
            <w14:scene3d>
              <w14:camera w14:prst="orthographicFront"/>
              <w14:lightRig w14:rig="threePt" w14:dir="t">
                <w14:rot w14:lat="0" w14:lon="0" w14:rev="0"/>
              </w14:lightRig>
            </w14:scene3d>
          </w:rPr>
          <w:t>3.</w:t>
        </w:r>
        <w:r w:rsidR="00FB0EF2">
          <w:rPr>
            <w:rFonts w:eastAsiaTheme="minorEastAsia" w:cstheme="minorBidi"/>
            <w:b w:val="0"/>
            <w:bCs w:val="0"/>
            <w:noProof/>
            <w:sz w:val="22"/>
            <w:szCs w:val="22"/>
            <w:lang w:val="en-AU"/>
          </w:rPr>
          <w:tab/>
        </w:r>
        <w:r w:rsidR="00FB0EF2" w:rsidRPr="00230DEC">
          <w:rPr>
            <w:rStyle w:val="Hyperlink"/>
            <w:noProof/>
          </w:rPr>
          <w:t>About the Pathology Clinical Committee</w:t>
        </w:r>
        <w:r w:rsidR="00FB0EF2">
          <w:rPr>
            <w:noProof/>
            <w:webHidden/>
          </w:rPr>
          <w:tab/>
        </w:r>
        <w:r w:rsidR="00FB0EF2">
          <w:rPr>
            <w:noProof/>
            <w:webHidden/>
          </w:rPr>
          <w:fldChar w:fldCharType="begin"/>
        </w:r>
        <w:r w:rsidR="00FB0EF2">
          <w:rPr>
            <w:noProof/>
            <w:webHidden/>
          </w:rPr>
          <w:instrText xml:space="preserve"> PAGEREF _Toc12886538 \h </w:instrText>
        </w:r>
        <w:r w:rsidR="00FB0EF2">
          <w:rPr>
            <w:noProof/>
            <w:webHidden/>
          </w:rPr>
        </w:r>
        <w:r w:rsidR="00FB0EF2">
          <w:rPr>
            <w:noProof/>
            <w:webHidden/>
          </w:rPr>
          <w:fldChar w:fldCharType="separate"/>
        </w:r>
        <w:r w:rsidR="00FB0EF2">
          <w:rPr>
            <w:noProof/>
            <w:webHidden/>
          </w:rPr>
          <w:t>7</w:t>
        </w:r>
        <w:r w:rsidR="00FB0EF2">
          <w:rPr>
            <w:noProof/>
            <w:webHidden/>
          </w:rPr>
          <w:fldChar w:fldCharType="end"/>
        </w:r>
      </w:hyperlink>
    </w:p>
    <w:p w14:paraId="08EB4798" w14:textId="77777777" w:rsidR="00FB0EF2" w:rsidRDefault="004B0F6A">
      <w:pPr>
        <w:pStyle w:val="TOC2"/>
        <w:rPr>
          <w:rFonts w:eastAsiaTheme="minorEastAsia" w:cstheme="minorBidi"/>
          <w:i w:val="0"/>
          <w:iCs w:val="0"/>
          <w:noProof/>
          <w:sz w:val="22"/>
          <w:szCs w:val="22"/>
          <w:lang w:val="en-AU"/>
        </w:rPr>
      </w:pPr>
      <w:hyperlink w:anchor="_Toc12886539" w:history="1">
        <w:r w:rsidR="00FB0EF2" w:rsidRPr="00230DEC">
          <w:rPr>
            <w:rStyle w:val="Hyperlink"/>
            <w:noProof/>
          </w:rPr>
          <w:t>3.1</w:t>
        </w:r>
        <w:r w:rsidR="00FB0EF2">
          <w:rPr>
            <w:rFonts w:eastAsiaTheme="minorEastAsia" w:cstheme="minorBidi"/>
            <w:i w:val="0"/>
            <w:iCs w:val="0"/>
            <w:noProof/>
            <w:sz w:val="22"/>
            <w:szCs w:val="22"/>
            <w:lang w:val="en-AU"/>
          </w:rPr>
          <w:tab/>
        </w:r>
        <w:r w:rsidR="00FB0EF2" w:rsidRPr="00230DEC">
          <w:rPr>
            <w:rStyle w:val="Hyperlink"/>
            <w:noProof/>
          </w:rPr>
          <w:t>Committee members</w:t>
        </w:r>
        <w:r w:rsidR="00FB0EF2">
          <w:rPr>
            <w:noProof/>
            <w:webHidden/>
          </w:rPr>
          <w:tab/>
        </w:r>
        <w:r w:rsidR="00FB0EF2">
          <w:rPr>
            <w:noProof/>
            <w:webHidden/>
          </w:rPr>
          <w:fldChar w:fldCharType="begin"/>
        </w:r>
        <w:r w:rsidR="00FB0EF2">
          <w:rPr>
            <w:noProof/>
            <w:webHidden/>
          </w:rPr>
          <w:instrText xml:space="preserve"> PAGEREF _Toc12886539 \h </w:instrText>
        </w:r>
        <w:r w:rsidR="00FB0EF2">
          <w:rPr>
            <w:noProof/>
            <w:webHidden/>
          </w:rPr>
        </w:r>
        <w:r w:rsidR="00FB0EF2">
          <w:rPr>
            <w:noProof/>
            <w:webHidden/>
          </w:rPr>
          <w:fldChar w:fldCharType="separate"/>
        </w:r>
        <w:r w:rsidR="00FB0EF2">
          <w:rPr>
            <w:noProof/>
            <w:webHidden/>
          </w:rPr>
          <w:t>8</w:t>
        </w:r>
        <w:r w:rsidR="00FB0EF2">
          <w:rPr>
            <w:noProof/>
            <w:webHidden/>
          </w:rPr>
          <w:fldChar w:fldCharType="end"/>
        </w:r>
      </w:hyperlink>
    </w:p>
    <w:p w14:paraId="452637E8" w14:textId="77777777" w:rsidR="00FB0EF2" w:rsidRDefault="004B0F6A">
      <w:pPr>
        <w:pStyle w:val="TOC2"/>
        <w:rPr>
          <w:rFonts w:eastAsiaTheme="minorEastAsia" w:cstheme="minorBidi"/>
          <w:i w:val="0"/>
          <w:iCs w:val="0"/>
          <w:noProof/>
          <w:sz w:val="22"/>
          <w:szCs w:val="22"/>
          <w:lang w:val="en-AU"/>
        </w:rPr>
      </w:pPr>
      <w:hyperlink w:anchor="_Toc12886540" w:history="1">
        <w:r w:rsidR="00FB0EF2" w:rsidRPr="00230DEC">
          <w:rPr>
            <w:rStyle w:val="Hyperlink"/>
            <w:noProof/>
          </w:rPr>
          <w:t>3.2</w:t>
        </w:r>
        <w:r w:rsidR="00FB0EF2">
          <w:rPr>
            <w:rFonts w:eastAsiaTheme="minorEastAsia" w:cstheme="minorBidi"/>
            <w:i w:val="0"/>
            <w:iCs w:val="0"/>
            <w:noProof/>
            <w:sz w:val="22"/>
            <w:szCs w:val="22"/>
            <w:lang w:val="en-AU"/>
          </w:rPr>
          <w:tab/>
        </w:r>
        <w:r w:rsidR="00FB0EF2" w:rsidRPr="00230DEC">
          <w:rPr>
            <w:rStyle w:val="Hyperlink"/>
            <w:noProof/>
          </w:rPr>
          <w:t>Microbiology Working Group</w:t>
        </w:r>
        <w:r w:rsidR="00FB0EF2">
          <w:rPr>
            <w:noProof/>
            <w:webHidden/>
          </w:rPr>
          <w:tab/>
        </w:r>
        <w:r w:rsidR="00FB0EF2">
          <w:rPr>
            <w:noProof/>
            <w:webHidden/>
          </w:rPr>
          <w:fldChar w:fldCharType="begin"/>
        </w:r>
        <w:r w:rsidR="00FB0EF2">
          <w:rPr>
            <w:noProof/>
            <w:webHidden/>
          </w:rPr>
          <w:instrText xml:space="preserve"> PAGEREF _Toc12886540 \h </w:instrText>
        </w:r>
        <w:r w:rsidR="00FB0EF2">
          <w:rPr>
            <w:noProof/>
            <w:webHidden/>
          </w:rPr>
        </w:r>
        <w:r w:rsidR="00FB0EF2">
          <w:rPr>
            <w:noProof/>
            <w:webHidden/>
          </w:rPr>
          <w:fldChar w:fldCharType="separate"/>
        </w:r>
        <w:r w:rsidR="00FB0EF2">
          <w:rPr>
            <w:noProof/>
            <w:webHidden/>
          </w:rPr>
          <w:t>8</w:t>
        </w:r>
        <w:r w:rsidR="00FB0EF2">
          <w:rPr>
            <w:noProof/>
            <w:webHidden/>
          </w:rPr>
          <w:fldChar w:fldCharType="end"/>
        </w:r>
      </w:hyperlink>
    </w:p>
    <w:p w14:paraId="663BA721" w14:textId="77777777" w:rsidR="00FB0EF2" w:rsidRDefault="004B0F6A">
      <w:pPr>
        <w:pStyle w:val="TOC2"/>
        <w:rPr>
          <w:rFonts w:eastAsiaTheme="minorEastAsia" w:cstheme="minorBidi"/>
          <w:i w:val="0"/>
          <w:iCs w:val="0"/>
          <w:noProof/>
          <w:sz w:val="22"/>
          <w:szCs w:val="22"/>
          <w:lang w:val="en-AU"/>
        </w:rPr>
      </w:pPr>
      <w:hyperlink w:anchor="_Toc12886541" w:history="1">
        <w:r w:rsidR="00FB0EF2" w:rsidRPr="00230DEC">
          <w:rPr>
            <w:rStyle w:val="Hyperlink"/>
            <w:noProof/>
          </w:rPr>
          <w:t>3.3</w:t>
        </w:r>
        <w:r w:rsidR="00FB0EF2">
          <w:rPr>
            <w:rFonts w:eastAsiaTheme="minorEastAsia" w:cstheme="minorBidi"/>
            <w:i w:val="0"/>
            <w:iCs w:val="0"/>
            <w:noProof/>
            <w:sz w:val="22"/>
            <w:szCs w:val="22"/>
            <w:lang w:val="en-AU"/>
          </w:rPr>
          <w:tab/>
        </w:r>
        <w:r w:rsidR="00FB0EF2" w:rsidRPr="00230DEC">
          <w:rPr>
            <w:rStyle w:val="Hyperlink"/>
            <w:noProof/>
          </w:rPr>
          <w:t>Areas of responsibility of the Committee</w:t>
        </w:r>
        <w:r w:rsidR="00FB0EF2">
          <w:rPr>
            <w:noProof/>
            <w:webHidden/>
          </w:rPr>
          <w:tab/>
        </w:r>
        <w:r w:rsidR="00FB0EF2">
          <w:rPr>
            <w:noProof/>
            <w:webHidden/>
          </w:rPr>
          <w:fldChar w:fldCharType="begin"/>
        </w:r>
        <w:r w:rsidR="00FB0EF2">
          <w:rPr>
            <w:noProof/>
            <w:webHidden/>
          </w:rPr>
          <w:instrText xml:space="preserve"> PAGEREF _Toc12886541 \h </w:instrText>
        </w:r>
        <w:r w:rsidR="00FB0EF2">
          <w:rPr>
            <w:noProof/>
            <w:webHidden/>
          </w:rPr>
        </w:r>
        <w:r w:rsidR="00FB0EF2">
          <w:rPr>
            <w:noProof/>
            <w:webHidden/>
          </w:rPr>
          <w:fldChar w:fldCharType="separate"/>
        </w:r>
        <w:r w:rsidR="00FB0EF2">
          <w:rPr>
            <w:noProof/>
            <w:webHidden/>
          </w:rPr>
          <w:t>9</w:t>
        </w:r>
        <w:r w:rsidR="00FB0EF2">
          <w:rPr>
            <w:noProof/>
            <w:webHidden/>
          </w:rPr>
          <w:fldChar w:fldCharType="end"/>
        </w:r>
      </w:hyperlink>
    </w:p>
    <w:p w14:paraId="198793C1" w14:textId="77777777" w:rsidR="00FB0EF2" w:rsidRDefault="004B0F6A">
      <w:pPr>
        <w:pStyle w:val="TOC2"/>
        <w:rPr>
          <w:rFonts w:eastAsiaTheme="minorEastAsia" w:cstheme="minorBidi"/>
          <w:i w:val="0"/>
          <w:iCs w:val="0"/>
          <w:noProof/>
          <w:sz w:val="22"/>
          <w:szCs w:val="22"/>
          <w:lang w:val="en-AU"/>
        </w:rPr>
      </w:pPr>
      <w:hyperlink w:anchor="_Toc12886542" w:history="1">
        <w:r w:rsidR="00FB0EF2" w:rsidRPr="00230DEC">
          <w:rPr>
            <w:rStyle w:val="Hyperlink"/>
            <w:noProof/>
          </w:rPr>
          <w:t>3.4</w:t>
        </w:r>
        <w:r w:rsidR="00FB0EF2">
          <w:rPr>
            <w:rFonts w:eastAsiaTheme="minorEastAsia" w:cstheme="minorBidi"/>
            <w:i w:val="0"/>
            <w:iCs w:val="0"/>
            <w:noProof/>
            <w:sz w:val="22"/>
            <w:szCs w:val="22"/>
            <w:lang w:val="en-AU"/>
          </w:rPr>
          <w:tab/>
        </w:r>
        <w:r w:rsidR="00FB0EF2" w:rsidRPr="00230DEC">
          <w:rPr>
            <w:rStyle w:val="Hyperlink"/>
            <w:noProof/>
          </w:rPr>
          <w:t>Summary of the Committee’s review approach</w:t>
        </w:r>
        <w:r w:rsidR="00FB0EF2">
          <w:rPr>
            <w:noProof/>
            <w:webHidden/>
          </w:rPr>
          <w:tab/>
        </w:r>
        <w:r w:rsidR="00FB0EF2">
          <w:rPr>
            <w:noProof/>
            <w:webHidden/>
          </w:rPr>
          <w:fldChar w:fldCharType="begin"/>
        </w:r>
        <w:r w:rsidR="00FB0EF2">
          <w:rPr>
            <w:noProof/>
            <w:webHidden/>
          </w:rPr>
          <w:instrText xml:space="preserve"> PAGEREF _Toc12886542 \h </w:instrText>
        </w:r>
        <w:r w:rsidR="00FB0EF2">
          <w:rPr>
            <w:noProof/>
            <w:webHidden/>
          </w:rPr>
        </w:r>
        <w:r w:rsidR="00FB0EF2">
          <w:rPr>
            <w:noProof/>
            <w:webHidden/>
          </w:rPr>
          <w:fldChar w:fldCharType="separate"/>
        </w:r>
        <w:r w:rsidR="00FB0EF2">
          <w:rPr>
            <w:noProof/>
            <w:webHidden/>
          </w:rPr>
          <w:t>9</w:t>
        </w:r>
        <w:r w:rsidR="00FB0EF2">
          <w:rPr>
            <w:noProof/>
            <w:webHidden/>
          </w:rPr>
          <w:fldChar w:fldCharType="end"/>
        </w:r>
      </w:hyperlink>
    </w:p>
    <w:p w14:paraId="013C02C6" w14:textId="77777777" w:rsidR="00FB0EF2" w:rsidRDefault="004B0F6A">
      <w:pPr>
        <w:pStyle w:val="TOC1"/>
        <w:rPr>
          <w:rFonts w:eastAsiaTheme="minorEastAsia" w:cstheme="minorBidi"/>
          <w:b w:val="0"/>
          <w:bCs w:val="0"/>
          <w:noProof/>
          <w:sz w:val="22"/>
          <w:szCs w:val="22"/>
          <w:lang w:val="en-AU"/>
        </w:rPr>
      </w:pPr>
      <w:hyperlink w:anchor="_Toc12886543" w:history="1">
        <w:r w:rsidR="00FB0EF2" w:rsidRPr="00230DEC">
          <w:rPr>
            <w:rStyle w:val="Hyperlink"/>
            <w:noProof/>
            <w:lang w:bidi="x-none"/>
            <w14:scene3d>
              <w14:camera w14:prst="orthographicFront"/>
              <w14:lightRig w14:rig="threePt" w14:dir="t">
                <w14:rot w14:lat="0" w14:lon="0" w14:rev="0"/>
              </w14:lightRig>
            </w14:scene3d>
          </w:rPr>
          <w:t>4.</w:t>
        </w:r>
        <w:r w:rsidR="00FB0EF2">
          <w:rPr>
            <w:rFonts w:eastAsiaTheme="minorEastAsia" w:cstheme="minorBidi"/>
            <w:b w:val="0"/>
            <w:bCs w:val="0"/>
            <w:noProof/>
            <w:sz w:val="22"/>
            <w:szCs w:val="22"/>
            <w:lang w:val="en-AU"/>
          </w:rPr>
          <w:tab/>
        </w:r>
        <w:r w:rsidR="00FB0EF2" w:rsidRPr="00230DEC">
          <w:rPr>
            <w:rStyle w:val="Hyperlink"/>
            <w:noProof/>
          </w:rPr>
          <w:t>Recommendations for consultation</w:t>
        </w:r>
        <w:r w:rsidR="00FB0EF2">
          <w:rPr>
            <w:noProof/>
            <w:webHidden/>
          </w:rPr>
          <w:tab/>
        </w:r>
        <w:r w:rsidR="00FB0EF2">
          <w:rPr>
            <w:noProof/>
            <w:webHidden/>
          </w:rPr>
          <w:fldChar w:fldCharType="begin"/>
        </w:r>
        <w:r w:rsidR="00FB0EF2">
          <w:rPr>
            <w:noProof/>
            <w:webHidden/>
          </w:rPr>
          <w:instrText xml:space="preserve"> PAGEREF _Toc12886543 \h </w:instrText>
        </w:r>
        <w:r w:rsidR="00FB0EF2">
          <w:rPr>
            <w:noProof/>
            <w:webHidden/>
          </w:rPr>
        </w:r>
        <w:r w:rsidR="00FB0EF2">
          <w:rPr>
            <w:noProof/>
            <w:webHidden/>
          </w:rPr>
          <w:fldChar w:fldCharType="separate"/>
        </w:r>
        <w:r w:rsidR="00FB0EF2">
          <w:rPr>
            <w:noProof/>
            <w:webHidden/>
          </w:rPr>
          <w:t>10</w:t>
        </w:r>
        <w:r w:rsidR="00FB0EF2">
          <w:rPr>
            <w:noProof/>
            <w:webHidden/>
          </w:rPr>
          <w:fldChar w:fldCharType="end"/>
        </w:r>
      </w:hyperlink>
    </w:p>
    <w:p w14:paraId="7643071F" w14:textId="77777777" w:rsidR="00FB0EF2" w:rsidRDefault="004B0F6A">
      <w:pPr>
        <w:pStyle w:val="TOC2"/>
        <w:rPr>
          <w:rFonts w:eastAsiaTheme="minorEastAsia" w:cstheme="minorBidi"/>
          <w:i w:val="0"/>
          <w:iCs w:val="0"/>
          <w:noProof/>
          <w:sz w:val="22"/>
          <w:szCs w:val="22"/>
          <w:lang w:val="en-AU"/>
        </w:rPr>
      </w:pPr>
      <w:hyperlink w:anchor="_Toc12886544" w:history="1">
        <w:r w:rsidR="00FB0EF2" w:rsidRPr="00230DEC">
          <w:rPr>
            <w:rStyle w:val="Hyperlink"/>
            <w:noProof/>
          </w:rPr>
          <w:t>4.1</w:t>
        </w:r>
        <w:r w:rsidR="00FB0EF2">
          <w:rPr>
            <w:rFonts w:eastAsiaTheme="minorEastAsia" w:cstheme="minorBidi"/>
            <w:i w:val="0"/>
            <w:iCs w:val="0"/>
            <w:noProof/>
            <w:sz w:val="22"/>
            <w:szCs w:val="22"/>
            <w:lang w:val="en-AU"/>
          </w:rPr>
          <w:tab/>
        </w:r>
        <w:r w:rsidR="00FB0EF2" w:rsidRPr="00230DEC">
          <w:rPr>
            <w:rStyle w:val="Hyperlink"/>
            <w:noProof/>
          </w:rPr>
          <w:t>System framework for microbiology testing using nucleic acid amplification tests (NAAT)</w:t>
        </w:r>
        <w:r w:rsidR="00FB0EF2">
          <w:rPr>
            <w:noProof/>
            <w:webHidden/>
          </w:rPr>
          <w:tab/>
        </w:r>
        <w:r w:rsidR="00FB0EF2">
          <w:rPr>
            <w:noProof/>
            <w:webHidden/>
          </w:rPr>
          <w:fldChar w:fldCharType="begin"/>
        </w:r>
        <w:r w:rsidR="00FB0EF2">
          <w:rPr>
            <w:noProof/>
            <w:webHidden/>
          </w:rPr>
          <w:instrText xml:space="preserve"> PAGEREF _Toc12886544 \h </w:instrText>
        </w:r>
        <w:r w:rsidR="00FB0EF2">
          <w:rPr>
            <w:noProof/>
            <w:webHidden/>
          </w:rPr>
        </w:r>
        <w:r w:rsidR="00FB0EF2">
          <w:rPr>
            <w:noProof/>
            <w:webHidden/>
          </w:rPr>
          <w:fldChar w:fldCharType="separate"/>
        </w:r>
        <w:r w:rsidR="00FB0EF2">
          <w:rPr>
            <w:noProof/>
            <w:webHidden/>
          </w:rPr>
          <w:t>10</w:t>
        </w:r>
        <w:r w:rsidR="00FB0EF2">
          <w:rPr>
            <w:noProof/>
            <w:webHidden/>
          </w:rPr>
          <w:fldChar w:fldCharType="end"/>
        </w:r>
      </w:hyperlink>
    </w:p>
    <w:p w14:paraId="04751C04" w14:textId="77777777" w:rsidR="00FB0EF2" w:rsidRDefault="004B0F6A">
      <w:pPr>
        <w:pStyle w:val="TOC3"/>
        <w:tabs>
          <w:tab w:val="left" w:pos="1474"/>
        </w:tabs>
        <w:rPr>
          <w:rFonts w:eastAsiaTheme="minorEastAsia" w:cstheme="minorBidi"/>
          <w:noProof/>
          <w:sz w:val="22"/>
          <w:szCs w:val="22"/>
          <w:lang w:val="en-AU"/>
        </w:rPr>
      </w:pPr>
      <w:hyperlink w:anchor="_Toc12886545" w:history="1">
        <w:r w:rsidR="00FB0EF2" w:rsidRPr="00230DEC">
          <w:rPr>
            <w:rStyle w:val="Hyperlink"/>
            <w:noProof/>
          </w:rPr>
          <w:t>4.1.1</w:t>
        </w:r>
        <w:r w:rsidR="00FB0EF2">
          <w:rPr>
            <w:rFonts w:eastAsiaTheme="minorEastAsia" w:cstheme="minorBidi"/>
            <w:noProof/>
            <w:sz w:val="22"/>
            <w:szCs w:val="22"/>
            <w:lang w:val="en-AU"/>
          </w:rPr>
          <w:tab/>
        </w:r>
        <w:r w:rsidR="00FB0EF2" w:rsidRPr="00230DEC">
          <w:rPr>
            <w:rStyle w:val="Hyperlink"/>
            <w:noProof/>
          </w:rPr>
          <w:t>Recommendation 1: Overall recommendation</w:t>
        </w:r>
        <w:r w:rsidR="00FB0EF2">
          <w:rPr>
            <w:noProof/>
            <w:webHidden/>
          </w:rPr>
          <w:tab/>
        </w:r>
        <w:r w:rsidR="00FB0EF2">
          <w:rPr>
            <w:noProof/>
            <w:webHidden/>
          </w:rPr>
          <w:fldChar w:fldCharType="begin"/>
        </w:r>
        <w:r w:rsidR="00FB0EF2">
          <w:rPr>
            <w:noProof/>
            <w:webHidden/>
          </w:rPr>
          <w:instrText xml:space="preserve"> PAGEREF _Toc12886545 \h </w:instrText>
        </w:r>
        <w:r w:rsidR="00FB0EF2">
          <w:rPr>
            <w:noProof/>
            <w:webHidden/>
          </w:rPr>
        </w:r>
        <w:r w:rsidR="00FB0EF2">
          <w:rPr>
            <w:noProof/>
            <w:webHidden/>
          </w:rPr>
          <w:fldChar w:fldCharType="separate"/>
        </w:r>
        <w:r w:rsidR="00FB0EF2">
          <w:rPr>
            <w:noProof/>
            <w:webHidden/>
          </w:rPr>
          <w:t>11</w:t>
        </w:r>
        <w:r w:rsidR="00FB0EF2">
          <w:rPr>
            <w:noProof/>
            <w:webHidden/>
          </w:rPr>
          <w:fldChar w:fldCharType="end"/>
        </w:r>
      </w:hyperlink>
    </w:p>
    <w:p w14:paraId="1BC065C0" w14:textId="77777777" w:rsidR="00FB0EF2" w:rsidRDefault="004B0F6A">
      <w:pPr>
        <w:pStyle w:val="TOC3"/>
        <w:tabs>
          <w:tab w:val="left" w:pos="1474"/>
        </w:tabs>
        <w:rPr>
          <w:rFonts w:eastAsiaTheme="minorEastAsia" w:cstheme="minorBidi"/>
          <w:noProof/>
          <w:sz w:val="22"/>
          <w:szCs w:val="22"/>
          <w:lang w:val="en-AU"/>
        </w:rPr>
      </w:pPr>
      <w:hyperlink w:anchor="_Toc12886546" w:history="1">
        <w:r w:rsidR="00FB0EF2" w:rsidRPr="00230DEC">
          <w:rPr>
            <w:rStyle w:val="Hyperlink"/>
            <w:noProof/>
          </w:rPr>
          <w:t>4.1.2</w:t>
        </w:r>
        <w:r w:rsidR="00FB0EF2">
          <w:rPr>
            <w:rFonts w:eastAsiaTheme="minorEastAsia" w:cstheme="minorBidi"/>
            <w:noProof/>
            <w:sz w:val="22"/>
            <w:szCs w:val="22"/>
            <w:lang w:val="en-AU"/>
          </w:rPr>
          <w:tab/>
        </w:r>
        <w:r w:rsidR="00FB0EF2" w:rsidRPr="00230DEC">
          <w:rPr>
            <w:rStyle w:val="Hyperlink"/>
            <w:noProof/>
          </w:rPr>
          <w:t>Rationale 1: Overall rationale</w:t>
        </w:r>
        <w:r w:rsidR="00FB0EF2">
          <w:rPr>
            <w:noProof/>
            <w:webHidden/>
          </w:rPr>
          <w:tab/>
        </w:r>
        <w:r w:rsidR="00FB0EF2">
          <w:rPr>
            <w:noProof/>
            <w:webHidden/>
          </w:rPr>
          <w:fldChar w:fldCharType="begin"/>
        </w:r>
        <w:r w:rsidR="00FB0EF2">
          <w:rPr>
            <w:noProof/>
            <w:webHidden/>
          </w:rPr>
          <w:instrText xml:space="preserve"> PAGEREF _Toc12886546 \h </w:instrText>
        </w:r>
        <w:r w:rsidR="00FB0EF2">
          <w:rPr>
            <w:noProof/>
            <w:webHidden/>
          </w:rPr>
        </w:r>
        <w:r w:rsidR="00FB0EF2">
          <w:rPr>
            <w:noProof/>
            <w:webHidden/>
          </w:rPr>
          <w:fldChar w:fldCharType="separate"/>
        </w:r>
        <w:r w:rsidR="00FB0EF2">
          <w:rPr>
            <w:noProof/>
            <w:webHidden/>
          </w:rPr>
          <w:t>12</w:t>
        </w:r>
        <w:r w:rsidR="00FB0EF2">
          <w:rPr>
            <w:noProof/>
            <w:webHidden/>
          </w:rPr>
          <w:fldChar w:fldCharType="end"/>
        </w:r>
      </w:hyperlink>
    </w:p>
    <w:p w14:paraId="3F0C353E" w14:textId="77777777" w:rsidR="00FB0EF2" w:rsidRDefault="004B0F6A">
      <w:pPr>
        <w:pStyle w:val="TOC2"/>
        <w:rPr>
          <w:rFonts w:eastAsiaTheme="minorEastAsia" w:cstheme="minorBidi"/>
          <w:i w:val="0"/>
          <w:iCs w:val="0"/>
          <w:noProof/>
          <w:sz w:val="22"/>
          <w:szCs w:val="22"/>
          <w:lang w:val="en-AU"/>
        </w:rPr>
      </w:pPr>
      <w:hyperlink w:anchor="_Toc12886547" w:history="1">
        <w:r w:rsidR="00FB0EF2" w:rsidRPr="00230DEC">
          <w:rPr>
            <w:rStyle w:val="Hyperlink"/>
            <w:noProof/>
          </w:rPr>
          <w:t>4.2</w:t>
        </w:r>
        <w:r w:rsidR="00FB0EF2">
          <w:rPr>
            <w:rFonts w:eastAsiaTheme="minorEastAsia" w:cstheme="minorBidi"/>
            <w:i w:val="0"/>
            <w:iCs w:val="0"/>
            <w:noProof/>
            <w:sz w:val="22"/>
            <w:szCs w:val="22"/>
            <w:lang w:val="en-AU"/>
          </w:rPr>
          <w:tab/>
        </w:r>
        <w:r w:rsidR="00FB0EF2" w:rsidRPr="00230DEC">
          <w:rPr>
            <w:rStyle w:val="Hyperlink"/>
            <w:noProof/>
          </w:rPr>
          <w:t>Gastrointestinal: Clostridium difficile/faeces</w:t>
        </w:r>
        <w:r w:rsidR="00FB0EF2">
          <w:rPr>
            <w:noProof/>
            <w:webHidden/>
          </w:rPr>
          <w:tab/>
        </w:r>
        <w:r w:rsidR="00FB0EF2">
          <w:rPr>
            <w:noProof/>
            <w:webHidden/>
          </w:rPr>
          <w:fldChar w:fldCharType="begin"/>
        </w:r>
        <w:r w:rsidR="00FB0EF2">
          <w:rPr>
            <w:noProof/>
            <w:webHidden/>
          </w:rPr>
          <w:instrText xml:space="preserve"> PAGEREF _Toc12886547 \h </w:instrText>
        </w:r>
        <w:r w:rsidR="00FB0EF2">
          <w:rPr>
            <w:noProof/>
            <w:webHidden/>
          </w:rPr>
        </w:r>
        <w:r w:rsidR="00FB0EF2">
          <w:rPr>
            <w:noProof/>
            <w:webHidden/>
          </w:rPr>
          <w:fldChar w:fldCharType="separate"/>
        </w:r>
        <w:r w:rsidR="00FB0EF2">
          <w:rPr>
            <w:noProof/>
            <w:webHidden/>
          </w:rPr>
          <w:t>13</w:t>
        </w:r>
        <w:r w:rsidR="00FB0EF2">
          <w:rPr>
            <w:noProof/>
            <w:webHidden/>
          </w:rPr>
          <w:fldChar w:fldCharType="end"/>
        </w:r>
      </w:hyperlink>
    </w:p>
    <w:p w14:paraId="526351BB" w14:textId="77777777" w:rsidR="00FB0EF2" w:rsidRDefault="004B0F6A">
      <w:pPr>
        <w:pStyle w:val="TOC3"/>
        <w:tabs>
          <w:tab w:val="left" w:pos="1474"/>
        </w:tabs>
        <w:rPr>
          <w:rFonts w:eastAsiaTheme="minorEastAsia" w:cstheme="minorBidi"/>
          <w:noProof/>
          <w:sz w:val="22"/>
          <w:szCs w:val="22"/>
          <w:lang w:val="en-AU"/>
        </w:rPr>
      </w:pPr>
      <w:hyperlink w:anchor="_Toc12886548" w:history="1">
        <w:r w:rsidR="00FB0EF2" w:rsidRPr="00230DEC">
          <w:rPr>
            <w:rStyle w:val="Hyperlink"/>
            <w:noProof/>
          </w:rPr>
          <w:t>4.2.1</w:t>
        </w:r>
        <w:r w:rsidR="00FB0EF2">
          <w:rPr>
            <w:rFonts w:eastAsiaTheme="minorEastAsia" w:cstheme="minorBidi"/>
            <w:noProof/>
            <w:sz w:val="22"/>
            <w:szCs w:val="22"/>
            <w:lang w:val="en-AU"/>
          </w:rPr>
          <w:tab/>
        </w:r>
        <w:r w:rsidR="00FB0EF2" w:rsidRPr="00230DEC">
          <w:rPr>
            <w:rStyle w:val="Hyperlink"/>
            <w:noProof/>
          </w:rPr>
          <w:t>Recommendation 2</w:t>
        </w:r>
        <w:r w:rsidR="00FB0EF2">
          <w:rPr>
            <w:noProof/>
            <w:webHidden/>
          </w:rPr>
          <w:tab/>
        </w:r>
        <w:r w:rsidR="00FB0EF2">
          <w:rPr>
            <w:noProof/>
            <w:webHidden/>
          </w:rPr>
          <w:fldChar w:fldCharType="begin"/>
        </w:r>
        <w:r w:rsidR="00FB0EF2">
          <w:rPr>
            <w:noProof/>
            <w:webHidden/>
          </w:rPr>
          <w:instrText xml:space="preserve"> PAGEREF _Toc12886548 \h </w:instrText>
        </w:r>
        <w:r w:rsidR="00FB0EF2">
          <w:rPr>
            <w:noProof/>
            <w:webHidden/>
          </w:rPr>
        </w:r>
        <w:r w:rsidR="00FB0EF2">
          <w:rPr>
            <w:noProof/>
            <w:webHidden/>
          </w:rPr>
          <w:fldChar w:fldCharType="separate"/>
        </w:r>
        <w:r w:rsidR="00FB0EF2">
          <w:rPr>
            <w:noProof/>
            <w:webHidden/>
          </w:rPr>
          <w:t>13</w:t>
        </w:r>
        <w:r w:rsidR="00FB0EF2">
          <w:rPr>
            <w:noProof/>
            <w:webHidden/>
          </w:rPr>
          <w:fldChar w:fldCharType="end"/>
        </w:r>
      </w:hyperlink>
    </w:p>
    <w:p w14:paraId="47435457" w14:textId="77777777" w:rsidR="00FB0EF2" w:rsidRDefault="004B0F6A">
      <w:pPr>
        <w:pStyle w:val="TOC3"/>
        <w:tabs>
          <w:tab w:val="left" w:pos="1474"/>
        </w:tabs>
        <w:rPr>
          <w:rFonts w:eastAsiaTheme="minorEastAsia" w:cstheme="minorBidi"/>
          <w:noProof/>
          <w:sz w:val="22"/>
          <w:szCs w:val="22"/>
          <w:lang w:val="en-AU"/>
        </w:rPr>
      </w:pPr>
      <w:hyperlink w:anchor="_Toc12886549" w:history="1">
        <w:r w:rsidR="00FB0EF2" w:rsidRPr="00230DEC">
          <w:rPr>
            <w:rStyle w:val="Hyperlink"/>
            <w:noProof/>
          </w:rPr>
          <w:t>4.2.2</w:t>
        </w:r>
        <w:r w:rsidR="00FB0EF2">
          <w:rPr>
            <w:rFonts w:eastAsiaTheme="minorEastAsia" w:cstheme="minorBidi"/>
            <w:noProof/>
            <w:sz w:val="22"/>
            <w:szCs w:val="22"/>
            <w:lang w:val="en-AU"/>
          </w:rPr>
          <w:tab/>
        </w:r>
        <w:r w:rsidR="00FB0EF2" w:rsidRPr="00230DEC">
          <w:rPr>
            <w:rStyle w:val="Hyperlink"/>
            <w:noProof/>
          </w:rPr>
          <w:t>Rationale 2</w:t>
        </w:r>
        <w:r w:rsidR="00FB0EF2">
          <w:rPr>
            <w:noProof/>
            <w:webHidden/>
          </w:rPr>
          <w:tab/>
        </w:r>
        <w:r w:rsidR="00FB0EF2">
          <w:rPr>
            <w:noProof/>
            <w:webHidden/>
          </w:rPr>
          <w:fldChar w:fldCharType="begin"/>
        </w:r>
        <w:r w:rsidR="00FB0EF2">
          <w:rPr>
            <w:noProof/>
            <w:webHidden/>
          </w:rPr>
          <w:instrText xml:space="preserve"> PAGEREF _Toc12886549 \h </w:instrText>
        </w:r>
        <w:r w:rsidR="00FB0EF2">
          <w:rPr>
            <w:noProof/>
            <w:webHidden/>
          </w:rPr>
        </w:r>
        <w:r w:rsidR="00FB0EF2">
          <w:rPr>
            <w:noProof/>
            <w:webHidden/>
          </w:rPr>
          <w:fldChar w:fldCharType="separate"/>
        </w:r>
        <w:r w:rsidR="00FB0EF2">
          <w:rPr>
            <w:noProof/>
            <w:webHidden/>
          </w:rPr>
          <w:t>14</w:t>
        </w:r>
        <w:r w:rsidR="00FB0EF2">
          <w:rPr>
            <w:noProof/>
            <w:webHidden/>
          </w:rPr>
          <w:fldChar w:fldCharType="end"/>
        </w:r>
      </w:hyperlink>
    </w:p>
    <w:p w14:paraId="7D076C89" w14:textId="77777777" w:rsidR="00FB0EF2" w:rsidRDefault="004B0F6A">
      <w:pPr>
        <w:pStyle w:val="TOC2"/>
        <w:rPr>
          <w:rFonts w:eastAsiaTheme="minorEastAsia" w:cstheme="minorBidi"/>
          <w:i w:val="0"/>
          <w:iCs w:val="0"/>
          <w:noProof/>
          <w:sz w:val="22"/>
          <w:szCs w:val="22"/>
          <w:lang w:val="en-AU"/>
        </w:rPr>
      </w:pPr>
      <w:hyperlink w:anchor="_Toc12886550" w:history="1">
        <w:r w:rsidR="00FB0EF2" w:rsidRPr="00230DEC">
          <w:rPr>
            <w:rStyle w:val="Hyperlink"/>
            <w:noProof/>
          </w:rPr>
          <w:t>4.3</w:t>
        </w:r>
        <w:r w:rsidR="00FB0EF2">
          <w:rPr>
            <w:rFonts w:eastAsiaTheme="minorEastAsia" w:cstheme="minorBidi"/>
            <w:i w:val="0"/>
            <w:iCs w:val="0"/>
            <w:noProof/>
            <w:sz w:val="22"/>
            <w:szCs w:val="22"/>
            <w:lang w:val="en-AU"/>
          </w:rPr>
          <w:tab/>
        </w:r>
        <w:r w:rsidR="00FB0EF2" w:rsidRPr="00230DEC">
          <w:rPr>
            <w:rStyle w:val="Hyperlink"/>
            <w:noProof/>
          </w:rPr>
          <w:t>Urogenital</w:t>
        </w:r>
        <w:r w:rsidR="00FB0EF2">
          <w:rPr>
            <w:noProof/>
            <w:webHidden/>
          </w:rPr>
          <w:tab/>
        </w:r>
        <w:r w:rsidR="00FB0EF2">
          <w:rPr>
            <w:noProof/>
            <w:webHidden/>
          </w:rPr>
          <w:fldChar w:fldCharType="begin"/>
        </w:r>
        <w:r w:rsidR="00FB0EF2">
          <w:rPr>
            <w:noProof/>
            <w:webHidden/>
          </w:rPr>
          <w:instrText xml:space="preserve"> PAGEREF _Toc12886550 \h </w:instrText>
        </w:r>
        <w:r w:rsidR="00FB0EF2">
          <w:rPr>
            <w:noProof/>
            <w:webHidden/>
          </w:rPr>
        </w:r>
        <w:r w:rsidR="00FB0EF2">
          <w:rPr>
            <w:noProof/>
            <w:webHidden/>
          </w:rPr>
          <w:fldChar w:fldCharType="separate"/>
        </w:r>
        <w:r w:rsidR="00FB0EF2">
          <w:rPr>
            <w:noProof/>
            <w:webHidden/>
          </w:rPr>
          <w:t>16</w:t>
        </w:r>
        <w:r w:rsidR="00FB0EF2">
          <w:rPr>
            <w:noProof/>
            <w:webHidden/>
          </w:rPr>
          <w:fldChar w:fldCharType="end"/>
        </w:r>
      </w:hyperlink>
    </w:p>
    <w:p w14:paraId="20DBC94B" w14:textId="77777777" w:rsidR="00FB0EF2" w:rsidRDefault="004B0F6A">
      <w:pPr>
        <w:pStyle w:val="TOC3"/>
        <w:tabs>
          <w:tab w:val="left" w:pos="1474"/>
        </w:tabs>
        <w:rPr>
          <w:rFonts w:eastAsiaTheme="minorEastAsia" w:cstheme="minorBidi"/>
          <w:noProof/>
          <w:sz w:val="22"/>
          <w:szCs w:val="22"/>
          <w:lang w:val="en-AU"/>
        </w:rPr>
      </w:pPr>
      <w:hyperlink w:anchor="_Toc12886551" w:history="1">
        <w:r w:rsidR="00FB0EF2" w:rsidRPr="00230DEC">
          <w:rPr>
            <w:rStyle w:val="Hyperlink"/>
            <w:noProof/>
          </w:rPr>
          <w:t>4.3.1</w:t>
        </w:r>
        <w:r w:rsidR="00FB0EF2">
          <w:rPr>
            <w:rFonts w:eastAsiaTheme="minorEastAsia" w:cstheme="minorBidi"/>
            <w:noProof/>
            <w:sz w:val="22"/>
            <w:szCs w:val="22"/>
            <w:lang w:val="en-AU"/>
          </w:rPr>
          <w:tab/>
        </w:r>
        <w:r w:rsidR="00FB0EF2" w:rsidRPr="00230DEC">
          <w:rPr>
            <w:rStyle w:val="Hyperlink"/>
            <w:noProof/>
          </w:rPr>
          <w:t>Recommendation 3</w:t>
        </w:r>
        <w:r w:rsidR="00FB0EF2">
          <w:rPr>
            <w:noProof/>
            <w:webHidden/>
          </w:rPr>
          <w:tab/>
        </w:r>
        <w:r w:rsidR="00FB0EF2">
          <w:rPr>
            <w:noProof/>
            <w:webHidden/>
          </w:rPr>
          <w:fldChar w:fldCharType="begin"/>
        </w:r>
        <w:r w:rsidR="00FB0EF2">
          <w:rPr>
            <w:noProof/>
            <w:webHidden/>
          </w:rPr>
          <w:instrText xml:space="preserve"> PAGEREF _Toc12886551 \h </w:instrText>
        </w:r>
        <w:r w:rsidR="00FB0EF2">
          <w:rPr>
            <w:noProof/>
            <w:webHidden/>
          </w:rPr>
        </w:r>
        <w:r w:rsidR="00FB0EF2">
          <w:rPr>
            <w:noProof/>
            <w:webHidden/>
          </w:rPr>
          <w:fldChar w:fldCharType="separate"/>
        </w:r>
        <w:r w:rsidR="00FB0EF2">
          <w:rPr>
            <w:noProof/>
            <w:webHidden/>
          </w:rPr>
          <w:t>16</w:t>
        </w:r>
        <w:r w:rsidR="00FB0EF2">
          <w:rPr>
            <w:noProof/>
            <w:webHidden/>
          </w:rPr>
          <w:fldChar w:fldCharType="end"/>
        </w:r>
      </w:hyperlink>
    </w:p>
    <w:p w14:paraId="2AC61019" w14:textId="77777777" w:rsidR="00FB0EF2" w:rsidRDefault="004B0F6A">
      <w:pPr>
        <w:pStyle w:val="TOC3"/>
        <w:tabs>
          <w:tab w:val="left" w:pos="1474"/>
        </w:tabs>
        <w:rPr>
          <w:rFonts w:eastAsiaTheme="minorEastAsia" w:cstheme="minorBidi"/>
          <w:noProof/>
          <w:sz w:val="22"/>
          <w:szCs w:val="22"/>
          <w:lang w:val="en-AU"/>
        </w:rPr>
      </w:pPr>
      <w:hyperlink w:anchor="_Toc12886552" w:history="1">
        <w:r w:rsidR="00FB0EF2" w:rsidRPr="00230DEC">
          <w:rPr>
            <w:rStyle w:val="Hyperlink"/>
            <w:noProof/>
          </w:rPr>
          <w:t>4.3.2</w:t>
        </w:r>
        <w:r w:rsidR="00FB0EF2">
          <w:rPr>
            <w:rFonts w:eastAsiaTheme="minorEastAsia" w:cstheme="minorBidi"/>
            <w:noProof/>
            <w:sz w:val="22"/>
            <w:szCs w:val="22"/>
            <w:lang w:val="en-AU"/>
          </w:rPr>
          <w:tab/>
        </w:r>
        <w:r w:rsidR="00FB0EF2" w:rsidRPr="00230DEC">
          <w:rPr>
            <w:rStyle w:val="Hyperlink"/>
            <w:noProof/>
          </w:rPr>
          <w:t>Rationale 3</w:t>
        </w:r>
        <w:r w:rsidR="00FB0EF2">
          <w:rPr>
            <w:noProof/>
            <w:webHidden/>
          </w:rPr>
          <w:tab/>
        </w:r>
        <w:r w:rsidR="00FB0EF2">
          <w:rPr>
            <w:noProof/>
            <w:webHidden/>
          </w:rPr>
          <w:fldChar w:fldCharType="begin"/>
        </w:r>
        <w:r w:rsidR="00FB0EF2">
          <w:rPr>
            <w:noProof/>
            <w:webHidden/>
          </w:rPr>
          <w:instrText xml:space="preserve"> PAGEREF _Toc12886552 \h </w:instrText>
        </w:r>
        <w:r w:rsidR="00FB0EF2">
          <w:rPr>
            <w:noProof/>
            <w:webHidden/>
          </w:rPr>
        </w:r>
        <w:r w:rsidR="00FB0EF2">
          <w:rPr>
            <w:noProof/>
            <w:webHidden/>
          </w:rPr>
          <w:fldChar w:fldCharType="separate"/>
        </w:r>
        <w:r w:rsidR="00FB0EF2">
          <w:rPr>
            <w:noProof/>
            <w:webHidden/>
          </w:rPr>
          <w:t>17</w:t>
        </w:r>
        <w:r w:rsidR="00FB0EF2">
          <w:rPr>
            <w:noProof/>
            <w:webHidden/>
          </w:rPr>
          <w:fldChar w:fldCharType="end"/>
        </w:r>
      </w:hyperlink>
    </w:p>
    <w:p w14:paraId="0B645E5C" w14:textId="77777777" w:rsidR="00FB0EF2" w:rsidRDefault="004B0F6A">
      <w:pPr>
        <w:pStyle w:val="TOC2"/>
        <w:rPr>
          <w:rFonts w:eastAsiaTheme="minorEastAsia" w:cstheme="minorBidi"/>
          <w:i w:val="0"/>
          <w:iCs w:val="0"/>
          <w:noProof/>
          <w:sz w:val="22"/>
          <w:szCs w:val="22"/>
          <w:lang w:val="en-AU"/>
        </w:rPr>
      </w:pPr>
      <w:hyperlink w:anchor="_Toc12886553" w:history="1">
        <w:r w:rsidR="00FB0EF2" w:rsidRPr="00230DEC">
          <w:rPr>
            <w:rStyle w:val="Hyperlink"/>
            <w:noProof/>
          </w:rPr>
          <w:t>4.4</w:t>
        </w:r>
        <w:r w:rsidR="00FB0EF2">
          <w:rPr>
            <w:rFonts w:eastAsiaTheme="minorEastAsia" w:cstheme="minorBidi"/>
            <w:i w:val="0"/>
            <w:iCs w:val="0"/>
            <w:noProof/>
            <w:sz w:val="22"/>
            <w:szCs w:val="22"/>
            <w:lang w:val="en-AU"/>
          </w:rPr>
          <w:tab/>
        </w:r>
        <w:r w:rsidR="00FB0EF2" w:rsidRPr="00230DEC">
          <w:rPr>
            <w:rStyle w:val="Hyperlink"/>
            <w:noProof/>
          </w:rPr>
          <w:t>Respiratory</w:t>
        </w:r>
        <w:r w:rsidR="00FB0EF2">
          <w:rPr>
            <w:noProof/>
            <w:webHidden/>
          </w:rPr>
          <w:tab/>
        </w:r>
        <w:r w:rsidR="00FB0EF2">
          <w:rPr>
            <w:noProof/>
            <w:webHidden/>
          </w:rPr>
          <w:fldChar w:fldCharType="begin"/>
        </w:r>
        <w:r w:rsidR="00FB0EF2">
          <w:rPr>
            <w:noProof/>
            <w:webHidden/>
          </w:rPr>
          <w:instrText xml:space="preserve"> PAGEREF _Toc12886553 \h </w:instrText>
        </w:r>
        <w:r w:rsidR="00FB0EF2">
          <w:rPr>
            <w:noProof/>
            <w:webHidden/>
          </w:rPr>
        </w:r>
        <w:r w:rsidR="00FB0EF2">
          <w:rPr>
            <w:noProof/>
            <w:webHidden/>
          </w:rPr>
          <w:fldChar w:fldCharType="separate"/>
        </w:r>
        <w:r w:rsidR="00FB0EF2">
          <w:rPr>
            <w:noProof/>
            <w:webHidden/>
          </w:rPr>
          <w:t>19</w:t>
        </w:r>
        <w:r w:rsidR="00FB0EF2">
          <w:rPr>
            <w:noProof/>
            <w:webHidden/>
          </w:rPr>
          <w:fldChar w:fldCharType="end"/>
        </w:r>
      </w:hyperlink>
    </w:p>
    <w:p w14:paraId="2484A9A5" w14:textId="77777777" w:rsidR="00FB0EF2" w:rsidRDefault="004B0F6A">
      <w:pPr>
        <w:pStyle w:val="TOC3"/>
        <w:tabs>
          <w:tab w:val="left" w:pos="1474"/>
        </w:tabs>
        <w:rPr>
          <w:rFonts w:eastAsiaTheme="minorEastAsia" w:cstheme="minorBidi"/>
          <w:noProof/>
          <w:sz w:val="22"/>
          <w:szCs w:val="22"/>
          <w:lang w:val="en-AU"/>
        </w:rPr>
      </w:pPr>
      <w:hyperlink w:anchor="_Toc12886554" w:history="1">
        <w:r w:rsidR="00FB0EF2" w:rsidRPr="00230DEC">
          <w:rPr>
            <w:rStyle w:val="Hyperlink"/>
            <w:noProof/>
          </w:rPr>
          <w:t>4.4.1</w:t>
        </w:r>
        <w:r w:rsidR="00FB0EF2">
          <w:rPr>
            <w:rFonts w:eastAsiaTheme="minorEastAsia" w:cstheme="minorBidi"/>
            <w:noProof/>
            <w:sz w:val="22"/>
            <w:szCs w:val="22"/>
            <w:lang w:val="en-AU"/>
          </w:rPr>
          <w:tab/>
        </w:r>
        <w:r w:rsidR="00FB0EF2" w:rsidRPr="00230DEC">
          <w:rPr>
            <w:rStyle w:val="Hyperlink"/>
            <w:noProof/>
          </w:rPr>
          <w:t>Recommendation 4</w:t>
        </w:r>
        <w:r w:rsidR="00FB0EF2">
          <w:rPr>
            <w:noProof/>
            <w:webHidden/>
          </w:rPr>
          <w:tab/>
        </w:r>
        <w:r w:rsidR="00FB0EF2">
          <w:rPr>
            <w:noProof/>
            <w:webHidden/>
          </w:rPr>
          <w:fldChar w:fldCharType="begin"/>
        </w:r>
        <w:r w:rsidR="00FB0EF2">
          <w:rPr>
            <w:noProof/>
            <w:webHidden/>
          </w:rPr>
          <w:instrText xml:space="preserve"> PAGEREF _Toc12886554 \h </w:instrText>
        </w:r>
        <w:r w:rsidR="00FB0EF2">
          <w:rPr>
            <w:noProof/>
            <w:webHidden/>
          </w:rPr>
        </w:r>
        <w:r w:rsidR="00FB0EF2">
          <w:rPr>
            <w:noProof/>
            <w:webHidden/>
          </w:rPr>
          <w:fldChar w:fldCharType="separate"/>
        </w:r>
        <w:r w:rsidR="00FB0EF2">
          <w:rPr>
            <w:noProof/>
            <w:webHidden/>
          </w:rPr>
          <w:t>19</w:t>
        </w:r>
        <w:r w:rsidR="00FB0EF2">
          <w:rPr>
            <w:noProof/>
            <w:webHidden/>
          </w:rPr>
          <w:fldChar w:fldCharType="end"/>
        </w:r>
      </w:hyperlink>
    </w:p>
    <w:p w14:paraId="106CD797" w14:textId="77777777" w:rsidR="00FB0EF2" w:rsidRDefault="004B0F6A">
      <w:pPr>
        <w:pStyle w:val="TOC3"/>
        <w:tabs>
          <w:tab w:val="left" w:pos="1474"/>
        </w:tabs>
        <w:rPr>
          <w:rFonts w:eastAsiaTheme="minorEastAsia" w:cstheme="minorBidi"/>
          <w:noProof/>
          <w:sz w:val="22"/>
          <w:szCs w:val="22"/>
          <w:lang w:val="en-AU"/>
        </w:rPr>
      </w:pPr>
      <w:hyperlink w:anchor="_Toc12886555" w:history="1">
        <w:r w:rsidR="00FB0EF2" w:rsidRPr="00230DEC">
          <w:rPr>
            <w:rStyle w:val="Hyperlink"/>
            <w:noProof/>
          </w:rPr>
          <w:t>4.4.2</w:t>
        </w:r>
        <w:r w:rsidR="00FB0EF2">
          <w:rPr>
            <w:rFonts w:eastAsiaTheme="minorEastAsia" w:cstheme="minorBidi"/>
            <w:noProof/>
            <w:sz w:val="22"/>
            <w:szCs w:val="22"/>
            <w:lang w:val="en-AU"/>
          </w:rPr>
          <w:tab/>
        </w:r>
        <w:r w:rsidR="00FB0EF2" w:rsidRPr="00230DEC">
          <w:rPr>
            <w:rStyle w:val="Hyperlink"/>
            <w:noProof/>
          </w:rPr>
          <w:t>Rationale 4</w:t>
        </w:r>
        <w:r w:rsidR="00FB0EF2">
          <w:rPr>
            <w:noProof/>
            <w:webHidden/>
          </w:rPr>
          <w:tab/>
        </w:r>
        <w:r w:rsidR="00FB0EF2">
          <w:rPr>
            <w:noProof/>
            <w:webHidden/>
          </w:rPr>
          <w:fldChar w:fldCharType="begin"/>
        </w:r>
        <w:r w:rsidR="00FB0EF2">
          <w:rPr>
            <w:noProof/>
            <w:webHidden/>
          </w:rPr>
          <w:instrText xml:space="preserve"> PAGEREF _Toc12886555 \h </w:instrText>
        </w:r>
        <w:r w:rsidR="00FB0EF2">
          <w:rPr>
            <w:noProof/>
            <w:webHidden/>
          </w:rPr>
        </w:r>
        <w:r w:rsidR="00FB0EF2">
          <w:rPr>
            <w:noProof/>
            <w:webHidden/>
          </w:rPr>
          <w:fldChar w:fldCharType="separate"/>
        </w:r>
        <w:r w:rsidR="00FB0EF2">
          <w:rPr>
            <w:noProof/>
            <w:webHidden/>
          </w:rPr>
          <w:t>19</w:t>
        </w:r>
        <w:r w:rsidR="00FB0EF2">
          <w:rPr>
            <w:noProof/>
            <w:webHidden/>
          </w:rPr>
          <w:fldChar w:fldCharType="end"/>
        </w:r>
      </w:hyperlink>
    </w:p>
    <w:p w14:paraId="3A977B9F" w14:textId="77777777" w:rsidR="00FB0EF2" w:rsidRDefault="004B0F6A">
      <w:pPr>
        <w:pStyle w:val="TOC2"/>
        <w:rPr>
          <w:rFonts w:eastAsiaTheme="minorEastAsia" w:cstheme="minorBidi"/>
          <w:i w:val="0"/>
          <w:iCs w:val="0"/>
          <w:noProof/>
          <w:sz w:val="22"/>
          <w:szCs w:val="22"/>
          <w:lang w:val="en-AU"/>
        </w:rPr>
      </w:pPr>
      <w:hyperlink w:anchor="_Toc12886556" w:history="1">
        <w:r w:rsidR="00FB0EF2" w:rsidRPr="00230DEC">
          <w:rPr>
            <w:rStyle w:val="Hyperlink"/>
            <w:noProof/>
          </w:rPr>
          <w:t>4.5</w:t>
        </w:r>
        <w:r w:rsidR="00FB0EF2">
          <w:rPr>
            <w:rFonts w:eastAsiaTheme="minorEastAsia" w:cstheme="minorBidi"/>
            <w:i w:val="0"/>
            <w:iCs w:val="0"/>
            <w:noProof/>
            <w:sz w:val="22"/>
            <w:szCs w:val="22"/>
            <w:lang w:val="en-AU"/>
          </w:rPr>
          <w:tab/>
        </w:r>
        <w:r w:rsidR="00FB0EF2" w:rsidRPr="00230DEC">
          <w:rPr>
            <w:rStyle w:val="Hyperlink"/>
            <w:noProof/>
          </w:rPr>
          <w:t>Mycobacteria</w:t>
        </w:r>
        <w:r w:rsidR="00FB0EF2">
          <w:rPr>
            <w:noProof/>
            <w:webHidden/>
          </w:rPr>
          <w:tab/>
        </w:r>
        <w:r w:rsidR="00FB0EF2">
          <w:rPr>
            <w:noProof/>
            <w:webHidden/>
          </w:rPr>
          <w:fldChar w:fldCharType="begin"/>
        </w:r>
        <w:r w:rsidR="00FB0EF2">
          <w:rPr>
            <w:noProof/>
            <w:webHidden/>
          </w:rPr>
          <w:instrText xml:space="preserve"> PAGEREF _Toc12886556 \h </w:instrText>
        </w:r>
        <w:r w:rsidR="00FB0EF2">
          <w:rPr>
            <w:noProof/>
            <w:webHidden/>
          </w:rPr>
        </w:r>
        <w:r w:rsidR="00FB0EF2">
          <w:rPr>
            <w:noProof/>
            <w:webHidden/>
          </w:rPr>
          <w:fldChar w:fldCharType="separate"/>
        </w:r>
        <w:r w:rsidR="00FB0EF2">
          <w:rPr>
            <w:noProof/>
            <w:webHidden/>
          </w:rPr>
          <w:t>19</w:t>
        </w:r>
        <w:r w:rsidR="00FB0EF2">
          <w:rPr>
            <w:noProof/>
            <w:webHidden/>
          </w:rPr>
          <w:fldChar w:fldCharType="end"/>
        </w:r>
      </w:hyperlink>
    </w:p>
    <w:p w14:paraId="606E4C57" w14:textId="77777777" w:rsidR="00FB0EF2" w:rsidRDefault="004B0F6A">
      <w:pPr>
        <w:pStyle w:val="TOC3"/>
        <w:tabs>
          <w:tab w:val="left" w:pos="1474"/>
        </w:tabs>
        <w:rPr>
          <w:rFonts w:eastAsiaTheme="minorEastAsia" w:cstheme="minorBidi"/>
          <w:noProof/>
          <w:sz w:val="22"/>
          <w:szCs w:val="22"/>
          <w:lang w:val="en-AU"/>
        </w:rPr>
      </w:pPr>
      <w:hyperlink w:anchor="_Toc12886557" w:history="1">
        <w:r w:rsidR="00FB0EF2" w:rsidRPr="00230DEC">
          <w:rPr>
            <w:rStyle w:val="Hyperlink"/>
            <w:noProof/>
          </w:rPr>
          <w:t>4.5.1</w:t>
        </w:r>
        <w:r w:rsidR="00FB0EF2">
          <w:rPr>
            <w:rFonts w:eastAsiaTheme="minorEastAsia" w:cstheme="minorBidi"/>
            <w:noProof/>
            <w:sz w:val="22"/>
            <w:szCs w:val="22"/>
            <w:lang w:val="en-AU"/>
          </w:rPr>
          <w:tab/>
        </w:r>
        <w:r w:rsidR="00FB0EF2" w:rsidRPr="00230DEC">
          <w:rPr>
            <w:rStyle w:val="Hyperlink"/>
            <w:noProof/>
          </w:rPr>
          <w:t>Recommendation 5</w:t>
        </w:r>
        <w:r w:rsidR="00FB0EF2">
          <w:rPr>
            <w:noProof/>
            <w:webHidden/>
          </w:rPr>
          <w:tab/>
        </w:r>
        <w:r w:rsidR="00FB0EF2">
          <w:rPr>
            <w:noProof/>
            <w:webHidden/>
          </w:rPr>
          <w:fldChar w:fldCharType="begin"/>
        </w:r>
        <w:r w:rsidR="00FB0EF2">
          <w:rPr>
            <w:noProof/>
            <w:webHidden/>
          </w:rPr>
          <w:instrText xml:space="preserve"> PAGEREF _Toc12886557 \h </w:instrText>
        </w:r>
        <w:r w:rsidR="00FB0EF2">
          <w:rPr>
            <w:noProof/>
            <w:webHidden/>
          </w:rPr>
        </w:r>
        <w:r w:rsidR="00FB0EF2">
          <w:rPr>
            <w:noProof/>
            <w:webHidden/>
          </w:rPr>
          <w:fldChar w:fldCharType="separate"/>
        </w:r>
        <w:r w:rsidR="00FB0EF2">
          <w:rPr>
            <w:noProof/>
            <w:webHidden/>
          </w:rPr>
          <w:t>19</w:t>
        </w:r>
        <w:r w:rsidR="00FB0EF2">
          <w:rPr>
            <w:noProof/>
            <w:webHidden/>
          </w:rPr>
          <w:fldChar w:fldCharType="end"/>
        </w:r>
      </w:hyperlink>
    </w:p>
    <w:p w14:paraId="02738DAF" w14:textId="77777777" w:rsidR="00FB0EF2" w:rsidRDefault="004B0F6A">
      <w:pPr>
        <w:pStyle w:val="TOC3"/>
        <w:tabs>
          <w:tab w:val="left" w:pos="1474"/>
        </w:tabs>
        <w:rPr>
          <w:rFonts w:eastAsiaTheme="minorEastAsia" w:cstheme="minorBidi"/>
          <w:noProof/>
          <w:sz w:val="22"/>
          <w:szCs w:val="22"/>
          <w:lang w:val="en-AU"/>
        </w:rPr>
      </w:pPr>
      <w:hyperlink w:anchor="_Toc12886558" w:history="1">
        <w:r w:rsidR="00FB0EF2" w:rsidRPr="00230DEC">
          <w:rPr>
            <w:rStyle w:val="Hyperlink"/>
            <w:noProof/>
          </w:rPr>
          <w:t>4.5.2</w:t>
        </w:r>
        <w:r w:rsidR="00FB0EF2">
          <w:rPr>
            <w:rFonts w:eastAsiaTheme="minorEastAsia" w:cstheme="minorBidi"/>
            <w:noProof/>
            <w:sz w:val="22"/>
            <w:szCs w:val="22"/>
            <w:lang w:val="en-AU"/>
          </w:rPr>
          <w:tab/>
        </w:r>
        <w:r w:rsidR="00FB0EF2" w:rsidRPr="00230DEC">
          <w:rPr>
            <w:rStyle w:val="Hyperlink"/>
            <w:noProof/>
          </w:rPr>
          <w:t>Rationale 5</w:t>
        </w:r>
        <w:r w:rsidR="00FB0EF2">
          <w:rPr>
            <w:noProof/>
            <w:webHidden/>
          </w:rPr>
          <w:tab/>
        </w:r>
        <w:r w:rsidR="00FB0EF2">
          <w:rPr>
            <w:noProof/>
            <w:webHidden/>
          </w:rPr>
          <w:fldChar w:fldCharType="begin"/>
        </w:r>
        <w:r w:rsidR="00FB0EF2">
          <w:rPr>
            <w:noProof/>
            <w:webHidden/>
          </w:rPr>
          <w:instrText xml:space="preserve"> PAGEREF _Toc12886558 \h </w:instrText>
        </w:r>
        <w:r w:rsidR="00FB0EF2">
          <w:rPr>
            <w:noProof/>
            <w:webHidden/>
          </w:rPr>
        </w:r>
        <w:r w:rsidR="00FB0EF2">
          <w:rPr>
            <w:noProof/>
            <w:webHidden/>
          </w:rPr>
          <w:fldChar w:fldCharType="separate"/>
        </w:r>
        <w:r w:rsidR="00FB0EF2">
          <w:rPr>
            <w:noProof/>
            <w:webHidden/>
          </w:rPr>
          <w:t>20</w:t>
        </w:r>
        <w:r w:rsidR="00FB0EF2">
          <w:rPr>
            <w:noProof/>
            <w:webHidden/>
          </w:rPr>
          <w:fldChar w:fldCharType="end"/>
        </w:r>
      </w:hyperlink>
    </w:p>
    <w:p w14:paraId="260F3184" w14:textId="77777777" w:rsidR="00FB0EF2" w:rsidRDefault="004B0F6A">
      <w:pPr>
        <w:pStyle w:val="TOC3"/>
        <w:tabs>
          <w:tab w:val="left" w:pos="1474"/>
        </w:tabs>
        <w:rPr>
          <w:rFonts w:eastAsiaTheme="minorEastAsia" w:cstheme="minorBidi"/>
          <w:noProof/>
          <w:sz w:val="22"/>
          <w:szCs w:val="22"/>
          <w:lang w:val="en-AU"/>
        </w:rPr>
      </w:pPr>
      <w:hyperlink w:anchor="_Toc12886559" w:history="1">
        <w:r w:rsidR="00FB0EF2" w:rsidRPr="00230DEC">
          <w:rPr>
            <w:rStyle w:val="Hyperlink"/>
            <w:noProof/>
          </w:rPr>
          <w:t>4.5.3</w:t>
        </w:r>
        <w:r w:rsidR="00FB0EF2">
          <w:rPr>
            <w:rFonts w:eastAsiaTheme="minorEastAsia" w:cstheme="minorBidi"/>
            <w:noProof/>
            <w:sz w:val="22"/>
            <w:szCs w:val="22"/>
            <w:lang w:val="en-AU"/>
          </w:rPr>
          <w:tab/>
        </w:r>
        <w:r w:rsidR="00FB0EF2" w:rsidRPr="00230DEC">
          <w:rPr>
            <w:rStyle w:val="Hyperlink"/>
            <w:noProof/>
          </w:rPr>
          <w:t>Recommendation 5A (amendment) IGRA tests for latent tuberculosis</w:t>
        </w:r>
        <w:r w:rsidR="00FB0EF2">
          <w:rPr>
            <w:noProof/>
            <w:webHidden/>
          </w:rPr>
          <w:tab/>
        </w:r>
        <w:r w:rsidR="00FB0EF2">
          <w:rPr>
            <w:noProof/>
            <w:webHidden/>
          </w:rPr>
          <w:fldChar w:fldCharType="begin"/>
        </w:r>
        <w:r w:rsidR="00FB0EF2">
          <w:rPr>
            <w:noProof/>
            <w:webHidden/>
          </w:rPr>
          <w:instrText xml:space="preserve"> PAGEREF _Toc12886559 \h </w:instrText>
        </w:r>
        <w:r w:rsidR="00FB0EF2">
          <w:rPr>
            <w:noProof/>
            <w:webHidden/>
          </w:rPr>
        </w:r>
        <w:r w:rsidR="00FB0EF2">
          <w:rPr>
            <w:noProof/>
            <w:webHidden/>
          </w:rPr>
          <w:fldChar w:fldCharType="separate"/>
        </w:r>
        <w:r w:rsidR="00FB0EF2">
          <w:rPr>
            <w:noProof/>
            <w:webHidden/>
          </w:rPr>
          <w:t>20</w:t>
        </w:r>
        <w:r w:rsidR="00FB0EF2">
          <w:rPr>
            <w:noProof/>
            <w:webHidden/>
          </w:rPr>
          <w:fldChar w:fldCharType="end"/>
        </w:r>
      </w:hyperlink>
    </w:p>
    <w:p w14:paraId="2FEB5E9C" w14:textId="77777777" w:rsidR="00FB0EF2" w:rsidRDefault="004B0F6A">
      <w:pPr>
        <w:pStyle w:val="TOC2"/>
        <w:rPr>
          <w:rFonts w:eastAsiaTheme="minorEastAsia" w:cstheme="minorBidi"/>
          <w:i w:val="0"/>
          <w:iCs w:val="0"/>
          <w:noProof/>
          <w:sz w:val="22"/>
          <w:szCs w:val="22"/>
          <w:lang w:val="en-AU"/>
        </w:rPr>
      </w:pPr>
      <w:hyperlink w:anchor="_Toc12886560" w:history="1">
        <w:r w:rsidR="00FB0EF2" w:rsidRPr="00230DEC">
          <w:rPr>
            <w:rStyle w:val="Hyperlink"/>
            <w:noProof/>
          </w:rPr>
          <w:t>4.6</w:t>
        </w:r>
        <w:r w:rsidR="00FB0EF2">
          <w:rPr>
            <w:rFonts w:eastAsiaTheme="minorEastAsia" w:cstheme="minorBidi"/>
            <w:i w:val="0"/>
            <w:iCs w:val="0"/>
            <w:noProof/>
            <w:sz w:val="22"/>
            <w:szCs w:val="22"/>
            <w:lang w:val="en-AU"/>
          </w:rPr>
          <w:tab/>
        </w:r>
        <w:r w:rsidR="00FB0EF2" w:rsidRPr="00230DEC">
          <w:rPr>
            <w:rStyle w:val="Hyperlink"/>
            <w:noProof/>
          </w:rPr>
          <w:t>Skin and superficial sites</w:t>
        </w:r>
        <w:r w:rsidR="00FB0EF2">
          <w:rPr>
            <w:noProof/>
            <w:webHidden/>
          </w:rPr>
          <w:tab/>
        </w:r>
        <w:r w:rsidR="00FB0EF2">
          <w:rPr>
            <w:noProof/>
            <w:webHidden/>
          </w:rPr>
          <w:fldChar w:fldCharType="begin"/>
        </w:r>
        <w:r w:rsidR="00FB0EF2">
          <w:rPr>
            <w:noProof/>
            <w:webHidden/>
          </w:rPr>
          <w:instrText xml:space="preserve"> PAGEREF _Toc12886560 \h </w:instrText>
        </w:r>
        <w:r w:rsidR="00FB0EF2">
          <w:rPr>
            <w:noProof/>
            <w:webHidden/>
          </w:rPr>
        </w:r>
        <w:r w:rsidR="00FB0EF2">
          <w:rPr>
            <w:noProof/>
            <w:webHidden/>
          </w:rPr>
          <w:fldChar w:fldCharType="separate"/>
        </w:r>
        <w:r w:rsidR="00FB0EF2">
          <w:rPr>
            <w:noProof/>
            <w:webHidden/>
          </w:rPr>
          <w:t>21</w:t>
        </w:r>
        <w:r w:rsidR="00FB0EF2">
          <w:rPr>
            <w:noProof/>
            <w:webHidden/>
          </w:rPr>
          <w:fldChar w:fldCharType="end"/>
        </w:r>
      </w:hyperlink>
    </w:p>
    <w:p w14:paraId="7399665A" w14:textId="77777777" w:rsidR="00FB0EF2" w:rsidRDefault="004B0F6A">
      <w:pPr>
        <w:pStyle w:val="TOC3"/>
        <w:tabs>
          <w:tab w:val="left" w:pos="1474"/>
        </w:tabs>
        <w:rPr>
          <w:rFonts w:eastAsiaTheme="minorEastAsia" w:cstheme="minorBidi"/>
          <w:noProof/>
          <w:sz w:val="22"/>
          <w:szCs w:val="22"/>
          <w:lang w:val="en-AU"/>
        </w:rPr>
      </w:pPr>
      <w:hyperlink w:anchor="_Toc12886561" w:history="1">
        <w:r w:rsidR="00FB0EF2" w:rsidRPr="00230DEC">
          <w:rPr>
            <w:rStyle w:val="Hyperlink"/>
            <w:noProof/>
          </w:rPr>
          <w:t>4.6.1</w:t>
        </w:r>
        <w:r w:rsidR="00FB0EF2">
          <w:rPr>
            <w:rFonts w:eastAsiaTheme="minorEastAsia" w:cstheme="minorBidi"/>
            <w:noProof/>
            <w:sz w:val="22"/>
            <w:szCs w:val="22"/>
            <w:lang w:val="en-AU"/>
          </w:rPr>
          <w:tab/>
        </w:r>
        <w:r w:rsidR="00FB0EF2" w:rsidRPr="00230DEC">
          <w:rPr>
            <w:rStyle w:val="Hyperlink"/>
            <w:noProof/>
          </w:rPr>
          <w:t>Recommendation 6</w:t>
        </w:r>
        <w:r w:rsidR="00FB0EF2">
          <w:rPr>
            <w:noProof/>
            <w:webHidden/>
          </w:rPr>
          <w:tab/>
        </w:r>
        <w:r w:rsidR="00FB0EF2">
          <w:rPr>
            <w:noProof/>
            <w:webHidden/>
          </w:rPr>
          <w:fldChar w:fldCharType="begin"/>
        </w:r>
        <w:r w:rsidR="00FB0EF2">
          <w:rPr>
            <w:noProof/>
            <w:webHidden/>
          </w:rPr>
          <w:instrText xml:space="preserve"> PAGEREF _Toc12886561 \h </w:instrText>
        </w:r>
        <w:r w:rsidR="00FB0EF2">
          <w:rPr>
            <w:noProof/>
            <w:webHidden/>
          </w:rPr>
        </w:r>
        <w:r w:rsidR="00FB0EF2">
          <w:rPr>
            <w:noProof/>
            <w:webHidden/>
          </w:rPr>
          <w:fldChar w:fldCharType="separate"/>
        </w:r>
        <w:r w:rsidR="00FB0EF2">
          <w:rPr>
            <w:noProof/>
            <w:webHidden/>
          </w:rPr>
          <w:t>21</w:t>
        </w:r>
        <w:r w:rsidR="00FB0EF2">
          <w:rPr>
            <w:noProof/>
            <w:webHidden/>
          </w:rPr>
          <w:fldChar w:fldCharType="end"/>
        </w:r>
      </w:hyperlink>
    </w:p>
    <w:p w14:paraId="5EF8892C" w14:textId="77777777" w:rsidR="00FB0EF2" w:rsidRDefault="004B0F6A">
      <w:pPr>
        <w:pStyle w:val="TOC3"/>
        <w:tabs>
          <w:tab w:val="left" w:pos="1474"/>
        </w:tabs>
        <w:rPr>
          <w:rFonts w:eastAsiaTheme="minorEastAsia" w:cstheme="minorBidi"/>
          <w:noProof/>
          <w:sz w:val="22"/>
          <w:szCs w:val="22"/>
          <w:lang w:val="en-AU"/>
        </w:rPr>
      </w:pPr>
      <w:hyperlink w:anchor="_Toc12886562" w:history="1">
        <w:r w:rsidR="00FB0EF2" w:rsidRPr="00230DEC">
          <w:rPr>
            <w:rStyle w:val="Hyperlink"/>
            <w:noProof/>
          </w:rPr>
          <w:t>4.6.2</w:t>
        </w:r>
        <w:r w:rsidR="00FB0EF2">
          <w:rPr>
            <w:rFonts w:eastAsiaTheme="minorEastAsia" w:cstheme="minorBidi"/>
            <w:noProof/>
            <w:sz w:val="22"/>
            <w:szCs w:val="22"/>
            <w:lang w:val="en-AU"/>
          </w:rPr>
          <w:tab/>
        </w:r>
        <w:r w:rsidR="00FB0EF2" w:rsidRPr="00230DEC">
          <w:rPr>
            <w:rStyle w:val="Hyperlink"/>
            <w:noProof/>
          </w:rPr>
          <w:t>Rationale 6</w:t>
        </w:r>
        <w:r w:rsidR="00FB0EF2">
          <w:rPr>
            <w:noProof/>
            <w:webHidden/>
          </w:rPr>
          <w:tab/>
        </w:r>
        <w:r w:rsidR="00FB0EF2">
          <w:rPr>
            <w:noProof/>
            <w:webHidden/>
          </w:rPr>
          <w:fldChar w:fldCharType="begin"/>
        </w:r>
        <w:r w:rsidR="00FB0EF2">
          <w:rPr>
            <w:noProof/>
            <w:webHidden/>
          </w:rPr>
          <w:instrText xml:space="preserve"> PAGEREF _Toc12886562 \h </w:instrText>
        </w:r>
        <w:r w:rsidR="00FB0EF2">
          <w:rPr>
            <w:noProof/>
            <w:webHidden/>
          </w:rPr>
        </w:r>
        <w:r w:rsidR="00FB0EF2">
          <w:rPr>
            <w:noProof/>
            <w:webHidden/>
          </w:rPr>
          <w:fldChar w:fldCharType="separate"/>
        </w:r>
        <w:r w:rsidR="00FB0EF2">
          <w:rPr>
            <w:noProof/>
            <w:webHidden/>
          </w:rPr>
          <w:t>21</w:t>
        </w:r>
        <w:r w:rsidR="00FB0EF2">
          <w:rPr>
            <w:noProof/>
            <w:webHidden/>
          </w:rPr>
          <w:fldChar w:fldCharType="end"/>
        </w:r>
      </w:hyperlink>
    </w:p>
    <w:p w14:paraId="7FB34E33" w14:textId="77777777" w:rsidR="00FB0EF2" w:rsidRDefault="004B0F6A">
      <w:pPr>
        <w:pStyle w:val="TOC2"/>
        <w:rPr>
          <w:rFonts w:eastAsiaTheme="minorEastAsia" w:cstheme="minorBidi"/>
          <w:i w:val="0"/>
          <w:iCs w:val="0"/>
          <w:noProof/>
          <w:sz w:val="22"/>
          <w:szCs w:val="22"/>
          <w:lang w:val="en-AU"/>
        </w:rPr>
      </w:pPr>
      <w:hyperlink w:anchor="_Toc12886563" w:history="1">
        <w:r w:rsidR="00FB0EF2" w:rsidRPr="00230DEC">
          <w:rPr>
            <w:rStyle w:val="Hyperlink"/>
            <w:noProof/>
          </w:rPr>
          <w:t>4.7</w:t>
        </w:r>
        <w:r w:rsidR="00FB0EF2">
          <w:rPr>
            <w:rFonts w:eastAsiaTheme="minorEastAsia" w:cstheme="minorBidi"/>
            <w:i w:val="0"/>
            <w:iCs w:val="0"/>
            <w:noProof/>
            <w:sz w:val="22"/>
            <w:szCs w:val="22"/>
            <w:lang w:val="en-AU"/>
          </w:rPr>
          <w:tab/>
        </w:r>
        <w:r w:rsidR="00FB0EF2" w:rsidRPr="00230DEC">
          <w:rPr>
            <w:rStyle w:val="Hyperlink"/>
            <w:noProof/>
          </w:rPr>
          <w:t>NAAT for complicated hospital specimens or sterile sites</w:t>
        </w:r>
        <w:r w:rsidR="00FB0EF2">
          <w:rPr>
            <w:noProof/>
            <w:webHidden/>
          </w:rPr>
          <w:tab/>
        </w:r>
        <w:r w:rsidR="00FB0EF2">
          <w:rPr>
            <w:noProof/>
            <w:webHidden/>
          </w:rPr>
          <w:fldChar w:fldCharType="begin"/>
        </w:r>
        <w:r w:rsidR="00FB0EF2">
          <w:rPr>
            <w:noProof/>
            <w:webHidden/>
          </w:rPr>
          <w:instrText xml:space="preserve"> PAGEREF _Toc12886563 \h </w:instrText>
        </w:r>
        <w:r w:rsidR="00FB0EF2">
          <w:rPr>
            <w:noProof/>
            <w:webHidden/>
          </w:rPr>
        </w:r>
        <w:r w:rsidR="00FB0EF2">
          <w:rPr>
            <w:noProof/>
            <w:webHidden/>
          </w:rPr>
          <w:fldChar w:fldCharType="separate"/>
        </w:r>
        <w:r w:rsidR="00FB0EF2">
          <w:rPr>
            <w:noProof/>
            <w:webHidden/>
          </w:rPr>
          <w:t>21</w:t>
        </w:r>
        <w:r w:rsidR="00FB0EF2">
          <w:rPr>
            <w:noProof/>
            <w:webHidden/>
          </w:rPr>
          <w:fldChar w:fldCharType="end"/>
        </w:r>
      </w:hyperlink>
    </w:p>
    <w:p w14:paraId="1CCBE5FA" w14:textId="77777777" w:rsidR="00FB0EF2" w:rsidRDefault="004B0F6A">
      <w:pPr>
        <w:pStyle w:val="TOC3"/>
        <w:tabs>
          <w:tab w:val="left" w:pos="1474"/>
        </w:tabs>
        <w:rPr>
          <w:rFonts w:eastAsiaTheme="minorEastAsia" w:cstheme="minorBidi"/>
          <w:noProof/>
          <w:sz w:val="22"/>
          <w:szCs w:val="22"/>
          <w:lang w:val="en-AU"/>
        </w:rPr>
      </w:pPr>
      <w:hyperlink w:anchor="_Toc12886564" w:history="1">
        <w:r w:rsidR="00FB0EF2" w:rsidRPr="00230DEC">
          <w:rPr>
            <w:rStyle w:val="Hyperlink"/>
            <w:noProof/>
          </w:rPr>
          <w:t>4.7.1</w:t>
        </w:r>
        <w:r w:rsidR="00FB0EF2">
          <w:rPr>
            <w:rFonts w:eastAsiaTheme="minorEastAsia" w:cstheme="minorBidi"/>
            <w:noProof/>
            <w:sz w:val="22"/>
            <w:szCs w:val="22"/>
            <w:lang w:val="en-AU"/>
          </w:rPr>
          <w:tab/>
        </w:r>
        <w:r w:rsidR="00FB0EF2" w:rsidRPr="00230DEC">
          <w:rPr>
            <w:rStyle w:val="Hyperlink"/>
            <w:noProof/>
          </w:rPr>
          <w:t>Recommendation 7</w:t>
        </w:r>
        <w:r w:rsidR="00FB0EF2">
          <w:rPr>
            <w:noProof/>
            <w:webHidden/>
          </w:rPr>
          <w:tab/>
        </w:r>
        <w:r w:rsidR="00FB0EF2">
          <w:rPr>
            <w:noProof/>
            <w:webHidden/>
          </w:rPr>
          <w:fldChar w:fldCharType="begin"/>
        </w:r>
        <w:r w:rsidR="00FB0EF2">
          <w:rPr>
            <w:noProof/>
            <w:webHidden/>
          </w:rPr>
          <w:instrText xml:space="preserve"> PAGEREF _Toc12886564 \h </w:instrText>
        </w:r>
        <w:r w:rsidR="00FB0EF2">
          <w:rPr>
            <w:noProof/>
            <w:webHidden/>
          </w:rPr>
        </w:r>
        <w:r w:rsidR="00FB0EF2">
          <w:rPr>
            <w:noProof/>
            <w:webHidden/>
          </w:rPr>
          <w:fldChar w:fldCharType="separate"/>
        </w:r>
        <w:r w:rsidR="00FB0EF2">
          <w:rPr>
            <w:noProof/>
            <w:webHidden/>
          </w:rPr>
          <w:t>21</w:t>
        </w:r>
        <w:r w:rsidR="00FB0EF2">
          <w:rPr>
            <w:noProof/>
            <w:webHidden/>
          </w:rPr>
          <w:fldChar w:fldCharType="end"/>
        </w:r>
      </w:hyperlink>
    </w:p>
    <w:p w14:paraId="55426D94" w14:textId="77777777" w:rsidR="00FB0EF2" w:rsidRDefault="004B0F6A">
      <w:pPr>
        <w:pStyle w:val="TOC3"/>
        <w:tabs>
          <w:tab w:val="left" w:pos="1474"/>
        </w:tabs>
        <w:rPr>
          <w:rFonts w:eastAsiaTheme="minorEastAsia" w:cstheme="minorBidi"/>
          <w:noProof/>
          <w:sz w:val="22"/>
          <w:szCs w:val="22"/>
          <w:lang w:val="en-AU"/>
        </w:rPr>
      </w:pPr>
      <w:hyperlink w:anchor="_Toc12886565" w:history="1">
        <w:r w:rsidR="00FB0EF2" w:rsidRPr="00230DEC">
          <w:rPr>
            <w:rStyle w:val="Hyperlink"/>
            <w:noProof/>
          </w:rPr>
          <w:t>4.7.2</w:t>
        </w:r>
        <w:r w:rsidR="00FB0EF2">
          <w:rPr>
            <w:rFonts w:eastAsiaTheme="minorEastAsia" w:cstheme="minorBidi"/>
            <w:noProof/>
            <w:sz w:val="22"/>
            <w:szCs w:val="22"/>
            <w:lang w:val="en-AU"/>
          </w:rPr>
          <w:tab/>
        </w:r>
        <w:r w:rsidR="00FB0EF2" w:rsidRPr="00230DEC">
          <w:rPr>
            <w:rStyle w:val="Hyperlink"/>
            <w:noProof/>
          </w:rPr>
          <w:t>Rationale 7</w:t>
        </w:r>
        <w:r w:rsidR="00FB0EF2">
          <w:rPr>
            <w:noProof/>
            <w:webHidden/>
          </w:rPr>
          <w:tab/>
        </w:r>
        <w:r w:rsidR="00FB0EF2">
          <w:rPr>
            <w:noProof/>
            <w:webHidden/>
          </w:rPr>
          <w:fldChar w:fldCharType="begin"/>
        </w:r>
        <w:r w:rsidR="00FB0EF2">
          <w:rPr>
            <w:noProof/>
            <w:webHidden/>
          </w:rPr>
          <w:instrText xml:space="preserve"> PAGEREF _Toc12886565 \h </w:instrText>
        </w:r>
        <w:r w:rsidR="00FB0EF2">
          <w:rPr>
            <w:noProof/>
            <w:webHidden/>
          </w:rPr>
        </w:r>
        <w:r w:rsidR="00FB0EF2">
          <w:rPr>
            <w:noProof/>
            <w:webHidden/>
          </w:rPr>
          <w:fldChar w:fldCharType="separate"/>
        </w:r>
        <w:r w:rsidR="00FB0EF2">
          <w:rPr>
            <w:noProof/>
            <w:webHidden/>
          </w:rPr>
          <w:t>22</w:t>
        </w:r>
        <w:r w:rsidR="00FB0EF2">
          <w:rPr>
            <w:noProof/>
            <w:webHidden/>
          </w:rPr>
          <w:fldChar w:fldCharType="end"/>
        </w:r>
      </w:hyperlink>
    </w:p>
    <w:p w14:paraId="7072A4B9" w14:textId="77777777" w:rsidR="00FB0EF2" w:rsidRDefault="004B0F6A">
      <w:pPr>
        <w:pStyle w:val="TOC2"/>
        <w:rPr>
          <w:rFonts w:eastAsiaTheme="minorEastAsia" w:cstheme="minorBidi"/>
          <w:i w:val="0"/>
          <w:iCs w:val="0"/>
          <w:noProof/>
          <w:sz w:val="22"/>
          <w:szCs w:val="22"/>
          <w:lang w:val="en-AU"/>
        </w:rPr>
      </w:pPr>
      <w:hyperlink w:anchor="_Toc12886566" w:history="1">
        <w:r w:rsidR="00FB0EF2" w:rsidRPr="00230DEC">
          <w:rPr>
            <w:rStyle w:val="Hyperlink"/>
            <w:noProof/>
          </w:rPr>
          <w:t>4.8</w:t>
        </w:r>
        <w:r w:rsidR="00FB0EF2">
          <w:rPr>
            <w:rFonts w:eastAsiaTheme="minorEastAsia" w:cstheme="minorBidi"/>
            <w:i w:val="0"/>
            <w:iCs w:val="0"/>
            <w:noProof/>
            <w:sz w:val="22"/>
            <w:szCs w:val="22"/>
            <w:lang w:val="en-AU"/>
          </w:rPr>
          <w:tab/>
        </w:r>
        <w:r w:rsidR="00FB0EF2" w:rsidRPr="00230DEC">
          <w:rPr>
            <w:rStyle w:val="Hyperlink"/>
            <w:noProof/>
          </w:rPr>
          <w:t>Miscellaneous NAAT testing for organisms not specified elsewhere</w:t>
        </w:r>
        <w:r w:rsidR="00FB0EF2">
          <w:rPr>
            <w:noProof/>
            <w:webHidden/>
          </w:rPr>
          <w:tab/>
        </w:r>
        <w:r w:rsidR="00FB0EF2">
          <w:rPr>
            <w:noProof/>
            <w:webHidden/>
          </w:rPr>
          <w:fldChar w:fldCharType="begin"/>
        </w:r>
        <w:r w:rsidR="00FB0EF2">
          <w:rPr>
            <w:noProof/>
            <w:webHidden/>
          </w:rPr>
          <w:instrText xml:space="preserve"> PAGEREF _Toc12886566 \h </w:instrText>
        </w:r>
        <w:r w:rsidR="00FB0EF2">
          <w:rPr>
            <w:noProof/>
            <w:webHidden/>
          </w:rPr>
        </w:r>
        <w:r w:rsidR="00FB0EF2">
          <w:rPr>
            <w:noProof/>
            <w:webHidden/>
          </w:rPr>
          <w:fldChar w:fldCharType="separate"/>
        </w:r>
        <w:r w:rsidR="00FB0EF2">
          <w:rPr>
            <w:noProof/>
            <w:webHidden/>
          </w:rPr>
          <w:t>22</w:t>
        </w:r>
        <w:r w:rsidR="00FB0EF2">
          <w:rPr>
            <w:noProof/>
            <w:webHidden/>
          </w:rPr>
          <w:fldChar w:fldCharType="end"/>
        </w:r>
      </w:hyperlink>
    </w:p>
    <w:p w14:paraId="792644DD" w14:textId="77777777" w:rsidR="00FB0EF2" w:rsidRDefault="004B0F6A">
      <w:pPr>
        <w:pStyle w:val="TOC3"/>
        <w:tabs>
          <w:tab w:val="left" w:pos="1474"/>
        </w:tabs>
        <w:rPr>
          <w:rFonts w:eastAsiaTheme="minorEastAsia" w:cstheme="minorBidi"/>
          <w:noProof/>
          <w:sz w:val="22"/>
          <w:szCs w:val="22"/>
          <w:lang w:val="en-AU"/>
        </w:rPr>
      </w:pPr>
      <w:hyperlink w:anchor="_Toc12886567" w:history="1">
        <w:r w:rsidR="00FB0EF2" w:rsidRPr="00230DEC">
          <w:rPr>
            <w:rStyle w:val="Hyperlink"/>
            <w:noProof/>
          </w:rPr>
          <w:t>4.8.1</w:t>
        </w:r>
        <w:r w:rsidR="00FB0EF2">
          <w:rPr>
            <w:rFonts w:eastAsiaTheme="minorEastAsia" w:cstheme="minorBidi"/>
            <w:noProof/>
            <w:sz w:val="22"/>
            <w:szCs w:val="22"/>
            <w:lang w:val="en-AU"/>
          </w:rPr>
          <w:tab/>
        </w:r>
        <w:r w:rsidR="00FB0EF2" w:rsidRPr="00230DEC">
          <w:rPr>
            <w:rStyle w:val="Hyperlink"/>
            <w:noProof/>
          </w:rPr>
          <w:t>Recommendation 8</w:t>
        </w:r>
        <w:r w:rsidR="00FB0EF2">
          <w:rPr>
            <w:noProof/>
            <w:webHidden/>
          </w:rPr>
          <w:tab/>
        </w:r>
        <w:r w:rsidR="00FB0EF2">
          <w:rPr>
            <w:noProof/>
            <w:webHidden/>
          </w:rPr>
          <w:fldChar w:fldCharType="begin"/>
        </w:r>
        <w:r w:rsidR="00FB0EF2">
          <w:rPr>
            <w:noProof/>
            <w:webHidden/>
          </w:rPr>
          <w:instrText xml:space="preserve"> PAGEREF _Toc12886567 \h </w:instrText>
        </w:r>
        <w:r w:rsidR="00FB0EF2">
          <w:rPr>
            <w:noProof/>
            <w:webHidden/>
          </w:rPr>
        </w:r>
        <w:r w:rsidR="00FB0EF2">
          <w:rPr>
            <w:noProof/>
            <w:webHidden/>
          </w:rPr>
          <w:fldChar w:fldCharType="separate"/>
        </w:r>
        <w:r w:rsidR="00FB0EF2">
          <w:rPr>
            <w:noProof/>
            <w:webHidden/>
          </w:rPr>
          <w:t>22</w:t>
        </w:r>
        <w:r w:rsidR="00FB0EF2">
          <w:rPr>
            <w:noProof/>
            <w:webHidden/>
          </w:rPr>
          <w:fldChar w:fldCharType="end"/>
        </w:r>
      </w:hyperlink>
    </w:p>
    <w:p w14:paraId="4C2CD5A2" w14:textId="77777777" w:rsidR="00FB0EF2" w:rsidRDefault="004B0F6A">
      <w:pPr>
        <w:pStyle w:val="TOC3"/>
        <w:tabs>
          <w:tab w:val="left" w:pos="1474"/>
        </w:tabs>
        <w:rPr>
          <w:rFonts w:eastAsiaTheme="minorEastAsia" w:cstheme="minorBidi"/>
          <w:noProof/>
          <w:sz w:val="22"/>
          <w:szCs w:val="22"/>
          <w:lang w:val="en-AU"/>
        </w:rPr>
      </w:pPr>
      <w:hyperlink w:anchor="_Toc12886568" w:history="1">
        <w:r w:rsidR="00FB0EF2" w:rsidRPr="00230DEC">
          <w:rPr>
            <w:rStyle w:val="Hyperlink"/>
            <w:noProof/>
          </w:rPr>
          <w:t>4.8.2</w:t>
        </w:r>
        <w:r w:rsidR="00FB0EF2">
          <w:rPr>
            <w:rFonts w:eastAsiaTheme="minorEastAsia" w:cstheme="minorBidi"/>
            <w:noProof/>
            <w:sz w:val="22"/>
            <w:szCs w:val="22"/>
            <w:lang w:val="en-AU"/>
          </w:rPr>
          <w:tab/>
        </w:r>
        <w:r w:rsidR="00FB0EF2" w:rsidRPr="00230DEC">
          <w:rPr>
            <w:rStyle w:val="Hyperlink"/>
            <w:noProof/>
          </w:rPr>
          <w:t>Rationale 8</w:t>
        </w:r>
        <w:r w:rsidR="00FB0EF2">
          <w:rPr>
            <w:noProof/>
            <w:webHidden/>
          </w:rPr>
          <w:tab/>
        </w:r>
        <w:r w:rsidR="00FB0EF2">
          <w:rPr>
            <w:noProof/>
            <w:webHidden/>
          </w:rPr>
          <w:fldChar w:fldCharType="begin"/>
        </w:r>
        <w:r w:rsidR="00FB0EF2">
          <w:rPr>
            <w:noProof/>
            <w:webHidden/>
          </w:rPr>
          <w:instrText xml:space="preserve"> PAGEREF _Toc12886568 \h </w:instrText>
        </w:r>
        <w:r w:rsidR="00FB0EF2">
          <w:rPr>
            <w:noProof/>
            <w:webHidden/>
          </w:rPr>
        </w:r>
        <w:r w:rsidR="00FB0EF2">
          <w:rPr>
            <w:noProof/>
            <w:webHidden/>
          </w:rPr>
          <w:fldChar w:fldCharType="separate"/>
        </w:r>
        <w:r w:rsidR="00FB0EF2">
          <w:rPr>
            <w:noProof/>
            <w:webHidden/>
          </w:rPr>
          <w:t>22</w:t>
        </w:r>
        <w:r w:rsidR="00FB0EF2">
          <w:rPr>
            <w:noProof/>
            <w:webHidden/>
          </w:rPr>
          <w:fldChar w:fldCharType="end"/>
        </w:r>
      </w:hyperlink>
    </w:p>
    <w:p w14:paraId="6F0C91B9" w14:textId="77777777" w:rsidR="00FB0EF2" w:rsidRDefault="004B0F6A">
      <w:pPr>
        <w:pStyle w:val="TOC2"/>
        <w:rPr>
          <w:rFonts w:eastAsiaTheme="minorEastAsia" w:cstheme="minorBidi"/>
          <w:i w:val="0"/>
          <w:iCs w:val="0"/>
          <w:noProof/>
          <w:sz w:val="22"/>
          <w:szCs w:val="22"/>
          <w:lang w:val="en-AU"/>
        </w:rPr>
      </w:pPr>
      <w:hyperlink w:anchor="_Toc12886569" w:history="1">
        <w:r w:rsidR="00FB0EF2" w:rsidRPr="00230DEC">
          <w:rPr>
            <w:rStyle w:val="Hyperlink"/>
            <w:noProof/>
          </w:rPr>
          <w:t>4.9</w:t>
        </w:r>
        <w:r w:rsidR="00FB0EF2">
          <w:rPr>
            <w:rFonts w:eastAsiaTheme="minorEastAsia" w:cstheme="minorBidi"/>
            <w:i w:val="0"/>
            <w:iCs w:val="0"/>
            <w:noProof/>
            <w:sz w:val="22"/>
            <w:szCs w:val="22"/>
            <w:lang w:val="en-AU"/>
          </w:rPr>
          <w:tab/>
        </w:r>
        <w:r w:rsidR="00FB0EF2" w:rsidRPr="00230DEC">
          <w:rPr>
            <w:rStyle w:val="Hyperlink"/>
            <w:noProof/>
          </w:rPr>
          <w:t>Hepatitis serology</w:t>
        </w:r>
        <w:r w:rsidR="00FB0EF2">
          <w:rPr>
            <w:noProof/>
            <w:webHidden/>
          </w:rPr>
          <w:tab/>
        </w:r>
        <w:r w:rsidR="00FB0EF2">
          <w:rPr>
            <w:noProof/>
            <w:webHidden/>
          </w:rPr>
          <w:fldChar w:fldCharType="begin"/>
        </w:r>
        <w:r w:rsidR="00FB0EF2">
          <w:rPr>
            <w:noProof/>
            <w:webHidden/>
          </w:rPr>
          <w:instrText xml:space="preserve"> PAGEREF _Toc12886569 \h </w:instrText>
        </w:r>
        <w:r w:rsidR="00FB0EF2">
          <w:rPr>
            <w:noProof/>
            <w:webHidden/>
          </w:rPr>
        </w:r>
        <w:r w:rsidR="00FB0EF2">
          <w:rPr>
            <w:noProof/>
            <w:webHidden/>
          </w:rPr>
          <w:fldChar w:fldCharType="separate"/>
        </w:r>
        <w:r w:rsidR="00FB0EF2">
          <w:rPr>
            <w:noProof/>
            <w:webHidden/>
          </w:rPr>
          <w:t>23</w:t>
        </w:r>
        <w:r w:rsidR="00FB0EF2">
          <w:rPr>
            <w:noProof/>
            <w:webHidden/>
          </w:rPr>
          <w:fldChar w:fldCharType="end"/>
        </w:r>
      </w:hyperlink>
    </w:p>
    <w:p w14:paraId="503F594C" w14:textId="77777777" w:rsidR="00FB0EF2" w:rsidRDefault="004B0F6A">
      <w:pPr>
        <w:pStyle w:val="TOC3"/>
        <w:tabs>
          <w:tab w:val="left" w:pos="1474"/>
        </w:tabs>
        <w:rPr>
          <w:rFonts w:eastAsiaTheme="minorEastAsia" w:cstheme="minorBidi"/>
          <w:noProof/>
          <w:sz w:val="22"/>
          <w:szCs w:val="22"/>
          <w:lang w:val="en-AU"/>
        </w:rPr>
      </w:pPr>
      <w:hyperlink w:anchor="_Toc12886570" w:history="1">
        <w:r w:rsidR="00FB0EF2" w:rsidRPr="00230DEC">
          <w:rPr>
            <w:rStyle w:val="Hyperlink"/>
            <w:noProof/>
          </w:rPr>
          <w:t>4.9.1</w:t>
        </w:r>
        <w:r w:rsidR="00FB0EF2">
          <w:rPr>
            <w:rFonts w:eastAsiaTheme="minorEastAsia" w:cstheme="minorBidi"/>
            <w:noProof/>
            <w:sz w:val="22"/>
            <w:szCs w:val="22"/>
            <w:lang w:val="en-AU"/>
          </w:rPr>
          <w:tab/>
        </w:r>
        <w:r w:rsidR="00FB0EF2" w:rsidRPr="00230DEC">
          <w:rPr>
            <w:rStyle w:val="Hyperlink"/>
            <w:noProof/>
          </w:rPr>
          <w:t>Recommendation 9a —Ideal model</w:t>
        </w:r>
        <w:r w:rsidR="00FB0EF2">
          <w:rPr>
            <w:noProof/>
            <w:webHidden/>
          </w:rPr>
          <w:tab/>
        </w:r>
        <w:r w:rsidR="00FB0EF2">
          <w:rPr>
            <w:noProof/>
            <w:webHidden/>
          </w:rPr>
          <w:fldChar w:fldCharType="begin"/>
        </w:r>
        <w:r w:rsidR="00FB0EF2">
          <w:rPr>
            <w:noProof/>
            <w:webHidden/>
          </w:rPr>
          <w:instrText xml:space="preserve"> PAGEREF _Toc12886570 \h </w:instrText>
        </w:r>
        <w:r w:rsidR="00FB0EF2">
          <w:rPr>
            <w:noProof/>
            <w:webHidden/>
          </w:rPr>
        </w:r>
        <w:r w:rsidR="00FB0EF2">
          <w:rPr>
            <w:noProof/>
            <w:webHidden/>
          </w:rPr>
          <w:fldChar w:fldCharType="separate"/>
        </w:r>
        <w:r w:rsidR="00FB0EF2">
          <w:rPr>
            <w:noProof/>
            <w:webHidden/>
          </w:rPr>
          <w:t>23</w:t>
        </w:r>
        <w:r w:rsidR="00FB0EF2">
          <w:rPr>
            <w:noProof/>
            <w:webHidden/>
          </w:rPr>
          <w:fldChar w:fldCharType="end"/>
        </w:r>
      </w:hyperlink>
    </w:p>
    <w:p w14:paraId="29519273" w14:textId="77777777" w:rsidR="00FB0EF2" w:rsidRDefault="004B0F6A">
      <w:pPr>
        <w:pStyle w:val="TOC3"/>
        <w:tabs>
          <w:tab w:val="left" w:pos="1474"/>
        </w:tabs>
        <w:rPr>
          <w:rFonts w:eastAsiaTheme="minorEastAsia" w:cstheme="minorBidi"/>
          <w:noProof/>
          <w:sz w:val="22"/>
          <w:szCs w:val="22"/>
          <w:lang w:val="en-AU"/>
        </w:rPr>
      </w:pPr>
      <w:hyperlink w:anchor="_Toc12886571" w:history="1">
        <w:r w:rsidR="00FB0EF2" w:rsidRPr="00230DEC">
          <w:rPr>
            <w:rStyle w:val="Hyperlink"/>
            <w:noProof/>
          </w:rPr>
          <w:t>4.9.2</w:t>
        </w:r>
        <w:r w:rsidR="00FB0EF2">
          <w:rPr>
            <w:rFonts w:eastAsiaTheme="minorEastAsia" w:cstheme="minorBidi"/>
            <w:noProof/>
            <w:sz w:val="22"/>
            <w:szCs w:val="22"/>
            <w:lang w:val="en-AU"/>
          </w:rPr>
          <w:tab/>
        </w:r>
        <w:r w:rsidR="00FB0EF2" w:rsidRPr="00230DEC">
          <w:rPr>
            <w:rStyle w:val="Hyperlink"/>
            <w:noProof/>
          </w:rPr>
          <w:t>Rationale 9a</w:t>
        </w:r>
        <w:r w:rsidR="00FB0EF2">
          <w:rPr>
            <w:noProof/>
            <w:webHidden/>
          </w:rPr>
          <w:tab/>
        </w:r>
        <w:r w:rsidR="00FB0EF2">
          <w:rPr>
            <w:noProof/>
            <w:webHidden/>
          </w:rPr>
          <w:fldChar w:fldCharType="begin"/>
        </w:r>
        <w:r w:rsidR="00FB0EF2">
          <w:rPr>
            <w:noProof/>
            <w:webHidden/>
          </w:rPr>
          <w:instrText xml:space="preserve"> PAGEREF _Toc12886571 \h </w:instrText>
        </w:r>
        <w:r w:rsidR="00FB0EF2">
          <w:rPr>
            <w:noProof/>
            <w:webHidden/>
          </w:rPr>
        </w:r>
        <w:r w:rsidR="00FB0EF2">
          <w:rPr>
            <w:noProof/>
            <w:webHidden/>
          </w:rPr>
          <w:fldChar w:fldCharType="separate"/>
        </w:r>
        <w:r w:rsidR="00FB0EF2">
          <w:rPr>
            <w:noProof/>
            <w:webHidden/>
          </w:rPr>
          <w:t>24</w:t>
        </w:r>
        <w:r w:rsidR="00FB0EF2">
          <w:rPr>
            <w:noProof/>
            <w:webHidden/>
          </w:rPr>
          <w:fldChar w:fldCharType="end"/>
        </w:r>
      </w:hyperlink>
    </w:p>
    <w:p w14:paraId="396C1773" w14:textId="77777777" w:rsidR="00FB0EF2" w:rsidRDefault="004B0F6A">
      <w:pPr>
        <w:pStyle w:val="TOC3"/>
        <w:tabs>
          <w:tab w:val="left" w:pos="1474"/>
        </w:tabs>
        <w:rPr>
          <w:rFonts w:eastAsiaTheme="minorEastAsia" w:cstheme="minorBidi"/>
          <w:noProof/>
          <w:sz w:val="22"/>
          <w:szCs w:val="22"/>
          <w:lang w:val="en-AU"/>
        </w:rPr>
      </w:pPr>
      <w:hyperlink w:anchor="_Toc12886572" w:history="1">
        <w:r w:rsidR="00FB0EF2" w:rsidRPr="00230DEC">
          <w:rPr>
            <w:rStyle w:val="Hyperlink"/>
            <w:noProof/>
          </w:rPr>
          <w:t>4.9.3</w:t>
        </w:r>
        <w:r w:rsidR="00FB0EF2">
          <w:rPr>
            <w:rFonts w:eastAsiaTheme="minorEastAsia" w:cstheme="minorBidi"/>
            <w:noProof/>
            <w:sz w:val="22"/>
            <w:szCs w:val="22"/>
            <w:lang w:val="en-AU"/>
          </w:rPr>
          <w:tab/>
        </w:r>
        <w:r w:rsidR="00FB0EF2" w:rsidRPr="00230DEC">
          <w:rPr>
            <w:rStyle w:val="Hyperlink"/>
            <w:noProof/>
          </w:rPr>
          <w:t>Recommendation 9b—Interim model</w:t>
        </w:r>
        <w:r w:rsidR="00FB0EF2">
          <w:rPr>
            <w:noProof/>
            <w:webHidden/>
          </w:rPr>
          <w:tab/>
        </w:r>
        <w:r w:rsidR="00FB0EF2">
          <w:rPr>
            <w:noProof/>
            <w:webHidden/>
          </w:rPr>
          <w:fldChar w:fldCharType="begin"/>
        </w:r>
        <w:r w:rsidR="00FB0EF2">
          <w:rPr>
            <w:noProof/>
            <w:webHidden/>
          </w:rPr>
          <w:instrText xml:space="preserve"> PAGEREF _Toc12886572 \h </w:instrText>
        </w:r>
        <w:r w:rsidR="00FB0EF2">
          <w:rPr>
            <w:noProof/>
            <w:webHidden/>
          </w:rPr>
        </w:r>
        <w:r w:rsidR="00FB0EF2">
          <w:rPr>
            <w:noProof/>
            <w:webHidden/>
          </w:rPr>
          <w:fldChar w:fldCharType="separate"/>
        </w:r>
        <w:r w:rsidR="00FB0EF2">
          <w:rPr>
            <w:noProof/>
            <w:webHidden/>
          </w:rPr>
          <w:t>24</w:t>
        </w:r>
        <w:r w:rsidR="00FB0EF2">
          <w:rPr>
            <w:noProof/>
            <w:webHidden/>
          </w:rPr>
          <w:fldChar w:fldCharType="end"/>
        </w:r>
      </w:hyperlink>
    </w:p>
    <w:p w14:paraId="02CC702C" w14:textId="77777777" w:rsidR="00FB0EF2" w:rsidRDefault="004B0F6A">
      <w:pPr>
        <w:pStyle w:val="TOC3"/>
        <w:tabs>
          <w:tab w:val="left" w:pos="1474"/>
        </w:tabs>
        <w:rPr>
          <w:rFonts w:eastAsiaTheme="minorEastAsia" w:cstheme="minorBidi"/>
          <w:noProof/>
          <w:sz w:val="22"/>
          <w:szCs w:val="22"/>
          <w:lang w:val="en-AU"/>
        </w:rPr>
      </w:pPr>
      <w:hyperlink w:anchor="_Toc12886573" w:history="1">
        <w:r w:rsidR="00FB0EF2" w:rsidRPr="00230DEC">
          <w:rPr>
            <w:rStyle w:val="Hyperlink"/>
            <w:noProof/>
          </w:rPr>
          <w:t>4.9.4</w:t>
        </w:r>
        <w:r w:rsidR="00FB0EF2">
          <w:rPr>
            <w:rFonts w:eastAsiaTheme="minorEastAsia" w:cstheme="minorBidi"/>
            <w:noProof/>
            <w:sz w:val="22"/>
            <w:szCs w:val="22"/>
            <w:lang w:val="en-AU"/>
          </w:rPr>
          <w:tab/>
        </w:r>
        <w:r w:rsidR="00FB0EF2" w:rsidRPr="00230DEC">
          <w:rPr>
            <w:rStyle w:val="Hyperlink"/>
            <w:noProof/>
          </w:rPr>
          <w:t>Rationale 9b</w:t>
        </w:r>
        <w:r w:rsidR="00FB0EF2">
          <w:rPr>
            <w:noProof/>
            <w:webHidden/>
          </w:rPr>
          <w:tab/>
        </w:r>
        <w:r w:rsidR="00FB0EF2">
          <w:rPr>
            <w:noProof/>
            <w:webHidden/>
          </w:rPr>
          <w:fldChar w:fldCharType="begin"/>
        </w:r>
        <w:r w:rsidR="00FB0EF2">
          <w:rPr>
            <w:noProof/>
            <w:webHidden/>
          </w:rPr>
          <w:instrText xml:space="preserve"> PAGEREF _Toc12886573 \h </w:instrText>
        </w:r>
        <w:r w:rsidR="00FB0EF2">
          <w:rPr>
            <w:noProof/>
            <w:webHidden/>
          </w:rPr>
        </w:r>
        <w:r w:rsidR="00FB0EF2">
          <w:rPr>
            <w:noProof/>
            <w:webHidden/>
          </w:rPr>
          <w:fldChar w:fldCharType="separate"/>
        </w:r>
        <w:r w:rsidR="00FB0EF2">
          <w:rPr>
            <w:noProof/>
            <w:webHidden/>
          </w:rPr>
          <w:t>25</w:t>
        </w:r>
        <w:r w:rsidR="00FB0EF2">
          <w:rPr>
            <w:noProof/>
            <w:webHidden/>
          </w:rPr>
          <w:fldChar w:fldCharType="end"/>
        </w:r>
      </w:hyperlink>
    </w:p>
    <w:p w14:paraId="77F7EFD8" w14:textId="77777777" w:rsidR="00FB0EF2" w:rsidRDefault="004B0F6A">
      <w:pPr>
        <w:pStyle w:val="TOC2"/>
        <w:rPr>
          <w:rFonts w:eastAsiaTheme="minorEastAsia" w:cstheme="minorBidi"/>
          <w:i w:val="0"/>
          <w:iCs w:val="0"/>
          <w:noProof/>
          <w:sz w:val="22"/>
          <w:szCs w:val="22"/>
          <w:lang w:val="en-AU"/>
        </w:rPr>
      </w:pPr>
      <w:hyperlink w:anchor="_Toc12886574" w:history="1">
        <w:r w:rsidR="00FB0EF2" w:rsidRPr="00230DEC">
          <w:rPr>
            <w:rStyle w:val="Hyperlink"/>
            <w:noProof/>
          </w:rPr>
          <w:t>4.10</w:t>
        </w:r>
        <w:r w:rsidR="00FB0EF2">
          <w:rPr>
            <w:rFonts w:eastAsiaTheme="minorEastAsia" w:cstheme="minorBidi"/>
            <w:i w:val="0"/>
            <w:iCs w:val="0"/>
            <w:noProof/>
            <w:sz w:val="22"/>
            <w:szCs w:val="22"/>
            <w:lang w:val="en-AU"/>
          </w:rPr>
          <w:tab/>
        </w:r>
        <w:r w:rsidR="00FB0EF2" w:rsidRPr="00230DEC">
          <w:rPr>
            <w:rStyle w:val="Hyperlink"/>
            <w:noProof/>
          </w:rPr>
          <w:t>Serology items/EBV</w:t>
        </w:r>
        <w:r w:rsidR="00FB0EF2">
          <w:rPr>
            <w:noProof/>
            <w:webHidden/>
          </w:rPr>
          <w:tab/>
        </w:r>
        <w:r w:rsidR="00FB0EF2">
          <w:rPr>
            <w:noProof/>
            <w:webHidden/>
          </w:rPr>
          <w:fldChar w:fldCharType="begin"/>
        </w:r>
        <w:r w:rsidR="00FB0EF2">
          <w:rPr>
            <w:noProof/>
            <w:webHidden/>
          </w:rPr>
          <w:instrText xml:space="preserve"> PAGEREF _Toc12886574 \h </w:instrText>
        </w:r>
        <w:r w:rsidR="00FB0EF2">
          <w:rPr>
            <w:noProof/>
            <w:webHidden/>
          </w:rPr>
        </w:r>
        <w:r w:rsidR="00FB0EF2">
          <w:rPr>
            <w:noProof/>
            <w:webHidden/>
          </w:rPr>
          <w:fldChar w:fldCharType="separate"/>
        </w:r>
        <w:r w:rsidR="00FB0EF2">
          <w:rPr>
            <w:noProof/>
            <w:webHidden/>
          </w:rPr>
          <w:t>26</w:t>
        </w:r>
        <w:r w:rsidR="00FB0EF2">
          <w:rPr>
            <w:noProof/>
            <w:webHidden/>
          </w:rPr>
          <w:fldChar w:fldCharType="end"/>
        </w:r>
      </w:hyperlink>
    </w:p>
    <w:p w14:paraId="7DB92395" w14:textId="77777777" w:rsidR="00FB0EF2" w:rsidRDefault="004B0F6A">
      <w:pPr>
        <w:pStyle w:val="TOC3"/>
        <w:tabs>
          <w:tab w:val="left" w:pos="1540"/>
        </w:tabs>
        <w:rPr>
          <w:rFonts w:eastAsiaTheme="minorEastAsia" w:cstheme="minorBidi"/>
          <w:noProof/>
          <w:sz w:val="22"/>
          <w:szCs w:val="22"/>
          <w:lang w:val="en-AU"/>
        </w:rPr>
      </w:pPr>
      <w:hyperlink w:anchor="_Toc12886575" w:history="1">
        <w:r w:rsidR="00FB0EF2" w:rsidRPr="00230DEC">
          <w:rPr>
            <w:rStyle w:val="Hyperlink"/>
            <w:noProof/>
          </w:rPr>
          <w:t>4.10.1</w:t>
        </w:r>
        <w:r w:rsidR="00FB0EF2">
          <w:rPr>
            <w:rFonts w:eastAsiaTheme="minorEastAsia" w:cstheme="minorBidi"/>
            <w:noProof/>
            <w:sz w:val="22"/>
            <w:szCs w:val="22"/>
            <w:lang w:val="en-AU"/>
          </w:rPr>
          <w:tab/>
        </w:r>
        <w:r w:rsidR="00FB0EF2" w:rsidRPr="00230DEC">
          <w:rPr>
            <w:rStyle w:val="Hyperlink"/>
            <w:noProof/>
          </w:rPr>
          <w:t>Recommendation 10</w:t>
        </w:r>
        <w:r w:rsidR="00FB0EF2">
          <w:rPr>
            <w:noProof/>
            <w:webHidden/>
          </w:rPr>
          <w:tab/>
        </w:r>
        <w:r w:rsidR="00FB0EF2">
          <w:rPr>
            <w:noProof/>
            <w:webHidden/>
          </w:rPr>
          <w:fldChar w:fldCharType="begin"/>
        </w:r>
        <w:r w:rsidR="00FB0EF2">
          <w:rPr>
            <w:noProof/>
            <w:webHidden/>
          </w:rPr>
          <w:instrText xml:space="preserve"> PAGEREF _Toc12886575 \h </w:instrText>
        </w:r>
        <w:r w:rsidR="00FB0EF2">
          <w:rPr>
            <w:noProof/>
            <w:webHidden/>
          </w:rPr>
        </w:r>
        <w:r w:rsidR="00FB0EF2">
          <w:rPr>
            <w:noProof/>
            <w:webHidden/>
          </w:rPr>
          <w:fldChar w:fldCharType="separate"/>
        </w:r>
        <w:r w:rsidR="00FB0EF2">
          <w:rPr>
            <w:noProof/>
            <w:webHidden/>
          </w:rPr>
          <w:t>27</w:t>
        </w:r>
        <w:r w:rsidR="00FB0EF2">
          <w:rPr>
            <w:noProof/>
            <w:webHidden/>
          </w:rPr>
          <w:fldChar w:fldCharType="end"/>
        </w:r>
      </w:hyperlink>
    </w:p>
    <w:p w14:paraId="42971479" w14:textId="77777777" w:rsidR="00FB0EF2" w:rsidRDefault="004B0F6A">
      <w:pPr>
        <w:pStyle w:val="TOC3"/>
        <w:tabs>
          <w:tab w:val="left" w:pos="1540"/>
        </w:tabs>
        <w:rPr>
          <w:rFonts w:eastAsiaTheme="minorEastAsia" w:cstheme="minorBidi"/>
          <w:noProof/>
          <w:sz w:val="22"/>
          <w:szCs w:val="22"/>
          <w:lang w:val="en-AU"/>
        </w:rPr>
      </w:pPr>
      <w:hyperlink w:anchor="_Toc12886576" w:history="1">
        <w:r w:rsidR="00FB0EF2" w:rsidRPr="00230DEC">
          <w:rPr>
            <w:rStyle w:val="Hyperlink"/>
            <w:noProof/>
          </w:rPr>
          <w:t>4.10.2</w:t>
        </w:r>
        <w:r w:rsidR="00FB0EF2">
          <w:rPr>
            <w:rFonts w:eastAsiaTheme="minorEastAsia" w:cstheme="minorBidi"/>
            <w:noProof/>
            <w:sz w:val="22"/>
            <w:szCs w:val="22"/>
            <w:lang w:val="en-AU"/>
          </w:rPr>
          <w:tab/>
        </w:r>
        <w:r w:rsidR="00FB0EF2" w:rsidRPr="00230DEC">
          <w:rPr>
            <w:rStyle w:val="Hyperlink"/>
            <w:noProof/>
          </w:rPr>
          <w:t>Rationale 10</w:t>
        </w:r>
        <w:r w:rsidR="00FB0EF2">
          <w:rPr>
            <w:noProof/>
            <w:webHidden/>
          </w:rPr>
          <w:tab/>
        </w:r>
        <w:r w:rsidR="00FB0EF2">
          <w:rPr>
            <w:noProof/>
            <w:webHidden/>
          </w:rPr>
          <w:fldChar w:fldCharType="begin"/>
        </w:r>
        <w:r w:rsidR="00FB0EF2">
          <w:rPr>
            <w:noProof/>
            <w:webHidden/>
          </w:rPr>
          <w:instrText xml:space="preserve"> PAGEREF _Toc12886576 \h </w:instrText>
        </w:r>
        <w:r w:rsidR="00FB0EF2">
          <w:rPr>
            <w:noProof/>
            <w:webHidden/>
          </w:rPr>
        </w:r>
        <w:r w:rsidR="00FB0EF2">
          <w:rPr>
            <w:noProof/>
            <w:webHidden/>
          </w:rPr>
          <w:fldChar w:fldCharType="separate"/>
        </w:r>
        <w:r w:rsidR="00FB0EF2">
          <w:rPr>
            <w:noProof/>
            <w:webHidden/>
          </w:rPr>
          <w:t>28</w:t>
        </w:r>
        <w:r w:rsidR="00FB0EF2">
          <w:rPr>
            <w:noProof/>
            <w:webHidden/>
          </w:rPr>
          <w:fldChar w:fldCharType="end"/>
        </w:r>
      </w:hyperlink>
    </w:p>
    <w:p w14:paraId="38F93DD9" w14:textId="77777777" w:rsidR="00FB0EF2" w:rsidRDefault="004B0F6A">
      <w:pPr>
        <w:pStyle w:val="TOC2"/>
        <w:rPr>
          <w:rFonts w:eastAsiaTheme="minorEastAsia" w:cstheme="minorBidi"/>
          <w:i w:val="0"/>
          <w:iCs w:val="0"/>
          <w:noProof/>
          <w:sz w:val="22"/>
          <w:szCs w:val="22"/>
          <w:lang w:val="en-AU"/>
        </w:rPr>
      </w:pPr>
      <w:hyperlink w:anchor="_Toc12886577" w:history="1">
        <w:r w:rsidR="00FB0EF2" w:rsidRPr="00230DEC">
          <w:rPr>
            <w:rStyle w:val="Hyperlink"/>
            <w:noProof/>
          </w:rPr>
          <w:t>4.11</w:t>
        </w:r>
        <w:r w:rsidR="00FB0EF2">
          <w:rPr>
            <w:rFonts w:eastAsiaTheme="minorEastAsia" w:cstheme="minorBidi"/>
            <w:i w:val="0"/>
            <w:iCs w:val="0"/>
            <w:noProof/>
            <w:sz w:val="22"/>
            <w:szCs w:val="22"/>
            <w:lang w:val="en-AU"/>
          </w:rPr>
          <w:tab/>
        </w:r>
        <w:r w:rsidR="00FB0EF2" w:rsidRPr="00230DEC">
          <w:rPr>
            <w:rStyle w:val="Hyperlink"/>
            <w:noProof/>
          </w:rPr>
          <w:t>Site-specific culture and microscopy tests 69303, 69306, 69312 and 69318</w:t>
        </w:r>
        <w:r w:rsidR="00FB0EF2">
          <w:rPr>
            <w:noProof/>
            <w:webHidden/>
          </w:rPr>
          <w:tab/>
        </w:r>
        <w:r w:rsidR="00FB0EF2">
          <w:rPr>
            <w:noProof/>
            <w:webHidden/>
          </w:rPr>
          <w:fldChar w:fldCharType="begin"/>
        </w:r>
        <w:r w:rsidR="00FB0EF2">
          <w:rPr>
            <w:noProof/>
            <w:webHidden/>
          </w:rPr>
          <w:instrText xml:space="preserve"> PAGEREF _Toc12886577 \h </w:instrText>
        </w:r>
        <w:r w:rsidR="00FB0EF2">
          <w:rPr>
            <w:noProof/>
            <w:webHidden/>
          </w:rPr>
        </w:r>
        <w:r w:rsidR="00FB0EF2">
          <w:rPr>
            <w:noProof/>
            <w:webHidden/>
          </w:rPr>
          <w:fldChar w:fldCharType="separate"/>
        </w:r>
        <w:r w:rsidR="00FB0EF2">
          <w:rPr>
            <w:noProof/>
            <w:webHidden/>
          </w:rPr>
          <w:t>29</w:t>
        </w:r>
        <w:r w:rsidR="00FB0EF2">
          <w:rPr>
            <w:noProof/>
            <w:webHidden/>
          </w:rPr>
          <w:fldChar w:fldCharType="end"/>
        </w:r>
      </w:hyperlink>
    </w:p>
    <w:p w14:paraId="4CC68A25" w14:textId="77777777" w:rsidR="00FB0EF2" w:rsidRDefault="004B0F6A">
      <w:pPr>
        <w:pStyle w:val="TOC3"/>
        <w:tabs>
          <w:tab w:val="left" w:pos="1540"/>
        </w:tabs>
        <w:rPr>
          <w:rFonts w:eastAsiaTheme="minorEastAsia" w:cstheme="minorBidi"/>
          <w:noProof/>
          <w:sz w:val="22"/>
          <w:szCs w:val="22"/>
          <w:lang w:val="en-AU"/>
        </w:rPr>
      </w:pPr>
      <w:hyperlink w:anchor="_Toc12886578" w:history="1">
        <w:r w:rsidR="00FB0EF2" w:rsidRPr="00230DEC">
          <w:rPr>
            <w:rStyle w:val="Hyperlink"/>
            <w:noProof/>
          </w:rPr>
          <w:t>4.11.1</w:t>
        </w:r>
        <w:r w:rsidR="00FB0EF2">
          <w:rPr>
            <w:rFonts w:eastAsiaTheme="minorEastAsia" w:cstheme="minorBidi"/>
            <w:noProof/>
            <w:sz w:val="22"/>
            <w:szCs w:val="22"/>
            <w:lang w:val="en-AU"/>
          </w:rPr>
          <w:tab/>
        </w:r>
        <w:r w:rsidR="00FB0EF2" w:rsidRPr="00230DEC">
          <w:rPr>
            <w:rStyle w:val="Hyperlink"/>
            <w:noProof/>
          </w:rPr>
          <w:t>Recommendation 11</w:t>
        </w:r>
        <w:r w:rsidR="00FB0EF2">
          <w:rPr>
            <w:noProof/>
            <w:webHidden/>
          </w:rPr>
          <w:tab/>
        </w:r>
        <w:r w:rsidR="00FB0EF2">
          <w:rPr>
            <w:noProof/>
            <w:webHidden/>
          </w:rPr>
          <w:fldChar w:fldCharType="begin"/>
        </w:r>
        <w:r w:rsidR="00FB0EF2">
          <w:rPr>
            <w:noProof/>
            <w:webHidden/>
          </w:rPr>
          <w:instrText xml:space="preserve"> PAGEREF _Toc12886578 \h </w:instrText>
        </w:r>
        <w:r w:rsidR="00FB0EF2">
          <w:rPr>
            <w:noProof/>
            <w:webHidden/>
          </w:rPr>
        </w:r>
        <w:r w:rsidR="00FB0EF2">
          <w:rPr>
            <w:noProof/>
            <w:webHidden/>
          </w:rPr>
          <w:fldChar w:fldCharType="separate"/>
        </w:r>
        <w:r w:rsidR="00FB0EF2">
          <w:rPr>
            <w:noProof/>
            <w:webHidden/>
          </w:rPr>
          <w:t>30</w:t>
        </w:r>
        <w:r w:rsidR="00FB0EF2">
          <w:rPr>
            <w:noProof/>
            <w:webHidden/>
          </w:rPr>
          <w:fldChar w:fldCharType="end"/>
        </w:r>
      </w:hyperlink>
    </w:p>
    <w:p w14:paraId="77AE7EE3" w14:textId="77777777" w:rsidR="00FB0EF2" w:rsidRDefault="004B0F6A">
      <w:pPr>
        <w:pStyle w:val="TOC3"/>
        <w:tabs>
          <w:tab w:val="left" w:pos="1540"/>
        </w:tabs>
        <w:rPr>
          <w:rFonts w:eastAsiaTheme="minorEastAsia" w:cstheme="minorBidi"/>
          <w:noProof/>
          <w:sz w:val="22"/>
          <w:szCs w:val="22"/>
          <w:lang w:val="en-AU"/>
        </w:rPr>
      </w:pPr>
      <w:hyperlink w:anchor="_Toc12886579" w:history="1">
        <w:r w:rsidR="00FB0EF2" w:rsidRPr="00230DEC">
          <w:rPr>
            <w:rStyle w:val="Hyperlink"/>
            <w:noProof/>
          </w:rPr>
          <w:t>4.11.2</w:t>
        </w:r>
        <w:r w:rsidR="00FB0EF2">
          <w:rPr>
            <w:rFonts w:eastAsiaTheme="minorEastAsia" w:cstheme="minorBidi"/>
            <w:noProof/>
            <w:sz w:val="22"/>
            <w:szCs w:val="22"/>
            <w:lang w:val="en-AU"/>
          </w:rPr>
          <w:tab/>
        </w:r>
        <w:r w:rsidR="00FB0EF2" w:rsidRPr="00230DEC">
          <w:rPr>
            <w:rStyle w:val="Hyperlink"/>
            <w:noProof/>
          </w:rPr>
          <w:t>Rationale 11</w:t>
        </w:r>
        <w:r w:rsidR="00FB0EF2">
          <w:rPr>
            <w:noProof/>
            <w:webHidden/>
          </w:rPr>
          <w:tab/>
        </w:r>
        <w:r w:rsidR="00FB0EF2">
          <w:rPr>
            <w:noProof/>
            <w:webHidden/>
          </w:rPr>
          <w:fldChar w:fldCharType="begin"/>
        </w:r>
        <w:r w:rsidR="00FB0EF2">
          <w:rPr>
            <w:noProof/>
            <w:webHidden/>
          </w:rPr>
          <w:instrText xml:space="preserve"> PAGEREF _Toc12886579 \h </w:instrText>
        </w:r>
        <w:r w:rsidR="00FB0EF2">
          <w:rPr>
            <w:noProof/>
            <w:webHidden/>
          </w:rPr>
        </w:r>
        <w:r w:rsidR="00FB0EF2">
          <w:rPr>
            <w:noProof/>
            <w:webHidden/>
          </w:rPr>
          <w:fldChar w:fldCharType="separate"/>
        </w:r>
        <w:r w:rsidR="00FB0EF2">
          <w:rPr>
            <w:noProof/>
            <w:webHidden/>
          </w:rPr>
          <w:t>31</w:t>
        </w:r>
        <w:r w:rsidR="00FB0EF2">
          <w:rPr>
            <w:noProof/>
            <w:webHidden/>
          </w:rPr>
          <w:fldChar w:fldCharType="end"/>
        </w:r>
      </w:hyperlink>
    </w:p>
    <w:p w14:paraId="7C46B54F" w14:textId="77777777" w:rsidR="00FB0EF2" w:rsidRDefault="004B0F6A">
      <w:pPr>
        <w:pStyle w:val="TOC2"/>
        <w:rPr>
          <w:rFonts w:eastAsiaTheme="minorEastAsia" w:cstheme="minorBidi"/>
          <w:i w:val="0"/>
          <w:iCs w:val="0"/>
          <w:noProof/>
          <w:sz w:val="22"/>
          <w:szCs w:val="22"/>
          <w:lang w:val="en-AU"/>
        </w:rPr>
      </w:pPr>
      <w:hyperlink w:anchor="_Toc12886580" w:history="1">
        <w:r w:rsidR="00FB0EF2" w:rsidRPr="00230DEC">
          <w:rPr>
            <w:rStyle w:val="Hyperlink"/>
            <w:noProof/>
          </w:rPr>
          <w:t>4.12</w:t>
        </w:r>
        <w:r w:rsidR="00FB0EF2">
          <w:rPr>
            <w:rFonts w:eastAsiaTheme="minorEastAsia" w:cstheme="minorBidi"/>
            <w:i w:val="0"/>
            <w:iCs w:val="0"/>
            <w:noProof/>
            <w:sz w:val="22"/>
            <w:szCs w:val="22"/>
            <w:lang w:val="en-AU"/>
          </w:rPr>
          <w:tab/>
        </w:r>
        <w:r w:rsidR="00FB0EF2" w:rsidRPr="00230DEC">
          <w:rPr>
            <w:rStyle w:val="Hyperlink"/>
            <w:noProof/>
          </w:rPr>
          <w:t>HIV/STI Rule 3 exemption</w:t>
        </w:r>
        <w:r w:rsidR="00FB0EF2">
          <w:rPr>
            <w:noProof/>
            <w:webHidden/>
          </w:rPr>
          <w:tab/>
        </w:r>
        <w:r w:rsidR="00FB0EF2">
          <w:rPr>
            <w:noProof/>
            <w:webHidden/>
          </w:rPr>
          <w:fldChar w:fldCharType="begin"/>
        </w:r>
        <w:r w:rsidR="00FB0EF2">
          <w:rPr>
            <w:noProof/>
            <w:webHidden/>
          </w:rPr>
          <w:instrText xml:space="preserve"> PAGEREF _Toc12886580 \h </w:instrText>
        </w:r>
        <w:r w:rsidR="00FB0EF2">
          <w:rPr>
            <w:noProof/>
            <w:webHidden/>
          </w:rPr>
        </w:r>
        <w:r w:rsidR="00FB0EF2">
          <w:rPr>
            <w:noProof/>
            <w:webHidden/>
          </w:rPr>
          <w:fldChar w:fldCharType="separate"/>
        </w:r>
        <w:r w:rsidR="00FB0EF2">
          <w:rPr>
            <w:noProof/>
            <w:webHidden/>
          </w:rPr>
          <w:t>32</w:t>
        </w:r>
        <w:r w:rsidR="00FB0EF2">
          <w:rPr>
            <w:noProof/>
            <w:webHidden/>
          </w:rPr>
          <w:fldChar w:fldCharType="end"/>
        </w:r>
      </w:hyperlink>
    </w:p>
    <w:p w14:paraId="3FA698CD" w14:textId="77777777" w:rsidR="00FB0EF2" w:rsidRDefault="004B0F6A">
      <w:pPr>
        <w:pStyle w:val="TOC3"/>
        <w:tabs>
          <w:tab w:val="left" w:pos="1540"/>
        </w:tabs>
        <w:rPr>
          <w:rFonts w:eastAsiaTheme="minorEastAsia" w:cstheme="minorBidi"/>
          <w:noProof/>
          <w:sz w:val="22"/>
          <w:szCs w:val="22"/>
          <w:lang w:val="en-AU"/>
        </w:rPr>
      </w:pPr>
      <w:hyperlink w:anchor="_Toc12886581" w:history="1">
        <w:r w:rsidR="00FB0EF2" w:rsidRPr="00230DEC">
          <w:rPr>
            <w:rStyle w:val="Hyperlink"/>
            <w:noProof/>
          </w:rPr>
          <w:t>4.12.1</w:t>
        </w:r>
        <w:r w:rsidR="00FB0EF2">
          <w:rPr>
            <w:rFonts w:eastAsiaTheme="minorEastAsia" w:cstheme="minorBidi"/>
            <w:noProof/>
            <w:sz w:val="22"/>
            <w:szCs w:val="22"/>
            <w:lang w:val="en-AU"/>
          </w:rPr>
          <w:tab/>
        </w:r>
        <w:r w:rsidR="00FB0EF2" w:rsidRPr="00230DEC">
          <w:rPr>
            <w:rStyle w:val="Hyperlink"/>
            <w:noProof/>
          </w:rPr>
          <w:t>Recommendation 12</w:t>
        </w:r>
        <w:r w:rsidR="00FB0EF2">
          <w:rPr>
            <w:noProof/>
            <w:webHidden/>
          </w:rPr>
          <w:tab/>
        </w:r>
        <w:r w:rsidR="00FB0EF2">
          <w:rPr>
            <w:noProof/>
            <w:webHidden/>
          </w:rPr>
          <w:fldChar w:fldCharType="begin"/>
        </w:r>
        <w:r w:rsidR="00FB0EF2">
          <w:rPr>
            <w:noProof/>
            <w:webHidden/>
          </w:rPr>
          <w:instrText xml:space="preserve"> PAGEREF _Toc12886581 \h </w:instrText>
        </w:r>
        <w:r w:rsidR="00FB0EF2">
          <w:rPr>
            <w:noProof/>
            <w:webHidden/>
          </w:rPr>
        </w:r>
        <w:r w:rsidR="00FB0EF2">
          <w:rPr>
            <w:noProof/>
            <w:webHidden/>
          </w:rPr>
          <w:fldChar w:fldCharType="separate"/>
        </w:r>
        <w:r w:rsidR="00FB0EF2">
          <w:rPr>
            <w:noProof/>
            <w:webHidden/>
          </w:rPr>
          <w:t>32</w:t>
        </w:r>
        <w:r w:rsidR="00FB0EF2">
          <w:rPr>
            <w:noProof/>
            <w:webHidden/>
          </w:rPr>
          <w:fldChar w:fldCharType="end"/>
        </w:r>
      </w:hyperlink>
    </w:p>
    <w:p w14:paraId="7540C91C" w14:textId="77777777" w:rsidR="00FB0EF2" w:rsidRDefault="004B0F6A">
      <w:pPr>
        <w:pStyle w:val="TOC3"/>
        <w:tabs>
          <w:tab w:val="left" w:pos="1540"/>
        </w:tabs>
        <w:rPr>
          <w:rFonts w:eastAsiaTheme="minorEastAsia" w:cstheme="minorBidi"/>
          <w:noProof/>
          <w:sz w:val="22"/>
          <w:szCs w:val="22"/>
          <w:lang w:val="en-AU"/>
        </w:rPr>
      </w:pPr>
      <w:hyperlink w:anchor="_Toc12886582" w:history="1">
        <w:r w:rsidR="00FB0EF2" w:rsidRPr="00230DEC">
          <w:rPr>
            <w:rStyle w:val="Hyperlink"/>
            <w:noProof/>
          </w:rPr>
          <w:t>4.12.2</w:t>
        </w:r>
        <w:r w:rsidR="00FB0EF2">
          <w:rPr>
            <w:rFonts w:eastAsiaTheme="minorEastAsia" w:cstheme="minorBidi"/>
            <w:noProof/>
            <w:sz w:val="22"/>
            <w:szCs w:val="22"/>
            <w:lang w:val="en-AU"/>
          </w:rPr>
          <w:tab/>
        </w:r>
        <w:r w:rsidR="00FB0EF2" w:rsidRPr="00230DEC">
          <w:rPr>
            <w:rStyle w:val="Hyperlink"/>
            <w:noProof/>
          </w:rPr>
          <w:t>Rationale: 12</w:t>
        </w:r>
        <w:r w:rsidR="00FB0EF2">
          <w:rPr>
            <w:noProof/>
            <w:webHidden/>
          </w:rPr>
          <w:tab/>
        </w:r>
        <w:r w:rsidR="00FB0EF2">
          <w:rPr>
            <w:noProof/>
            <w:webHidden/>
          </w:rPr>
          <w:fldChar w:fldCharType="begin"/>
        </w:r>
        <w:r w:rsidR="00FB0EF2">
          <w:rPr>
            <w:noProof/>
            <w:webHidden/>
          </w:rPr>
          <w:instrText xml:space="preserve"> PAGEREF _Toc12886582 \h </w:instrText>
        </w:r>
        <w:r w:rsidR="00FB0EF2">
          <w:rPr>
            <w:noProof/>
            <w:webHidden/>
          </w:rPr>
        </w:r>
        <w:r w:rsidR="00FB0EF2">
          <w:rPr>
            <w:noProof/>
            <w:webHidden/>
          </w:rPr>
          <w:fldChar w:fldCharType="separate"/>
        </w:r>
        <w:r w:rsidR="00FB0EF2">
          <w:rPr>
            <w:noProof/>
            <w:webHidden/>
          </w:rPr>
          <w:t>32</w:t>
        </w:r>
        <w:r w:rsidR="00FB0EF2">
          <w:rPr>
            <w:noProof/>
            <w:webHidden/>
          </w:rPr>
          <w:fldChar w:fldCharType="end"/>
        </w:r>
      </w:hyperlink>
    </w:p>
    <w:p w14:paraId="517032CE" w14:textId="77777777" w:rsidR="00FB0EF2" w:rsidRDefault="004B0F6A">
      <w:pPr>
        <w:pStyle w:val="TOC2"/>
        <w:rPr>
          <w:rFonts w:eastAsiaTheme="minorEastAsia" w:cstheme="minorBidi"/>
          <w:i w:val="0"/>
          <w:iCs w:val="0"/>
          <w:noProof/>
          <w:sz w:val="22"/>
          <w:szCs w:val="22"/>
          <w:lang w:val="en-AU"/>
        </w:rPr>
      </w:pPr>
      <w:hyperlink w:anchor="_Toc12886583" w:history="1">
        <w:r w:rsidR="00FB0EF2" w:rsidRPr="00230DEC">
          <w:rPr>
            <w:rStyle w:val="Hyperlink"/>
            <w:noProof/>
          </w:rPr>
          <w:t>4.13</w:t>
        </w:r>
        <w:r w:rsidR="00FB0EF2">
          <w:rPr>
            <w:rFonts w:eastAsiaTheme="minorEastAsia" w:cstheme="minorBidi"/>
            <w:i w:val="0"/>
            <w:iCs w:val="0"/>
            <w:noProof/>
            <w:sz w:val="22"/>
            <w:szCs w:val="22"/>
            <w:lang w:val="en-AU"/>
          </w:rPr>
          <w:tab/>
        </w:r>
        <w:r w:rsidR="00FB0EF2" w:rsidRPr="00230DEC">
          <w:rPr>
            <w:rStyle w:val="Hyperlink"/>
            <w:noProof/>
          </w:rPr>
          <w:t>Microscopy and culture of complicated hospital specimens</w:t>
        </w:r>
        <w:r w:rsidR="00FB0EF2">
          <w:rPr>
            <w:noProof/>
            <w:webHidden/>
          </w:rPr>
          <w:tab/>
        </w:r>
        <w:r w:rsidR="00FB0EF2">
          <w:rPr>
            <w:noProof/>
            <w:webHidden/>
          </w:rPr>
          <w:fldChar w:fldCharType="begin"/>
        </w:r>
        <w:r w:rsidR="00FB0EF2">
          <w:rPr>
            <w:noProof/>
            <w:webHidden/>
          </w:rPr>
          <w:instrText xml:space="preserve"> PAGEREF _Toc12886583 \h </w:instrText>
        </w:r>
        <w:r w:rsidR="00FB0EF2">
          <w:rPr>
            <w:noProof/>
            <w:webHidden/>
          </w:rPr>
        </w:r>
        <w:r w:rsidR="00FB0EF2">
          <w:rPr>
            <w:noProof/>
            <w:webHidden/>
          </w:rPr>
          <w:fldChar w:fldCharType="separate"/>
        </w:r>
        <w:r w:rsidR="00FB0EF2">
          <w:rPr>
            <w:noProof/>
            <w:webHidden/>
          </w:rPr>
          <w:t>33</w:t>
        </w:r>
        <w:r w:rsidR="00FB0EF2">
          <w:rPr>
            <w:noProof/>
            <w:webHidden/>
          </w:rPr>
          <w:fldChar w:fldCharType="end"/>
        </w:r>
      </w:hyperlink>
    </w:p>
    <w:p w14:paraId="5859D796" w14:textId="77777777" w:rsidR="00FB0EF2" w:rsidRDefault="004B0F6A">
      <w:pPr>
        <w:pStyle w:val="TOC3"/>
        <w:tabs>
          <w:tab w:val="left" w:pos="1540"/>
        </w:tabs>
        <w:rPr>
          <w:rFonts w:eastAsiaTheme="minorEastAsia" w:cstheme="minorBidi"/>
          <w:noProof/>
          <w:sz w:val="22"/>
          <w:szCs w:val="22"/>
          <w:lang w:val="en-AU"/>
        </w:rPr>
      </w:pPr>
      <w:hyperlink w:anchor="_Toc12886584" w:history="1">
        <w:r w:rsidR="00FB0EF2" w:rsidRPr="00230DEC">
          <w:rPr>
            <w:rStyle w:val="Hyperlink"/>
            <w:noProof/>
          </w:rPr>
          <w:t>4.13.1</w:t>
        </w:r>
        <w:r w:rsidR="00FB0EF2">
          <w:rPr>
            <w:rFonts w:eastAsiaTheme="minorEastAsia" w:cstheme="minorBidi"/>
            <w:noProof/>
            <w:sz w:val="22"/>
            <w:szCs w:val="22"/>
            <w:lang w:val="en-AU"/>
          </w:rPr>
          <w:tab/>
        </w:r>
        <w:r w:rsidR="00FB0EF2" w:rsidRPr="00230DEC">
          <w:rPr>
            <w:rStyle w:val="Hyperlink"/>
            <w:noProof/>
          </w:rPr>
          <w:t>Recommendation 13</w:t>
        </w:r>
        <w:r w:rsidR="00FB0EF2">
          <w:rPr>
            <w:noProof/>
            <w:webHidden/>
          </w:rPr>
          <w:tab/>
        </w:r>
        <w:r w:rsidR="00FB0EF2">
          <w:rPr>
            <w:noProof/>
            <w:webHidden/>
          </w:rPr>
          <w:fldChar w:fldCharType="begin"/>
        </w:r>
        <w:r w:rsidR="00FB0EF2">
          <w:rPr>
            <w:noProof/>
            <w:webHidden/>
          </w:rPr>
          <w:instrText xml:space="preserve"> PAGEREF _Toc12886584 \h </w:instrText>
        </w:r>
        <w:r w:rsidR="00FB0EF2">
          <w:rPr>
            <w:noProof/>
            <w:webHidden/>
          </w:rPr>
        </w:r>
        <w:r w:rsidR="00FB0EF2">
          <w:rPr>
            <w:noProof/>
            <w:webHidden/>
          </w:rPr>
          <w:fldChar w:fldCharType="separate"/>
        </w:r>
        <w:r w:rsidR="00FB0EF2">
          <w:rPr>
            <w:noProof/>
            <w:webHidden/>
          </w:rPr>
          <w:t>33</w:t>
        </w:r>
        <w:r w:rsidR="00FB0EF2">
          <w:rPr>
            <w:noProof/>
            <w:webHidden/>
          </w:rPr>
          <w:fldChar w:fldCharType="end"/>
        </w:r>
      </w:hyperlink>
    </w:p>
    <w:p w14:paraId="09B06BAA" w14:textId="77777777" w:rsidR="00FB0EF2" w:rsidRDefault="004B0F6A">
      <w:pPr>
        <w:pStyle w:val="TOC3"/>
        <w:tabs>
          <w:tab w:val="left" w:pos="1540"/>
        </w:tabs>
        <w:rPr>
          <w:rFonts w:eastAsiaTheme="minorEastAsia" w:cstheme="minorBidi"/>
          <w:noProof/>
          <w:sz w:val="22"/>
          <w:szCs w:val="22"/>
          <w:lang w:val="en-AU"/>
        </w:rPr>
      </w:pPr>
      <w:hyperlink w:anchor="_Toc12886585" w:history="1">
        <w:r w:rsidR="00FB0EF2" w:rsidRPr="00230DEC">
          <w:rPr>
            <w:rStyle w:val="Hyperlink"/>
            <w:noProof/>
          </w:rPr>
          <w:t>4.13.2</w:t>
        </w:r>
        <w:r w:rsidR="00FB0EF2">
          <w:rPr>
            <w:rFonts w:eastAsiaTheme="minorEastAsia" w:cstheme="minorBidi"/>
            <w:noProof/>
            <w:sz w:val="22"/>
            <w:szCs w:val="22"/>
            <w:lang w:val="en-AU"/>
          </w:rPr>
          <w:tab/>
        </w:r>
        <w:r w:rsidR="00FB0EF2" w:rsidRPr="00230DEC">
          <w:rPr>
            <w:rStyle w:val="Hyperlink"/>
            <w:noProof/>
          </w:rPr>
          <w:t>Rationale 13</w:t>
        </w:r>
        <w:r w:rsidR="00FB0EF2">
          <w:rPr>
            <w:noProof/>
            <w:webHidden/>
          </w:rPr>
          <w:tab/>
        </w:r>
        <w:r w:rsidR="00FB0EF2">
          <w:rPr>
            <w:noProof/>
            <w:webHidden/>
          </w:rPr>
          <w:fldChar w:fldCharType="begin"/>
        </w:r>
        <w:r w:rsidR="00FB0EF2">
          <w:rPr>
            <w:noProof/>
            <w:webHidden/>
          </w:rPr>
          <w:instrText xml:space="preserve"> PAGEREF _Toc12886585 \h </w:instrText>
        </w:r>
        <w:r w:rsidR="00FB0EF2">
          <w:rPr>
            <w:noProof/>
            <w:webHidden/>
          </w:rPr>
        </w:r>
        <w:r w:rsidR="00FB0EF2">
          <w:rPr>
            <w:noProof/>
            <w:webHidden/>
          </w:rPr>
          <w:fldChar w:fldCharType="separate"/>
        </w:r>
        <w:r w:rsidR="00FB0EF2">
          <w:rPr>
            <w:noProof/>
            <w:webHidden/>
          </w:rPr>
          <w:t>34</w:t>
        </w:r>
        <w:r w:rsidR="00FB0EF2">
          <w:rPr>
            <w:noProof/>
            <w:webHidden/>
          </w:rPr>
          <w:fldChar w:fldCharType="end"/>
        </w:r>
      </w:hyperlink>
    </w:p>
    <w:p w14:paraId="501F07E3" w14:textId="77777777" w:rsidR="00FB0EF2" w:rsidRDefault="004B0F6A">
      <w:pPr>
        <w:pStyle w:val="TOC2"/>
        <w:rPr>
          <w:rFonts w:eastAsiaTheme="minorEastAsia" w:cstheme="minorBidi"/>
          <w:i w:val="0"/>
          <w:iCs w:val="0"/>
          <w:noProof/>
          <w:sz w:val="22"/>
          <w:szCs w:val="22"/>
          <w:lang w:val="en-AU"/>
        </w:rPr>
      </w:pPr>
      <w:hyperlink w:anchor="_Toc12886586" w:history="1">
        <w:r w:rsidR="00FB0EF2" w:rsidRPr="00230DEC">
          <w:rPr>
            <w:rStyle w:val="Hyperlink"/>
            <w:noProof/>
          </w:rPr>
          <w:t>4.14</w:t>
        </w:r>
        <w:r w:rsidR="00FB0EF2">
          <w:rPr>
            <w:rFonts w:eastAsiaTheme="minorEastAsia" w:cstheme="minorBidi"/>
            <w:i w:val="0"/>
            <w:iCs w:val="0"/>
            <w:noProof/>
            <w:sz w:val="22"/>
            <w:szCs w:val="22"/>
            <w:lang w:val="en-AU"/>
          </w:rPr>
          <w:tab/>
        </w:r>
        <w:r w:rsidR="00FB0EF2" w:rsidRPr="00230DEC">
          <w:rPr>
            <w:rStyle w:val="Hyperlink"/>
            <w:noProof/>
          </w:rPr>
          <w:t>Microscopy of wet film</w:t>
        </w:r>
        <w:r w:rsidR="00FB0EF2">
          <w:rPr>
            <w:noProof/>
            <w:webHidden/>
          </w:rPr>
          <w:tab/>
        </w:r>
        <w:r w:rsidR="00FB0EF2">
          <w:rPr>
            <w:noProof/>
            <w:webHidden/>
          </w:rPr>
          <w:fldChar w:fldCharType="begin"/>
        </w:r>
        <w:r w:rsidR="00FB0EF2">
          <w:rPr>
            <w:noProof/>
            <w:webHidden/>
          </w:rPr>
          <w:instrText xml:space="preserve"> PAGEREF _Toc12886586 \h </w:instrText>
        </w:r>
        <w:r w:rsidR="00FB0EF2">
          <w:rPr>
            <w:noProof/>
            <w:webHidden/>
          </w:rPr>
        </w:r>
        <w:r w:rsidR="00FB0EF2">
          <w:rPr>
            <w:noProof/>
            <w:webHidden/>
          </w:rPr>
          <w:fldChar w:fldCharType="separate"/>
        </w:r>
        <w:r w:rsidR="00FB0EF2">
          <w:rPr>
            <w:noProof/>
            <w:webHidden/>
          </w:rPr>
          <w:t>34</w:t>
        </w:r>
        <w:r w:rsidR="00FB0EF2">
          <w:rPr>
            <w:noProof/>
            <w:webHidden/>
          </w:rPr>
          <w:fldChar w:fldCharType="end"/>
        </w:r>
      </w:hyperlink>
    </w:p>
    <w:p w14:paraId="517E72F8" w14:textId="77777777" w:rsidR="00FB0EF2" w:rsidRDefault="004B0F6A">
      <w:pPr>
        <w:pStyle w:val="TOC3"/>
        <w:tabs>
          <w:tab w:val="left" w:pos="1540"/>
        </w:tabs>
        <w:rPr>
          <w:rFonts w:eastAsiaTheme="minorEastAsia" w:cstheme="minorBidi"/>
          <w:noProof/>
          <w:sz w:val="22"/>
          <w:szCs w:val="22"/>
          <w:lang w:val="en-AU"/>
        </w:rPr>
      </w:pPr>
      <w:hyperlink w:anchor="_Toc12886587" w:history="1">
        <w:r w:rsidR="00FB0EF2" w:rsidRPr="00230DEC">
          <w:rPr>
            <w:rStyle w:val="Hyperlink"/>
            <w:noProof/>
          </w:rPr>
          <w:t>4.14.1</w:t>
        </w:r>
        <w:r w:rsidR="00FB0EF2">
          <w:rPr>
            <w:rFonts w:eastAsiaTheme="minorEastAsia" w:cstheme="minorBidi"/>
            <w:noProof/>
            <w:sz w:val="22"/>
            <w:szCs w:val="22"/>
            <w:lang w:val="en-AU"/>
          </w:rPr>
          <w:tab/>
        </w:r>
        <w:r w:rsidR="00FB0EF2" w:rsidRPr="00230DEC">
          <w:rPr>
            <w:rStyle w:val="Hyperlink"/>
            <w:noProof/>
          </w:rPr>
          <w:t>Recommendation 14</w:t>
        </w:r>
        <w:r w:rsidR="00FB0EF2">
          <w:rPr>
            <w:noProof/>
            <w:webHidden/>
          </w:rPr>
          <w:tab/>
        </w:r>
        <w:r w:rsidR="00FB0EF2">
          <w:rPr>
            <w:noProof/>
            <w:webHidden/>
          </w:rPr>
          <w:fldChar w:fldCharType="begin"/>
        </w:r>
        <w:r w:rsidR="00FB0EF2">
          <w:rPr>
            <w:noProof/>
            <w:webHidden/>
          </w:rPr>
          <w:instrText xml:space="preserve"> PAGEREF _Toc12886587 \h </w:instrText>
        </w:r>
        <w:r w:rsidR="00FB0EF2">
          <w:rPr>
            <w:noProof/>
            <w:webHidden/>
          </w:rPr>
        </w:r>
        <w:r w:rsidR="00FB0EF2">
          <w:rPr>
            <w:noProof/>
            <w:webHidden/>
          </w:rPr>
          <w:fldChar w:fldCharType="separate"/>
        </w:r>
        <w:r w:rsidR="00FB0EF2">
          <w:rPr>
            <w:noProof/>
            <w:webHidden/>
          </w:rPr>
          <w:t>35</w:t>
        </w:r>
        <w:r w:rsidR="00FB0EF2">
          <w:rPr>
            <w:noProof/>
            <w:webHidden/>
          </w:rPr>
          <w:fldChar w:fldCharType="end"/>
        </w:r>
      </w:hyperlink>
    </w:p>
    <w:p w14:paraId="7B0D7652" w14:textId="77777777" w:rsidR="00FB0EF2" w:rsidRDefault="004B0F6A">
      <w:pPr>
        <w:pStyle w:val="TOC3"/>
        <w:tabs>
          <w:tab w:val="left" w:pos="1540"/>
        </w:tabs>
        <w:rPr>
          <w:rFonts w:eastAsiaTheme="minorEastAsia" w:cstheme="minorBidi"/>
          <w:noProof/>
          <w:sz w:val="22"/>
          <w:szCs w:val="22"/>
          <w:lang w:val="en-AU"/>
        </w:rPr>
      </w:pPr>
      <w:hyperlink w:anchor="_Toc12886588" w:history="1">
        <w:r w:rsidR="00FB0EF2" w:rsidRPr="00230DEC">
          <w:rPr>
            <w:rStyle w:val="Hyperlink"/>
            <w:noProof/>
          </w:rPr>
          <w:t>4.14.2</w:t>
        </w:r>
        <w:r w:rsidR="00FB0EF2">
          <w:rPr>
            <w:rFonts w:eastAsiaTheme="minorEastAsia" w:cstheme="minorBidi"/>
            <w:noProof/>
            <w:sz w:val="22"/>
            <w:szCs w:val="22"/>
            <w:lang w:val="en-AU"/>
          </w:rPr>
          <w:tab/>
        </w:r>
        <w:r w:rsidR="00FB0EF2" w:rsidRPr="00230DEC">
          <w:rPr>
            <w:rStyle w:val="Hyperlink"/>
            <w:noProof/>
          </w:rPr>
          <w:t>Rationale 14</w:t>
        </w:r>
        <w:r w:rsidR="00FB0EF2">
          <w:rPr>
            <w:noProof/>
            <w:webHidden/>
          </w:rPr>
          <w:tab/>
        </w:r>
        <w:r w:rsidR="00FB0EF2">
          <w:rPr>
            <w:noProof/>
            <w:webHidden/>
          </w:rPr>
          <w:fldChar w:fldCharType="begin"/>
        </w:r>
        <w:r w:rsidR="00FB0EF2">
          <w:rPr>
            <w:noProof/>
            <w:webHidden/>
          </w:rPr>
          <w:instrText xml:space="preserve"> PAGEREF _Toc12886588 \h </w:instrText>
        </w:r>
        <w:r w:rsidR="00FB0EF2">
          <w:rPr>
            <w:noProof/>
            <w:webHidden/>
          </w:rPr>
        </w:r>
        <w:r w:rsidR="00FB0EF2">
          <w:rPr>
            <w:noProof/>
            <w:webHidden/>
          </w:rPr>
          <w:fldChar w:fldCharType="separate"/>
        </w:r>
        <w:r w:rsidR="00FB0EF2">
          <w:rPr>
            <w:noProof/>
            <w:webHidden/>
          </w:rPr>
          <w:t>35</w:t>
        </w:r>
        <w:r w:rsidR="00FB0EF2">
          <w:rPr>
            <w:noProof/>
            <w:webHidden/>
          </w:rPr>
          <w:fldChar w:fldCharType="end"/>
        </w:r>
      </w:hyperlink>
    </w:p>
    <w:p w14:paraId="4E812D03" w14:textId="77777777" w:rsidR="00FB0EF2" w:rsidRDefault="004B0F6A">
      <w:pPr>
        <w:pStyle w:val="TOC2"/>
        <w:rPr>
          <w:rFonts w:eastAsiaTheme="minorEastAsia" w:cstheme="minorBidi"/>
          <w:i w:val="0"/>
          <w:iCs w:val="0"/>
          <w:noProof/>
          <w:sz w:val="22"/>
          <w:szCs w:val="22"/>
          <w:lang w:val="en-AU"/>
        </w:rPr>
      </w:pPr>
      <w:hyperlink w:anchor="_Toc12886589" w:history="1">
        <w:r w:rsidR="00FB0EF2" w:rsidRPr="00230DEC">
          <w:rPr>
            <w:rStyle w:val="Hyperlink"/>
            <w:noProof/>
          </w:rPr>
          <w:t>4.15</w:t>
        </w:r>
        <w:r w:rsidR="00FB0EF2">
          <w:rPr>
            <w:rFonts w:eastAsiaTheme="minorEastAsia" w:cstheme="minorBidi"/>
            <w:i w:val="0"/>
            <w:iCs w:val="0"/>
            <w:noProof/>
            <w:sz w:val="22"/>
            <w:szCs w:val="22"/>
            <w:lang w:val="en-AU"/>
          </w:rPr>
          <w:tab/>
        </w:r>
        <w:r w:rsidR="00FB0EF2" w:rsidRPr="00230DEC">
          <w:rPr>
            <w:rStyle w:val="Hyperlink"/>
            <w:noProof/>
          </w:rPr>
          <w:t>Antenatal bundle 69415, 69333</w:t>
        </w:r>
        <w:r w:rsidR="00FB0EF2">
          <w:rPr>
            <w:noProof/>
            <w:webHidden/>
          </w:rPr>
          <w:tab/>
        </w:r>
        <w:r w:rsidR="00FB0EF2">
          <w:rPr>
            <w:noProof/>
            <w:webHidden/>
          </w:rPr>
          <w:fldChar w:fldCharType="begin"/>
        </w:r>
        <w:r w:rsidR="00FB0EF2">
          <w:rPr>
            <w:noProof/>
            <w:webHidden/>
          </w:rPr>
          <w:instrText xml:space="preserve"> PAGEREF _Toc12886589 \h </w:instrText>
        </w:r>
        <w:r w:rsidR="00FB0EF2">
          <w:rPr>
            <w:noProof/>
            <w:webHidden/>
          </w:rPr>
        </w:r>
        <w:r w:rsidR="00FB0EF2">
          <w:rPr>
            <w:noProof/>
            <w:webHidden/>
          </w:rPr>
          <w:fldChar w:fldCharType="separate"/>
        </w:r>
        <w:r w:rsidR="00FB0EF2">
          <w:rPr>
            <w:noProof/>
            <w:webHidden/>
          </w:rPr>
          <w:t>35</w:t>
        </w:r>
        <w:r w:rsidR="00FB0EF2">
          <w:rPr>
            <w:noProof/>
            <w:webHidden/>
          </w:rPr>
          <w:fldChar w:fldCharType="end"/>
        </w:r>
      </w:hyperlink>
    </w:p>
    <w:p w14:paraId="4CA8A46E" w14:textId="77777777" w:rsidR="00FB0EF2" w:rsidRDefault="004B0F6A">
      <w:pPr>
        <w:pStyle w:val="TOC3"/>
        <w:tabs>
          <w:tab w:val="left" w:pos="1540"/>
        </w:tabs>
        <w:rPr>
          <w:rFonts w:eastAsiaTheme="minorEastAsia" w:cstheme="minorBidi"/>
          <w:noProof/>
          <w:sz w:val="22"/>
          <w:szCs w:val="22"/>
          <w:lang w:val="en-AU"/>
        </w:rPr>
      </w:pPr>
      <w:hyperlink w:anchor="_Toc12886590" w:history="1">
        <w:r w:rsidR="00FB0EF2" w:rsidRPr="00230DEC">
          <w:rPr>
            <w:rStyle w:val="Hyperlink"/>
            <w:noProof/>
          </w:rPr>
          <w:t>4.15.1</w:t>
        </w:r>
        <w:r w:rsidR="00FB0EF2">
          <w:rPr>
            <w:rFonts w:eastAsiaTheme="minorEastAsia" w:cstheme="minorBidi"/>
            <w:noProof/>
            <w:sz w:val="22"/>
            <w:szCs w:val="22"/>
            <w:lang w:val="en-AU"/>
          </w:rPr>
          <w:tab/>
        </w:r>
        <w:r w:rsidR="00FB0EF2" w:rsidRPr="00230DEC">
          <w:rPr>
            <w:rStyle w:val="Hyperlink"/>
            <w:noProof/>
          </w:rPr>
          <w:t>Recommendation 15</w:t>
        </w:r>
        <w:r w:rsidR="00FB0EF2">
          <w:rPr>
            <w:noProof/>
            <w:webHidden/>
          </w:rPr>
          <w:tab/>
        </w:r>
        <w:r w:rsidR="00FB0EF2">
          <w:rPr>
            <w:noProof/>
            <w:webHidden/>
          </w:rPr>
          <w:fldChar w:fldCharType="begin"/>
        </w:r>
        <w:r w:rsidR="00FB0EF2">
          <w:rPr>
            <w:noProof/>
            <w:webHidden/>
          </w:rPr>
          <w:instrText xml:space="preserve"> PAGEREF _Toc12886590 \h </w:instrText>
        </w:r>
        <w:r w:rsidR="00FB0EF2">
          <w:rPr>
            <w:noProof/>
            <w:webHidden/>
          </w:rPr>
        </w:r>
        <w:r w:rsidR="00FB0EF2">
          <w:rPr>
            <w:noProof/>
            <w:webHidden/>
          </w:rPr>
          <w:fldChar w:fldCharType="separate"/>
        </w:r>
        <w:r w:rsidR="00FB0EF2">
          <w:rPr>
            <w:noProof/>
            <w:webHidden/>
          </w:rPr>
          <w:t>35</w:t>
        </w:r>
        <w:r w:rsidR="00FB0EF2">
          <w:rPr>
            <w:noProof/>
            <w:webHidden/>
          </w:rPr>
          <w:fldChar w:fldCharType="end"/>
        </w:r>
      </w:hyperlink>
    </w:p>
    <w:p w14:paraId="7CB8EFB7" w14:textId="77777777" w:rsidR="00FB0EF2" w:rsidRDefault="004B0F6A">
      <w:pPr>
        <w:pStyle w:val="TOC3"/>
        <w:tabs>
          <w:tab w:val="left" w:pos="1540"/>
        </w:tabs>
        <w:rPr>
          <w:rFonts w:eastAsiaTheme="minorEastAsia" w:cstheme="minorBidi"/>
          <w:noProof/>
          <w:sz w:val="22"/>
          <w:szCs w:val="22"/>
          <w:lang w:val="en-AU"/>
        </w:rPr>
      </w:pPr>
      <w:hyperlink w:anchor="_Toc12886591" w:history="1">
        <w:r w:rsidR="00FB0EF2" w:rsidRPr="00230DEC">
          <w:rPr>
            <w:rStyle w:val="Hyperlink"/>
            <w:noProof/>
          </w:rPr>
          <w:t>4.15.2</w:t>
        </w:r>
        <w:r w:rsidR="00FB0EF2">
          <w:rPr>
            <w:rFonts w:eastAsiaTheme="minorEastAsia" w:cstheme="minorBidi"/>
            <w:noProof/>
            <w:sz w:val="22"/>
            <w:szCs w:val="22"/>
            <w:lang w:val="en-AU"/>
          </w:rPr>
          <w:tab/>
        </w:r>
        <w:r w:rsidR="00FB0EF2" w:rsidRPr="00230DEC">
          <w:rPr>
            <w:rStyle w:val="Hyperlink"/>
            <w:noProof/>
          </w:rPr>
          <w:t>Rationale 15</w:t>
        </w:r>
        <w:r w:rsidR="00FB0EF2">
          <w:rPr>
            <w:noProof/>
            <w:webHidden/>
          </w:rPr>
          <w:tab/>
        </w:r>
        <w:r w:rsidR="00FB0EF2">
          <w:rPr>
            <w:noProof/>
            <w:webHidden/>
          </w:rPr>
          <w:fldChar w:fldCharType="begin"/>
        </w:r>
        <w:r w:rsidR="00FB0EF2">
          <w:rPr>
            <w:noProof/>
            <w:webHidden/>
          </w:rPr>
          <w:instrText xml:space="preserve"> PAGEREF _Toc12886591 \h </w:instrText>
        </w:r>
        <w:r w:rsidR="00FB0EF2">
          <w:rPr>
            <w:noProof/>
            <w:webHidden/>
          </w:rPr>
        </w:r>
        <w:r w:rsidR="00FB0EF2">
          <w:rPr>
            <w:noProof/>
            <w:webHidden/>
          </w:rPr>
          <w:fldChar w:fldCharType="separate"/>
        </w:r>
        <w:r w:rsidR="00FB0EF2">
          <w:rPr>
            <w:noProof/>
            <w:webHidden/>
          </w:rPr>
          <w:t>36</w:t>
        </w:r>
        <w:r w:rsidR="00FB0EF2">
          <w:rPr>
            <w:noProof/>
            <w:webHidden/>
          </w:rPr>
          <w:fldChar w:fldCharType="end"/>
        </w:r>
      </w:hyperlink>
    </w:p>
    <w:p w14:paraId="5DD144ED" w14:textId="77777777" w:rsidR="00FB0EF2" w:rsidRDefault="004B0F6A">
      <w:pPr>
        <w:pStyle w:val="TOC2"/>
        <w:rPr>
          <w:rFonts w:eastAsiaTheme="minorEastAsia" w:cstheme="minorBidi"/>
          <w:i w:val="0"/>
          <w:iCs w:val="0"/>
          <w:noProof/>
          <w:sz w:val="22"/>
          <w:szCs w:val="22"/>
          <w:lang w:val="en-AU"/>
        </w:rPr>
      </w:pPr>
      <w:hyperlink w:anchor="_Toc12886592" w:history="1">
        <w:r w:rsidR="00FB0EF2" w:rsidRPr="00230DEC">
          <w:rPr>
            <w:rStyle w:val="Hyperlink"/>
            <w:noProof/>
          </w:rPr>
          <w:t>4.16</w:t>
        </w:r>
        <w:r w:rsidR="00FB0EF2">
          <w:rPr>
            <w:rFonts w:eastAsiaTheme="minorEastAsia" w:cstheme="minorBidi"/>
            <w:i w:val="0"/>
            <w:iCs w:val="0"/>
            <w:noProof/>
            <w:sz w:val="22"/>
            <w:szCs w:val="22"/>
            <w:lang w:val="en-AU"/>
          </w:rPr>
          <w:tab/>
        </w:r>
        <w:r w:rsidR="00FB0EF2" w:rsidRPr="00230DEC">
          <w:rPr>
            <w:rStyle w:val="Hyperlink"/>
            <w:noProof/>
          </w:rPr>
          <w:t>Items to be removed</w:t>
        </w:r>
        <w:r w:rsidR="00FB0EF2">
          <w:rPr>
            <w:noProof/>
            <w:webHidden/>
          </w:rPr>
          <w:tab/>
        </w:r>
        <w:r w:rsidR="00FB0EF2">
          <w:rPr>
            <w:noProof/>
            <w:webHidden/>
          </w:rPr>
          <w:fldChar w:fldCharType="begin"/>
        </w:r>
        <w:r w:rsidR="00FB0EF2">
          <w:rPr>
            <w:noProof/>
            <w:webHidden/>
          </w:rPr>
          <w:instrText xml:space="preserve"> PAGEREF _Toc12886592 \h </w:instrText>
        </w:r>
        <w:r w:rsidR="00FB0EF2">
          <w:rPr>
            <w:noProof/>
            <w:webHidden/>
          </w:rPr>
        </w:r>
        <w:r w:rsidR="00FB0EF2">
          <w:rPr>
            <w:noProof/>
            <w:webHidden/>
          </w:rPr>
          <w:fldChar w:fldCharType="separate"/>
        </w:r>
        <w:r w:rsidR="00FB0EF2">
          <w:rPr>
            <w:noProof/>
            <w:webHidden/>
          </w:rPr>
          <w:t>36</w:t>
        </w:r>
        <w:r w:rsidR="00FB0EF2">
          <w:rPr>
            <w:noProof/>
            <w:webHidden/>
          </w:rPr>
          <w:fldChar w:fldCharType="end"/>
        </w:r>
      </w:hyperlink>
    </w:p>
    <w:p w14:paraId="404E2545" w14:textId="77777777" w:rsidR="00FB0EF2" w:rsidRDefault="004B0F6A">
      <w:pPr>
        <w:pStyle w:val="TOC3"/>
        <w:tabs>
          <w:tab w:val="left" w:pos="1540"/>
        </w:tabs>
        <w:rPr>
          <w:rFonts w:eastAsiaTheme="minorEastAsia" w:cstheme="minorBidi"/>
          <w:noProof/>
          <w:sz w:val="22"/>
          <w:szCs w:val="22"/>
          <w:lang w:val="en-AU"/>
        </w:rPr>
      </w:pPr>
      <w:hyperlink w:anchor="_Toc12886593" w:history="1">
        <w:r w:rsidR="00FB0EF2" w:rsidRPr="00230DEC">
          <w:rPr>
            <w:rStyle w:val="Hyperlink"/>
            <w:noProof/>
          </w:rPr>
          <w:t>4.16.1</w:t>
        </w:r>
        <w:r w:rsidR="00FB0EF2">
          <w:rPr>
            <w:rFonts w:eastAsiaTheme="minorEastAsia" w:cstheme="minorBidi"/>
            <w:noProof/>
            <w:sz w:val="22"/>
            <w:szCs w:val="22"/>
            <w:lang w:val="en-AU"/>
          </w:rPr>
          <w:tab/>
        </w:r>
        <w:r w:rsidR="00FB0EF2" w:rsidRPr="00230DEC">
          <w:rPr>
            <w:rStyle w:val="Hyperlink"/>
            <w:noProof/>
          </w:rPr>
          <w:t>Low-volume items 73828, 73834, 73835, 73837</w:t>
        </w:r>
        <w:r w:rsidR="00FB0EF2">
          <w:rPr>
            <w:noProof/>
            <w:webHidden/>
          </w:rPr>
          <w:tab/>
        </w:r>
        <w:r w:rsidR="00FB0EF2">
          <w:rPr>
            <w:noProof/>
            <w:webHidden/>
          </w:rPr>
          <w:fldChar w:fldCharType="begin"/>
        </w:r>
        <w:r w:rsidR="00FB0EF2">
          <w:rPr>
            <w:noProof/>
            <w:webHidden/>
          </w:rPr>
          <w:instrText xml:space="preserve"> PAGEREF _Toc12886593 \h </w:instrText>
        </w:r>
        <w:r w:rsidR="00FB0EF2">
          <w:rPr>
            <w:noProof/>
            <w:webHidden/>
          </w:rPr>
        </w:r>
        <w:r w:rsidR="00FB0EF2">
          <w:rPr>
            <w:noProof/>
            <w:webHidden/>
          </w:rPr>
          <w:fldChar w:fldCharType="separate"/>
        </w:r>
        <w:r w:rsidR="00FB0EF2">
          <w:rPr>
            <w:noProof/>
            <w:webHidden/>
          </w:rPr>
          <w:t>36</w:t>
        </w:r>
        <w:r w:rsidR="00FB0EF2">
          <w:rPr>
            <w:noProof/>
            <w:webHidden/>
          </w:rPr>
          <w:fldChar w:fldCharType="end"/>
        </w:r>
      </w:hyperlink>
    </w:p>
    <w:p w14:paraId="10F8947F" w14:textId="77777777" w:rsidR="00FB0EF2" w:rsidRDefault="004B0F6A">
      <w:pPr>
        <w:pStyle w:val="TOC3"/>
        <w:tabs>
          <w:tab w:val="left" w:pos="1540"/>
        </w:tabs>
        <w:rPr>
          <w:rFonts w:eastAsiaTheme="minorEastAsia" w:cstheme="minorBidi"/>
          <w:noProof/>
          <w:sz w:val="22"/>
          <w:szCs w:val="22"/>
          <w:lang w:val="en-AU"/>
        </w:rPr>
      </w:pPr>
      <w:hyperlink w:anchor="_Toc12886594" w:history="1">
        <w:r w:rsidR="00FB0EF2" w:rsidRPr="00230DEC">
          <w:rPr>
            <w:rStyle w:val="Hyperlink"/>
            <w:noProof/>
          </w:rPr>
          <w:t>4.16.2</w:t>
        </w:r>
        <w:r w:rsidR="00FB0EF2">
          <w:rPr>
            <w:rFonts w:eastAsiaTheme="minorEastAsia" w:cstheme="minorBidi"/>
            <w:noProof/>
            <w:sz w:val="22"/>
            <w:szCs w:val="22"/>
            <w:lang w:val="en-AU"/>
          </w:rPr>
          <w:tab/>
        </w:r>
        <w:r w:rsidR="00FB0EF2" w:rsidRPr="00230DEC">
          <w:rPr>
            <w:rStyle w:val="Hyperlink"/>
            <w:noProof/>
          </w:rPr>
          <w:t>Obsolete items 69405, 69408, 69411, 69413</w:t>
        </w:r>
        <w:r w:rsidR="00FB0EF2">
          <w:rPr>
            <w:noProof/>
            <w:webHidden/>
          </w:rPr>
          <w:tab/>
        </w:r>
        <w:r w:rsidR="00FB0EF2">
          <w:rPr>
            <w:noProof/>
            <w:webHidden/>
          </w:rPr>
          <w:fldChar w:fldCharType="begin"/>
        </w:r>
        <w:r w:rsidR="00FB0EF2">
          <w:rPr>
            <w:noProof/>
            <w:webHidden/>
          </w:rPr>
          <w:instrText xml:space="preserve"> PAGEREF _Toc12886594 \h </w:instrText>
        </w:r>
        <w:r w:rsidR="00FB0EF2">
          <w:rPr>
            <w:noProof/>
            <w:webHidden/>
          </w:rPr>
        </w:r>
        <w:r w:rsidR="00FB0EF2">
          <w:rPr>
            <w:noProof/>
            <w:webHidden/>
          </w:rPr>
          <w:fldChar w:fldCharType="separate"/>
        </w:r>
        <w:r w:rsidR="00FB0EF2">
          <w:rPr>
            <w:noProof/>
            <w:webHidden/>
          </w:rPr>
          <w:t>38</w:t>
        </w:r>
        <w:r w:rsidR="00FB0EF2">
          <w:rPr>
            <w:noProof/>
            <w:webHidden/>
          </w:rPr>
          <w:fldChar w:fldCharType="end"/>
        </w:r>
      </w:hyperlink>
    </w:p>
    <w:p w14:paraId="2B658A1B" w14:textId="77777777" w:rsidR="00FB0EF2" w:rsidRDefault="004B0F6A">
      <w:pPr>
        <w:pStyle w:val="TOC3"/>
        <w:tabs>
          <w:tab w:val="left" w:pos="1540"/>
        </w:tabs>
        <w:rPr>
          <w:rFonts w:eastAsiaTheme="minorEastAsia" w:cstheme="minorBidi"/>
          <w:noProof/>
          <w:sz w:val="22"/>
          <w:szCs w:val="22"/>
          <w:lang w:val="en-AU"/>
        </w:rPr>
      </w:pPr>
      <w:hyperlink w:anchor="_Toc12886595" w:history="1">
        <w:r w:rsidR="00FB0EF2" w:rsidRPr="00230DEC">
          <w:rPr>
            <w:rStyle w:val="Hyperlink"/>
            <w:noProof/>
          </w:rPr>
          <w:t>4.16.3</w:t>
        </w:r>
        <w:r w:rsidR="00FB0EF2">
          <w:rPr>
            <w:rFonts w:eastAsiaTheme="minorEastAsia" w:cstheme="minorBidi"/>
            <w:noProof/>
            <w:sz w:val="22"/>
            <w:szCs w:val="22"/>
            <w:lang w:val="en-AU"/>
          </w:rPr>
          <w:tab/>
        </w:r>
        <w:r w:rsidR="00FB0EF2" w:rsidRPr="00230DEC">
          <w:rPr>
            <w:rStyle w:val="Hyperlink"/>
            <w:noProof/>
          </w:rPr>
          <w:t>HPV items 69418 and 69419</w:t>
        </w:r>
        <w:r w:rsidR="00FB0EF2">
          <w:rPr>
            <w:noProof/>
            <w:webHidden/>
          </w:rPr>
          <w:tab/>
        </w:r>
        <w:r w:rsidR="00FB0EF2">
          <w:rPr>
            <w:noProof/>
            <w:webHidden/>
          </w:rPr>
          <w:fldChar w:fldCharType="begin"/>
        </w:r>
        <w:r w:rsidR="00FB0EF2">
          <w:rPr>
            <w:noProof/>
            <w:webHidden/>
          </w:rPr>
          <w:instrText xml:space="preserve"> PAGEREF _Toc12886595 \h </w:instrText>
        </w:r>
        <w:r w:rsidR="00FB0EF2">
          <w:rPr>
            <w:noProof/>
            <w:webHidden/>
          </w:rPr>
        </w:r>
        <w:r w:rsidR="00FB0EF2">
          <w:rPr>
            <w:noProof/>
            <w:webHidden/>
          </w:rPr>
          <w:fldChar w:fldCharType="separate"/>
        </w:r>
        <w:r w:rsidR="00FB0EF2">
          <w:rPr>
            <w:noProof/>
            <w:webHidden/>
          </w:rPr>
          <w:t>39</w:t>
        </w:r>
        <w:r w:rsidR="00FB0EF2">
          <w:rPr>
            <w:noProof/>
            <w:webHidden/>
          </w:rPr>
          <w:fldChar w:fldCharType="end"/>
        </w:r>
      </w:hyperlink>
    </w:p>
    <w:p w14:paraId="716FE999" w14:textId="77777777" w:rsidR="00FB0EF2" w:rsidRDefault="004B0F6A">
      <w:pPr>
        <w:pStyle w:val="TOC3"/>
        <w:tabs>
          <w:tab w:val="left" w:pos="1540"/>
        </w:tabs>
        <w:rPr>
          <w:rFonts w:eastAsiaTheme="minorEastAsia" w:cstheme="minorBidi"/>
          <w:noProof/>
          <w:sz w:val="22"/>
          <w:szCs w:val="22"/>
          <w:lang w:val="en-AU"/>
        </w:rPr>
      </w:pPr>
      <w:hyperlink w:anchor="_Toc12886596" w:history="1">
        <w:r w:rsidR="00FB0EF2" w:rsidRPr="00230DEC">
          <w:rPr>
            <w:rStyle w:val="Hyperlink"/>
            <w:noProof/>
          </w:rPr>
          <w:t>4.16.4</w:t>
        </w:r>
        <w:r w:rsidR="00FB0EF2">
          <w:rPr>
            <w:rFonts w:eastAsiaTheme="minorEastAsia" w:cstheme="minorBidi"/>
            <w:noProof/>
            <w:sz w:val="22"/>
            <w:szCs w:val="22"/>
            <w:lang w:val="en-AU"/>
          </w:rPr>
          <w:tab/>
        </w:r>
        <w:r w:rsidR="00FB0EF2" w:rsidRPr="00230DEC">
          <w:rPr>
            <w:rStyle w:val="Hyperlink"/>
            <w:noProof/>
          </w:rPr>
          <w:t>HIV viral RNA in cerebrospinal fluid</w:t>
        </w:r>
        <w:r w:rsidR="00FB0EF2">
          <w:rPr>
            <w:noProof/>
            <w:webHidden/>
          </w:rPr>
          <w:tab/>
        </w:r>
        <w:r w:rsidR="00FB0EF2">
          <w:rPr>
            <w:noProof/>
            <w:webHidden/>
          </w:rPr>
          <w:fldChar w:fldCharType="begin"/>
        </w:r>
        <w:r w:rsidR="00FB0EF2">
          <w:rPr>
            <w:noProof/>
            <w:webHidden/>
          </w:rPr>
          <w:instrText xml:space="preserve"> PAGEREF _Toc12886596 \h </w:instrText>
        </w:r>
        <w:r w:rsidR="00FB0EF2">
          <w:rPr>
            <w:noProof/>
            <w:webHidden/>
          </w:rPr>
        </w:r>
        <w:r w:rsidR="00FB0EF2">
          <w:rPr>
            <w:noProof/>
            <w:webHidden/>
          </w:rPr>
          <w:fldChar w:fldCharType="separate"/>
        </w:r>
        <w:r w:rsidR="00FB0EF2">
          <w:rPr>
            <w:noProof/>
            <w:webHidden/>
          </w:rPr>
          <w:t>39</w:t>
        </w:r>
        <w:r w:rsidR="00FB0EF2">
          <w:rPr>
            <w:noProof/>
            <w:webHidden/>
          </w:rPr>
          <w:fldChar w:fldCharType="end"/>
        </w:r>
      </w:hyperlink>
    </w:p>
    <w:p w14:paraId="6D6190D5" w14:textId="77777777" w:rsidR="00FB0EF2" w:rsidRDefault="004B0F6A">
      <w:pPr>
        <w:pStyle w:val="TOC3"/>
        <w:tabs>
          <w:tab w:val="left" w:pos="1540"/>
        </w:tabs>
        <w:rPr>
          <w:rFonts w:eastAsiaTheme="minorEastAsia" w:cstheme="minorBidi"/>
          <w:noProof/>
          <w:sz w:val="22"/>
          <w:szCs w:val="22"/>
          <w:lang w:val="en-AU"/>
        </w:rPr>
      </w:pPr>
      <w:hyperlink w:anchor="_Toc12886597" w:history="1">
        <w:r w:rsidR="00FB0EF2" w:rsidRPr="00230DEC">
          <w:rPr>
            <w:rStyle w:val="Hyperlink"/>
            <w:noProof/>
          </w:rPr>
          <w:t>4.16.5</w:t>
        </w:r>
        <w:r w:rsidR="00FB0EF2">
          <w:rPr>
            <w:rFonts w:eastAsiaTheme="minorEastAsia" w:cstheme="minorBidi"/>
            <w:noProof/>
            <w:sz w:val="22"/>
            <w:szCs w:val="22"/>
            <w:lang w:val="en-AU"/>
          </w:rPr>
          <w:tab/>
        </w:r>
        <w:r w:rsidR="00FB0EF2" w:rsidRPr="00230DEC">
          <w:rPr>
            <w:rStyle w:val="Hyperlink"/>
            <w:noProof/>
          </w:rPr>
          <w:t>NAAT testing (not specified elsewhere in the Schedule)</w:t>
        </w:r>
        <w:r w:rsidR="00FB0EF2">
          <w:rPr>
            <w:noProof/>
            <w:webHidden/>
          </w:rPr>
          <w:tab/>
        </w:r>
        <w:r w:rsidR="00FB0EF2">
          <w:rPr>
            <w:noProof/>
            <w:webHidden/>
          </w:rPr>
          <w:fldChar w:fldCharType="begin"/>
        </w:r>
        <w:r w:rsidR="00FB0EF2">
          <w:rPr>
            <w:noProof/>
            <w:webHidden/>
          </w:rPr>
          <w:instrText xml:space="preserve"> PAGEREF _Toc12886597 \h </w:instrText>
        </w:r>
        <w:r w:rsidR="00FB0EF2">
          <w:rPr>
            <w:noProof/>
            <w:webHidden/>
          </w:rPr>
        </w:r>
        <w:r w:rsidR="00FB0EF2">
          <w:rPr>
            <w:noProof/>
            <w:webHidden/>
          </w:rPr>
          <w:fldChar w:fldCharType="separate"/>
        </w:r>
        <w:r w:rsidR="00FB0EF2">
          <w:rPr>
            <w:noProof/>
            <w:webHidden/>
          </w:rPr>
          <w:t>39</w:t>
        </w:r>
        <w:r w:rsidR="00FB0EF2">
          <w:rPr>
            <w:noProof/>
            <w:webHidden/>
          </w:rPr>
          <w:fldChar w:fldCharType="end"/>
        </w:r>
      </w:hyperlink>
    </w:p>
    <w:p w14:paraId="52FE3E21" w14:textId="77777777" w:rsidR="00FB0EF2" w:rsidRDefault="004B0F6A">
      <w:pPr>
        <w:pStyle w:val="TOC3"/>
        <w:tabs>
          <w:tab w:val="left" w:pos="1540"/>
        </w:tabs>
        <w:rPr>
          <w:rFonts w:eastAsiaTheme="minorEastAsia" w:cstheme="minorBidi"/>
          <w:noProof/>
          <w:sz w:val="22"/>
          <w:szCs w:val="22"/>
          <w:lang w:val="en-AU"/>
        </w:rPr>
      </w:pPr>
      <w:hyperlink w:anchor="_Toc12886598" w:history="1">
        <w:r w:rsidR="00FB0EF2" w:rsidRPr="00230DEC">
          <w:rPr>
            <w:rStyle w:val="Hyperlink"/>
            <w:noProof/>
          </w:rPr>
          <w:t>4.16.6</w:t>
        </w:r>
        <w:r w:rsidR="00FB0EF2">
          <w:rPr>
            <w:rFonts w:eastAsiaTheme="minorEastAsia" w:cstheme="minorBidi"/>
            <w:noProof/>
            <w:sz w:val="22"/>
            <w:szCs w:val="22"/>
            <w:lang w:val="en-AU"/>
          </w:rPr>
          <w:tab/>
        </w:r>
        <w:r w:rsidR="00FB0EF2" w:rsidRPr="00230DEC">
          <w:rPr>
            <w:rStyle w:val="Hyperlink"/>
            <w:noProof/>
          </w:rPr>
          <w:t>Urogenital items</w:t>
        </w:r>
        <w:r w:rsidR="00FB0EF2">
          <w:rPr>
            <w:noProof/>
            <w:webHidden/>
          </w:rPr>
          <w:tab/>
        </w:r>
        <w:r w:rsidR="00FB0EF2">
          <w:rPr>
            <w:noProof/>
            <w:webHidden/>
          </w:rPr>
          <w:fldChar w:fldCharType="begin"/>
        </w:r>
        <w:r w:rsidR="00FB0EF2">
          <w:rPr>
            <w:noProof/>
            <w:webHidden/>
          </w:rPr>
          <w:instrText xml:space="preserve"> PAGEREF _Toc12886598 \h </w:instrText>
        </w:r>
        <w:r w:rsidR="00FB0EF2">
          <w:rPr>
            <w:noProof/>
            <w:webHidden/>
          </w:rPr>
        </w:r>
        <w:r w:rsidR="00FB0EF2">
          <w:rPr>
            <w:noProof/>
            <w:webHidden/>
          </w:rPr>
          <w:fldChar w:fldCharType="separate"/>
        </w:r>
        <w:r w:rsidR="00FB0EF2">
          <w:rPr>
            <w:noProof/>
            <w:webHidden/>
          </w:rPr>
          <w:t>40</w:t>
        </w:r>
        <w:r w:rsidR="00FB0EF2">
          <w:rPr>
            <w:noProof/>
            <w:webHidden/>
          </w:rPr>
          <w:fldChar w:fldCharType="end"/>
        </w:r>
      </w:hyperlink>
    </w:p>
    <w:p w14:paraId="7EA2507A" w14:textId="77777777" w:rsidR="00FB0EF2" w:rsidRDefault="004B0F6A">
      <w:pPr>
        <w:pStyle w:val="TOC2"/>
        <w:rPr>
          <w:rFonts w:eastAsiaTheme="minorEastAsia" w:cstheme="minorBidi"/>
          <w:i w:val="0"/>
          <w:iCs w:val="0"/>
          <w:noProof/>
          <w:sz w:val="22"/>
          <w:szCs w:val="22"/>
          <w:lang w:val="en-AU"/>
        </w:rPr>
      </w:pPr>
      <w:hyperlink w:anchor="_Toc12886599" w:history="1">
        <w:r w:rsidR="00FB0EF2" w:rsidRPr="00230DEC">
          <w:rPr>
            <w:rStyle w:val="Hyperlink"/>
            <w:noProof/>
          </w:rPr>
          <w:t>4.17</w:t>
        </w:r>
        <w:r w:rsidR="00FB0EF2">
          <w:rPr>
            <w:rFonts w:eastAsiaTheme="minorEastAsia" w:cstheme="minorBidi"/>
            <w:i w:val="0"/>
            <w:iCs w:val="0"/>
            <w:noProof/>
            <w:sz w:val="22"/>
            <w:szCs w:val="22"/>
            <w:lang w:val="en-AU"/>
          </w:rPr>
          <w:tab/>
        </w:r>
        <w:r w:rsidR="00FB0EF2" w:rsidRPr="00230DEC">
          <w:rPr>
            <w:rStyle w:val="Hyperlink"/>
            <w:noProof/>
          </w:rPr>
          <w:t>Minor changes</w:t>
        </w:r>
        <w:r w:rsidR="00FB0EF2">
          <w:rPr>
            <w:noProof/>
            <w:webHidden/>
          </w:rPr>
          <w:tab/>
        </w:r>
        <w:r w:rsidR="00FB0EF2">
          <w:rPr>
            <w:noProof/>
            <w:webHidden/>
          </w:rPr>
          <w:fldChar w:fldCharType="begin"/>
        </w:r>
        <w:r w:rsidR="00FB0EF2">
          <w:rPr>
            <w:noProof/>
            <w:webHidden/>
          </w:rPr>
          <w:instrText xml:space="preserve"> PAGEREF _Toc12886599 \h </w:instrText>
        </w:r>
        <w:r w:rsidR="00FB0EF2">
          <w:rPr>
            <w:noProof/>
            <w:webHidden/>
          </w:rPr>
        </w:r>
        <w:r w:rsidR="00FB0EF2">
          <w:rPr>
            <w:noProof/>
            <w:webHidden/>
          </w:rPr>
          <w:fldChar w:fldCharType="separate"/>
        </w:r>
        <w:r w:rsidR="00FB0EF2">
          <w:rPr>
            <w:noProof/>
            <w:webHidden/>
          </w:rPr>
          <w:t>40</w:t>
        </w:r>
        <w:r w:rsidR="00FB0EF2">
          <w:rPr>
            <w:noProof/>
            <w:webHidden/>
          </w:rPr>
          <w:fldChar w:fldCharType="end"/>
        </w:r>
      </w:hyperlink>
    </w:p>
    <w:p w14:paraId="33F64604" w14:textId="77777777" w:rsidR="00FB0EF2" w:rsidRDefault="004B0F6A">
      <w:pPr>
        <w:pStyle w:val="TOC3"/>
        <w:tabs>
          <w:tab w:val="left" w:pos="1540"/>
        </w:tabs>
        <w:rPr>
          <w:rFonts w:eastAsiaTheme="minorEastAsia" w:cstheme="minorBidi"/>
          <w:noProof/>
          <w:sz w:val="22"/>
          <w:szCs w:val="22"/>
          <w:lang w:val="en-AU"/>
        </w:rPr>
      </w:pPr>
      <w:hyperlink w:anchor="_Toc12886600" w:history="1">
        <w:r w:rsidR="00FB0EF2" w:rsidRPr="00230DEC">
          <w:rPr>
            <w:rStyle w:val="Hyperlink"/>
            <w:noProof/>
          </w:rPr>
          <w:t>4.17.1</w:t>
        </w:r>
        <w:r w:rsidR="00FB0EF2">
          <w:rPr>
            <w:rFonts w:eastAsiaTheme="minorEastAsia" w:cstheme="minorBidi"/>
            <w:noProof/>
            <w:sz w:val="22"/>
            <w:szCs w:val="22"/>
            <w:lang w:val="en-AU"/>
          </w:rPr>
          <w:tab/>
        </w:r>
        <w:r w:rsidR="00FB0EF2" w:rsidRPr="00230DEC">
          <w:rPr>
            <w:rStyle w:val="Hyperlink"/>
            <w:noProof/>
          </w:rPr>
          <w:t>Item 69488</w:t>
        </w:r>
        <w:r w:rsidR="00FB0EF2">
          <w:rPr>
            <w:noProof/>
            <w:webHidden/>
          </w:rPr>
          <w:tab/>
        </w:r>
        <w:r w:rsidR="00FB0EF2">
          <w:rPr>
            <w:noProof/>
            <w:webHidden/>
          </w:rPr>
          <w:fldChar w:fldCharType="begin"/>
        </w:r>
        <w:r w:rsidR="00FB0EF2">
          <w:rPr>
            <w:noProof/>
            <w:webHidden/>
          </w:rPr>
          <w:instrText xml:space="preserve"> PAGEREF _Toc12886600 \h </w:instrText>
        </w:r>
        <w:r w:rsidR="00FB0EF2">
          <w:rPr>
            <w:noProof/>
            <w:webHidden/>
          </w:rPr>
        </w:r>
        <w:r w:rsidR="00FB0EF2">
          <w:rPr>
            <w:noProof/>
            <w:webHidden/>
          </w:rPr>
          <w:fldChar w:fldCharType="separate"/>
        </w:r>
        <w:r w:rsidR="00FB0EF2">
          <w:rPr>
            <w:noProof/>
            <w:webHidden/>
          </w:rPr>
          <w:t>41</w:t>
        </w:r>
        <w:r w:rsidR="00FB0EF2">
          <w:rPr>
            <w:noProof/>
            <w:webHidden/>
          </w:rPr>
          <w:fldChar w:fldCharType="end"/>
        </w:r>
      </w:hyperlink>
    </w:p>
    <w:p w14:paraId="09E8DE4C" w14:textId="77777777" w:rsidR="00FB0EF2" w:rsidRDefault="004B0F6A">
      <w:pPr>
        <w:pStyle w:val="TOC3"/>
        <w:tabs>
          <w:tab w:val="left" w:pos="1540"/>
        </w:tabs>
        <w:rPr>
          <w:rFonts w:eastAsiaTheme="minorEastAsia" w:cstheme="minorBidi"/>
          <w:noProof/>
          <w:sz w:val="22"/>
          <w:szCs w:val="22"/>
          <w:lang w:val="en-AU"/>
        </w:rPr>
      </w:pPr>
      <w:hyperlink w:anchor="_Toc12886601" w:history="1">
        <w:r w:rsidR="00FB0EF2" w:rsidRPr="00230DEC">
          <w:rPr>
            <w:rStyle w:val="Hyperlink"/>
            <w:noProof/>
          </w:rPr>
          <w:t>4.17.2</w:t>
        </w:r>
        <w:r w:rsidR="00FB0EF2">
          <w:rPr>
            <w:rFonts w:eastAsiaTheme="minorEastAsia" w:cstheme="minorBidi"/>
            <w:noProof/>
            <w:sz w:val="22"/>
            <w:szCs w:val="22"/>
            <w:lang w:val="en-AU"/>
          </w:rPr>
          <w:tab/>
        </w:r>
        <w:r w:rsidR="00FB0EF2" w:rsidRPr="00230DEC">
          <w:rPr>
            <w:rStyle w:val="Hyperlink"/>
            <w:noProof/>
          </w:rPr>
          <w:t>Items 69491</w:t>
        </w:r>
        <w:r w:rsidR="00FB0EF2">
          <w:rPr>
            <w:noProof/>
            <w:webHidden/>
          </w:rPr>
          <w:tab/>
        </w:r>
        <w:r w:rsidR="00FB0EF2">
          <w:rPr>
            <w:noProof/>
            <w:webHidden/>
          </w:rPr>
          <w:fldChar w:fldCharType="begin"/>
        </w:r>
        <w:r w:rsidR="00FB0EF2">
          <w:rPr>
            <w:noProof/>
            <w:webHidden/>
          </w:rPr>
          <w:instrText xml:space="preserve"> PAGEREF _Toc12886601 \h </w:instrText>
        </w:r>
        <w:r w:rsidR="00FB0EF2">
          <w:rPr>
            <w:noProof/>
            <w:webHidden/>
          </w:rPr>
        </w:r>
        <w:r w:rsidR="00FB0EF2">
          <w:rPr>
            <w:noProof/>
            <w:webHidden/>
          </w:rPr>
          <w:fldChar w:fldCharType="separate"/>
        </w:r>
        <w:r w:rsidR="00FB0EF2">
          <w:rPr>
            <w:noProof/>
            <w:webHidden/>
          </w:rPr>
          <w:t>41</w:t>
        </w:r>
        <w:r w:rsidR="00FB0EF2">
          <w:rPr>
            <w:noProof/>
            <w:webHidden/>
          </w:rPr>
          <w:fldChar w:fldCharType="end"/>
        </w:r>
      </w:hyperlink>
    </w:p>
    <w:p w14:paraId="45A4D117" w14:textId="77777777" w:rsidR="00FB0EF2" w:rsidRDefault="004B0F6A">
      <w:pPr>
        <w:pStyle w:val="TOC3"/>
        <w:tabs>
          <w:tab w:val="left" w:pos="1540"/>
        </w:tabs>
        <w:rPr>
          <w:rFonts w:eastAsiaTheme="minorEastAsia" w:cstheme="minorBidi"/>
          <w:noProof/>
          <w:sz w:val="22"/>
          <w:szCs w:val="22"/>
          <w:lang w:val="en-AU"/>
        </w:rPr>
      </w:pPr>
      <w:hyperlink w:anchor="_Toc12886602" w:history="1">
        <w:r w:rsidR="00FB0EF2" w:rsidRPr="00230DEC">
          <w:rPr>
            <w:rStyle w:val="Hyperlink"/>
            <w:noProof/>
          </w:rPr>
          <w:t>4.17.3</w:t>
        </w:r>
        <w:r w:rsidR="00FB0EF2">
          <w:rPr>
            <w:rFonts w:eastAsiaTheme="minorEastAsia" w:cstheme="minorBidi"/>
            <w:noProof/>
            <w:sz w:val="22"/>
            <w:szCs w:val="22"/>
            <w:lang w:val="en-AU"/>
          </w:rPr>
          <w:tab/>
        </w:r>
        <w:r w:rsidR="00FB0EF2" w:rsidRPr="00230DEC">
          <w:rPr>
            <w:rStyle w:val="Hyperlink"/>
            <w:noProof/>
          </w:rPr>
          <w:t>Items 69378 and 69381, 69379 and 69383</w:t>
        </w:r>
        <w:r w:rsidR="00FB0EF2">
          <w:rPr>
            <w:noProof/>
            <w:webHidden/>
          </w:rPr>
          <w:tab/>
        </w:r>
        <w:r w:rsidR="00FB0EF2">
          <w:rPr>
            <w:noProof/>
            <w:webHidden/>
          </w:rPr>
          <w:fldChar w:fldCharType="begin"/>
        </w:r>
        <w:r w:rsidR="00FB0EF2">
          <w:rPr>
            <w:noProof/>
            <w:webHidden/>
          </w:rPr>
          <w:instrText xml:space="preserve"> PAGEREF _Toc12886602 \h </w:instrText>
        </w:r>
        <w:r w:rsidR="00FB0EF2">
          <w:rPr>
            <w:noProof/>
            <w:webHidden/>
          </w:rPr>
        </w:r>
        <w:r w:rsidR="00FB0EF2">
          <w:rPr>
            <w:noProof/>
            <w:webHidden/>
          </w:rPr>
          <w:fldChar w:fldCharType="separate"/>
        </w:r>
        <w:r w:rsidR="00FB0EF2">
          <w:rPr>
            <w:noProof/>
            <w:webHidden/>
          </w:rPr>
          <w:t>41</w:t>
        </w:r>
        <w:r w:rsidR="00FB0EF2">
          <w:rPr>
            <w:noProof/>
            <w:webHidden/>
          </w:rPr>
          <w:fldChar w:fldCharType="end"/>
        </w:r>
      </w:hyperlink>
    </w:p>
    <w:p w14:paraId="5EF64422" w14:textId="77777777" w:rsidR="00FB0EF2" w:rsidRDefault="004B0F6A">
      <w:pPr>
        <w:pStyle w:val="TOC2"/>
        <w:rPr>
          <w:rFonts w:eastAsiaTheme="minorEastAsia" w:cstheme="minorBidi"/>
          <w:i w:val="0"/>
          <w:iCs w:val="0"/>
          <w:noProof/>
          <w:sz w:val="22"/>
          <w:szCs w:val="22"/>
          <w:lang w:val="en-AU"/>
        </w:rPr>
      </w:pPr>
      <w:hyperlink w:anchor="_Toc12886603" w:history="1">
        <w:r w:rsidR="00FB0EF2" w:rsidRPr="00230DEC">
          <w:rPr>
            <w:rStyle w:val="Hyperlink"/>
            <w:noProof/>
          </w:rPr>
          <w:t>4.18</w:t>
        </w:r>
        <w:r w:rsidR="00FB0EF2">
          <w:rPr>
            <w:rFonts w:eastAsiaTheme="minorEastAsia" w:cstheme="minorBidi"/>
            <w:i w:val="0"/>
            <w:iCs w:val="0"/>
            <w:noProof/>
            <w:sz w:val="22"/>
            <w:szCs w:val="22"/>
            <w:lang w:val="en-AU"/>
          </w:rPr>
          <w:tab/>
        </w:r>
        <w:r w:rsidR="00FB0EF2" w:rsidRPr="00230DEC">
          <w:rPr>
            <w:rStyle w:val="Hyperlink"/>
            <w:noProof/>
          </w:rPr>
          <w:t>No changes</w:t>
        </w:r>
        <w:r w:rsidR="00FB0EF2">
          <w:rPr>
            <w:noProof/>
            <w:webHidden/>
          </w:rPr>
          <w:tab/>
        </w:r>
        <w:r w:rsidR="00FB0EF2">
          <w:rPr>
            <w:noProof/>
            <w:webHidden/>
          </w:rPr>
          <w:fldChar w:fldCharType="begin"/>
        </w:r>
        <w:r w:rsidR="00FB0EF2">
          <w:rPr>
            <w:noProof/>
            <w:webHidden/>
          </w:rPr>
          <w:instrText xml:space="preserve"> PAGEREF _Toc12886603 \h </w:instrText>
        </w:r>
        <w:r w:rsidR="00FB0EF2">
          <w:rPr>
            <w:noProof/>
            <w:webHidden/>
          </w:rPr>
        </w:r>
        <w:r w:rsidR="00FB0EF2">
          <w:rPr>
            <w:noProof/>
            <w:webHidden/>
          </w:rPr>
          <w:fldChar w:fldCharType="separate"/>
        </w:r>
        <w:r w:rsidR="00FB0EF2">
          <w:rPr>
            <w:noProof/>
            <w:webHidden/>
          </w:rPr>
          <w:t>42</w:t>
        </w:r>
        <w:r w:rsidR="00FB0EF2">
          <w:rPr>
            <w:noProof/>
            <w:webHidden/>
          </w:rPr>
          <w:fldChar w:fldCharType="end"/>
        </w:r>
      </w:hyperlink>
    </w:p>
    <w:p w14:paraId="28A0B1F5" w14:textId="77777777" w:rsidR="00FB0EF2" w:rsidRDefault="004B0F6A">
      <w:pPr>
        <w:pStyle w:val="TOC1"/>
        <w:rPr>
          <w:rFonts w:eastAsiaTheme="minorEastAsia" w:cstheme="minorBidi"/>
          <w:b w:val="0"/>
          <w:bCs w:val="0"/>
          <w:noProof/>
          <w:sz w:val="22"/>
          <w:szCs w:val="22"/>
          <w:lang w:val="en-AU"/>
        </w:rPr>
      </w:pPr>
      <w:hyperlink w:anchor="_Toc12886604" w:history="1">
        <w:r w:rsidR="00FB0EF2" w:rsidRPr="00230DEC">
          <w:rPr>
            <w:rStyle w:val="Hyperlink"/>
            <w:noProof/>
            <w:lang w:bidi="x-none"/>
            <w14:scene3d>
              <w14:camera w14:prst="orthographicFront"/>
              <w14:lightRig w14:rig="threePt" w14:dir="t">
                <w14:rot w14:lat="0" w14:lon="0" w14:rev="0"/>
              </w14:lightRig>
            </w14:scene3d>
          </w:rPr>
          <w:t>5.</w:t>
        </w:r>
        <w:r w:rsidR="00FB0EF2">
          <w:rPr>
            <w:rFonts w:eastAsiaTheme="minorEastAsia" w:cstheme="minorBidi"/>
            <w:b w:val="0"/>
            <w:bCs w:val="0"/>
            <w:noProof/>
            <w:sz w:val="22"/>
            <w:szCs w:val="22"/>
            <w:lang w:val="en-AU"/>
          </w:rPr>
          <w:tab/>
        </w:r>
        <w:r w:rsidR="00FB0EF2" w:rsidRPr="00230DEC">
          <w:rPr>
            <w:rStyle w:val="Hyperlink"/>
            <w:noProof/>
          </w:rPr>
          <w:t>Recommendations to other committees</w:t>
        </w:r>
        <w:r w:rsidR="00FB0EF2">
          <w:rPr>
            <w:noProof/>
            <w:webHidden/>
          </w:rPr>
          <w:tab/>
        </w:r>
        <w:r w:rsidR="00FB0EF2">
          <w:rPr>
            <w:noProof/>
            <w:webHidden/>
          </w:rPr>
          <w:fldChar w:fldCharType="begin"/>
        </w:r>
        <w:r w:rsidR="00FB0EF2">
          <w:rPr>
            <w:noProof/>
            <w:webHidden/>
          </w:rPr>
          <w:instrText xml:space="preserve"> PAGEREF _Toc12886604 \h </w:instrText>
        </w:r>
        <w:r w:rsidR="00FB0EF2">
          <w:rPr>
            <w:noProof/>
            <w:webHidden/>
          </w:rPr>
        </w:r>
        <w:r w:rsidR="00FB0EF2">
          <w:rPr>
            <w:noProof/>
            <w:webHidden/>
          </w:rPr>
          <w:fldChar w:fldCharType="separate"/>
        </w:r>
        <w:r w:rsidR="00FB0EF2">
          <w:rPr>
            <w:noProof/>
            <w:webHidden/>
          </w:rPr>
          <w:t>44</w:t>
        </w:r>
        <w:r w:rsidR="00FB0EF2">
          <w:rPr>
            <w:noProof/>
            <w:webHidden/>
          </w:rPr>
          <w:fldChar w:fldCharType="end"/>
        </w:r>
      </w:hyperlink>
    </w:p>
    <w:p w14:paraId="37D7C32B" w14:textId="77777777" w:rsidR="00FB0EF2" w:rsidRDefault="004B0F6A">
      <w:pPr>
        <w:pStyle w:val="TOC2"/>
        <w:rPr>
          <w:rFonts w:eastAsiaTheme="minorEastAsia" w:cstheme="minorBidi"/>
          <w:i w:val="0"/>
          <w:iCs w:val="0"/>
          <w:noProof/>
          <w:sz w:val="22"/>
          <w:szCs w:val="22"/>
          <w:lang w:val="en-AU"/>
        </w:rPr>
      </w:pPr>
      <w:hyperlink w:anchor="_Toc12886605" w:history="1">
        <w:r w:rsidR="00FB0EF2" w:rsidRPr="00230DEC">
          <w:rPr>
            <w:rStyle w:val="Hyperlink"/>
            <w:noProof/>
          </w:rPr>
          <w:t>5.1</w:t>
        </w:r>
        <w:r w:rsidR="00FB0EF2">
          <w:rPr>
            <w:rFonts w:eastAsiaTheme="minorEastAsia" w:cstheme="minorBidi"/>
            <w:i w:val="0"/>
            <w:iCs w:val="0"/>
            <w:noProof/>
            <w:sz w:val="22"/>
            <w:szCs w:val="22"/>
            <w:lang w:val="en-AU"/>
          </w:rPr>
          <w:tab/>
        </w:r>
        <w:r w:rsidR="00FB0EF2" w:rsidRPr="00230DEC">
          <w:rPr>
            <w:rStyle w:val="Hyperlink"/>
            <w:noProof/>
          </w:rPr>
          <w:t>Recommendations to MSAC Executive</w:t>
        </w:r>
        <w:r w:rsidR="00FB0EF2">
          <w:rPr>
            <w:noProof/>
            <w:webHidden/>
          </w:rPr>
          <w:tab/>
        </w:r>
        <w:r w:rsidR="00FB0EF2">
          <w:rPr>
            <w:noProof/>
            <w:webHidden/>
          </w:rPr>
          <w:fldChar w:fldCharType="begin"/>
        </w:r>
        <w:r w:rsidR="00FB0EF2">
          <w:rPr>
            <w:noProof/>
            <w:webHidden/>
          </w:rPr>
          <w:instrText xml:space="preserve"> PAGEREF _Toc12886605 \h </w:instrText>
        </w:r>
        <w:r w:rsidR="00FB0EF2">
          <w:rPr>
            <w:noProof/>
            <w:webHidden/>
          </w:rPr>
        </w:r>
        <w:r w:rsidR="00FB0EF2">
          <w:rPr>
            <w:noProof/>
            <w:webHidden/>
          </w:rPr>
          <w:fldChar w:fldCharType="separate"/>
        </w:r>
        <w:r w:rsidR="00FB0EF2">
          <w:rPr>
            <w:noProof/>
            <w:webHidden/>
          </w:rPr>
          <w:t>44</w:t>
        </w:r>
        <w:r w:rsidR="00FB0EF2">
          <w:rPr>
            <w:noProof/>
            <w:webHidden/>
          </w:rPr>
          <w:fldChar w:fldCharType="end"/>
        </w:r>
      </w:hyperlink>
    </w:p>
    <w:p w14:paraId="6B67272E" w14:textId="77777777" w:rsidR="00FB0EF2" w:rsidRDefault="004B0F6A">
      <w:pPr>
        <w:pStyle w:val="TOC3"/>
        <w:tabs>
          <w:tab w:val="left" w:pos="1474"/>
        </w:tabs>
        <w:rPr>
          <w:rFonts w:eastAsiaTheme="minorEastAsia" w:cstheme="minorBidi"/>
          <w:noProof/>
          <w:sz w:val="22"/>
          <w:szCs w:val="22"/>
          <w:lang w:val="en-AU"/>
        </w:rPr>
      </w:pPr>
      <w:hyperlink w:anchor="_Toc12886606" w:history="1">
        <w:r w:rsidR="00FB0EF2" w:rsidRPr="00230DEC">
          <w:rPr>
            <w:rStyle w:val="Hyperlink"/>
            <w:noProof/>
          </w:rPr>
          <w:t>5.1.1</w:t>
        </w:r>
        <w:r w:rsidR="00FB0EF2">
          <w:rPr>
            <w:rFonts w:eastAsiaTheme="minorEastAsia" w:cstheme="minorBidi"/>
            <w:noProof/>
            <w:sz w:val="22"/>
            <w:szCs w:val="22"/>
            <w:lang w:val="en-AU"/>
          </w:rPr>
          <w:tab/>
        </w:r>
        <w:r w:rsidR="00FB0EF2" w:rsidRPr="00230DEC">
          <w:rPr>
            <w:rStyle w:val="Hyperlink"/>
            <w:noProof/>
          </w:rPr>
          <w:t>Orthopaedic tissues (new items)</w:t>
        </w:r>
        <w:r w:rsidR="00FB0EF2">
          <w:rPr>
            <w:noProof/>
            <w:webHidden/>
          </w:rPr>
          <w:tab/>
        </w:r>
        <w:r w:rsidR="00FB0EF2">
          <w:rPr>
            <w:noProof/>
            <w:webHidden/>
          </w:rPr>
          <w:fldChar w:fldCharType="begin"/>
        </w:r>
        <w:r w:rsidR="00FB0EF2">
          <w:rPr>
            <w:noProof/>
            <w:webHidden/>
          </w:rPr>
          <w:instrText xml:space="preserve"> PAGEREF _Toc12886606 \h </w:instrText>
        </w:r>
        <w:r w:rsidR="00FB0EF2">
          <w:rPr>
            <w:noProof/>
            <w:webHidden/>
          </w:rPr>
        </w:r>
        <w:r w:rsidR="00FB0EF2">
          <w:rPr>
            <w:noProof/>
            <w:webHidden/>
          </w:rPr>
          <w:fldChar w:fldCharType="separate"/>
        </w:r>
        <w:r w:rsidR="00FB0EF2">
          <w:rPr>
            <w:noProof/>
            <w:webHidden/>
          </w:rPr>
          <w:t>44</w:t>
        </w:r>
        <w:r w:rsidR="00FB0EF2">
          <w:rPr>
            <w:noProof/>
            <w:webHidden/>
          </w:rPr>
          <w:fldChar w:fldCharType="end"/>
        </w:r>
      </w:hyperlink>
    </w:p>
    <w:p w14:paraId="6F56F264" w14:textId="77777777" w:rsidR="00FB0EF2" w:rsidRDefault="004B0F6A">
      <w:pPr>
        <w:pStyle w:val="TOC2"/>
        <w:rPr>
          <w:rFonts w:eastAsiaTheme="minorEastAsia" w:cstheme="minorBidi"/>
          <w:i w:val="0"/>
          <w:iCs w:val="0"/>
          <w:noProof/>
          <w:sz w:val="22"/>
          <w:szCs w:val="22"/>
          <w:lang w:val="en-AU"/>
        </w:rPr>
      </w:pPr>
      <w:hyperlink w:anchor="_Toc12886607" w:history="1">
        <w:r w:rsidR="00FB0EF2" w:rsidRPr="00230DEC">
          <w:rPr>
            <w:rStyle w:val="Hyperlink"/>
            <w:noProof/>
          </w:rPr>
          <w:t>5.2</w:t>
        </w:r>
        <w:r w:rsidR="00FB0EF2">
          <w:rPr>
            <w:rFonts w:eastAsiaTheme="minorEastAsia" w:cstheme="minorBidi"/>
            <w:i w:val="0"/>
            <w:iCs w:val="0"/>
            <w:noProof/>
            <w:sz w:val="22"/>
            <w:szCs w:val="22"/>
            <w:lang w:val="en-AU"/>
          </w:rPr>
          <w:tab/>
        </w:r>
        <w:r w:rsidR="00FB0EF2" w:rsidRPr="00230DEC">
          <w:rPr>
            <w:rStyle w:val="Hyperlink"/>
            <w:noProof/>
          </w:rPr>
          <w:t>Recommendations to MSAC</w:t>
        </w:r>
        <w:r w:rsidR="00FB0EF2">
          <w:rPr>
            <w:noProof/>
            <w:webHidden/>
          </w:rPr>
          <w:tab/>
        </w:r>
        <w:r w:rsidR="00FB0EF2">
          <w:rPr>
            <w:noProof/>
            <w:webHidden/>
          </w:rPr>
          <w:fldChar w:fldCharType="begin"/>
        </w:r>
        <w:r w:rsidR="00FB0EF2">
          <w:rPr>
            <w:noProof/>
            <w:webHidden/>
          </w:rPr>
          <w:instrText xml:space="preserve"> PAGEREF _Toc12886607 \h </w:instrText>
        </w:r>
        <w:r w:rsidR="00FB0EF2">
          <w:rPr>
            <w:noProof/>
            <w:webHidden/>
          </w:rPr>
        </w:r>
        <w:r w:rsidR="00FB0EF2">
          <w:rPr>
            <w:noProof/>
            <w:webHidden/>
          </w:rPr>
          <w:fldChar w:fldCharType="separate"/>
        </w:r>
        <w:r w:rsidR="00FB0EF2">
          <w:rPr>
            <w:noProof/>
            <w:webHidden/>
          </w:rPr>
          <w:t>45</w:t>
        </w:r>
        <w:r w:rsidR="00FB0EF2">
          <w:rPr>
            <w:noProof/>
            <w:webHidden/>
          </w:rPr>
          <w:fldChar w:fldCharType="end"/>
        </w:r>
      </w:hyperlink>
    </w:p>
    <w:p w14:paraId="759DC8B5" w14:textId="77777777" w:rsidR="00FB0EF2" w:rsidRDefault="004B0F6A">
      <w:pPr>
        <w:pStyle w:val="TOC3"/>
        <w:tabs>
          <w:tab w:val="left" w:pos="1474"/>
        </w:tabs>
        <w:rPr>
          <w:rFonts w:eastAsiaTheme="minorEastAsia" w:cstheme="minorBidi"/>
          <w:noProof/>
          <w:sz w:val="22"/>
          <w:szCs w:val="22"/>
          <w:lang w:val="en-AU"/>
        </w:rPr>
      </w:pPr>
      <w:hyperlink w:anchor="_Toc12886608" w:history="1">
        <w:r w:rsidR="00FB0EF2" w:rsidRPr="00230DEC">
          <w:rPr>
            <w:rStyle w:val="Hyperlink"/>
            <w:noProof/>
          </w:rPr>
          <w:t>5.2.1</w:t>
        </w:r>
        <w:r w:rsidR="00FB0EF2">
          <w:rPr>
            <w:rFonts w:eastAsiaTheme="minorEastAsia" w:cstheme="minorBidi"/>
            <w:noProof/>
            <w:sz w:val="22"/>
            <w:szCs w:val="22"/>
            <w:lang w:val="en-AU"/>
          </w:rPr>
          <w:tab/>
        </w:r>
        <w:r w:rsidR="00FB0EF2" w:rsidRPr="00230DEC">
          <w:rPr>
            <w:rStyle w:val="Hyperlink"/>
            <w:noProof/>
          </w:rPr>
          <w:t>Testing for multi-resistant organisms (MRO) – new items</w:t>
        </w:r>
        <w:r w:rsidR="00FB0EF2">
          <w:rPr>
            <w:noProof/>
            <w:webHidden/>
          </w:rPr>
          <w:tab/>
        </w:r>
        <w:r w:rsidR="00FB0EF2">
          <w:rPr>
            <w:noProof/>
            <w:webHidden/>
          </w:rPr>
          <w:fldChar w:fldCharType="begin"/>
        </w:r>
        <w:r w:rsidR="00FB0EF2">
          <w:rPr>
            <w:noProof/>
            <w:webHidden/>
          </w:rPr>
          <w:instrText xml:space="preserve"> PAGEREF _Toc12886608 \h </w:instrText>
        </w:r>
        <w:r w:rsidR="00FB0EF2">
          <w:rPr>
            <w:noProof/>
            <w:webHidden/>
          </w:rPr>
        </w:r>
        <w:r w:rsidR="00FB0EF2">
          <w:rPr>
            <w:noProof/>
            <w:webHidden/>
          </w:rPr>
          <w:fldChar w:fldCharType="separate"/>
        </w:r>
        <w:r w:rsidR="00FB0EF2">
          <w:rPr>
            <w:noProof/>
            <w:webHidden/>
          </w:rPr>
          <w:t>45</w:t>
        </w:r>
        <w:r w:rsidR="00FB0EF2">
          <w:rPr>
            <w:noProof/>
            <w:webHidden/>
          </w:rPr>
          <w:fldChar w:fldCharType="end"/>
        </w:r>
      </w:hyperlink>
    </w:p>
    <w:p w14:paraId="4129B4A0" w14:textId="77777777" w:rsidR="00FB0EF2" w:rsidRDefault="004B0F6A">
      <w:pPr>
        <w:pStyle w:val="TOC3"/>
        <w:tabs>
          <w:tab w:val="left" w:pos="1474"/>
        </w:tabs>
        <w:rPr>
          <w:rFonts w:eastAsiaTheme="minorEastAsia" w:cstheme="minorBidi"/>
          <w:noProof/>
          <w:sz w:val="22"/>
          <w:szCs w:val="22"/>
          <w:lang w:val="en-AU"/>
        </w:rPr>
      </w:pPr>
      <w:hyperlink w:anchor="_Toc12886609" w:history="1">
        <w:r w:rsidR="00FB0EF2" w:rsidRPr="00230DEC">
          <w:rPr>
            <w:rStyle w:val="Hyperlink"/>
            <w:noProof/>
          </w:rPr>
          <w:t>5.2.2</w:t>
        </w:r>
        <w:r w:rsidR="00FB0EF2">
          <w:rPr>
            <w:rFonts w:eastAsiaTheme="minorEastAsia" w:cstheme="minorBidi"/>
            <w:noProof/>
            <w:sz w:val="22"/>
            <w:szCs w:val="22"/>
            <w:lang w:val="en-AU"/>
          </w:rPr>
          <w:tab/>
        </w:r>
        <w:r w:rsidR="00FB0EF2" w:rsidRPr="00230DEC">
          <w:rPr>
            <w:rStyle w:val="Hyperlink"/>
            <w:noProof/>
          </w:rPr>
          <w:t>Reflex cultures (new items)</w:t>
        </w:r>
        <w:r w:rsidR="00FB0EF2">
          <w:rPr>
            <w:noProof/>
            <w:webHidden/>
          </w:rPr>
          <w:tab/>
        </w:r>
        <w:r w:rsidR="00FB0EF2">
          <w:rPr>
            <w:noProof/>
            <w:webHidden/>
          </w:rPr>
          <w:fldChar w:fldCharType="begin"/>
        </w:r>
        <w:r w:rsidR="00FB0EF2">
          <w:rPr>
            <w:noProof/>
            <w:webHidden/>
          </w:rPr>
          <w:instrText xml:space="preserve"> PAGEREF _Toc12886609 \h </w:instrText>
        </w:r>
        <w:r w:rsidR="00FB0EF2">
          <w:rPr>
            <w:noProof/>
            <w:webHidden/>
          </w:rPr>
        </w:r>
        <w:r w:rsidR="00FB0EF2">
          <w:rPr>
            <w:noProof/>
            <w:webHidden/>
          </w:rPr>
          <w:fldChar w:fldCharType="separate"/>
        </w:r>
        <w:r w:rsidR="00FB0EF2">
          <w:rPr>
            <w:noProof/>
            <w:webHidden/>
          </w:rPr>
          <w:t>46</w:t>
        </w:r>
        <w:r w:rsidR="00FB0EF2">
          <w:rPr>
            <w:noProof/>
            <w:webHidden/>
          </w:rPr>
          <w:fldChar w:fldCharType="end"/>
        </w:r>
      </w:hyperlink>
    </w:p>
    <w:p w14:paraId="7803351D" w14:textId="77777777" w:rsidR="00FB0EF2" w:rsidRDefault="004B0F6A">
      <w:pPr>
        <w:pStyle w:val="TOC1"/>
        <w:rPr>
          <w:rFonts w:eastAsiaTheme="minorEastAsia" w:cstheme="minorBidi"/>
          <w:b w:val="0"/>
          <w:bCs w:val="0"/>
          <w:noProof/>
          <w:sz w:val="22"/>
          <w:szCs w:val="22"/>
          <w:lang w:val="en-AU"/>
        </w:rPr>
      </w:pPr>
      <w:hyperlink w:anchor="_Toc12886610" w:history="1">
        <w:r w:rsidR="00FB0EF2" w:rsidRPr="00230DEC">
          <w:rPr>
            <w:rStyle w:val="Hyperlink"/>
            <w:noProof/>
            <w:lang w:bidi="x-none"/>
            <w14:scene3d>
              <w14:camera w14:prst="orthographicFront"/>
              <w14:lightRig w14:rig="threePt" w14:dir="t">
                <w14:rot w14:lat="0" w14:lon="0" w14:rev="0"/>
              </w14:lightRig>
            </w14:scene3d>
          </w:rPr>
          <w:t>6.</w:t>
        </w:r>
        <w:r w:rsidR="00FB0EF2">
          <w:rPr>
            <w:rFonts w:eastAsiaTheme="minorEastAsia" w:cstheme="minorBidi"/>
            <w:b w:val="0"/>
            <w:bCs w:val="0"/>
            <w:noProof/>
            <w:sz w:val="22"/>
            <w:szCs w:val="22"/>
            <w:lang w:val="en-AU"/>
          </w:rPr>
          <w:tab/>
        </w:r>
        <w:r w:rsidR="00FB0EF2" w:rsidRPr="00230DEC">
          <w:rPr>
            <w:rStyle w:val="Hyperlink"/>
            <w:noProof/>
          </w:rPr>
          <w:t>References</w:t>
        </w:r>
        <w:r w:rsidR="00FB0EF2">
          <w:rPr>
            <w:noProof/>
            <w:webHidden/>
          </w:rPr>
          <w:tab/>
        </w:r>
        <w:r w:rsidR="00FB0EF2">
          <w:rPr>
            <w:noProof/>
            <w:webHidden/>
          </w:rPr>
          <w:fldChar w:fldCharType="begin"/>
        </w:r>
        <w:r w:rsidR="00FB0EF2">
          <w:rPr>
            <w:noProof/>
            <w:webHidden/>
          </w:rPr>
          <w:instrText xml:space="preserve"> PAGEREF _Toc12886610 \h </w:instrText>
        </w:r>
        <w:r w:rsidR="00FB0EF2">
          <w:rPr>
            <w:noProof/>
            <w:webHidden/>
          </w:rPr>
        </w:r>
        <w:r w:rsidR="00FB0EF2">
          <w:rPr>
            <w:noProof/>
            <w:webHidden/>
          </w:rPr>
          <w:fldChar w:fldCharType="separate"/>
        </w:r>
        <w:r w:rsidR="00FB0EF2">
          <w:rPr>
            <w:noProof/>
            <w:webHidden/>
          </w:rPr>
          <w:t>48</w:t>
        </w:r>
        <w:r w:rsidR="00FB0EF2">
          <w:rPr>
            <w:noProof/>
            <w:webHidden/>
          </w:rPr>
          <w:fldChar w:fldCharType="end"/>
        </w:r>
      </w:hyperlink>
    </w:p>
    <w:p w14:paraId="2E199551" w14:textId="77777777" w:rsidR="00FB0EF2" w:rsidRDefault="004B0F6A">
      <w:pPr>
        <w:pStyle w:val="TOC1"/>
        <w:rPr>
          <w:rFonts w:eastAsiaTheme="minorEastAsia" w:cstheme="minorBidi"/>
          <w:b w:val="0"/>
          <w:bCs w:val="0"/>
          <w:noProof/>
          <w:sz w:val="22"/>
          <w:szCs w:val="22"/>
          <w:lang w:val="en-AU"/>
        </w:rPr>
      </w:pPr>
      <w:hyperlink w:anchor="_Toc12886611" w:history="1">
        <w:r w:rsidR="00FB0EF2" w:rsidRPr="00230DEC">
          <w:rPr>
            <w:rStyle w:val="Hyperlink"/>
            <w:noProof/>
            <w:lang w:bidi="x-none"/>
            <w14:scene3d>
              <w14:camera w14:prst="orthographicFront"/>
              <w14:lightRig w14:rig="threePt" w14:dir="t">
                <w14:rot w14:lat="0" w14:lon="0" w14:rev="0"/>
              </w14:lightRig>
            </w14:scene3d>
          </w:rPr>
          <w:t>7.</w:t>
        </w:r>
        <w:r w:rsidR="00FB0EF2">
          <w:rPr>
            <w:rFonts w:eastAsiaTheme="minorEastAsia" w:cstheme="minorBidi"/>
            <w:b w:val="0"/>
            <w:bCs w:val="0"/>
            <w:noProof/>
            <w:sz w:val="22"/>
            <w:szCs w:val="22"/>
            <w:lang w:val="en-AU"/>
          </w:rPr>
          <w:tab/>
        </w:r>
        <w:r w:rsidR="00FB0EF2" w:rsidRPr="00230DEC">
          <w:rPr>
            <w:rStyle w:val="Hyperlink"/>
            <w:noProof/>
          </w:rPr>
          <w:t>Appendix A—</w:t>
        </w:r>
        <w:r w:rsidR="00FB0EF2" w:rsidRPr="00230DEC">
          <w:rPr>
            <w:rStyle w:val="Hyperlink"/>
            <w:noProof/>
            <w:lang w:val="en-AU"/>
          </w:rPr>
          <w:t>Assigned and referred items: recommendations</w:t>
        </w:r>
        <w:r w:rsidR="00FB0EF2">
          <w:rPr>
            <w:noProof/>
            <w:webHidden/>
          </w:rPr>
          <w:tab/>
        </w:r>
        <w:r w:rsidR="00FB0EF2">
          <w:rPr>
            <w:noProof/>
            <w:webHidden/>
          </w:rPr>
          <w:fldChar w:fldCharType="begin"/>
        </w:r>
        <w:r w:rsidR="00FB0EF2">
          <w:rPr>
            <w:noProof/>
            <w:webHidden/>
          </w:rPr>
          <w:instrText xml:space="preserve"> PAGEREF _Toc12886611 \h </w:instrText>
        </w:r>
        <w:r w:rsidR="00FB0EF2">
          <w:rPr>
            <w:noProof/>
            <w:webHidden/>
          </w:rPr>
        </w:r>
        <w:r w:rsidR="00FB0EF2">
          <w:rPr>
            <w:noProof/>
            <w:webHidden/>
          </w:rPr>
          <w:fldChar w:fldCharType="separate"/>
        </w:r>
        <w:r w:rsidR="00FB0EF2">
          <w:rPr>
            <w:noProof/>
            <w:webHidden/>
          </w:rPr>
          <w:t>51</w:t>
        </w:r>
        <w:r w:rsidR="00FB0EF2">
          <w:rPr>
            <w:noProof/>
            <w:webHidden/>
          </w:rPr>
          <w:fldChar w:fldCharType="end"/>
        </w:r>
      </w:hyperlink>
    </w:p>
    <w:p w14:paraId="268220F7" w14:textId="77777777" w:rsidR="00FB0EF2" w:rsidRDefault="004B0F6A">
      <w:pPr>
        <w:pStyle w:val="TOC1"/>
        <w:rPr>
          <w:rFonts w:eastAsiaTheme="minorEastAsia" w:cstheme="minorBidi"/>
          <w:b w:val="0"/>
          <w:bCs w:val="0"/>
          <w:noProof/>
          <w:sz w:val="22"/>
          <w:szCs w:val="22"/>
          <w:lang w:val="en-AU"/>
        </w:rPr>
      </w:pPr>
      <w:hyperlink w:anchor="_Toc12886612" w:history="1">
        <w:r w:rsidR="00FB0EF2" w:rsidRPr="00230DEC">
          <w:rPr>
            <w:rStyle w:val="Hyperlink"/>
            <w:noProof/>
            <w:lang w:bidi="x-none"/>
            <w14:scene3d>
              <w14:camera w14:prst="orthographicFront"/>
              <w14:lightRig w14:rig="threePt" w14:dir="t">
                <w14:rot w14:lat="0" w14:lon="0" w14:rev="0"/>
              </w14:lightRig>
            </w14:scene3d>
          </w:rPr>
          <w:t>8.</w:t>
        </w:r>
        <w:r w:rsidR="00FB0EF2">
          <w:rPr>
            <w:rFonts w:eastAsiaTheme="minorEastAsia" w:cstheme="minorBidi"/>
            <w:b w:val="0"/>
            <w:bCs w:val="0"/>
            <w:noProof/>
            <w:sz w:val="22"/>
            <w:szCs w:val="22"/>
            <w:lang w:val="en-AU"/>
          </w:rPr>
          <w:tab/>
        </w:r>
        <w:r w:rsidR="00FB0EF2" w:rsidRPr="00230DEC">
          <w:rPr>
            <w:rStyle w:val="Hyperlink"/>
            <w:noProof/>
          </w:rPr>
          <w:t>Appendix B—New items</w:t>
        </w:r>
        <w:r w:rsidR="00FB0EF2">
          <w:rPr>
            <w:noProof/>
            <w:webHidden/>
          </w:rPr>
          <w:tab/>
        </w:r>
        <w:r w:rsidR="00FB0EF2">
          <w:rPr>
            <w:noProof/>
            <w:webHidden/>
          </w:rPr>
          <w:fldChar w:fldCharType="begin"/>
        </w:r>
        <w:r w:rsidR="00FB0EF2">
          <w:rPr>
            <w:noProof/>
            <w:webHidden/>
          </w:rPr>
          <w:instrText xml:space="preserve"> PAGEREF _Toc12886612 \h </w:instrText>
        </w:r>
        <w:r w:rsidR="00FB0EF2">
          <w:rPr>
            <w:noProof/>
            <w:webHidden/>
          </w:rPr>
        </w:r>
        <w:r w:rsidR="00FB0EF2">
          <w:rPr>
            <w:noProof/>
            <w:webHidden/>
          </w:rPr>
          <w:fldChar w:fldCharType="separate"/>
        </w:r>
        <w:r w:rsidR="00FB0EF2">
          <w:rPr>
            <w:noProof/>
            <w:webHidden/>
          </w:rPr>
          <w:t>57</w:t>
        </w:r>
        <w:r w:rsidR="00FB0EF2">
          <w:rPr>
            <w:noProof/>
            <w:webHidden/>
          </w:rPr>
          <w:fldChar w:fldCharType="end"/>
        </w:r>
      </w:hyperlink>
    </w:p>
    <w:p w14:paraId="693763B8" w14:textId="77777777" w:rsidR="00FB0EF2" w:rsidRDefault="004B0F6A">
      <w:pPr>
        <w:pStyle w:val="TOC1"/>
        <w:rPr>
          <w:rFonts w:eastAsiaTheme="minorEastAsia" w:cstheme="minorBidi"/>
          <w:b w:val="0"/>
          <w:bCs w:val="0"/>
          <w:noProof/>
          <w:sz w:val="22"/>
          <w:szCs w:val="22"/>
          <w:lang w:val="en-AU"/>
        </w:rPr>
      </w:pPr>
      <w:hyperlink w:anchor="_Toc12886613" w:history="1">
        <w:r w:rsidR="00FB0EF2" w:rsidRPr="00230DEC">
          <w:rPr>
            <w:rStyle w:val="Hyperlink"/>
            <w:noProof/>
            <w:lang w:bidi="x-none"/>
            <w14:scene3d>
              <w14:camera w14:prst="orthographicFront"/>
              <w14:lightRig w14:rig="threePt" w14:dir="t">
                <w14:rot w14:lat="0" w14:lon="0" w14:rev="0"/>
              </w14:lightRig>
            </w14:scene3d>
          </w:rPr>
          <w:t>9.</w:t>
        </w:r>
        <w:r w:rsidR="00FB0EF2">
          <w:rPr>
            <w:rFonts w:eastAsiaTheme="minorEastAsia" w:cstheme="minorBidi"/>
            <w:b w:val="0"/>
            <w:bCs w:val="0"/>
            <w:noProof/>
            <w:sz w:val="22"/>
            <w:szCs w:val="22"/>
            <w:lang w:val="en-AU"/>
          </w:rPr>
          <w:tab/>
        </w:r>
        <w:r w:rsidR="00FB0EF2" w:rsidRPr="00230DEC">
          <w:rPr>
            <w:rStyle w:val="Hyperlink"/>
            <w:noProof/>
          </w:rPr>
          <w:t>Appendix C—Summary for consumers</w:t>
        </w:r>
        <w:r w:rsidR="00FB0EF2">
          <w:rPr>
            <w:noProof/>
            <w:webHidden/>
          </w:rPr>
          <w:tab/>
        </w:r>
        <w:r w:rsidR="00FB0EF2">
          <w:rPr>
            <w:noProof/>
            <w:webHidden/>
          </w:rPr>
          <w:fldChar w:fldCharType="begin"/>
        </w:r>
        <w:r w:rsidR="00FB0EF2">
          <w:rPr>
            <w:noProof/>
            <w:webHidden/>
          </w:rPr>
          <w:instrText xml:space="preserve"> PAGEREF _Toc12886613 \h </w:instrText>
        </w:r>
        <w:r w:rsidR="00FB0EF2">
          <w:rPr>
            <w:noProof/>
            <w:webHidden/>
          </w:rPr>
        </w:r>
        <w:r w:rsidR="00FB0EF2">
          <w:rPr>
            <w:noProof/>
            <w:webHidden/>
          </w:rPr>
          <w:fldChar w:fldCharType="separate"/>
        </w:r>
        <w:r w:rsidR="00FB0EF2">
          <w:rPr>
            <w:noProof/>
            <w:webHidden/>
          </w:rPr>
          <w:t>61</w:t>
        </w:r>
        <w:r w:rsidR="00FB0EF2">
          <w:rPr>
            <w:noProof/>
            <w:webHidden/>
          </w:rPr>
          <w:fldChar w:fldCharType="end"/>
        </w:r>
      </w:hyperlink>
    </w:p>
    <w:p w14:paraId="0CF96855" w14:textId="77777777" w:rsidR="00FB0EF2" w:rsidRDefault="004B0F6A">
      <w:pPr>
        <w:pStyle w:val="TOC1"/>
        <w:rPr>
          <w:rFonts w:eastAsiaTheme="minorEastAsia" w:cstheme="minorBidi"/>
          <w:b w:val="0"/>
          <w:bCs w:val="0"/>
          <w:noProof/>
          <w:sz w:val="22"/>
          <w:szCs w:val="22"/>
          <w:lang w:val="en-AU"/>
        </w:rPr>
      </w:pPr>
      <w:hyperlink w:anchor="_Toc12886614" w:history="1">
        <w:r w:rsidR="00FB0EF2" w:rsidRPr="00230DEC">
          <w:rPr>
            <w:rStyle w:val="Hyperlink"/>
            <w:noProof/>
            <w:lang w:bidi="x-none"/>
            <w14:scene3d>
              <w14:camera w14:prst="orthographicFront"/>
              <w14:lightRig w14:rig="threePt" w14:dir="t">
                <w14:rot w14:lat="0" w14:lon="0" w14:rev="0"/>
              </w14:lightRig>
            </w14:scene3d>
          </w:rPr>
          <w:t>10.</w:t>
        </w:r>
        <w:r w:rsidR="00FB0EF2">
          <w:rPr>
            <w:rFonts w:eastAsiaTheme="minorEastAsia" w:cstheme="minorBidi"/>
            <w:b w:val="0"/>
            <w:bCs w:val="0"/>
            <w:noProof/>
            <w:sz w:val="22"/>
            <w:szCs w:val="22"/>
            <w:lang w:val="en-AU"/>
          </w:rPr>
          <w:tab/>
        </w:r>
        <w:r w:rsidR="00FB0EF2" w:rsidRPr="00230DEC">
          <w:rPr>
            <w:rStyle w:val="Hyperlink"/>
            <w:noProof/>
          </w:rPr>
          <w:t>Appendix D—Glossary</w:t>
        </w:r>
        <w:r w:rsidR="00FB0EF2">
          <w:rPr>
            <w:noProof/>
            <w:webHidden/>
          </w:rPr>
          <w:tab/>
        </w:r>
        <w:r w:rsidR="00FB0EF2">
          <w:rPr>
            <w:noProof/>
            <w:webHidden/>
          </w:rPr>
          <w:fldChar w:fldCharType="begin"/>
        </w:r>
        <w:r w:rsidR="00FB0EF2">
          <w:rPr>
            <w:noProof/>
            <w:webHidden/>
          </w:rPr>
          <w:instrText xml:space="preserve"> PAGEREF _Toc12886614 \h </w:instrText>
        </w:r>
        <w:r w:rsidR="00FB0EF2">
          <w:rPr>
            <w:noProof/>
            <w:webHidden/>
          </w:rPr>
        </w:r>
        <w:r w:rsidR="00FB0EF2">
          <w:rPr>
            <w:noProof/>
            <w:webHidden/>
          </w:rPr>
          <w:fldChar w:fldCharType="separate"/>
        </w:r>
        <w:r w:rsidR="00FB0EF2">
          <w:rPr>
            <w:noProof/>
            <w:webHidden/>
          </w:rPr>
          <w:t>67</w:t>
        </w:r>
        <w:r w:rsidR="00FB0EF2">
          <w:rPr>
            <w:noProof/>
            <w:webHidden/>
          </w:rPr>
          <w:fldChar w:fldCharType="end"/>
        </w:r>
      </w:hyperlink>
    </w:p>
    <w:p w14:paraId="57243A3A" w14:textId="77777777" w:rsidR="00CA7016" w:rsidRDefault="00CA7016" w:rsidP="00CA7016">
      <w:pPr>
        <w:pStyle w:val="TableofFigures"/>
        <w:tabs>
          <w:tab w:val="right" w:leader="dot" w:pos="9016"/>
        </w:tabs>
        <w:rPr>
          <w:b/>
          <w:color w:val="01653F"/>
          <w:sz w:val="32"/>
          <w:lang w:val="en-AU"/>
        </w:rPr>
      </w:pPr>
      <w:r w:rsidRPr="00FC1976">
        <w:rPr>
          <w:lang w:val="en-AU"/>
        </w:rPr>
        <w:fldChar w:fldCharType="end"/>
      </w:r>
      <w:r w:rsidRPr="00FC1976">
        <w:rPr>
          <w:b/>
          <w:color w:val="01653F"/>
          <w:sz w:val="32"/>
          <w:lang w:val="en-AU"/>
        </w:rPr>
        <w:t>Tables</w:t>
      </w:r>
    </w:p>
    <w:p w14:paraId="23DAA980" w14:textId="77777777" w:rsidR="009E27E7" w:rsidRDefault="00CA7016">
      <w:pPr>
        <w:pStyle w:val="TableofFigures"/>
        <w:tabs>
          <w:tab w:val="right" w:leader="dot" w:pos="9016"/>
        </w:tabs>
        <w:rPr>
          <w:rFonts w:eastAsiaTheme="minorEastAsia" w:cstheme="minorBidi"/>
          <w:bCs w:val="0"/>
          <w:noProof/>
          <w:sz w:val="22"/>
          <w:szCs w:val="22"/>
          <w:lang w:val="en-AU"/>
        </w:rPr>
      </w:pPr>
      <w:r>
        <w:rPr>
          <w:lang w:val="en-AU"/>
        </w:rPr>
        <w:fldChar w:fldCharType="begin"/>
      </w:r>
      <w:r>
        <w:rPr>
          <w:lang w:val="en-AU"/>
        </w:rPr>
        <w:instrText xml:space="preserve"> TOC \c "Table" </w:instrText>
      </w:r>
      <w:r>
        <w:rPr>
          <w:lang w:val="en-AU"/>
        </w:rPr>
        <w:fldChar w:fldCharType="separate"/>
      </w:r>
      <w:r w:rsidR="009E27E7">
        <w:rPr>
          <w:noProof/>
        </w:rPr>
        <w:t>Table 1: Pathology Clinical Committee members</w:t>
      </w:r>
      <w:r w:rsidR="009E27E7">
        <w:rPr>
          <w:noProof/>
        </w:rPr>
        <w:tab/>
      </w:r>
      <w:r w:rsidR="009E27E7">
        <w:rPr>
          <w:noProof/>
        </w:rPr>
        <w:fldChar w:fldCharType="begin"/>
      </w:r>
      <w:r w:rsidR="009E27E7">
        <w:rPr>
          <w:noProof/>
        </w:rPr>
        <w:instrText xml:space="preserve"> PAGEREF _Toc12953451 \h </w:instrText>
      </w:r>
      <w:r w:rsidR="009E27E7">
        <w:rPr>
          <w:noProof/>
        </w:rPr>
      </w:r>
      <w:r w:rsidR="009E27E7">
        <w:rPr>
          <w:noProof/>
        </w:rPr>
        <w:fldChar w:fldCharType="separate"/>
      </w:r>
      <w:r w:rsidR="009E27E7">
        <w:rPr>
          <w:noProof/>
        </w:rPr>
        <w:t>8</w:t>
      </w:r>
      <w:r w:rsidR="009E27E7">
        <w:rPr>
          <w:noProof/>
        </w:rPr>
        <w:fldChar w:fldCharType="end"/>
      </w:r>
    </w:p>
    <w:p w14:paraId="16A55298"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2: Microbiology Working Group members</w:t>
      </w:r>
      <w:r>
        <w:rPr>
          <w:noProof/>
        </w:rPr>
        <w:tab/>
      </w:r>
      <w:r>
        <w:rPr>
          <w:noProof/>
        </w:rPr>
        <w:fldChar w:fldCharType="begin"/>
      </w:r>
      <w:r>
        <w:rPr>
          <w:noProof/>
        </w:rPr>
        <w:instrText xml:space="preserve"> PAGEREF _Toc12953452 \h </w:instrText>
      </w:r>
      <w:r>
        <w:rPr>
          <w:noProof/>
        </w:rPr>
      </w:r>
      <w:r>
        <w:rPr>
          <w:noProof/>
        </w:rPr>
        <w:fldChar w:fldCharType="separate"/>
      </w:r>
      <w:r>
        <w:rPr>
          <w:noProof/>
        </w:rPr>
        <w:t>9</w:t>
      </w:r>
      <w:r>
        <w:rPr>
          <w:noProof/>
        </w:rPr>
        <w:fldChar w:fldCharType="end"/>
      </w:r>
    </w:p>
    <w:p w14:paraId="5F5E4272"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3: Item introduction table for items 69494—69498</w:t>
      </w:r>
      <w:r>
        <w:rPr>
          <w:noProof/>
        </w:rPr>
        <w:tab/>
      </w:r>
      <w:r>
        <w:rPr>
          <w:noProof/>
        </w:rPr>
        <w:fldChar w:fldCharType="begin"/>
      </w:r>
      <w:r>
        <w:rPr>
          <w:noProof/>
        </w:rPr>
        <w:instrText xml:space="preserve"> PAGEREF _Toc12953453 \h </w:instrText>
      </w:r>
      <w:r>
        <w:rPr>
          <w:noProof/>
        </w:rPr>
      </w:r>
      <w:r>
        <w:rPr>
          <w:noProof/>
        </w:rPr>
        <w:fldChar w:fldCharType="separate"/>
      </w:r>
      <w:r>
        <w:rPr>
          <w:noProof/>
        </w:rPr>
        <w:t>10</w:t>
      </w:r>
      <w:r>
        <w:rPr>
          <w:noProof/>
        </w:rPr>
        <w:fldChar w:fldCharType="end"/>
      </w:r>
    </w:p>
    <w:p w14:paraId="3E27F637"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4: Proposed system structure and example of potential future syndromic structure</w:t>
      </w:r>
      <w:r>
        <w:rPr>
          <w:noProof/>
        </w:rPr>
        <w:tab/>
      </w:r>
      <w:r>
        <w:rPr>
          <w:noProof/>
        </w:rPr>
        <w:fldChar w:fldCharType="begin"/>
      </w:r>
      <w:r>
        <w:rPr>
          <w:noProof/>
        </w:rPr>
        <w:instrText xml:space="preserve"> PAGEREF _Toc12953454 \h </w:instrText>
      </w:r>
      <w:r>
        <w:rPr>
          <w:noProof/>
        </w:rPr>
      </w:r>
      <w:r>
        <w:rPr>
          <w:noProof/>
        </w:rPr>
        <w:fldChar w:fldCharType="separate"/>
      </w:r>
      <w:r>
        <w:rPr>
          <w:noProof/>
        </w:rPr>
        <w:t>13</w:t>
      </w:r>
      <w:r>
        <w:rPr>
          <w:noProof/>
        </w:rPr>
        <w:fldChar w:fldCharType="end"/>
      </w:r>
    </w:p>
    <w:p w14:paraId="1E1D7DEA"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5: Item introduction table for item 69363, 69336, 69339, 69345</w:t>
      </w:r>
      <w:r>
        <w:rPr>
          <w:noProof/>
        </w:rPr>
        <w:tab/>
      </w:r>
      <w:r>
        <w:rPr>
          <w:noProof/>
        </w:rPr>
        <w:fldChar w:fldCharType="begin"/>
      </w:r>
      <w:r>
        <w:rPr>
          <w:noProof/>
        </w:rPr>
        <w:instrText xml:space="preserve"> PAGEREF _Toc12953455 \h </w:instrText>
      </w:r>
      <w:r>
        <w:rPr>
          <w:noProof/>
        </w:rPr>
      </w:r>
      <w:r>
        <w:rPr>
          <w:noProof/>
        </w:rPr>
        <w:fldChar w:fldCharType="separate"/>
      </w:r>
      <w:r>
        <w:rPr>
          <w:noProof/>
        </w:rPr>
        <w:t>13</w:t>
      </w:r>
      <w:r>
        <w:rPr>
          <w:noProof/>
        </w:rPr>
        <w:fldChar w:fldCharType="end"/>
      </w:r>
    </w:p>
    <w:p w14:paraId="6C743CFE"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6: Proposed changes to tests for gastrointestinal pathogens</w:t>
      </w:r>
      <w:r>
        <w:rPr>
          <w:noProof/>
        </w:rPr>
        <w:tab/>
      </w:r>
      <w:r>
        <w:rPr>
          <w:noProof/>
        </w:rPr>
        <w:fldChar w:fldCharType="begin"/>
      </w:r>
      <w:r>
        <w:rPr>
          <w:noProof/>
        </w:rPr>
        <w:instrText xml:space="preserve"> PAGEREF _Toc12953456 \h </w:instrText>
      </w:r>
      <w:r>
        <w:rPr>
          <w:noProof/>
        </w:rPr>
      </w:r>
      <w:r>
        <w:rPr>
          <w:noProof/>
        </w:rPr>
        <w:fldChar w:fldCharType="separate"/>
      </w:r>
      <w:r>
        <w:rPr>
          <w:noProof/>
        </w:rPr>
        <w:t>14</w:t>
      </w:r>
      <w:r>
        <w:rPr>
          <w:noProof/>
        </w:rPr>
        <w:fldChar w:fldCharType="end"/>
      </w:r>
    </w:p>
    <w:p w14:paraId="4254C4F3"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7: Item introduction table for items 69312, 69316, 69317 and 69319</w:t>
      </w:r>
      <w:r>
        <w:rPr>
          <w:noProof/>
        </w:rPr>
        <w:tab/>
      </w:r>
      <w:r>
        <w:rPr>
          <w:noProof/>
        </w:rPr>
        <w:fldChar w:fldCharType="begin"/>
      </w:r>
      <w:r>
        <w:rPr>
          <w:noProof/>
        </w:rPr>
        <w:instrText xml:space="preserve"> PAGEREF _Toc12953457 \h </w:instrText>
      </w:r>
      <w:r>
        <w:rPr>
          <w:noProof/>
        </w:rPr>
      </w:r>
      <w:r>
        <w:rPr>
          <w:noProof/>
        </w:rPr>
        <w:fldChar w:fldCharType="separate"/>
      </w:r>
      <w:r>
        <w:rPr>
          <w:noProof/>
        </w:rPr>
        <w:t>16</w:t>
      </w:r>
      <w:r>
        <w:rPr>
          <w:noProof/>
        </w:rPr>
        <w:fldChar w:fldCharType="end"/>
      </w:r>
    </w:p>
    <w:p w14:paraId="49146EAD"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8: Proposed changes to tests for urogenital pathogens</w:t>
      </w:r>
      <w:r>
        <w:rPr>
          <w:noProof/>
        </w:rPr>
        <w:tab/>
      </w:r>
      <w:r>
        <w:rPr>
          <w:noProof/>
        </w:rPr>
        <w:fldChar w:fldCharType="begin"/>
      </w:r>
      <w:r>
        <w:rPr>
          <w:noProof/>
        </w:rPr>
        <w:instrText xml:space="preserve"> PAGEREF _Toc12953458 \h </w:instrText>
      </w:r>
      <w:r>
        <w:rPr>
          <w:noProof/>
        </w:rPr>
      </w:r>
      <w:r>
        <w:rPr>
          <w:noProof/>
        </w:rPr>
        <w:fldChar w:fldCharType="separate"/>
      </w:r>
      <w:r>
        <w:rPr>
          <w:noProof/>
        </w:rPr>
        <w:t>17</w:t>
      </w:r>
      <w:r>
        <w:rPr>
          <w:noProof/>
        </w:rPr>
        <w:fldChar w:fldCharType="end"/>
      </w:r>
    </w:p>
    <w:p w14:paraId="2FE6B8DE"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9: Proposed changes to tests for respiratory pathogens</w:t>
      </w:r>
      <w:r>
        <w:rPr>
          <w:noProof/>
        </w:rPr>
        <w:tab/>
      </w:r>
      <w:r>
        <w:rPr>
          <w:noProof/>
        </w:rPr>
        <w:fldChar w:fldCharType="begin"/>
      </w:r>
      <w:r>
        <w:rPr>
          <w:noProof/>
        </w:rPr>
        <w:instrText xml:space="preserve"> PAGEREF _Toc12953459 \h </w:instrText>
      </w:r>
      <w:r>
        <w:rPr>
          <w:noProof/>
        </w:rPr>
      </w:r>
      <w:r>
        <w:rPr>
          <w:noProof/>
        </w:rPr>
        <w:fldChar w:fldCharType="separate"/>
      </w:r>
      <w:r>
        <w:rPr>
          <w:noProof/>
        </w:rPr>
        <w:t>19</w:t>
      </w:r>
      <w:r>
        <w:rPr>
          <w:noProof/>
        </w:rPr>
        <w:fldChar w:fldCharType="end"/>
      </w:r>
    </w:p>
    <w:p w14:paraId="414EE435"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 xml:space="preserve">Table 10: Proposed changes to tests for </w:t>
      </w:r>
      <w:r w:rsidRPr="002812D7">
        <w:rPr>
          <w:i/>
          <w:noProof/>
        </w:rPr>
        <w:t>M. tuberculosis</w:t>
      </w:r>
      <w:r>
        <w:rPr>
          <w:noProof/>
        </w:rPr>
        <w:tab/>
      </w:r>
      <w:r>
        <w:rPr>
          <w:noProof/>
        </w:rPr>
        <w:fldChar w:fldCharType="begin"/>
      </w:r>
      <w:r>
        <w:rPr>
          <w:noProof/>
        </w:rPr>
        <w:instrText xml:space="preserve"> PAGEREF _Toc12953460 \h </w:instrText>
      </w:r>
      <w:r>
        <w:rPr>
          <w:noProof/>
        </w:rPr>
      </w:r>
      <w:r>
        <w:rPr>
          <w:noProof/>
        </w:rPr>
        <w:fldChar w:fldCharType="separate"/>
      </w:r>
      <w:r>
        <w:rPr>
          <w:noProof/>
        </w:rPr>
        <w:t>19</w:t>
      </w:r>
      <w:r>
        <w:rPr>
          <w:noProof/>
        </w:rPr>
        <w:fldChar w:fldCharType="end"/>
      </w:r>
    </w:p>
    <w:p w14:paraId="0A958AA4"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 xml:space="preserve">Table </w:t>
      </w:r>
      <w:r w:rsidRPr="002812D7">
        <w:rPr>
          <w:noProof/>
        </w:rPr>
        <w:t>11</w:t>
      </w:r>
      <w:r>
        <w:rPr>
          <w:noProof/>
        </w:rPr>
        <w:t>: Proposed changes IGRA tests for latent tuberculosis</w:t>
      </w:r>
      <w:r>
        <w:rPr>
          <w:noProof/>
        </w:rPr>
        <w:tab/>
      </w:r>
      <w:r>
        <w:rPr>
          <w:noProof/>
        </w:rPr>
        <w:fldChar w:fldCharType="begin"/>
      </w:r>
      <w:r>
        <w:rPr>
          <w:noProof/>
        </w:rPr>
        <w:instrText xml:space="preserve"> PAGEREF _Toc12953461 \h </w:instrText>
      </w:r>
      <w:r>
        <w:rPr>
          <w:noProof/>
        </w:rPr>
      </w:r>
      <w:r>
        <w:rPr>
          <w:noProof/>
        </w:rPr>
        <w:fldChar w:fldCharType="separate"/>
      </w:r>
      <w:r>
        <w:rPr>
          <w:noProof/>
        </w:rPr>
        <w:t>20</w:t>
      </w:r>
      <w:r>
        <w:rPr>
          <w:noProof/>
        </w:rPr>
        <w:fldChar w:fldCharType="end"/>
      </w:r>
    </w:p>
    <w:p w14:paraId="25F470B3"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12: Proposed changes to tests for skin and superficial site pathogens</w:t>
      </w:r>
      <w:r>
        <w:rPr>
          <w:noProof/>
        </w:rPr>
        <w:tab/>
      </w:r>
      <w:r>
        <w:rPr>
          <w:noProof/>
        </w:rPr>
        <w:fldChar w:fldCharType="begin"/>
      </w:r>
      <w:r>
        <w:rPr>
          <w:noProof/>
        </w:rPr>
        <w:instrText xml:space="preserve"> PAGEREF _Toc12953462 \h </w:instrText>
      </w:r>
      <w:r>
        <w:rPr>
          <w:noProof/>
        </w:rPr>
      </w:r>
      <w:r>
        <w:rPr>
          <w:noProof/>
        </w:rPr>
        <w:fldChar w:fldCharType="separate"/>
      </w:r>
      <w:r>
        <w:rPr>
          <w:noProof/>
        </w:rPr>
        <w:t>21</w:t>
      </w:r>
      <w:r>
        <w:rPr>
          <w:noProof/>
        </w:rPr>
        <w:fldChar w:fldCharType="end"/>
      </w:r>
    </w:p>
    <w:p w14:paraId="2D944291"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13: Proposed changes to tests for sterile site pathogens</w:t>
      </w:r>
      <w:r>
        <w:rPr>
          <w:noProof/>
        </w:rPr>
        <w:tab/>
      </w:r>
      <w:r>
        <w:rPr>
          <w:noProof/>
        </w:rPr>
        <w:fldChar w:fldCharType="begin"/>
      </w:r>
      <w:r>
        <w:rPr>
          <w:noProof/>
        </w:rPr>
        <w:instrText xml:space="preserve"> PAGEREF _Toc12953463 \h </w:instrText>
      </w:r>
      <w:r>
        <w:rPr>
          <w:noProof/>
        </w:rPr>
      </w:r>
      <w:r>
        <w:rPr>
          <w:noProof/>
        </w:rPr>
        <w:fldChar w:fldCharType="separate"/>
      </w:r>
      <w:r>
        <w:rPr>
          <w:noProof/>
        </w:rPr>
        <w:t>21</w:t>
      </w:r>
      <w:r>
        <w:rPr>
          <w:noProof/>
        </w:rPr>
        <w:fldChar w:fldCharType="end"/>
      </w:r>
    </w:p>
    <w:p w14:paraId="2BCA8FB7"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14: Proposed changes to NAAT testing for organisms not elsewhere specified</w:t>
      </w:r>
      <w:r>
        <w:rPr>
          <w:noProof/>
        </w:rPr>
        <w:tab/>
      </w:r>
      <w:r>
        <w:rPr>
          <w:noProof/>
        </w:rPr>
        <w:fldChar w:fldCharType="begin"/>
      </w:r>
      <w:r>
        <w:rPr>
          <w:noProof/>
        </w:rPr>
        <w:instrText xml:space="preserve"> PAGEREF _Toc12953464 \h </w:instrText>
      </w:r>
      <w:r>
        <w:rPr>
          <w:noProof/>
        </w:rPr>
      </w:r>
      <w:r>
        <w:rPr>
          <w:noProof/>
        </w:rPr>
        <w:fldChar w:fldCharType="separate"/>
      </w:r>
      <w:r>
        <w:rPr>
          <w:noProof/>
        </w:rPr>
        <w:t>22</w:t>
      </w:r>
      <w:r>
        <w:rPr>
          <w:noProof/>
        </w:rPr>
        <w:fldChar w:fldCharType="end"/>
      </w:r>
    </w:p>
    <w:p w14:paraId="14F82D8F"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15: Item introduction table for items 69475-69484</w:t>
      </w:r>
      <w:r>
        <w:rPr>
          <w:noProof/>
        </w:rPr>
        <w:tab/>
      </w:r>
      <w:r>
        <w:rPr>
          <w:noProof/>
        </w:rPr>
        <w:fldChar w:fldCharType="begin"/>
      </w:r>
      <w:r>
        <w:rPr>
          <w:noProof/>
        </w:rPr>
        <w:instrText xml:space="preserve"> PAGEREF _Toc12953465 \h </w:instrText>
      </w:r>
      <w:r>
        <w:rPr>
          <w:noProof/>
        </w:rPr>
      </w:r>
      <w:r>
        <w:rPr>
          <w:noProof/>
        </w:rPr>
        <w:fldChar w:fldCharType="separate"/>
      </w:r>
      <w:r>
        <w:rPr>
          <w:noProof/>
        </w:rPr>
        <w:t>23</w:t>
      </w:r>
      <w:r>
        <w:rPr>
          <w:noProof/>
        </w:rPr>
        <w:fldChar w:fldCharType="end"/>
      </w:r>
    </w:p>
    <w:p w14:paraId="0FF884C5"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16: Ideal model—restructure of the hepatitis serology items</w:t>
      </w:r>
      <w:r>
        <w:rPr>
          <w:noProof/>
        </w:rPr>
        <w:tab/>
      </w:r>
      <w:r>
        <w:rPr>
          <w:noProof/>
        </w:rPr>
        <w:fldChar w:fldCharType="begin"/>
      </w:r>
      <w:r>
        <w:rPr>
          <w:noProof/>
        </w:rPr>
        <w:instrText xml:space="preserve"> PAGEREF _Toc12953466 \h </w:instrText>
      </w:r>
      <w:r>
        <w:rPr>
          <w:noProof/>
        </w:rPr>
      </w:r>
      <w:r>
        <w:rPr>
          <w:noProof/>
        </w:rPr>
        <w:fldChar w:fldCharType="separate"/>
      </w:r>
      <w:r>
        <w:rPr>
          <w:noProof/>
        </w:rPr>
        <w:t>23</w:t>
      </w:r>
      <w:r>
        <w:rPr>
          <w:noProof/>
        </w:rPr>
        <w:fldChar w:fldCharType="end"/>
      </w:r>
    </w:p>
    <w:p w14:paraId="4C0A276C"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17: Proposed changes—interim model for hepatitis serology items</w:t>
      </w:r>
      <w:r>
        <w:rPr>
          <w:noProof/>
        </w:rPr>
        <w:tab/>
      </w:r>
      <w:r>
        <w:rPr>
          <w:noProof/>
        </w:rPr>
        <w:fldChar w:fldCharType="begin"/>
      </w:r>
      <w:r>
        <w:rPr>
          <w:noProof/>
        </w:rPr>
        <w:instrText xml:space="preserve"> PAGEREF _Toc12953467 \h </w:instrText>
      </w:r>
      <w:r>
        <w:rPr>
          <w:noProof/>
        </w:rPr>
      </w:r>
      <w:r>
        <w:rPr>
          <w:noProof/>
        </w:rPr>
        <w:fldChar w:fldCharType="separate"/>
      </w:r>
      <w:r>
        <w:rPr>
          <w:noProof/>
        </w:rPr>
        <w:t>24</w:t>
      </w:r>
      <w:r>
        <w:rPr>
          <w:noProof/>
        </w:rPr>
        <w:fldChar w:fldCharType="end"/>
      </w:r>
    </w:p>
    <w:p w14:paraId="3C973A5E"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18: Item introduction table for items 69384–69401, 69472 and 69474</w:t>
      </w:r>
      <w:r>
        <w:rPr>
          <w:noProof/>
        </w:rPr>
        <w:tab/>
      </w:r>
      <w:r>
        <w:rPr>
          <w:noProof/>
        </w:rPr>
        <w:fldChar w:fldCharType="begin"/>
      </w:r>
      <w:r>
        <w:rPr>
          <w:noProof/>
        </w:rPr>
        <w:instrText xml:space="preserve"> PAGEREF _Toc12953468 \h </w:instrText>
      </w:r>
      <w:r>
        <w:rPr>
          <w:noProof/>
        </w:rPr>
      </w:r>
      <w:r>
        <w:rPr>
          <w:noProof/>
        </w:rPr>
        <w:fldChar w:fldCharType="separate"/>
      </w:r>
      <w:r>
        <w:rPr>
          <w:noProof/>
        </w:rPr>
        <w:t>26</w:t>
      </w:r>
      <w:r>
        <w:rPr>
          <w:noProof/>
        </w:rPr>
        <w:fldChar w:fldCharType="end"/>
      </w:r>
    </w:p>
    <w:p w14:paraId="10A703B7"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19: Proposed changes to the serology items 69384-69401, 69472 and 69474</w:t>
      </w:r>
      <w:r>
        <w:rPr>
          <w:noProof/>
        </w:rPr>
        <w:tab/>
      </w:r>
      <w:r>
        <w:rPr>
          <w:noProof/>
        </w:rPr>
        <w:fldChar w:fldCharType="begin"/>
      </w:r>
      <w:r>
        <w:rPr>
          <w:noProof/>
        </w:rPr>
        <w:instrText xml:space="preserve"> PAGEREF _Toc12953469 \h </w:instrText>
      </w:r>
      <w:r>
        <w:rPr>
          <w:noProof/>
        </w:rPr>
      </w:r>
      <w:r>
        <w:rPr>
          <w:noProof/>
        </w:rPr>
        <w:fldChar w:fldCharType="separate"/>
      </w:r>
      <w:r>
        <w:rPr>
          <w:noProof/>
        </w:rPr>
        <w:t>27</w:t>
      </w:r>
      <w:r>
        <w:rPr>
          <w:noProof/>
        </w:rPr>
        <w:fldChar w:fldCharType="end"/>
      </w:r>
    </w:p>
    <w:p w14:paraId="7246359B"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20: Item introduction table for items 69303, 69306, 69312 and 69318</w:t>
      </w:r>
      <w:r>
        <w:rPr>
          <w:noProof/>
        </w:rPr>
        <w:tab/>
      </w:r>
      <w:r>
        <w:rPr>
          <w:noProof/>
        </w:rPr>
        <w:fldChar w:fldCharType="begin"/>
      </w:r>
      <w:r>
        <w:rPr>
          <w:noProof/>
        </w:rPr>
        <w:instrText xml:space="preserve"> PAGEREF _Toc12953470 \h </w:instrText>
      </w:r>
      <w:r>
        <w:rPr>
          <w:noProof/>
        </w:rPr>
      </w:r>
      <w:r>
        <w:rPr>
          <w:noProof/>
        </w:rPr>
        <w:fldChar w:fldCharType="separate"/>
      </w:r>
      <w:r>
        <w:rPr>
          <w:noProof/>
        </w:rPr>
        <w:t>29</w:t>
      </w:r>
      <w:r>
        <w:rPr>
          <w:noProof/>
        </w:rPr>
        <w:fldChar w:fldCharType="end"/>
      </w:r>
    </w:p>
    <w:p w14:paraId="0A836902"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lastRenderedPageBreak/>
        <w:t>Table 21: Proposed changes to site specific culture and microscopy items</w:t>
      </w:r>
      <w:r>
        <w:rPr>
          <w:noProof/>
        </w:rPr>
        <w:tab/>
      </w:r>
      <w:r>
        <w:rPr>
          <w:noProof/>
        </w:rPr>
        <w:fldChar w:fldCharType="begin"/>
      </w:r>
      <w:r>
        <w:rPr>
          <w:noProof/>
        </w:rPr>
        <w:instrText xml:space="preserve"> PAGEREF _Toc12953471 \h </w:instrText>
      </w:r>
      <w:r>
        <w:rPr>
          <w:noProof/>
        </w:rPr>
      </w:r>
      <w:r>
        <w:rPr>
          <w:noProof/>
        </w:rPr>
        <w:fldChar w:fldCharType="separate"/>
      </w:r>
      <w:r>
        <w:rPr>
          <w:noProof/>
        </w:rPr>
        <w:t>30</w:t>
      </w:r>
      <w:r>
        <w:rPr>
          <w:noProof/>
        </w:rPr>
        <w:fldChar w:fldCharType="end"/>
      </w:r>
    </w:p>
    <w:p w14:paraId="6E602234"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22: Existing MBS Items potentially affected by an HIV/STI Rule 3 exemption</w:t>
      </w:r>
      <w:r>
        <w:rPr>
          <w:noProof/>
        </w:rPr>
        <w:tab/>
      </w:r>
      <w:r>
        <w:rPr>
          <w:noProof/>
        </w:rPr>
        <w:fldChar w:fldCharType="begin"/>
      </w:r>
      <w:r>
        <w:rPr>
          <w:noProof/>
        </w:rPr>
        <w:instrText xml:space="preserve"> PAGEREF _Toc12953472 \h </w:instrText>
      </w:r>
      <w:r>
        <w:rPr>
          <w:noProof/>
        </w:rPr>
      </w:r>
      <w:r>
        <w:rPr>
          <w:noProof/>
        </w:rPr>
        <w:fldChar w:fldCharType="separate"/>
      </w:r>
      <w:r>
        <w:rPr>
          <w:noProof/>
        </w:rPr>
        <w:t>32</w:t>
      </w:r>
      <w:r>
        <w:rPr>
          <w:noProof/>
        </w:rPr>
        <w:fldChar w:fldCharType="end"/>
      </w:r>
    </w:p>
    <w:p w14:paraId="790D12BB"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23: Item introduction table for item 69321</w:t>
      </w:r>
      <w:r>
        <w:rPr>
          <w:noProof/>
        </w:rPr>
        <w:tab/>
      </w:r>
      <w:r>
        <w:rPr>
          <w:noProof/>
        </w:rPr>
        <w:fldChar w:fldCharType="begin"/>
      </w:r>
      <w:r>
        <w:rPr>
          <w:noProof/>
        </w:rPr>
        <w:instrText xml:space="preserve"> PAGEREF _Toc12953473 \h </w:instrText>
      </w:r>
      <w:r>
        <w:rPr>
          <w:noProof/>
        </w:rPr>
      </w:r>
      <w:r>
        <w:rPr>
          <w:noProof/>
        </w:rPr>
        <w:fldChar w:fldCharType="separate"/>
      </w:r>
      <w:r>
        <w:rPr>
          <w:noProof/>
        </w:rPr>
        <w:t>33</w:t>
      </w:r>
      <w:r>
        <w:rPr>
          <w:noProof/>
        </w:rPr>
        <w:fldChar w:fldCharType="end"/>
      </w:r>
    </w:p>
    <w:p w14:paraId="05949B3B"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24: Proposed changes to site specific culture and microscopy items</w:t>
      </w:r>
      <w:r>
        <w:rPr>
          <w:noProof/>
        </w:rPr>
        <w:tab/>
      </w:r>
      <w:r>
        <w:rPr>
          <w:noProof/>
        </w:rPr>
        <w:fldChar w:fldCharType="begin"/>
      </w:r>
      <w:r>
        <w:rPr>
          <w:noProof/>
        </w:rPr>
        <w:instrText xml:space="preserve"> PAGEREF _Toc12953474 \h </w:instrText>
      </w:r>
      <w:r>
        <w:rPr>
          <w:noProof/>
        </w:rPr>
      </w:r>
      <w:r>
        <w:rPr>
          <w:noProof/>
        </w:rPr>
        <w:fldChar w:fldCharType="separate"/>
      </w:r>
      <w:r>
        <w:rPr>
          <w:noProof/>
        </w:rPr>
        <w:t>33</w:t>
      </w:r>
      <w:r>
        <w:rPr>
          <w:noProof/>
        </w:rPr>
        <w:fldChar w:fldCharType="end"/>
      </w:r>
    </w:p>
    <w:p w14:paraId="3113CD53"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25: Item introduction table for item 69300</w:t>
      </w:r>
      <w:r>
        <w:rPr>
          <w:noProof/>
        </w:rPr>
        <w:tab/>
      </w:r>
      <w:r>
        <w:rPr>
          <w:noProof/>
        </w:rPr>
        <w:fldChar w:fldCharType="begin"/>
      </w:r>
      <w:r>
        <w:rPr>
          <w:noProof/>
        </w:rPr>
        <w:instrText xml:space="preserve"> PAGEREF _Toc12953475 \h </w:instrText>
      </w:r>
      <w:r>
        <w:rPr>
          <w:noProof/>
        </w:rPr>
      </w:r>
      <w:r>
        <w:rPr>
          <w:noProof/>
        </w:rPr>
        <w:fldChar w:fldCharType="separate"/>
      </w:r>
      <w:r>
        <w:rPr>
          <w:noProof/>
        </w:rPr>
        <w:t>34</w:t>
      </w:r>
      <w:r>
        <w:rPr>
          <w:noProof/>
        </w:rPr>
        <w:fldChar w:fldCharType="end"/>
      </w:r>
    </w:p>
    <w:p w14:paraId="5FB8A70B"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26: Proposed changes to item 69300</w:t>
      </w:r>
      <w:r>
        <w:rPr>
          <w:noProof/>
        </w:rPr>
        <w:tab/>
      </w:r>
      <w:r>
        <w:rPr>
          <w:noProof/>
        </w:rPr>
        <w:fldChar w:fldCharType="begin"/>
      </w:r>
      <w:r>
        <w:rPr>
          <w:noProof/>
        </w:rPr>
        <w:instrText xml:space="preserve"> PAGEREF _Toc12953476 \h </w:instrText>
      </w:r>
      <w:r>
        <w:rPr>
          <w:noProof/>
        </w:rPr>
      </w:r>
      <w:r>
        <w:rPr>
          <w:noProof/>
        </w:rPr>
        <w:fldChar w:fldCharType="separate"/>
      </w:r>
      <w:r>
        <w:rPr>
          <w:noProof/>
        </w:rPr>
        <w:t>35</w:t>
      </w:r>
      <w:r>
        <w:rPr>
          <w:noProof/>
        </w:rPr>
        <w:fldChar w:fldCharType="end"/>
      </w:r>
    </w:p>
    <w:p w14:paraId="49ED2C2F"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27: Proposed descriptor recommended by the Committee</w:t>
      </w:r>
      <w:r>
        <w:rPr>
          <w:noProof/>
        </w:rPr>
        <w:tab/>
      </w:r>
      <w:r>
        <w:rPr>
          <w:noProof/>
        </w:rPr>
        <w:fldChar w:fldCharType="begin"/>
      </w:r>
      <w:r>
        <w:rPr>
          <w:noProof/>
        </w:rPr>
        <w:instrText xml:space="preserve"> PAGEREF _Toc12953477 \h </w:instrText>
      </w:r>
      <w:r>
        <w:rPr>
          <w:noProof/>
        </w:rPr>
      </w:r>
      <w:r>
        <w:rPr>
          <w:noProof/>
        </w:rPr>
        <w:fldChar w:fldCharType="separate"/>
      </w:r>
      <w:r>
        <w:rPr>
          <w:noProof/>
        </w:rPr>
        <w:t>35</w:t>
      </w:r>
      <w:r>
        <w:rPr>
          <w:noProof/>
        </w:rPr>
        <w:fldChar w:fldCharType="end"/>
      </w:r>
    </w:p>
    <w:p w14:paraId="2AC4E316"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28: Item introduction table for items 73828, 73834, 73835, 73837</w:t>
      </w:r>
      <w:r>
        <w:rPr>
          <w:noProof/>
        </w:rPr>
        <w:tab/>
      </w:r>
      <w:r>
        <w:rPr>
          <w:noProof/>
        </w:rPr>
        <w:fldChar w:fldCharType="begin"/>
      </w:r>
      <w:r>
        <w:rPr>
          <w:noProof/>
        </w:rPr>
        <w:instrText xml:space="preserve"> PAGEREF _Toc12953478 \h </w:instrText>
      </w:r>
      <w:r>
        <w:rPr>
          <w:noProof/>
        </w:rPr>
      </w:r>
      <w:r>
        <w:rPr>
          <w:noProof/>
        </w:rPr>
        <w:fldChar w:fldCharType="separate"/>
      </w:r>
      <w:r>
        <w:rPr>
          <w:noProof/>
        </w:rPr>
        <w:t>36</w:t>
      </w:r>
      <w:r>
        <w:rPr>
          <w:noProof/>
        </w:rPr>
        <w:fldChar w:fldCharType="end"/>
      </w:r>
    </w:p>
    <w:p w14:paraId="5E489EED"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29: Item introduction table for items 69405, 69408, 69411, 69413</w:t>
      </w:r>
      <w:r>
        <w:rPr>
          <w:noProof/>
        </w:rPr>
        <w:tab/>
      </w:r>
      <w:r>
        <w:rPr>
          <w:noProof/>
        </w:rPr>
        <w:fldChar w:fldCharType="begin"/>
      </w:r>
      <w:r>
        <w:rPr>
          <w:noProof/>
        </w:rPr>
        <w:instrText xml:space="preserve"> PAGEREF _Toc12953479 \h </w:instrText>
      </w:r>
      <w:r>
        <w:rPr>
          <w:noProof/>
        </w:rPr>
      </w:r>
      <w:r>
        <w:rPr>
          <w:noProof/>
        </w:rPr>
        <w:fldChar w:fldCharType="separate"/>
      </w:r>
      <w:r>
        <w:rPr>
          <w:noProof/>
        </w:rPr>
        <w:t>38</w:t>
      </w:r>
      <w:r>
        <w:rPr>
          <w:noProof/>
        </w:rPr>
        <w:fldChar w:fldCharType="end"/>
      </w:r>
    </w:p>
    <w:p w14:paraId="2305E56F"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30: Item introduction table for items 69418 and 69419</w:t>
      </w:r>
      <w:r>
        <w:rPr>
          <w:noProof/>
        </w:rPr>
        <w:tab/>
      </w:r>
      <w:r>
        <w:rPr>
          <w:noProof/>
        </w:rPr>
        <w:fldChar w:fldCharType="begin"/>
      </w:r>
      <w:r>
        <w:rPr>
          <w:noProof/>
        </w:rPr>
        <w:instrText xml:space="preserve"> PAGEREF _Toc12953480 \h </w:instrText>
      </w:r>
      <w:r>
        <w:rPr>
          <w:noProof/>
        </w:rPr>
      </w:r>
      <w:r>
        <w:rPr>
          <w:noProof/>
        </w:rPr>
        <w:fldChar w:fldCharType="separate"/>
      </w:r>
      <w:r>
        <w:rPr>
          <w:noProof/>
        </w:rPr>
        <w:t>39</w:t>
      </w:r>
      <w:r>
        <w:rPr>
          <w:noProof/>
        </w:rPr>
        <w:fldChar w:fldCharType="end"/>
      </w:r>
    </w:p>
    <w:p w14:paraId="343F860D"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31: Item introduction table for item 69382</w:t>
      </w:r>
      <w:r>
        <w:rPr>
          <w:noProof/>
        </w:rPr>
        <w:tab/>
      </w:r>
      <w:r>
        <w:rPr>
          <w:noProof/>
        </w:rPr>
        <w:fldChar w:fldCharType="begin"/>
      </w:r>
      <w:r>
        <w:rPr>
          <w:noProof/>
        </w:rPr>
        <w:instrText xml:space="preserve"> PAGEREF _Toc12953481 \h </w:instrText>
      </w:r>
      <w:r>
        <w:rPr>
          <w:noProof/>
        </w:rPr>
      </w:r>
      <w:r>
        <w:rPr>
          <w:noProof/>
        </w:rPr>
        <w:fldChar w:fldCharType="separate"/>
      </w:r>
      <w:r>
        <w:rPr>
          <w:noProof/>
        </w:rPr>
        <w:t>39</w:t>
      </w:r>
      <w:r>
        <w:rPr>
          <w:noProof/>
        </w:rPr>
        <w:fldChar w:fldCharType="end"/>
      </w:r>
    </w:p>
    <w:p w14:paraId="04067971"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32: Item introduction table for items 69495 and 69496</w:t>
      </w:r>
      <w:r>
        <w:rPr>
          <w:noProof/>
        </w:rPr>
        <w:tab/>
      </w:r>
      <w:r>
        <w:rPr>
          <w:noProof/>
        </w:rPr>
        <w:fldChar w:fldCharType="begin"/>
      </w:r>
      <w:r>
        <w:rPr>
          <w:noProof/>
        </w:rPr>
        <w:instrText xml:space="preserve"> PAGEREF _Toc12953482 \h </w:instrText>
      </w:r>
      <w:r>
        <w:rPr>
          <w:noProof/>
        </w:rPr>
      </w:r>
      <w:r>
        <w:rPr>
          <w:noProof/>
        </w:rPr>
        <w:fldChar w:fldCharType="separate"/>
      </w:r>
      <w:r>
        <w:rPr>
          <w:noProof/>
        </w:rPr>
        <w:t>39</w:t>
      </w:r>
      <w:r>
        <w:rPr>
          <w:noProof/>
        </w:rPr>
        <w:fldChar w:fldCharType="end"/>
      </w:r>
    </w:p>
    <w:p w14:paraId="076D99EE"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33: Item introduction table for items 69316, 69317 and 69319</w:t>
      </w:r>
      <w:r>
        <w:rPr>
          <w:noProof/>
        </w:rPr>
        <w:tab/>
      </w:r>
      <w:r>
        <w:rPr>
          <w:noProof/>
        </w:rPr>
        <w:fldChar w:fldCharType="begin"/>
      </w:r>
      <w:r>
        <w:rPr>
          <w:noProof/>
        </w:rPr>
        <w:instrText xml:space="preserve"> PAGEREF _Toc12953483 \h </w:instrText>
      </w:r>
      <w:r>
        <w:rPr>
          <w:noProof/>
        </w:rPr>
      </w:r>
      <w:r>
        <w:rPr>
          <w:noProof/>
        </w:rPr>
        <w:fldChar w:fldCharType="separate"/>
      </w:r>
      <w:r>
        <w:rPr>
          <w:noProof/>
        </w:rPr>
        <w:t>40</w:t>
      </w:r>
      <w:r>
        <w:rPr>
          <w:noProof/>
        </w:rPr>
        <w:fldChar w:fldCharType="end"/>
      </w:r>
    </w:p>
    <w:p w14:paraId="12B6E394"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34: Minor changes recommended (key changes underlined)</w:t>
      </w:r>
      <w:r>
        <w:rPr>
          <w:noProof/>
        </w:rPr>
        <w:tab/>
      </w:r>
      <w:r>
        <w:rPr>
          <w:noProof/>
        </w:rPr>
        <w:fldChar w:fldCharType="begin"/>
      </w:r>
      <w:r>
        <w:rPr>
          <w:noProof/>
        </w:rPr>
        <w:instrText xml:space="preserve"> PAGEREF _Toc12953484 \h </w:instrText>
      </w:r>
      <w:r>
        <w:rPr>
          <w:noProof/>
        </w:rPr>
      </w:r>
      <w:r>
        <w:rPr>
          <w:noProof/>
        </w:rPr>
        <w:fldChar w:fldCharType="separate"/>
      </w:r>
      <w:r>
        <w:rPr>
          <w:noProof/>
        </w:rPr>
        <w:t>41</w:t>
      </w:r>
      <w:r>
        <w:rPr>
          <w:noProof/>
        </w:rPr>
        <w:fldChar w:fldCharType="end"/>
      </w:r>
    </w:p>
    <w:p w14:paraId="0D456D60"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35: Item introduction table for items requiring no changes</w:t>
      </w:r>
      <w:r>
        <w:rPr>
          <w:noProof/>
        </w:rPr>
        <w:tab/>
      </w:r>
      <w:r>
        <w:rPr>
          <w:noProof/>
        </w:rPr>
        <w:fldChar w:fldCharType="begin"/>
      </w:r>
      <w:r>
        <w:rPr>
          <w:noProof/>
        </w:rPr>
        <w:instrText xml:space="preserve"> PAGEREF _Toc12953485 \h </w:instrText>
      </w:r>
      <w:r>
        <w:rPr>
          <w:noProof/>
        </w:rPr>
      </w:r>
      <w:r>
        <w:rPr>
          <w:noProof/>
        </w:rPr>
        <w:fldChar w:fldCharType="separate"/>
      </w:r>
      <w:r>
        <w:rPr>
          <w:noProof/>
        </w:rPr>
        <w:t>42</w:t>
      </w:r>
      <w:r>
        <w:rPr>
          <w:noProof/>
        </w:rPr>
        <w:fldChar w:fldCharType="end"/>
      </w:r>
    </w:p>
    <w:p w14:paraId="3B81AFBA"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36: Proposed new items and descriptors for orthopaedic tissues</w:t>
      </w:r>
      <w:r>
        <w:rPr>
          <w:noProof/>
        </w:rPr>
        <w:tab/>
      </w:r>
      <w:r>
        <w:rPr>
          <w:noProof/>
        </w:rPr>
        <w:fldChar w:fldCharType="begin"/>
      </w:r>
      <w:r>
        <w:rPr>
          <w:noProof/>
        </w:rPr>
        <w:instrText xml:space="preserve"> PAGEREF _Toc12953486 \h </w:instrText>
      </w:r>
      <w:r>
        <w:rPr>
          <w:noProof/>
        </w:rPr>
      </w:r>
      <w:r>
        <w:rPr>
          <w:noProof/>
        </w:rPr>
        <w:fldChar w:fldCharType="separate"/>
      </w:r>
      <w:r>
        <w:rPr>
          <w:noProof/>
        </w:rPr>
        <w:t>44</w:t>
      </w:r>
      <w:r>
        <w:rPr>
          <w:noProof/>
        </w:rPr>
        <w:fldChar w:fldCharType="end"/>
      </w:r>
    </w:p>
    <w:p w14:paraId="793F40B8"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37: Proposed new items and descriptors for multi-resistant organisms</w:t>
      </w:r>
      <w:r>
        <w:rPr>
          <w:noProof/>
        </w:rPr>
        <w:tab/>
      </w:r>
      <w:r>
        <w:rPr>
          <w:noProof/>
        </w:rPr>
        <w:fldChar w:fldCharType="begin"/>
      </w:r>
      <w:r>
        <w:rPr>
          <w:noProof/>
        </w:rPr>
        <w:instrText xml:space="preserve"> PAGEREF _Toc12953487 \h </w:instrText>
      </w:r>
      <w:r>
        <w:rPr>
          <w:noProof/>
        </w:rPr>
      </w:r>
      <w:r>
        <w:rPr>
          <w:noProof/>
        </w:rPr>
        <w:fldChar w:fldCharType="separate"/>
      </w:r>
      <w:r>
        <w:rPr>
          <w:noProof/>
        </w:rPr>
        <w:t>45</w:t>
      </w:r>
      <w:r>
        <w:rPr>
          <w:noProof/>
        </w:rPr>
        <w:fldChar w:fldCharType="end"/>
      </w:r>
    </w:p>
    <w:p w14:paraId="0AA2BDFF"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38: Australia’s list of priority organisms</w:t>
      </w:r>
      <w:r>
        <w:rPr>
          <w:noProof/>
        </w:rPr>
        <w:tab/>
      </w:r>
      <w:r>
        <w:rPr>
          <w:noProof/>
        </w:rPr>
        <w:fldChar w:fldCharType="begin"/>
      </w:r>
      <w:r>
        <w:rPr>
          <w:noProof/>
        </w:rPr>
        <w:instrText xml:space="preserve"> PAGEREF _Toc12953488 \h </w:instrText>
      </w:r>
      <w:r>
        <w:rPr>
          <w:noProof/>
        </w:rPr>
      </w:r>
      <w:r>
        <w:rPr>
          <w:noProof/>
        </w:rPr>
        <w:fldChar w:fldCharType="separate"/>
      </w:r>
      <w:r>
        <w:rPr>
          <w:noProof/>
        </w:rPr>
        <w:t>46</w:t>
      </w:r>
      <w:r>
        <w:rPr>
          <w:noProof/>
        </w:rPr>
        <w:fldChar w:fldCharType="end"/>
      </w:r>
    </w:p>
    <w:p w14:paraId="205F8986" w14:textId="77777777" w:rsidR="009E27E7" w:rsidRDefault="009E27E7">
      <w:pPr>
        <w:pStyle w:val="TableofFigures"/>
        <w:tabs>
          <w:tab w:val="right" w:leader="dot" w:pos="9016"/>
        </w:tabs>
        <w:rPr>
          <w:rFonts w:eastAsiaTheme="minorEastAsia" w:cstheme="minorBidi"/>
          <w:bCs w:val="0"/>
          <w:noProof/>
          <w:sz w:val="22"/>
          <w:szCs w:val="22"/>
          <w:lang w:val="en-AU"/>
        </w:rPr>
      </w:pPr>
      <w:r>
        <w:rPr>
          <w:noProof/>
        </w:rPr>
        <w:t>Table 39: Proposed new items and descriptors for reflex cultures</w:t>
      </w:r>
      <w:r>
        <w:rPr>
          <w:noProof/>
        </w:rPr>
        <w:tab/>
      </w:r>
      <w:r>
        <w:rPr>
          <w:noProof/>
        </w:rPr>
        <w:fldChar w:fldCharType="begin"/>
      </w:r>
      <w:r>
        <w:rPr>
          <w:noProof/>
        </w:rPr>
        <w:instrText xml:space="preserve"> PAGEREF _Toc12953489 \h </w:instrText>
      </w:r>
      <w:r>
        <w:rPr>
          <w:noProof/>
        </w:rPr>
      </w:r>
      <w:r>
        <w:rPr>
          <w:noProof/>
        </w:rPr>
        <w:fldChar w:fldCharType="separate"/>
      </w:r>
      <w:r>
        <w:rPr>
          <w:noProof/>
        </w:rPr>
        <w:t>47</w:t>
      </w:r>
      <w:r>
        <w:rPr>
          <w:noProof/>
        </w:rPr>
        <w:fldChar w:fldCharType="end"/>
      </w:r>
    </w:p>
    <w:p w14:paraId="0C2BA1C4" w14:textId="77777777" w:rsidR="00CA7016" w:rsidRDefault="00CA7016" w:rsidP="00CA7016">
      <w:pPr>
        <w:pStyle w:val="TableofFigures"/>
        <w:tabs>
          <w:tab w:val="right" w:leader="dot" w:pos="9016"/>
        </w:tabs>
        <w:rPr>
          <w:b/>
          <w:color w:val="01653F"/>
          <w:sz w:val="32"/>
          <w:lang w:val="en-AU"/>
        </w:rPr>
      </w:pPr>
      <w:r>
        <w:rPr>
          <w:lang w:val="en-AU"/>
        </w:rPr>
        <w:fldChar w:fldCharType="end"/>
      </w:r>
      <w:r>
        <w:rPr>
          <w:b/>
          <w:color w:val="01653F"/>
          <w:sz w:val="32"/>
          <w:lang w:val="en-AU"/>
        </w:rPr>
        <w:t>Figures</w:t>
      </w:r>
    </w:p>
    <w:p w14:paraId="00E985A5" w14:textId="77777777" w:rsidR="00E34DB9" w:rsidRDefault="00CA7016">
      <w:pPr>
        <w:pStyle w:val="TableofFigures"/>
        <w:tabs>
          <w:tab w:val="right" w:leader="dot" w:pos="9016"/>
        </w:tabs>
        <w:rPr>
          <w:rFonts w:eastAsiaTheme="minorEastAsia" w:cstheme="minorBidi"/>
          <w:bCs w:val="0"/>
          <w:noProof/>
          <w:sz w:val="22"/>
          <w:szCs w:val="22"/>
          <w:lang w:val="en-AU"/>
        </w:rPr>
      </w:pPr>
      <w:r>
        <w:rPr>
          <w:lang w:val="en-AU"/>
        </w:rPr>
        <w:fldChar w:fldCharType="begin"/>
      </w:r>
      <w:r>
        <w:rPr>
          <w:lang w:val="en-AU"/>
        </w:rPr>
        <w:instrText xml:space="preserve"> TOC \h \z \c "Figure" </w:instrText>
      </w:r>
      <w:r>
        <w:rPr>
          <w:lang w:val="en-AU"/>
        </w:rPr>
        <w:fldChar w:fldCharType="separate"/>
      </w:r>
      <w:hyperlink w:anchor="_Toc497300161" w:history="1">
        <w:r w:rsidR="00E34DB9" w:rsidRPr="00A82709">
          <w:rPr>
            <w:rStyle w:val="Hyperlink"/>
            <w:noProof/>
          </w:rPr>
          <w:t>Figure 1: Prioritisation matrix.</w:t>
        </w:r>
        <w:r w:rsidR="00E34DB9">
          <w:rPr>
            <w:noProof/>
            <w:webHidden/>
          </w:rPr>
          <w:tab/>
        </w:r>
        <w:r w:rsidR="00E34DB9">
          <w:rPr>
            <w:noProof/>
            <w:webHidden/>
          </w:rPr>
          <w:fldChar w:fldCharType="begin"/>
        </w:r>
        <w:r w:rsidR="00E34DB9">
          <w:rPr>
            <w:noProof/>
            <w:webHidden/>
          </w:rPr>
          <w:instrText xml:space="preserve"> PAGEREF _Toc497300161 \h </w:instrText>
        </w:r>
        <w:r w:rsidR="00E34DB9">
          <w:rPr>
            <w:noProof/>
            <w:webHidden/>
          </w:rPr>
        </w:r>
        <w:r w:rsidR="00E34DB9">
          <w:rPr>
            <w:noProof/>
            <w:webHidden/>
          </w:rPr>
          <w:fldChar w:fldCharType="separate"/>
        </w:r>
        <w:r w:rsidR="00CA47C6">
          <w:rPr>
            <w:noProof/>
            <w:webHidden/>
          </w:rPr>
          <w:t>7</w:t>
        </w:r>
        <w:r w:rsidR="00E34DB9">
          <w:rPr>
            <w:noProof/>
            <w:webHidden/>
          </w:rPr>
          <w:fldChar w:fldCharType="end"/>
        </w:r>
      </w:hyperlink>
    </w:p>
    <w:p w14:paraId="19B8A937" w14:textId="77777777" w:rsidR="00CA7016" w:rsidRPr="00025F28" w:rsidRDefault="00CA7016" w:rsidP="00CA7016">
      <w:pPr>
        <w:rPr>
          <w:lang w:val="en-AU"/>
        </w:rPr>
      </w:pPr>
      <w:r>
        <w:rPr>
          <w:lang w:val="en-AU"/>
        </w:rPr>
        <w:fldChar w:fldCharType="end"/>
      </w:r>
    </w:p>
    <w:p w14:paraId="5C406524" w14:textId="77777777" w:rsidR="00CA7016" w:rsidRDefault="00CA7016" w:rsidP="00CA7016">
      <w:pPr>
        <w:rPr>
          <w:sz w:val="20"/>
          <w:szCs w:val="20"/>
          <w:lang w:val="en-AU"/>
        </w:rPr>
        <w:sectPr w:rsidR="00CA7016" w:rsidSect="0048563C">
          <w:footerReference w:type="default" r:id="rId10"/>
          <w:pgSz w:w="11906" w:h="16838" w:code="9"/>
          <w:pgMar w:top="1440" w:right="1440" w:bottom="1276" w:left="1440" w:header="720" w:footer="720" w:gutter="0"/>
          <w:paperSrc w:first="2" w:other="2"/>
          <w:cols w:space="720"/>
          <w:docGrid w:linePitch="326"/>
        </w:sectPr>
      </w:pPr>
    </w:p>
    <w:p w14:paraId="2D750A55" w14:textId="77777777" w:rsidR="00CA7016" w:rsidRDefault="00CA7016" w:rsidP="00CA7016">
      <w:pPr>
        <w:pStyle w:val="Heading1"/>
      </w:pPr>
      <w:bookmarkStart w:id="6" w:name="_Toc456045422"/>
      <w:bookmarkStart w:id="7" w:name="_Toc12886523"/>
      <w:bookmarkEnd w:id="1"/>
      <w:r w:rsidRPr="00FC1976">
        <w:lastRenderedPageBreak/>
        <w:t xml:space="preserve">Executive </w:t>
      </w:r>
      <w:r>
        <w:t>s</w:t>
      </w:r>
      <w:r w:rsidRPr="00FC1976">
        <w:t>ummary</w:t>
      </w:r>
      <w:bookmarkEnd w:id="6"/>
      <w:bookmarkEnd w:id="7"/>
    </w:p>
    <w:p w14:paraId="7E1A1E6A" w14:textId="77777777" w:rsidR="00CA7016" w:rsidRPr="0021330F" w:rsidRDefault="00CA7016" w:rsidP="00CA7016">
      <w:pPr>
        <w:rPr>
          <w:lang w:val="en-AU"/>
        </w:rPr>
      </w:pPr>
      <w:r w:rsidRPr="0021330F">
        <w:rPr>
          <w:lang w:val="en-AU"/>
        </w:rPr>
        <w:t>The Medicare Benefits Schedule (MBS) Review Taskforce (the Taskforce) is undertaking a program of work</w:t>
      </w:r>
      <w:r>
        <w:rPr>
          <w:lang w:val="en-AU"/>
        </w:rPr>
        <w:t xml:space="preserve"> that considers how more than 5</w:t>
      </w:r>
      <w:r w:rsidRPr="0021330F">
        <w:rPr>
          <w:lang w:val="en-AU"/>
        </w:rPr>
        <w:t>700 items on the MBS can be aligned with contemporary clinical eviden</w:t>
      </w:r>
      <w:r>
        <w:rPr>
          <w:lang w:val="en-AU"/>
        </w:rPr>
        <w:t>ce and practice and improve</w:t>
      </w:r>
      <w:r w:rsidRPr="0021330F">
        <w:rPr>
          <w:lang w:val="en-AU"/>
        </w:rPr>
        <w:t xml:space="preserve"> health outcomes for patients. The Taskforce will also seek to identify any services that may be unnecessary, outdated or potentially unsafe. </w:t>
      </w:r>
    </w:p>
    <w:p w14:paraId="4B0DC9E9" w14:textId="77777777" w:rsidR="00CA7016" w:rsidRPr="0021330F" w:rsidRDefault="00CA7016" w:rsidP="00CA7016">
      <w:pPr>
        <w:rPr>
          <w:lang w:val="en-AU"/>
        </w:rPr>
      </w:pPr>
      <w:r w:rsidRPr="0021330F">
        <w:rPr>
          <w:lang w:val="en-AU"/>
        </w:rPr>
        <w:t>The Taskforce is committed to providing recommendations to the Minister for Health that will allow the MBS to deliver on each of these four key goals:</w:t>
      </w:r>
    </w:p>
    <w:p w14:paraId="6B07BDCB" w14:textId="77777777" w:rsidR="00CA7016" w:rsidRPr="0021330F" w:rsidRDefault="00CA7016" w:rsidP="00CA7016">
      <w:pPr>
        <w:numPr>
          <w:ilvl w:val="0"/>
          <w:numId w:val="19"/>
        </w:numPr>
        <w:spacing w:before="120"/>
        <w:ind w:right="142"/>
        <w:rPr>
          <w:szCs w:val="20"/>
          <w:lang w:val="en-AU" w:eastAsia="en-US"/>
        </w:rPr>
      </w:pPr>
      <w:r w:rsidRPr="0021330F">
        <w:rPr>
          <w:szCs w:val="20"/>
          <w:lang w:val="en-AU" w:eastAsia="en-US"/>
        </w:rPr>
        <w:t>Affordable and universal access.</w:t>
      </w:r>
    </w:p>
    <w:p w14:paraId="2308FFE5" w14:textId="77777777" w:rsidR="00CA7016" w:rsidRPr="0021330F" w:rsidRDefault="00CA7016" w:rsidP="00CA7016">
      <w:pPr>
        <w:numPr>
          <w:ilvl w:val="0"/>
          <w:numId w:val="19"/>
        </w:numPr>
        <w:spacing w:before="120"/>
        <w:ind w:right="142"/>
        <w:rPr>
          <w:szCs w:val="20"/>
          <w:lang w:val="en-AU" w:eastAsia="en-US"/>
        </w:rPr>
      </w:pPr>
      <w:r w:rsidRPr="0021330F">
        <w:rPr>
          <w:szCs w:val="20"/>
          <w:lang w:val="en-AU" w:eastAsia="en-US"/>
        </w:rPr>
        <w:t>Best-practice health services.</w:t>
      </w:r>
    </w:p>
    <w:p w14:paraId="2B4DC471" w14:textId="77777777" w:rsidR="00CA7016" w:rsidRPr="0021330F" w:rsidRDefault="00CA7016" w:rsidP="00CA7016">
      <w:pPr>
        <w:numPr>
          <w:ilvl w:val="0"/>
          <w:numId w:val="19"/>
        </w:numPr>
        <w:spacing w:before="120"/>
        <w:ind w:right="142"/>
        <w:rPr>
          <w:szCs w:val="20"/>
          <w:lang w:val="en-AU" w:eastAsia="en-US"/>
        </w:rPr>
      </w:pPr>
      <w:r w:rsidRPr="0021330F">
        <w:rPr>
          <w:szCs w:val="20"/>
          <w:lang w:val="en-AU" w:eastAsia="en-US"/>
        </w:rPr>
        <w:t>Value for the individual patient.</w:t>
      </w:r>
    </w:p>
    <w:p w14:paraId="6175EB21" w14:textId="77777777" w:rsidR="00CA7016" w:rsidRPr="0021330F" w:rsidRDefault="00CA7016" w:rsidP="00CA7016">
      <w:pPr>
        <w:numPr>
          <w:ilvl w:val="0"/>
          <w:numId w:val="19"/>
        </w:numPr>
        <w:spacing w:before="120"/>
        <w:ind w:right="142"/>
        <w:rPr>
          <w:szCs w:val="20"/>
          <w:lang w:val="en-AU" w:eastAsia="en-US"/>
        </w:rPr>
      </w:pPr>
      <w:r w:rsidRPr="0021330F">
        <w:rPr>
          <w:szCs w:val="20"/>
          <w:lang w:val="en-AU" w:eastAsia="en-US"/>
        </w:rPr>
        <w:t>Value for the health system.</w:t>
      </w:r>
    </w:p>
    <w:p w14:paraId="03CA4727" w14:textId="77777777" w:rsidR="00CA7016" w:rsidRPr="0021330F" w:rsidRDefault="00CA7016" w:rsidP="00CA7016">
      <w:pPr>
        <w:rPr>
          <w:lang w:val="en-AU"/>
        </w:rPr>
      </w:pPr>
      <w:r w:rsidRPr="0021330F">
        <w:rPr>
          <w:lang w:val="en-AU"/>
        </w:rPr>
        <w:t>The Taskforce has endorsed a methodology whereby the necessary clinical review of MBS items is undertaken by Clinical Committees and Working Groups. The Taskforce has asked the Clinical Committees to undertake the following tasks:</w:t>
      </w:r>
    </w:p>
    <w:p w14:paraId="021867CE" w14:textId="77777777" w:rsidR="00CA7016" w:rsidRPr="0021330F" w:rsidRDefault="00CA7016" w:rsidP="00CA7016">
      <w:pPr>
        <w:numPr>
          <w:ilvl w:val="0"/>
          <w:numId w:val="20"/>
        </w:numPr>
        <w:spacing w:before="180"/>
        <w:contextualSpacing/>
        <w:rPr>
          <w:rFonts w:eastAsiaTheme="minorHAnsi" w:cs="Arial"/>
          <w:szCs w:val="22"/>
          <w:lang w:val="en-AU"/>
        </w:rPr>
      </w:pPr>
      <w:r w:rsidRPr="0021330F">
        <w:rPr>
          <w:rFonts w:eastAsiaTheme="minorHAnsi" w:cs="Arial"/>
          <w:szCs w:val="22"/>
          <w:lang w:val="en-AU"/>
        </w:rPr>
        <w:t>Consider whether there are MBS items that are obsolete and should be removed from the MBS.</w:t>
      </w:r>
    </w:p>
    <w:p w14:paraId="7D530BFF" w14:textId="77777777" w:rsidR="00CA7016" w:rsidRPr="0021330F" w:rsidRDefault="00CA7016" w:rsidP="00CA7016">
      <w:pPr>
        <w:numPr>
          <w:ilvl w:val="0"/>
          <w:numId w:val="20"/>
        </w:numPr>
        <w:spacing w:before="180"/>
        <w:contextualSpacing/>
        <w:rPr>
          <w:rFonts w:eastAsiaTheme="minorHAnsi" w:cs="Arial"/>
          <w:szCs w:val="22"/>
          <w:lang w:val="en-AU"/>
        </w:rPr>
      </w:pPr>
      <w:r w:rsidRPr="0021330F">
        <w:rPr>
          <w:rFonts w:eastAsiaTheme="minorHAnsi" w:cs="Arial"/>
          <w:szCs w:val="22"/>
          <w:lang w:val="en-AU"/>
        </w:rPr>
        <w:t>Consider identified priority reviews of selected MBS services.</w:t>
      </w:r>
    </w:p>
    <w:p w14:paraId="76001E63" w14:textId="77777777" w:rsidR="00CA7016" w:rsidRPr="0021330F" w:rsidRDefault="00CA7016" w:rsidP="00CA7016">
      <w:pPr>
        <w:numPr>
          <w:ilvl w:val="0"/>
          <w:numId w:val="20"/>
        </w:numPr>
        <w:spacing w:before="180"/>
        <w:contextualSpacing/>
        <w:rPr>
          <w:rFonts w:eastAsiaTheme="minorHAnsi" w:cs="Arial"/>
          <w:szCs w:val="22"/>
          <w:lang w:val="en-AU"/>
        </w:rPr>
      </w:pPr>
      <w:r w:rsidRPr="0021330F">
        <w:rPr>
          <w:rFonts w:eastAsiaTheme="minorHAnsi" w:cs="Arial"/>
          <w:szCs w:val="22"/>
          <w:lang w:val="en-AU"/>
        </w:rPr>
        <w:t>Develop a program of work to consider the balance of MBS services within its remit and items assigned to the Committee.</w:t>
      </w:r>
    </w:p>
    <w:p w14:paraId="7D9AAA55" w14:textId="77777777" w:rsidR="00CA7016" w:rsidRPr="0021330F" w:rsidRDefault="00CA7016" w:rsidP="00CA7016">
      <w:pPr>
        <w:numPr>
          <w:ilvl w:val="0"/>
          <w:numId w:val="20"/>
        </w:numPr>
        <w:spacing w:before="180"/>
        <w:contextualSpacing/>
        <w:rPr>
          <w:rFonts w:eastAsiaTheme="minorHAnsi" w:cs="Arial"/>
          <w:szCs w:val="22"/>
          <w:lang w:val="en-AU"/>
        </w:rPr>
      </w:pPr>
      <w:r w:rsidRPr="0021330F">
        <w:rPr>
          <w:rFonts w:eastAsiaTheme="minorHAnsi" w:cs="Arial"/>
          <w:szCs w:val="22"/>
          <w:lang w:val="en-AU"/>
        </w:rPr>
        <w:t xml:space="preserve">Advise the Taskforce on relevant general MBS issues identified by the Committee </w:t>
      </w:r>
      <w:proofErr w:type="gramStart"/>
      <w:r w:rsidRPr="0021330F">
        <w:rPr>
          <w:rFonts w:eastAsiaTheme="minorHAnsi" w:cs="Arial"/>
          <w:szCs w:val="22"/>
          <w:lang w:val="en-AU"/>
        </w:rPr>
        <w:t>in the course of</w:t>
      </w:r>
      <w:proofErr w:type="gramEnd"/>
      <w:r w:rsidRPr="0021330F">
        <w:rPr>
          <w:rFonts w:eastAsiaTheme="minorHAnsi" w:cs="Arial"/>
          <w:szCs w:val="22"/>
          <w:lang w:val="en-AU"/>
        </w:rPr>
        <w:t xml:space="preserve"> its deliberations.</w:t>
      </w:r>
    </w:p>
    <w:p w14:paraId="31856E26" w14:textId="77777777" w:rsidR="00CA7016" w:rsidRPr="0021330F" w:rsidRDefault="00CA7016" w:rsidP="00CA7016">
      <w:pPr>
        <w:rPr>
          <w:lang w:val="en-AU"/>
        </w:rPr>
      </w:pPr>
      <w:r w:rsidRPr="0021330F">
        <w:rPr>
          <w:lang w:val="en-AU"/>
        </w:rPr>
        <w:t>The recommendations from the Clinical Committees are released for stakeholder consultation. The Clinical Committees will consider feedback from stakeholders then provide recommendations to the Taskforce in a Review Report. The Taskforce will consider the Review Report from Clinical Committees and stakeholder feedback before making recommendations to the Minister for Health, for consideration by Government.</w:t>
      </w:r>
    </w:p>
    <w:p w14:paraId="66DF779A" w14:textId="77777777" w:rsidR="00CA7016" w:rsidRDefault="00CA7016" w:rsidP="00CA7016">
      <w:pPr>
        <w:pStyle w:val="Heading2"/>
      </w:pPr>
      <w:bookmarkStart w:id="8" w:name="_Toc12886524"/>
      <w:r w:rsidRPr="00FC1976">
        <w:t>MBS Review process</w:t>
      </w:r>
      <w:bookmarkEnd w:id="8"/>
    </w:p>
    <w:p w14:paraId="25FC39F2" w14:textId="77777777" w:rsidR="00CA7016" w:rsidRDefault="00CA7016" w:rsidP="00CA7016">
      <w:pPr>
        <w:rPr>
          <w:lang w:val="en-US" w:eastAsia="en-US"/>
        </w:rPr>
      </w:pPr>
      <w:r w:rsidRPr="0021330F">
        <w:rPr>
          <w:lang w:val="en-US" w:eastAsia="en-US"/>
        </w:rPr>
        <w:t>The Taskforce has endorsed a process whereby the necessary clinical review of MBS items is undertaken by Clinical Committees and Working Groups. The Taskforce asked all committees in the second tranche of the Review process to review MBS items using a framework based on Appropriate Use Criteria accepted by the Taskforce</w:t>
      </w:r>
      <w:r>
        <w:rPr>
          <w:lang w:val="en-US" w:eastAsia="en-US"/>
        </w:rPr>
        <w:t>.</w:t>
      </w:r>
      <w:r>
        <w:rPr>
          <w:lang w:val="en-US" w:eastAsia="en-US"/>
        </w:rPr>
        <w:fldChar w:fldCharType="begin"/>
      </w:r>
      <w:r w:rsidR="00365487">
        <w:rPr>
          <w:lang w:val="en-US" w:eastAsia="en-US"/>
        </w:rPr>
        <w:instrText xml:space="preserve"> ADDIN EN.CITE &lt;EndNote&gt;&lt;Cite&gt;&lt;Author&gt;Elshaug&lt;/Author&gt;&lt;Year&gt;2012&lt;/Year&gt;&lt;RecNum&gt;1&lt;/RecNum&gt;&lt;DisplayText&gt; [1]&lt;/DisplayText&gt;&lt;record&gt;&lt;rec-number&gt;1&lt;/rec-number&gt;&lt;foreign-keys&gt;&lt;key app="EN" db-id="9rerxxddifw5xaewxvlxffw2vsfzrarx0vva" timestamp="1506991270"&gt;1&lt;/key&gt;&lt;/foreign-keys&gt;&lt;ref-type name="Journal Article"&gt;17&lt;/ref-type&gt;&lt;contributors&gt;&lt;authors&gt;&lt;author&gt;Elshaug, A. G.&lt;/author&gt;&lt;author&gt;Watt, A. M.&lt;/author&gt;&lt;author&gt;Mundy, L.&lt;/author&gt;&lt;author&gt;Willis, C. D.&lt;/author&gt;&lt;/authors&gt;&lt;/contributors&gt;&lt;auth-address&gt;Department of Health Care Policy, Harvard Medical School, Boston, MA, USA. elshaug@hcp.med.harvard.edu&lt;/auth-address&gt;&lt;titles&gt;&lt;title&gt;Over 150 potentially low-value health care practices: an Australian study&lt;/title&gt;&lt;secondary-title&gt;Medical Journal of Australia&lt;/secondary-title&gt;&lt;alt-title&gt;The Medical journal of Australia&lt;/alt-title&gt;&lt;/titles&gt;&lt;alt-periodical&gt;&lt;full-title&gt;Med J Aust&lt;/full-title&gt;&lt;abbr-1&gt;The Medical journal of Australia&lt;/abbr-1&gt;&lt;/alt-periodical&gt;&lt;pages&gt;556-60&lt;/pages&gt;&lt;volume&gt;197&lt;/volume&gt;&lt;number&gt;10&lt;/number&gt;&lt;edition&gt;2012/11/21&lt;/edition&gt;&lt;keywords&gt;&lt;keyword&gt;Australia&lt;/keyword&gt;&lt;keyword&gt;Health Services/*standards&lt;/keyword&gt;&lt;keyword&gt;Humans&lt;/keyword&gt;&lt;keyword&gt;Insurance Benefits&lt;/keyword&gt;&lt;keyword&gt;National Health Programs&lt;/keyword&gt;&lt;keyword&gt;Patient Safety&lt;/keyword&gt;&lt;keyword&gt;*Quality of Health Care&lt;/keyword&gt;&lt;keyword&gt;*Unnecessary Procedures&lt;/keyword&gt;&lt;/keywords&gt;&lt;dates&gt;&lt;year&gt;2012&lt;/year&gt;&lt;pub-dates&gt;&lt;date&gt;Nov 19&lt;/date&gt;&lt;/pub-dates&gt;&lt;/dates&gt;&lt;isbn&gt;0025-729x&lt;/isbn&gt;&lt;accession-num&gt;23163685&lt;/accession-num&gt;&lt;urls&gt;&lt;related-urls&gt;&lt;url&gt;https://www.ncbi.nlm.nih.gov/pubmed/23163685&lt;/url&gt;&lt;/related-urls&gt;&lt;/urls&gt;&lt;remote-database-provider&gt;NLM&lt;/remote-database-provider&gt;&lt;language&gt;eng&lt;/language&gt;&lt;access-date&gt;&amp;lt;Date&amp;gt;&amp;lt;Month&amp;gt;&amp;lt;Year&amp;gt;&lt;/access-date&gt;&lt;/record&gt;&lt;/Cite&gt;&lt;/EndNote&gt;</w:instrText>
      </w:r>
      <w:r>
        <w:rPr>
          <w:lang w:val="en-US" w:eastAsia="en-US"/>
        </w:rPr>
        <w:fldChar w:fldCharType="separate"/>
      </w:r>
      <w:r w:rsidR="00EE147F">
        <w:rPr>
          <w:noProof/>
          <w:lang w:val="en-US" w:eastAsia="en-US"/>
        </w:rPr>
        <w:t xml:space="preserve"> [1]</w:t>
      </w:r>
      <w:r>
        <w:rPr>
          <w:lang w:val="en-US" w:eastAsia="en-US"/>
        </w:rPr>
        <w:fldChar w:fldCharType="end"/>
      </w:r>
      <w:r>
        <w:rPr>
          <w:lang w:val="en-US" w:eastAsia="en-US"/>
        </w:rPr>
        <w:t xml:space="preserve"> </w:t>
      </w:r>
      <w:r w:rsidRPr="0021330F">
        <w:rPr>
          <w:lang w:val="en-US" w:eastAsia="en-US"/>
        </w:rPr>
        <w:t>This framework includes the following steps:</w:t>
      </w:r>
    </w:p>
    <w:p w14:paraId="5847BB13" w14:textId="77777777" w:rsidR="00CA7016" w:rsidRDefault="00CA7016" w:rsidP="00CA7016">
      <w:pPr>
        <w:numPr>
          <w:ilvl w:val="0"/>
          <w:numId w:val="19"/>
        </w:numPr>
        <w:spacing w:before="120"/>
        <w:ind w:right="142"/>
        <w:rPr>
          <w:szCs w:val="20"/>
          <w:lang w:val="en-AU" w:eastAsia="en-US"/>
        </w:rPr>
      </w:pPr>
      <w:r>
        <w:rPr>
          <w:szCs w:val="20"/>
          <w:lang w:val="en-AU" w:eastAsia="en-US"/>
        </w:rPr>
        <w:t>R</w:t>
      </w:r>
      <w:r w:rsidRPr="00FA78B4">
        <w:rPr>
          <w:szCs w:val="20"/>
          <w:lang w:val="en-AU" w:eastAsia="en-US"/>
        </w:rPr>
        <w:t>eview data and literature relevant to the items under consideration</w:t>
      </w:r>
      <w:r>
        <w:rPr>
          <w:szCs w:val="20"/>
          <w:lang w:val="en-AU" w:eastAsia="en-US"/>
        </w:rPr>
        <w:t>.</w:t>
      </w:r>
    </w:p>
    <w:p w14:paraId="52E0B0A7" w14:textId="77777777" w:rsidR="00CA7016" w:rsidRDefault="00CA7016" w:rsidP="00CA7016">
      <w:pPr>
        <w:numPr>
          <w:ilvl w:val="0"/>
          <w:numId w:val="19"/>
        </w:numPr>
        <w:spacing w:before="120"/>
        <w:ind w:right="142"/>
        <w:rPr>
          <w:szCs w:val="20"/>
          <w:lang w:val="en-AU" w:eastAsia="en-US"/>
        </w:rPr>
      </w:pPr>
      <w:r>
        <w:rPr>
          <w:szCs w:val="20"/>
          <w:lang w:val="en-AU" w:eastAsia="en-US"/>
        </w:rPr>
        <w:t>I</w:t>
      </w:r>
      <w:r w:rsidRPr="00FA78B4">
        <w:rPr>
          <w:szCs w:val="20"/>
          <w:lang w:val="en-AU" w:eastAsia="en-US"/>
        </w:rPr>
        <w:t>dentify MBS items that are potentially obsolete, are of questionable clinical value, are misused and/or pose a risk to patient safety</w:t>
      </w:r>
      <w:r>
        <w:rPr>
          <w:szCs w:val="20"/>
          <w:lang w:val="en-AU" w:eastAsia="en-US"/>
        </w:rPr>
        <w:t>.</w:t>
      </w:r>
    </w:p>
    <w:p w14:paraId="10E5CDF6" w14:textId="77777777" w:rsidR="00CA7016" w:rsidRPr="00FA78B4" w:rsidRDefault="00CA7016" w:rsidP="00CA7016">
      <w:pPr>
        <w:numPr>
          <w:ilvl w:val="0"/>
          <w:numId w:val="19"/>
        </w:numPr>
        <w:spacing w:before="120"/>
        <w:ind w:right="142"/>
        <w:rPr>
          <w:szCs w:val="20"/>
          <w:lang w:val="en-AU" w:eastAsia="en-US"/>
        </w:rPr>
      </w:pPr>
      <w:r>
        <w:rPr>
          <w:szCs w:val="20"/>
          <w:lang w:val="en-AU" w:eastAsia="en-US"/>
        </w:rPr>
        <w:t>D</w:t>
      </w:r>
      <w:r w:rsidRPr="00FA78B4">
        <w:rPr>
          <w:szCs w:val="20"/>
          <w:lang w:val="en-AU" w:eastAsia="en-US"/>
        </w:rPr>
        <w:t>evelop and refine recommendations for these items, based on the literature and relevant data, in consultation with relevant stakeholders.</w:t>
      </w:r>
    </w:p>
    <w:p w14:paraId="5B1B214B" w14:textId="77777777" w:rsidR="00CA7016" w:rsidRPr="0021330F" w:rsidRDefault="00CA7016" w:rsidP="00CA7016">
      <w:pPr>
        <w:rPr>
          <w:lang w:val="en-US" w:eastAsia="en-US"/>
        </w:rPr>
      </w:pPr>
      <w:r w:rsidRPr="0021330F">
        <w:rPr>
          <w:lang w:val="en-US" w:eastAsia="en-US"/>
        </w:rPr>
        <w:t xml:space="preserve">In complex cases, full </w:t>
      </w:r>
      <w:r w:rsidR="00A85EEC">
        <w:rPr>
          <w:lang w:val="en-US" w:eastAsia="en-US"/>
        </w:rPr>
        <w:t>A</w:t>
      </w:r>
      <w:r w:rsidR="00A85EEC" w:rsidRPr="0021330F">
        <w:rPr>
          <w:lang w:val="en-US" w:eastAsia="en-US"/>
        </w:rPr>
        <w:t xml:space="preserve">ppropriate </w:t>
      </w:r>
      <w:r w:rsidR="00A85EEC">
        <w:rPr>
          <w:lang w:val="en-US" w:eastAsia="en-US"/>
        </w:rPr>
        <w:t>U</w:t>
      </w:r>
      <w:r w:rsidR="00A85EEC" w:rsidRPr="0021330F">
        <w:rPr>
          <w:lang w:val="en-US" w:eastAsia="en-US"/>
        </w:rPr>
        <w:t xml:space="preserve">se </w:t>
      </w:r>
      <w:r w:rsidR="00A85EEC">
        <w:rPr>
          <w:lang w:val="en-US" w:eastAsia="en-US"/>
        </w:rPr>
        <w:t>C</w:t>
      </w:r>
      <w:r w:rsidR="00A85EEC" w:rsidRPr="0021330F">
        <w:rPr>
          <w:lang w:val="en-US" w:eastAsia="en-US"/>
        </w:rPr>
        <w:t xml:space="preserve">riteria </w:t>
      </w:r>
      <w:r w:rsidRPr="0021330F">
        <w:rPr>
          <w:lang w:val="en-US" w:eastAsia="en-US"/>
        </w:rPr>
        <w:t>were developed for an item’s descriptor and explanatory notes. All second-tranche committees involved in this Review adopted this framework, which is outlined in more detail in Section 2.3.</w:t>
      </w:r>
    </w:p>
    <w:p w14:paraId="3AD92CAA" w14:textId="77777777" w:rsidR="00CA7016" w:rsidRPr="0021330F" w:rsidRDefault="00CA7016" w:rsidP="00CA7016">
      <w:pPr>
        <w:rPr>
          <w:lang w:val="en-US" w:eastAsia="en-US"/>
        </w:rPr>
      </w:pPr>
      <w:r w:rsidRPr="0021330F">
        <w:rPr>
          <w:lang w:val="en-US" w:eastAsia="en-US"/>
        </w:rPr>
        <w:t xml:space="preserve">The recommendations from the Clinical Committees will be released for stakeholder consultation. The Clinical Committees will consider feedback from stakeholders and then provide </w:t>
      </w:r>
      <w:r w:rsidRPr="0021330F">
        <w:rPr>
          <w:lang w:val="en-US" w:eastAsia="en-US"/>
        </w:rPr>
        <w:lastRenderedPageBreak/>
        <w:t>recommendations to the Taskforce in Review reports. The Taskforce will consider the Review reports from Clinical Committees, along with stakeholder feedback, before making recommendations to the Minister for Health for consideration by the Government.</w:t>
      </w:r>
    </w:p>
    <w:p w14:paraId="3893373F" w14:textId="77777777" w:rsidR="00CA7016" w:rsidRPr="00614841" w:rsidRDefault="00CA7016" w:rsidP="00CA7016">
      <w:pPr>
        <w:pStyle w:val="Heading2"/>
      </w:pPr>
      <w:bookmarkStart w:id="9" w:name="_Toc12886525"/>
      <w:r w:rsidRPr="00614841">
        <w:t>The Pathology Clinical Committee</w:t>
      </w:r>
      <w:bookmarkEnd w:id="9"/>
    </w:p>
    <w:p w14:paraId="02BB3C4A" w14:textId="77777777" w:rsidR="00CA7016" w:rsidRDefault="00CA7016" w:rsidP="00CA7016">
      <w:pPr>
        <w:rPr>
          <w:lang w:val="en-US" w:eastAsia="en-US"/>
        </w:rPr>
      </w:pPr>
      <w:r w:rsidRPr="00684817">
        <w:rPr>
          <w:lang w:val="en-US" w:eastAsia="en-US"/>
        </w:rPr>
        <w:t xml:space="preserve">The </w:t>
      </w:r>
      <w:r>
        <w:t xml:space="preserve">Pathology </w:t>
      </w:r>
      <w:r w:rsidRPr="00684817">
        <w:rPr>
          <w:lang w:val="en-US" w:eastAsia="en-US"/>
        </w:rPr>
        <w:t xml:space="preserve">Clinical Committee (the Committee) was established in </w:t>
      </w:r>
      <w:r>
        <w:rPr>
          <w:lang w:val="en-US" w:eastAsia="en-US"/>
        </w:rPr>
        <w:t>2016</w:t>
      </w:r>
      <w:r w:rsidRPr="00684817">
        <w:rPr>
          <w:lang w:val="en-US" w:eastAsia="en-US"/>
        </w:rPr>
        <w:t xml:space="preserve"> to make recommendations to the MBS Review Taskforce on the review of MBS items within its remit, based on rapid evidence review and clinical expertise.</w:t>
      </w:r>
    </w:p>
    <w:p w14:paraId="64049289" w14:textId="77777777" w:rsidR="00CA7016" w:rsidRPr="00FC1976" w:rsidRDefault="00CA7016" w:rsidP="00CA7016">
      <w:pPr>
        <w:rPr>
          <w:lang w:val="en-AU"/>
        </w:rPr>
      </w:pPr>
      <w:r>
        <w:rPr>
          <w:lang w:val="en-AU"/>
        </w:rPr>
        <w:t xml:space="preserve">Most </w:t>
      </w:r>
      <w:r w:rsidRPr="007B3FE5">
        <w:rPr>
          <w:lang w:val="en-AU"/>
        </w:rPr>
        <w:t xml:space="preserve">recommendations relating to these items are included in this report for consultation. The Committee also provided </w:t>
      </w:r>
      <w:r>
        <w:rPr>
          <w:lang w:val="en-AU"/>
        </w:rPr>
        <w:t xml:space="preserve">recommendations </w:t>
      </w:r>
      <w:r w:rsidRPr="007B3FE5">
        <w:rPr>
          <w:lang w:val="en-AU"/>
        </w:rPr>
        <w:t xml:space="preserve">on items that will be referred </w:t>
      </w:r>
      <w:r>
        <w:rPr>
          <w:lang w:val="en-AU"/>
        </w:rPr>
        <w:t>to other committees</w:t>
      </w:r>
      <w:r w:rsidRPr="007B3FE5">
        <w:rPr>
          <w:lang w:val="en-AU"/>
        </w:rPr>
        <w:t xml:space="preserve"> for consultation.</w:t>
      </w:r>
      <w:r w:rsidRPr="00FC1976">
        <w:rPr>
          <w:lang w:val="en-AU"/>
        </w:rPr>
        <w:t xml:space="preserve"> </w:t>
      </w:r>
    </w:p>
    <w:p w14:paraId="1E767FB2" w14:textId="77777777" w:rsidR="00CA7016" w:rsidRPr="00451BFB" w:rsidRDefault="00CA7016" w:rsidP="00CA7016">
      <w:pPr>
        <w:rPr>
          <w:lang w:val="en-AU"/>
        </w:rPr>
      </w:pPr>
      <w:r w:rsidRPr="00FC1976">
        <w:rPr>
          <w:lang w:val="en-AU"/>
        </w:rPr>
        <w:t xml:space="preserve">An inclusive set of stakeholders is now engaged in consultation on the recommendations outlined in this report. Following this period of consultation, the recommendations will be finalised and presented to the Taskforce. The Taskforce will consider the report and stakeholder feedback before making recommendations to the </w:t>
      </w:r>
      <w:r>
        <w:rPr>
          <w:lang w:val="en-AU"/>
        </w:rPr>
        <w:t xml:space="preserve">Minister for Health </w:t>
      </w:r>
      <w:r w:rsidRPr="00FC1976">
        <w:rPr>
          <w:lang w:val="en-AU"/>
        </w:rPr>
        <w:t>for co</w:t>
      </w:r>
      <w:r>
        <w:rPr>
          <w:lang w:val="en-AU"/>
        </w:rPr>
        <w:t xml:space="preserve">nsideration by the Government. </w:t>
      </w:r>
    </w:p>
    <w:p w14:paraId="430D85B0" w14:textId="77777777" w:rsidR="00CA7016" w:rsidRDefault="00CA7016" w:rsidP="00CA7016">
      <w:pPr>
        <w:pStyle w:val="Heading2"/>
      </w:pPr>
      <w:bookmarkStart w:id="10" w:name="_Toc12886526"/>
      <w:r w:rsidRPr="00FC1976">
        <w:t>Recommendati</w:t>
      </w:r>
      <w:r w:rsidRPr="003131D1">
        <w:t>o</w:t>
      </w:r>
      <w:r w:rsidRPr="00FC1976">
        <w:t>ns</w:t>
      </w:r>
      <w:bookmarkEnd w:id="10"/>
    </w:p>
    <w:p w14:paraId="78CE895A" w14:textId="77777777" w:rsidR="00CA7016" w:rsidRPr="00F46F00" w:rsidRDefault="00CA7016" w:rsidP="00CA7016">
      <w:r w:rsidRPr="00F63F53">
        <w:t>The Committee has highlighted its most important recommendations below. The complete recommendations (and the accompanying rationales) for all items can be found in Section 4. Recommendations developed for referral to other committees are presented in Section 5. A</w:t>
      </w:r>
      <w:r>
        <w:t> </w:t>
      </w:r>
      <w:r w:rsidRPr="00F63F53">
        <w:t>complete list of items, including the nature of the recommendations and the page number for each recommendation, can be found in Appendices A and B (in table summary form</w:t>
      </w:r>
      <w:r w:rsidRPr="00F46F00">
        <w:t>).</w:t>
      </w:r>
    </w:p>
    <w:p w14:paraId="2678286D" w14:textId="77777777" w:rsidR="00CA7016" w:rsidRPr="00A0513E" w:rsidRDefault="00CA7016" w:rsidP="00CA7016">
      <w:pPr>
        <w:pStyle w:val="Heading3"/>
      </w:pPr>
      <w:bookmarkStart w:id="11" w:name="_Toc483989347"/>
      <w:bookmarkStart w:id="12" w:name="_Toc486939166"/>
      <w:bookmarkStart w:id="13" w:name="_Toc12886527"/>
      <w:r w:rsidRPr="00713B0C">
        <w:t>Recommendations for consultation</w:t>
      </w:r>
      <w:bookmarkEnd w:id="11"/>
      <w:bookmarkEnd w:id="12"/>
      <w:bookmarkEnd w:id="13"/>
    </w:p>
    <w:p w14:paraId="6AB39245" w14:textId="77777777" w:rsidR="00CA7016" w:rsidRDefault="00CA7016" w:rsidP="00CA7016">
      <w:r>
        <w:t>The Committee’s recommendations for stakeholder consultation are</w:t>
      </w:r>
      <w:r w:rsidR="00903B6E">
        <w:t xml:space="preserve"> that</w:t>
      </w:r>
      <w:r>
        <w:t>:</w:t>
      </w:r>
    </w:p>
    <w:p w14:paraId="05FF5582" w14:textId="77777777" w:rsidR="00CA7016" w:rsidRPr="00A72DBE" w:rsidRDefault="00CA7016" w:rsidP="00A72DBE">
      <w:pPr>
        <w:numPr>
          <w:ilvl w:val="0"/>
          <w:numId w:val="19"/>
        </w:numPr>
        <w:spacing w:before="120"/>
        <w:ind w:right="142"/>
        <w:rPr>
          <w:szCs w:val="20"/>
          <w:lang w:val="en-AU" w:eastAsia="en-US"/>
        </w:rPr>
      </w:pPr>
      <w:r w:rsidRPr="00A72DBE">
        <w:rPr>
          <w:szCs w:val="20"/>
          <w:lang w:val="en-AU" w:eastAsia="en-US"/>
        </w:rPr>
        <w:t>24 items should be deleted from the MBS</w:t>
      </w:r>
    </w:p>
    <w:p w14:paraId="2F801A0B" w14:textId="77777777" w:rsidR="00CA7016" w:rsidRPr="00A72DBE" w:rsidRDefault="00CA7016" w:rsidP="00A72DBE">
      <w:pPr>
        <w:numPr>
          <w:ilvl w:val="0"/>
          <w:numId w:val="19"/>
        </w:numPr>
        <w:spacing w:before="120"/>
        <w:ind w:right="142"/>
        <w:rPr>
          <w:szCs w:val="20"/>
          <w:lang w:val="en-AU" w:eastAsia="en-US"/>
        </w:rPr>
      </w:pPr>
      <w:r w:rsidRPr="00A72DBE">
        <w:rPr>
          <w:szCs w:val="20"/>
          <w:lang w:val="en-AU" w:eastAsia="en-US"/>
        </w:rPr>
        <w:t>20 items should be changed</w:t>
      </w:r>
    </w:p>
    <w:p w14:paraId="6073EC37" w14:textId="77777777" w:rsidR="00CA7016" w:rsidRPr="00A72DBE" w:rsidRDefault="00CA7016" w:rsidP="00A72DBE">
      <w:pPr>
        <w:numPr>
          <w:ilvl w:val="0"/>
          <w:numId w:val="19"/>
        </w:numPr>
        <w:spacing w:before="120"/>
        <w:ind w:right="142"/>
        <w:rPr>
          <w:szCs w:val="20"/>
          <w:lang w:val="en-AU" w:eastAsia="en-US"/>
        </w:rPr>
      </w:pPr>
      <w:r w:rsidRPr="00A72DBE">
        <w:rPr>
          <w:szCs w:val="20"/>
          <w:lang w:val="en-AU" w:eastAsia="en-US"/>
        </w:rPr>
        <w:t>26 items should remain unchanged.</w:t>
      </w:r>
    </w:p>
    <w:p w14:paraId="5A39DA1D" w14:textId="77777777" w:rsidR="00CA7016" w:rsidRPr="00D92EFF" w:rsidRDefault="00CA7016" w:rsidP="00CA7016">
      <w:r w:rsidRPr="00DE1992">
        <w:t xml:space="preserve">The Committee has proposed </w:t>
      </w:r>
      <w:r>
        <w:t>16</w:t>
      </w:r>
      <w:r w:rsidRPr="00DE1992">
        <w:t xml:space="preserve"> new items</w:t>
      </w:r>
      <w:r>
        <w:t>; with seven expected to be referred to the Medicare Services Advisory Committee (MSAC).</w:t>
      </w:r>
    </w:p>
    <w:p w14:paraId="78716618" w14:textId="77777777" w:rsidR="00CA7016" w:rsidRPr="007C74D2" w:rsidRDefault="00CA7016" w:rsidP="00CA7016">
      <w:r>
        <w:t xml:space="preserve">These changes focus on encouraging best practice, modernising the MBS to reflect contemporary practice, and ensuring that MBS services provide value for the patient and the healthcare system. </w:t>
      </w:r>
    </w:p>
    <w:p w14:paraId="3166A593" w14:textId="77777777" w:rsidR="00CA7016" w:rsidRDefault="00CA7016" w:rsidP="00CA7016">
      <w:r w:rsidRPr="00AC7D0D">
        <w:t>Significant recommendations are summarised below.</w:t>
      </w:r>
      <w:r>
        <w:t xml:space="preserve"> </w:t>
      </w:r>
    </w:p>
    <w:p w14:paraId="49EABFCF" w14:textId="77777777" w:rsidR="00CA7016" w:rsidRPr="00A0513E" w:rsidRDefault="00CA7016" w:rsidP="00CA7016">
      <w:pPr>
        <w:pStyle w:val="01squarebullet"/>
      </w:pPr>
      <w:r w:rsidRPr="00940AFD">
        <w:rPr>
          <w:b/>
        </w:rPr>
        <w:t xml:space="preserve">Anatomical and physiological system framework for microbiology testing using </w:t>
      </w:r>
      <w:r w:rsidR="00903B6E">
        <w:rPr>
          <w:b/>
        </w:rPr>
        <w:t>n</w:t>
      </w:r>
      <w:r w:rsidR="00903B6E" w:rsidRPr="00940AFD">
        <w:rPr>
          <w:b/>
        </w:rPr>
        <w:t xml:space="preserve">ucleic </w:t>
      </w:r>
      <w:r w:rsidR="00903B6E">
        <w:rPr>
          <w:b/>
        </w:rPr>
        <w:t>a</w:t>
      </w:r>
      <w:r w:rsidR="00903B6E" w:rsidRPr="00940AFD">
        <w:rPr>
          <w:b/>
        </w:rPr>
        <w:t xml:space="preserve">cid </w:t>
      </w:r>
      <w:r w:rsidR="00903B6E">
        <w:rPr>
          <w:b/>
        </w:rPr>
        <w:t>a</w:t>
      </w:r>
      <w:r w:rsidR="00903B6E" w:rsidRPr="00940AFD">
        <w:rPr>
          <w:b/>
        </w:rPr>
        <w:t xml:space="preserve">mplification </w:t>
      </w:r>
      <w:r w:rsidR="00903B6E">
        <w:rPr>
          <w:b/>
        </w:rPr>
        <w:t>t</w:t>
      </w:r>
      <w:r w:rsidR="00903B6E" w:rsidRPr="00940AFD">
        <w:rPr>
          <w:b/>
        </w:rPr>
        <w:t xml:space="preserve">echniques </w:t>
      </w:r>
      <w:r w:rsidRPr="00940AFD">
        <w:rPr>
          <w:b/>
        </w:rPr>
        <w:t>(NAAT).</w:t>
      </w:r>
      <w:r w:rsidRPr="00A0513E">
        <w:t xml:space="preserve"> Split the current generic molecular items (69494, 69495 and 69496) into system-specific MBS items for nucleic acid amplification test (NAAT), allowing for more meaningful data collection on molecular testing. </w:t>
      </w:r>
    </w:p>
    <w:p w14:paraId="4DCD4602" w14:textId="77777777" w:rsidR="00CA7016" w:rsidRPr="00C7016F" w:rsidRDefault="00CA7016" w:rsidP="00CA7016">
      <w:pPr>
        <w:pStyle w:val="01squarebullet"/>
        <w:numPr>
          <w:ilvl w:val="0"/>
          <w:numId w:val="16"/>
        </w:numPr>
      </w:pPr>
      <w:r w:rsidRPr="00940AFD">
        <w:rPr>
          <w:b/>
        </w:rPr>
        <w:t>Hepatitis serology.</w:t>
      </w:r>
      <w:r w:rsidRPr="00A0513E">
        <w:t xml:space="preserve"> Propose a new (ideal) model to align with current hepatitis guidelines, noting that this new model will require the development of decision support software, education of requesters and enhanced pathology </w:t>
      </w:r>
      <w:r>
        <w:t>l</w:t>
      </w:r>
      <w:r w:rsidRPr="00A0513E">
        <w:t xml:space="preserve">aboratory </w:t>
      </w:r>
      <w:r>
        <w:t>i</w:t>
      </w:r>
      <w:r w:rsidRPr="00A0513E">
        <w:t xml:space="preserve">nformation </w:t>
      </w:r>
      <w:r>
        <w:t>m</w:t>
      </w:r>
      <w:r w:rsidRPr="00A0513E">
        <w:t xml:space="preserve">anagement systems to support implementation. In the interim, an alternative model is also proposed (interim model) </w:t>
      </w:r>
      <w:r w:rsidR="009645BF">
        <w:rPr>
          <w:shd w:val="clear" w:color="auto" w:fill="FFFFFF" w:themeFill="background1"/>
        </w:rPr>
        <w:t>which will</w:t>
      </w:r>
      <w:r w:rsidRPr="00AC7D0D">
        <w:rPr>
          <w:shd w:val="clear" w:color="auto" w:fill="FFFFFF" w:themeFill="background1"/>
        </w:rPr>
        <w:t xml:space="preserve"> have one merged item to cover any and all tests for hepatitis viruses A, B and </w:t>
      </w:r>
      <w:r w:rsidRPr="00AC7D0D">
        <w:rPr>
          <w:shd w:val="clear" w:color="auto" w:fill="FFFFFF" w:themeFill="background1"/>
        </w:rPr>
        <w:lastRenderedPageBreak/>
        <w:t xml:space="preserve">C, including </w:t>
      </w:r>
      <w:r>
        <w:rPr>
          <w:shd w:val="clear" w:color="auto" w:fill="FFFFFF" w:themeFill="background1"/>
        </w:rPr>
        <w:t>checking immune status and</w:t>
      </w:r>
      <w:r w:rsidRPr="00AC7D0D">
        <w:rPr>
          <w:shd w:val="clear" w:color="auto" w:fill="FFFFFF" w:themeFill="background1"/>
        </w:rPr>
        <w:t xml:space="preserve"> diagnosing or monitoring acute or chronic hepatitis, </w:t>
      </w:r>
      <w:r w:rsidR="00E15795">
        <w:rPr>
          <w:shd w:val="clear" w:color="auto" w:fill="FFFFFF" w:themeFill="background1"/>
        </w:rPr>
        <w:t>three</w:t>
      </w:r>
      <w:r w:rsidR="00E15795" w:rsidRPr="00AC7D0D">
        <w:rPr>
          <w:shd w:val="clear" w:color="auto" w:fill="FFFFFF" w:themeFill="background1"/>
        </w:rPr>
        <w:t xml:space="preserve"> </w:t>
      </w:r>
      <w:r w:rsidRPr="00AC7D0D">
        <w:rPr>
          <w:shd w:val="clear" w:color="auto" w:fill="FFFFFF" w:themeFill="background1"/>
        </w:rPr>
        <w:t>or more tests.</w:t>
      </w:r>
      <w:r>
        <w:t xml:space="preserve"> </w:t>
      </w:r>
      <w:r w:rsidRPr="00A0513E">
        <w:t>New item number for the investigation of hepatitis D or E</w:t>
      </w:r>
      <w:r>
        <w:t>.</w:t>
      </w:r>
    </w:p>
    <w:p w14:paraId="5703A473" w14:textId="77777777" w:rsidR="00CA7016" w:rsidRPr="001027FA" w:rsidRDefault="00CA7016" w:rsidP="00CA7016">
      <w:pPr>
        <w:pStyle w:val="01squarebullet"/>
        <w:numPr>
          <w:ilvl w:val="0"/>
          <w:numId w:val="16"/>
        </w:numPr>
      </w:pPr>
      <w:r w:rsidRPr="00940AFD">
        <w:rPr>
          <w:b/>
        </w:rPr>
        <w:t>Serology items/EBV.</w:t>
      </w:r>
      <w:r w:rsidRPr="00A0513E">
        <w:t xml:space="preserve"> </w:t>
      </w:r>
      <w:r w:rsidRPr="001027FA">
        <w:t>Reinstate the old serology item n</w:t>
      </w:r>
      <w:r>
        <w:t>umber 69399 for six or more tests and d</w:t>
      </w:r>
      <w:r w:rsidRPr="001027FA">
        <w:t>elete separate Epstein</w:t>
      </w:r>
      <w:r>
        <w:t>–</w:t>
      </w:r>
      <w:r w:rsidRPr="001027FA">
        <w:t>Barr virus (EBV) items 69472 and 69474 and merge these into the serology</w:t>
      </w:r>
      <w:r>
        <w:t xml:space="preserve"> items to simplify the Schedule.</w:t>
      </w:r>
    </w:p>
    <w:p w14:paraId="41C8B4EE" w14:textId="77777777" w:rsidR="00CA7016" w:rsidRPr="001027FA" w:rsidRDefault="00CA7016" w:rsidP="00CA7016">
      <w:pPr>
        <w:pStyle w:val="01squarebullet"/>
        <w:numPr>
          <w:ilvl w:val="0"/>
          <w:numId w:val="16"/>
        </w:numPr>
      </w:pPr>
      <w:r w:rsidRPr="00940AFD">
        <w:rPr>
          <w:b/>
        </w:rPr>
        <w:t>Site</w:t>
      </w:r>
      <w:r>
        <w:rPr>
          <w:b/>
        </w:rPr>
        <w:t>-</w:t>
      </w:r>
      <w:r w:rsidRPr="00940AFD">
        <w:rPr>
          <w:b/>
        </w:rPr>
        <w:t>specific culture a</w:t>
      </w:r>
      <w:r>
        <w:rPr>
          <w:b/>
        </w:rPr>
        <w:t>n</w:t>
      </w:r>
      <w:r w:rsidRPr="00940AFD">
        <w:rPr>
          <w:b/>
        </w:rPr>
        <w:t>d microscopy tests.</w:t>
      </w:r>
      <w:r w:rsidRPr="00A0513E">
        <w:t xml:space="preserve"> </w:t>
      </w:r>
      <w:r>
        <w:t>Amend</w:t>
      </w:r>
      <w:r w:rsidRPr="001027FA">
        <w:t xml:space="preserve"> the descriptors of items 69303, 69306, 69312 and 69318 to remove the inclusion of microscopy and culture on specimens from other sites.</w:t>
      </w:r>
    </w:p>
    <w:p w14:paraId="4BD1F08B" w14:textId="77777777" w:rsidR="00CA7016" w:rsidRPr="007C3933" w:rsidRDefault="00CA7016" w:rsidP="00CA7016">
      <w:pPr>
        <w:pStyle w:val="01squarebullet"/>
        <w:numPr>
          <w:ilvl w:val="0"/>
          <w:numId w:val="16"/>
        </w:numPr>
      </w:pPr>
      <w:r w:rsidRPr="00940AFD">
        <w:rPr>
          <w:b/>
        </w:rPr>
        <w:t>HIV/STI Rule 3 exemption.</w:t>
      </w:r>
      <w:r w:rsidRPr="00A0513E">
        <w:t xml:space="preserve"> </w:t>
      </w:r>
      <w:r w:rsidRPr="007C3933">
        <w:t xml:space="preserve">Apply Rule 3 exemption to HIV/STI testing (chlamydia and </w:t>
      </w:r>
      <w:proofErr w:type="spellStart"/>
      <w:r w:rsidRPr="007C3933">
        <w:t>gonorrhoea</w:t>
      </w:r>
      <w:proofErr w:type="spellEnd"/>
      <w:r w:rsidRPr="007C3933">
        <w:t xml:space="preserve"> NAAT testing and </w:t>
      </w:r>
      <w:r>
        <w:t>HIV</w:t>
      </w:r>
      <w:r w:rsidRPr="007C3933">
        <w:t xml:space="preserve"> serology) in the </w:t>
      </w:r>
      <w:r w:rsidRPr="00EE36E3">
        <w:t xml:space="preserve">Australasian Society for HIV, Viral Hepatitis and Sexual Health Medicine’s </w:t>
      </w:r>
      <w:r>
        <w:t>(</w:t>
      </w:r>
      <w:r w:rsidRPr="007C3933">
        <w:t>ASHM</w:t>
      </w:r>
      <w:r>
        <w:t>)</w:t>
      </w:r>
      <w:r w:rsidRPr="007C3933">
        <w:t xml:space="preserve"> proposed high</w:t>
      </w:r>
      <w:r>
        <w:t>-</w:t>
      </w:r>
      <w:r w:rsidRPr="007C3933">
        <w:t>risk population.</w:t>
      </w:r>
    </w:p>
    <w:p w14:paraId="5005D56B" w14:textId="77777777" w:rsidR="00CA7016" w:rsidRDefault="00CA7016" w:rsidP="00CA7016">
      <w:pPr>
        <w:pStyle w:val="01squarebullet"/>
        <w:numPr>
          <w:ilvl w:val="0"/>
          <w:numId w:val="16"/>
        </w:numPr>
      </w:pPr>
      <w:r w:rsidRPr="00940AFD">
        <w:rPr>
          <w:b/>
        </w:rPr>
        <w:t>Complicated hospital specimens.</w:t>
      </w:r>
      <w:r w:rsidRPr="00A0513E">
        <w:t xml:space="preserve"> </w:t>
      </w:r>
      <w:r w:rsidRPr="007C3933">
        <w:t xml:space="preserve">Revise and separate/split the current item 69321 to </w:t>
      </w:r>
      <w:proofErr w:type="spellStart"/>
      <w:r w:rsidRPr="007C3933">
        <w:t>recogni</w:t>
      </w:r>
      <w:r>
        <w:t>s</w:t>
      </w:r>
      <w:r w:rsidRPr="007C3933">
        <w:t>e</w:t>
      </w:r>
      <w:proofErr w:type="spellEnd"/>
      <w:r w:rsidRPr="007C3933">
        <w:t xml:space="preserve"> the different complexity associated with testing specimens from different sites. Create an item for the microscopy and culture of (a) post-operative wounds or operative or biopsy specimens, and an item for (b) aspirates of body fluids, synovial fluids and CSF.</w:t>
      </w:r>
    </w:p>
    <w:p w14:paraId="0AD94A4F" w14:textId="77777777" w:rsidR="00CA7016" w:rsidRPr="00A0513E" w:rsidRDefault="00CA7016" w:rsidP="00CA7016">
      <w:pPr>
        <w:pStyle w:val="Heading3"/>
      </w:pPr>
      <w:bookmarkStart w:id="14" w:name="_Toc483989348"/>
      <w:bookmarkStart w:id="15" w:name="_Toc486939167"/>
      <w:bookmarkStart w:id="16" w:name="_Toc12886528"/>
      <w:r w:rsidRPr="00713B0C">
        <w:t>Recommendations for referral to other committees</w:t>
      </w:r>
      <w:bookmarkEnd w:id="14"/>
      <w:bookmarkEnd w:id="15"/>
      <w:bookmarkEnd w:id="16"/>
    </w:p>
    <w:p w14:paraId="4D046368" w14:textId="77777777" w:rsidR="00CA7016" w:rsidRPr="001D50B4" w:rsidRDefault="00CA7016" w:rsidP="00CA7016">
      <w:r w:rsidRPr="00FC1976">
        <w:t xml:space="preserve">The Committee’s recommendations </w:t>
      </w:r>
      <w:r>
        <w:t>to be referred to</w:t>
      </w:r>
      <w:r w:rsidRPr="00FC1976">
        <w:t xml:space="preserve"> </w:t>
      </w:r>
      <w:r>
        <w:t>MSAC Executive for their consideration:</w:t>
      </w:r>
    </w:p>
    <w:p w14:paraId="3C667B27" w14:textId="77777777" w:rsidR="00CA7016" w:rsidRPr="00A0513E" w:rsidRDefault="00CA7016" w:rsidP="00CA7016">
      <w:pPr>
        <w:pStyle w:val="01squarebullet"/>
        <w:numPr>
          <w:ilvl w:val="0"/>
          <w:numId w:val="16"/>
        </w:numPr>
      </w:pPr>
      <w:proofErr w:type="spellStart"/>
      <w:r w:rsidRPr="00940AFD">
        <w:rPr>
          <w:b/>
        </w:rPr>
        <w:t>Orthopaedic</w:t>
      </w:r>
      <w:proofErr w:type="spellEnd"/>
      <w:r w:rsidRPr="00940AFD">
        <w:rPr>
          <w:b/>
        </w:rPr>
        <w:t xml:space="preserve"> tissues</w:t>
      </w:r>
      <w:r>
        <w:rPr>
          <w:b/>
        </w:rPr>
        <w:t>—</w:t>
      </w:r>
      <w:r w:rsidRPr="00940AFD">
        <w:rPr>
          <w:b/>
        </w:rPr>
        <w:t>new service.</w:t>
      </w:r>
      <w:r w:rsidRPr="00A0513E">
        <w:t xml:space="preserve"> </w:t>
      </w:r>
      <w:r>
        <w:t>The Committee recommends the introduction of</w:t>
      </w:r>
      <w:r w:rsidRPr="004C5164">
        <w:t xml:space="preserve"> a new MBS item for</w:t>
      </w:r>
      <w:r w:rsidRPr="001027FA">
        <w:t xml:space="preserve"> the collection of &gt;</w:t>
      </w:r>
      <w:r>
        <w:t xml:space="preserve"> </w:t>
      </w:r>
      <w:r w:rsidRPr="001027FA">
        <w:t xml:space="preserve">3 and </w:t>
      </w:r>
      <w:r>
        <w:t>≤ 5</w:t>
      </w:r>
      <w:r w:rsidRPr="001027FA">
        <w:t xml:space="preserve"> samples to determine prosthetic joint infection</w:t>
      </w:r>
      <w:r>
        <w:t>s.</w:t>
      </w:r>
    </w:p>
    <w:p w14:paraId="428F5000" w14:textId="77777777" w:rsidR="00CA7016" w:rsidRPr="00F83991" w:rsidRDefault="00CA7016" w:rsidP="00CA7016">
      <w:r w:rsidRPr="00FC1976">
        <w:t xml:space="preserve">The Committee’s recommendations </w:t>
      </w:r>
      <w:r>
        <w:t>to be referred to</w:t>
      </w:r>
      <w:r w:rsidRPr="00FC1976">
        <w:t xml:space="preserve"> </w:t>
      </w:r>
      <w:r>
        <w:t>MSAC for their consideration:</w:t>
      </w:r>
    </w:p>
    <w:p w14:paraId="0EFCD8C2" w14:textId="77777777" w:rsidR="00CA7016" w:rsidRPr="00A0513E" w:rsidRDefault="00CA7016" w:rsidP="00CA7016">
      <w:pPr>
        <w:pStyle w:val="01squarebullet"/>
        <w:numPr>
          <w:ilvl w:val="0"/>
          <w:numId w:val="16"/>
        </w:numPr>
      </w:pPr>
      <w:r w:rsidRPr="00940AFD">
        <w:rPr>
          <w:b/>
        </w:rPr>
        <w:t>Reflex cultures</w:t>
      </w:r>
      <w:r>
        <w:rPr>
          <w:b/>
        </w:rPr>
        <w:t>—</w:t>
      </w:r>
      <w:r w:rsidRPr="00940AFD">
        <w:rPr>
          <w:b/>
        </w:rPr>
        <w:t>new service.</w:t>
      </w:r>
      <w:r w:rsidRPr="00A0513E">
        <w:t xml:space="preserve"> The Committee recommends the introduction a new MBS item to fund the reflex culture of a specimen (and</w:t>
      </w:r>
      <w:r w:rsidR="007167F6">
        <w:t>,</w:t>
      </w:r>
      <w:r w:rsidRPr="00A0513E">
        <w:t xml:space="preserve"> whe</w:t>
      </w:r>
      <w:r w:rsidR="007167F6">
        <w:t>n</w:t>
      </w:r>
      <w:r w:rsidRPr="00A0513E">
        <w:t xml:space="preserve"> applicable</w:t>
      </w:r>
      <w:r w:rsidR="007167F6">
        <w:t>,</w:t>
      </w:r>
      <w:r w:rsidRPr="00A0513E">
        <w:t xml:space="preserve"> sensitivity testing) whe</w:t>
      </w:r>
      <w:r w:rsidR="007167F6">
        <w:t>n</w:t>
      </w:r>
      <w:r w:rsidRPr="00A0513E">
        <w:t xml:space="preserve"> culture independent method of identification reveals a microbial pathogen of public health significance.</w:t>
      </w:r>
    </w:p>
    <w:p w14:paraId="15144C44" w14:textId="77777777" w:rsidR="00CA7016" w:rsidRPr="00940AFD" w:rsidRDefault="00CA7016" w:rsidP="00CA7016">
      <w:pPr>
        <w:pStyle w:val="01squarebullet"/>
        <w:numPr>
          <w:ilvl w:val="0"/>
          <w:numId w:val="16"/>
        </w:numPr>
        <w:rPr>
          <w:b/>
        </w:rPr>
      </w:pPr>
      <w:r w:rsidRPr="00940AFD">
        <w:rPr>
          <w:b/>
        </w:rPr>
        <w:t>Packaging a microbial isolate of public health significance for transport to a reference laboratory</w:t>
      </w:r>
      <w:r w:rsidRPr="00AC7D0D">
        <w:rPr>
          <w:b/>
        </w:rPr>
        <w:t>—new service.</w:t>
      </w:r>
    </w:p>
    <w:p w14:paraId="46BE929C" w14:textId="77777777" w:rsidR="00CA7016" w:rsidRPr="00A0513E" w:rsidRDefault="00CA7016" w:rsidP="00CA7016">
      <w:pPr>
        <w:pStyle w:val="01squarebullet"/>
        <w:numPr>
          <w:ilvl w:val="0"/>
          <w:numId w:val="16"/>
        </w:numPr>
      </w:pPr>
      <w:r w:rsidRPr="00940AFD">
        <w:rPr>
          <w:b/>
        </w:rPr>
        <w:t>Testing for multi-resistant organism (MRO) from appropriate sites</w:t>
      </w:r>
      <w:r w:rsidRPr="00AC7D0D">
        <w:rPr>
          <w:b/>
        </w:rPr>
        <w:t>—new service.</w:t>
      </w:r>
    </w:p>
    <w:p w14:paraId="180B5692" w14:textId="77777777" w:rsidR="00C10C14" w:rsidRDefault="00C10C14" w:rsidP="00C10C14">
      <w:pPr>
        <w:pStyle w:val="Heading2"/>
        <w:spacing w:before="280" w:after="120"/>
        <w:ind w:left="576"/>
        <w:rPr>
          <w:rFonts w:eastAsia="Times New Roman"/>
          <w:lang w:val="en-US"/>
        </w:rPr>
      </w:pPr>
      <w:bookmarkStart w:id="17" w:name="_Toc498516939"/>
      <w:bookmarkStart w:id="18" w:name="_Toc12886529"/>
      <w:r>
        <w:rPr>
          <w:rFonts w:eastAsia="Times New Roman"/>
          <w:lang w:val="en-US"/>
        </w:rPr>
        <w:t>Consumer engagement and impact</w:t>
      </w:r>
      <w:bookmarkEnd w:id="17"/>
      <w:bookmarkEnd w:id="18"/>
    </w:p>
    <w:p w14:paraId="0604E819" w14:textId="77777777" w:rsidR="00C10C14" w:rsidRPr="00C10C14" w:rsidRDefault="00C10C14" w:rsidP="00C10C14">
      <w:r>
        <w:t xml:space="preserve">The Committee includes experienced and committed health practitioners and consumer representatives. This section summarises the report’s key recommendations from a consumer perspective. It aims to make it easier for health consumers and members of the general public to understand the report’s recommendations. </w:t>
      </w:r>
    </w:p>
    <w:p w14:paraId="0548BE62" w14:textId="77777777" w:rsidR="00C10C14" w:rsidRDefault="00C10C14" w:rsidP="00C10C14">
      <w:r>
        <w:t xml:space="preserve">A complete list of the recommendations can be found in Appendix C, including a description in plain English of the medical service and the Committee’s recommendation, as well as an explanation of why the recommendation has been made. </w:t>
      </w:r>
    </w:p>
    <w:p w14:paraId="52BC6B06" w14:textId="77777777" w:rsidR="00C10C14" w:rsidRDefault="00C10C14" w:rsidP="00C10C14">
      <w:r>
        <w:t xml:space="preserve">Consumers rarely engage with MBS item numbers unless they are following up on out-of-pocket expenses. Nevertheless, item descriptions and restrictions are an important part of healthcare accountability. The Committee’s recommendations encourage agreed best practice and reflect current clinical evidence. </w:t>
      </w:r>
    </w:p>
    <w:p w14:paraId="2162B294" w14:textId="77777777" w:rsidR="00C10C14" w:rsidRDefault="00C10C14" w:rsidP="00C10C14">
      <w:r>
        <w:t xml:space="preserve">Both consumers and clinicians are expected to benefit from these recommendations because they address concerns regarding consumer safety and quality of </w:t>
      </w:r>
      <w:proofErr w:type="gramStart"/>
      <w:r>
        <w:t>care, and</w:t>
      </w:r>
      <w:proofErr w:type="gramEnd"/>
      <w:r>
        <w:t xml:space="preserve"> take steps to simplify the MBS </w:t>
      </w:r>
      <w:r>
        <w:lastRenderedPageBreak/>
        <w:t xml:space="preserve">and make it easier to use and understand. Consumer access to services was considered for each recommendation. The Committee also considered the impact of each recommendation on requestor and provider groups to ensure that changes were reasonable and fair. However, if the Committee identified evidence of potential item misuse or safety concerns, recommendations were made to encourage best practice, in line with the overarching purpose of the MBS Review. </w:t>
      </w:r>
    </w:p>
    <w:p w14:paraId="626992BB" w14:textId="77777777" w:rsidR="00C10C14" w:rsidRDefault="00C10C14" w:rsidP="00C10C14">
      <w:r>
        <w:t xml:space="preserve">The Committee expects these recommendations to support better requesting, with the aim of ensuring that patients are provided with clinically indicated, high-quality care that reflects modern best practice. </w:t>
      </w:r>
    </w:p>
    <w:p w14:paraId="072F0E44" w14:textId="77777777" w:rsidR="00C10C14" w:rsidRPr="00C10C14" w:rsidRDefault="00C10C14" w:rsidP="00C10C14">
      <w:r w:rsidRPr="00C10C14">
        <w:t>The consumer representatives used the following framework to assess recommendations:</w:t>
      </w:r>
    </w:p>
    <w:p w14:paraId="3343039F" w14:textId="77777777" w:rsidR="00C10C14" w:rsidRDefault="00C10C14" w:rsidP="00C10C14">
      <w:pPr>
        <w:pStyle w:val="02dash"/>
        <w:numPr>
          <w:ilvl w:val="0"/>
          <w:numId w:val="0"/>
        </w:numPr>
        <w:tabs>
          <w:tab w:val="left" w:pos="720"/>
        </w:tabs>
        <w:ind w:left="567"/>
      </w:pPr>
      <w:r>
        <w:rPr>
          <w:b/>
          <w:bCs/>
        </w:rPr>
        <w:t>Safety</w:t>
      </w:r>
      <w:r>
        <w:t>: None of the recommendations negatively affects the safety of pathology services.</w:t>
      </w:r>
    </w:p>
    <w:p w14:paraId="2CEEB817" w14:textId="77777777" w:rsidR="00C10C14" w:rsidRDefault="00C10C14" w:rsidP="00C10C14">
      <w:pPr>
        <w:pStyle w:val="02dash"/>
        <w:numPr>
          <w:ilvl w:val="0"/>
          <w:numId w:val="0"/>
        </w:numPr>
        <w:tabs>
          <w:tab w:val="left" w:pos="720"/>
        </w:tabs>
        <w:ind w:left="567"/>
      </w:pPr>
      <w:r>
        <w:rPr>
          <w:b/>
          <w:bCs/>
        </w:rPr>
        <w:t>Quality</w:t>
      </w:r>
      <w:r>
        <w:t xml:space="preserve">: Many of the recommended changes are intended to improve quality, primarily by aligning the reimbursement system with evidence-based practice. </w:t>
      </w:r>
    </w:p>
    <w:p w14:paraId="5D190F37" w14:textId="77777777" w:rsidR="00C10C14" w:rsidRDefault="00C10C14" w:rsidP="00C10C14">
      <w:pPr>
        <w:pStyle w:val="02dash"/>
        <w:numPr>
          <w:ilvl w:val="0"/>
          <w:numId w:val="0"/>
        </w:numPr>
        <w:tabs>
          <w:tab w:val="left" w:pos="720"/>
        </w:tabs>
        <w:ind w:left="567"/>
      </w:pPr>
      <w:r>
        <w:rPr>
          <w:b/>
          <w:bCs/>
        </w:rPr>
        <w:t>Access</w:t>
      </w:r>
      <w:r>
        <w:t>: The recommendations do not negatively affect appropriate access. However, some patient groups have been receiving services they do not need, which can result in either negative health impacts or unnecessary cost. Inappropriate access was restricted where possible.</w:t>
      </w:r>
    </w:p>
    <w:p w14:paraId="2569880D" w14:textId="77777777" w:rsidR="00C10C14" w:rsidRDefault="00C10C14" w:rsidP="00C10C14">
      <w:pPr>
        <w:pStyle w:val="02dash"/>
        <w:numPr>
          <w:ilvl w:val="0"/>
          <w:numId w:val="0"/>
        </w:numPr>
        <w:tabs>
          <w:tab w:val="left" w:pos="720"/>
        </w:tabs>
        <w:ind w:left="567"/>
      </w:pPr>
      <w:r>
        <w:rPr>
          <w:b/>
          <w:bCs/>
        </w:rPr>
        <w:t>Effectiveness</w:t>
      </w:r>
      <w:r>
        <w:t xml:space="preserve">: None of the recommendations reduces the effectiveness of pathology services. </w:t>
      </w:r>
    </w:p>
    <w:p w14:paraId="5C9510BF" w14:textId="77777777" w:rsidR="00C10C14" w:rsidRDefault="00C10C14" w:rsidP="00C10C14">
      <w:pPr>
        <w:pStyle w:val="02dash"/>
        <w:numPr>
          <w:ilvl w:val="0"/>
          <w:numId w:val="0"/>
        </w:numPr>
        <w:tabs>
          <w:tab w:val="left" w:pos="720"/>
        </w:tabs>
        <w:ind w:left="567"/>
      </w:pPr>
      <w:r>
        <w:rPr>
          <w:b/>
          <w:bCs/>
        </w:rPr>
        <w:t>Cost-effectiveness</w:t>
      </w:r>
      <w:r>
        <w:t xml:space="preserve">: The recommendations will have a positive effect on cost-effectiveness because they make it easier to determine which patient groups should have access to specific tests and treatments. </w:t>
      </w:r>
    </w:p>
    <w:p w14:paraId="5DB047CD" w14:textId="77777777" w:rsidR="00C10C14" w:rsidRDefault="00C10C14" w:rsidP="00C10C14">
      <w:pPr>
        <w:pStyle w:val="02dash"/>
        <w:numPr>
          <w:ilvl w:val="0"/>
          <w:numId w:val="0"/>
        </w:numPr>
        <w:tabs>
          <w:tab w:val="left" w:pos="720"/>
        </w:tabs>
        <w:ind w:left="567"/>
      </w:pPr>
      <w:r>
        <w:rPr>
          <w:b/>
          <w:bCs/>
        </w:rPr>
        <w:t>Accountability</w:t>
      </w:r>
      <w:r>
        <w:t>: Many of the changes include wording that facilitates future auditing for quality purposes.</w:t>
      </w:r>
    </w:p>
    <w:p w14:paraId="4EBF6A33" w14:textId="77777777" w:rsidR="00C10C14" w:rsidRDefault="00C10C14" w:rsidP="00C10C14">
      <w:pPr>
        <w:pStyle w:val="02dash"/>
        <w:numPr>
          <w:ilvl w:val="0"/>
          <w:numId w:val="0"/>
        </w:numPr>
        <w:tabs>
          <w:tab w:val="left" w:pos="720"/>
        </w:tabs>
        <w:ind w:left="567"/>
      </w:pPr>
      <w:r>
        <w:rPr>
          <w:b/>
          <w:bCs/>
        </w:rPr>
        <w:t>Data collection</w:t>
      </w:r>
      <w:r>
        <w:t>: Data collection for research, monitoring and auditing presents a huge opportunity for a revised MBS, and the recommendations should improve the opportunities to use this data for targeted research in the future.</w:t>
      </w:r>
    </w:p>
    <w:p w14:paraId="205A017E" w14:textId="77777777" w:rsidR="00CA7016" w:rsidRPr="00FC1976" w:rsidRDefault="00CA7016" w:rsidP="00C10C14">
      <w:pPr>
        <w:pStyle w:val="Heading2"/>
      </w:pPr>
      <w:r w:rsidRPr="00FC1976">
        <w:br w:type="page"/>
      </w:r>
    </w:p>
    <w:p w14:paraId="37F805E2" w14:textId="77777777" w:rsidR="00CA7016" w:rsidRPr="00A0513E" w:rsidRDefault="00CA7016" w:rsidP="00CA7016">
      <w:pPr>
        <w:pStyle w:val="Heading1"/>
      </w:pPr>
      <w:bookmarkStart w:id="19" w:name="_Toc457411123"/>
      <w:bookmarkStart w:id="20" w:name="_Toc458774409"/>
      <w:bookmarkStart w:id="21" w:name="_Toc459973078"/>
      <w:bookmarkStart w:id="22" w:name="_Toc460228386"/>
      <w:bookmarkStart w:id="23" w:name="_Toc483989350"/>
      <w:bookmarkStart w:id="24" w:name="_Toc486939169"/>
      <w:bookmarkStart w:id="25" w:name="_Toc12886530"/>
      <w:bookmarkStart w:id="26" w:name="_Toc456045424"/>
      <w:bookmarkStart w:id="27" w:name="_Toc459996804"/>
      <w:bookmarkStart w:id="28" w:name="_Toc458166992"/>
      <w:r w:rsidRPr="00A0513E">
        <w:lastRenderedPageBreak/>
        <w:t>About the Medicare Benefits Schedule (MBS) Review</w:t>
      </w:r>
      <w:bookmarkEnd w:id="19"/>
      <w:bookmarkEnd w:id="20"/>
      <w:bookmarkEnd w:id="21"/>
      <w:bookmarkEnd w:id="22"/>
      <w:bookmarkEnd w:id="23"/>
      <w:bookmarkEnd w:id="24"/>
      <w:bookmarkEnd w:id="25"/>
    </w:p>
    <w:p w14:paraId="4106710A" w14:textId="77777777" w:rsidR="00CA7016" w:rsidRPr="00A0513E" w:rsidRDefault="00CA7016" w:rsidP="00CA7016">
      <w:pPr>
        <w:pStyle w:val="Heading2"/>
      </w:pPr>
      <w:bookmarkStart w:id="29" w:name="_Toc456045425"/>
      <w:bookmarkStart w:id="30" w:name="_Toc457463614"/>
      <w:bookmarkStart w:id="31" w:name="_Toc459996805"/>
      <w:bookmarkStart w:id="32" w:name="_Toc458166993"/>
      <w:bookmarkStart w:id="33" w:name="_Toc483989351"/>
      <w:bookmarkStart w:id="34" w:name="_Toc486939170"/>
      <w:bookmarkStart w:id="35" w:name="_Toc12886531"/>
      <w:bookmarkStart w:id="36" w:name="_Toc456045427"/>
      <w:bookmarkEnd w:id="26"/>
      <w:bookmarkEnd w:id="27"/>
      <w:bookmarkEnd w:id="28"/>
      <w:r w:rsidRPr="00A0513E">
        <w:t>Medicare and the MBS</w:t>
      </w:r>
      <w:bookmarkEnd w:id="29"/>
      <w:bookmarkEnd w:id="30"/>
      <w:bookmarkEnd w:id="31"/>
      <w:bookmarkEnd w:id="32"/>
      <w:bookmarkEnd w:id="33"/>
      <w:bookmarkEnd w:id="34"/>
      <w:bookmarkEnd w:id="35"/>
    </w:p>
    <w:p w14:paraId="2F2B607B" w14:textId="77777777" w:rsidR="00CA7016" w:rsidRPr="00A0513E" w:rsidRDefault="00CA7016" w:rsidP="00CA7016">
      <w:pPr>
        <w:pStyle w:val="Heading3"/>
      </w:pPr>
      <w:bookmarkStart w:id="37" w:name="_Toc483989352"/>
      <w:bookmarkStart w:id="38" w:name="_Toc486939171"/>
      <w:bookmarkStart w:id="39" w:name="_Toc12886532"/>
      <w:r w:rsidRPr="00FC1976">
        <w:t>What is Medicare?</w:t>
      </w:r>
      <w:bookmarkEnd w:id="37"/>
      <w:bookmarkEnd w:id="38"/>
      <w:bookmarkEnd w:id="39"/>
    </w:p>
    <w:p w14:paraId="2E210BFA" w14:textId="77777777" w:rsidR="00CA7016" w:rsidRPr="00A0513E" w:rsidRDefault="00CA7016" w:rsidP="00CA7016">
      <w:r w:rsidRPr="00FC1976">
        <w:t>Medicare is Australia’s universal health scheme, which enables all Australian residents (and some overseas visitors) to have access to a wide range of health services and medicines at little or no cost. Introduced in 1984, Medicare has three components: free public hospital services for public patients; subsidised drugs covered by the Pharmaceutical Benefits Scheme (PBS); and subsidised health professional services listed on the Medicare Benefits Schedule (MBS).</w:t>
      </w:r>
    </w:p>
    <w:p w14:paraId="44D53FA0" w14:textId="77777777" w:rsidR="00CA7016" w:rsidRPr="00A0513E" w:rsidRDefault="00CA7016" w:rsidP="00CA7016">
      <w:pPr>
        <w:pStyle w:val="Heading3"/>
      </w:pPr>
      <w:bookmarkStart w:id="40" w:name="_Toc483989353"/>
      <w:bookmarkStart w:id="41" w:name="_Toc486939172"/>
      <w:bookmarkStart w:id="42" w:name="_Toc12886533"/>
      <w:r w:rsidRPr="00FC1976">
        <w:t>What is the MBS?</w:t>
      </w:r>
      <w:bookmarkEnd w:id="40"/>
      <w:bookmarkEnd w:id="41"/>
      <w:bookmarkEnd w:id="42"/>
    </w:p>
    <w:p w14:paraId="43F6B3BE" w14:textId="77777777" w:rsidR="00CA7016" w:rsidRPr="00FC1976" w:rsidRDefault="00CA7016" w:rsidP="00CA7016">
      <w:r w:rsidRPr="00FC1976">
        <w:t xml:space="preserve">The MBS is a listing of the health professional services subsidised by the Australian Government. There are </w:t>
      </w:r>
      <w:r>
        <w:t>more than</w:t>
      </w:r>
      <w:r w:rsidRPr="00FC1976">
        <w:t xml:space="preserve"> 5700 MBS items, which provide benefits to patients for a comprehensive range of services including consultations, diagnostic tests and operations. </w:t>
      </w:r>
    </w:p>
    <w:p w14:paraId="6A5A58F6" w14:textId="77777777" w:rsidR="00CA7016" w:rsidRPr="00A0513E" w:rsidRDefault="00CA7016" w:rsidP="00CA7016">
      <w:pPr>
        <w:pStyle w:val="Heading2"/>
      </w:pPr>
      <w:bookmarkStart w:id="43" w:name="_Toc456045426"/>
      <w:bookmarkStart w:id="44" w:name="_Toc457463615"/>
      <w:bookmarkStart w:id="45" w:name="_Toc459996806"/>
      <w:bookmarkStart w:id="46" w:name="_Toc458166994"/>
      <w:bookmarkStart w:id="47" w:name="_Toc483989354"/>
      <w:bookmarkStart w:id="48" w:name="_Toc486939173"/>
      <w:bookmarkStart w:id="49" w:name="_Toc12886534"/>
      <w:r w:rsidRPr="00A0513E">
        <w:t>The MBS Review Taskforce</w:t>
      </w:r>
      <w:bookmarkEnd w:id="43"/>
      <w:bookmarkEnd w:id="44"/>
      <w:bookmarkEnd w:id="45"/>
      <w:bookmarkEnd w:id="46"/>
      <w:bookmarkEnd w:id="47"/>
      <w:bookmarkEnd w:id="48"/>
      <w:bookmarkEnd w:id="49"/>
    </w:p>
    <w:p w14:paraId="2713C683" w14:textId="77777777" w:rsidR="00CA7016" w:rsidRPr="00A0513E" w:rsidRDefault="00CA7016" w:rsidP="00CA7016">
      <w:pPr>
        <w:pStyle w:val="Heading3"/>
      </w:pPr>
      <w:bookmarkStart w:id="50" w:name="_Toc483989355"/>
      <w:bookmarkStart w:id="51" w:name="_Toc486939174"/>
      <w:bookmarkStart w:id="52" w:name="_Toc12886535"/>
      <w:r w:rsidRPr="00FC1976">
        <w:t>What is the MBS Review Taskforce?</w:t>
      </w:r>
      <w:bookmarkEnd w:id="50"/>
      <w:bookmarkEnd w:id="51"/>
      <w:bookmarkEnd w:id="52"/>
    </w:p>
    <w:p w14:paraId="3CB34DB5" w14:textId="77777777" w:rsidR="00CA7016" w:rsidRPr="00FC1976" w:rsidRDefault="00CA7016" w:rsidP="00CA7016">
      <w:r w:rsidRPr="00FC1976">
        <w:t>The Government established a</w:t>
      </w:r>
      <w:r>
        <w:t xml:space="preserve">n </w:t>
      </w:r>
      <w:r w:rsidRPr="00FC1976">
        <w:t xml:space="preserve">MBS Review Taskforce (the Taskforce) to review all 5700 MBS items to ensure </w:t>
      </w:r>
      <w:r>
        <w:t xml:space="preserve">that </w:t>
      </w:r>
      <w:r w:rsidRPr="00FC1976">
        <w:t xml:space="preserve">they align with contemporary clinical evidence and practice, and to improve health outcomes for patients. The </w:t>
      </w:r>
      <w:r>
        <w:t>Review</w:t>
      </w:r>
      <w:r w:rsidRPr="00FC1976">
        <w:t xml:space="preserve"> is clinician-led, and there are no targets for savings attached to the </w:t>
      </w:r>
      <w:r>
        <w:t>Review</w:t>
      </w:r>
      <w:r w:rsidRPr="00FC1976">
        <w:t xml:space="preserve">. Following stakeholder </w:t>
      </w:r>
      <w:r>
        <w:t>feedback</w:t>
      </w:r>
      <w:r w:rsidRPr="00FC1976">
        <w:t xml:space="preserve">, the Taskforce will present its recommendations to the </w:t>
      </w:r>
      <w:r>
        <w:t xml:space="preserve">Minister for Health </w:t>
      </w:r>
      <w:r w:rsidRPr="00FC1976">
        <w:t xml:space="preserve">for consideration by the Government. </w:t>
      </w:r>
    </w:p>
    <w:p w14:paraId="45B8E27C" w14:textId="77777777" w:rsidR="00CA7016" w:rsidRPr="00A0513E" w:rsidRDefault="00CA7016" w:rsidP="00CA7016">
      <w:pPr>
        <w:pStyle w:val="Heading3"/>
      </w:pPr>
      <w:bookmarkStart w:id="53" w:name="_Toc483989356"/>
      <w:bookmarkStart w:id="54" w:name="_Toc486939175"/>
      <w:bookmarkStart w:id="55" w:name="_Toc12886536"/>
      <w:r w:rsidRPr="00FC1976">
        <w:t>What are the goals of the Taskforce?</w:t>
      </w:r>
      <w:bookmarkEnd w:id="53"/>
      <w:bookmarkEnd w:id="54"/>
      <w:bookmarkEnd w:id="55"/>
    </w:p>
    <w:p w14:paraId="60D57EB2" w14:textId="77777777" w:rsidR="00CA7016" w:rsidRPr="00FC1976" w:rsidRDefault="00CA7016" w:rsidP="00CA7016">
      <w:r w:rsidRPr="00FC1976">
        <w:t xml:space="preserve">The Taskforce is committed to providing recommendations to the </w:t>
      </w:r>
      <w:r>
        <w:t xml:space="preserve">Minister for Health </w:t>
      </w:r>
      <w:r w:rsidRPr="00FC1976">
        <w:t>that will allow the MBS to deliver on each of these four goals:</w:t>
      </w:r>
    </w:p>
    <w:p w14:paraId="796A4FB9" w14:textId="77777777" w:rsidR="00CA7016" w:rsidRPr="00A0513E" w:rsidRDefault="00CA7016" w:rsidP="00CA7016">
      <w:pPr>
        <w:pStyle w:val="01squarebullet"/>
        <w:numPr>
          <w:ilvl w:val="0"/>
          <w:numId w:val="16"/>
        </w:numPr>
      </w:pPr>
      <w:r w:rsidRPr="00A0513E">
        <w:t>Affordable and universal access. 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particularly under-serviced.</w:t>
      </w:r>
    </w:p>
    <w:p w14:paraId="7E815CF8" w14:textId="77777777" w:rsidR="00CA7016" w:rsidRPr="00A0513E" w:rsidRDefault="00CA7016" w:rsidP="00CA7016">
      <w:pPr>
        <w:pStyle w:val="01squarebullet"/>
        <w:numPr>
          <w:ilvl w:val="0"/>
          <w:numId w:val="16"/>
        </w:numPr>
      </w:pPr>
      <w:r w:rsidRPr="00A0513E">
        <w:t xml:space="preserve">Best-practice health services. One of the core objectives of the Review is to </w:t>
      </w:r>
      <w:proofErr w:type="spellStart"/>
      <w:r w:rsidRPr="00A0513E">
        <w:t>modernise</w:t>
      </w:r>
      <w:proofErr w:type="spellEnd"/>
      <w:r w:rsidRPr="00A0513E">
        <w:t xml:space="preserve"> the MBS, ensuring that individual items and their descriptors are consistent with contemporary best practice and the evidence base, where possible. Although the Medical Services Advisory Committee (MSAC) plays a crucial role in thoroughly evaluating new services, the vast majority of existing MBS items pre-date this process and have never been reviewed.</w:t>
      </w:r>
    </w:p>
    <w:p w14:paraId="43D8A488" w14:textId="77777777" w:rsidR="00CA7016" w:rsidRPr="00A0513E" w:rsidRDefault="00CA7016" w:rsidP="00CA7016">
      <w:pPr>
        <w:pStyle w:val="01squarebullet"/>
        <w:numPr>
          <w:ilvl w:val="0"/>
          <w:numId w:val="16"/>
        </w:numPr>
      </w:pPr>
      <w:r w:rsidRPr="00A0513E">
        <w:t>Value for the individual patient. Another core objective of the Review is to maintain an MBS that supports the delivery of services that are appropriate to the patient’s needs, provide real clinical value and do not expose the patient to unnecessary risk or expense.</w:t>
      </w:r>
    </w:p>
    <w:p w14:paraId="692CDAC8" w14:textId="77777777" w:rsidR="00CA7016" w:rsidRPr="00A0513E" w:rsidRDefault="00CA7016" w:rsidP="00CA7016">
      <w:pPr>
        <w:pStyle w:val="01squarebullet"/>
        <w:numPr>
          <w:ilvl w:val="0"/>
          <w:numId w:val="16"/>
        </w:numPr>
      </w:pPr>
      <w:r w:rsidRPr="00A0513E">
        <w:t>Value for the health system. Achieving the above elements will go a long way towards achieving improved value for the health system overall. Reducing the volume of services that provide little or no clinical benefit will enable resources to be redirected to new and existing services that have proven benefits but are underused, particularly for patients who cannot readily access these services.</w:t>
      </w:r>
    </w:p>
    <w:p w14:paraId="78D221A4" w14:textId="77777777" w:rsidR="00CA7016" w:rsidRPr="00A0513E" w:rsidRDefault="00CA7016" w:rsidP="00CA7016">
      <w:pPr>
        <w:pStyle w:val="Heading2"/>
      </w:pPr>
      <w:bookmarkStart w:id="56" w:name="_Toc457463616"/>
      <w:bookmarkStart w:id="57" w:name="_Toc459996807"/>
      <w:bookmarkStart w:id="58" w:name="_Toc458166995"/>
      <w:bookmarkStart w:id="59" w:name="_Toc483989357"/>
      <w:bookmarkStart w:id="60" w:name="_Toc486939176"/>
      <w:bookmarkStart w:id="61" w:name="_Toc12886537"/>
      <w:bookmarkStart w:id="62" w:name="_Toc456045428"/>
      <w:bookmarkEnd w:id="36"/>
      <w:r w:rsidRPr="00A0513E">
        <w:lastRenderedPageBreak/>
        <w:t>The Taskforce’s approach</w:t>
      </w:r>
      <w:bookmarkEnd w:id="56"/>
      <w:bookmarkEnd w:id="57"/>
      <w:bookmarkEnd w:id="58"/>
      <w:bookmarkEnd w:id="59"/>
      <w:bookmarkEnd w:id="60"/>
      <w:bookmarkEnd w:id="61"/>
    </w:p>
    <w:p w14:paraId="30617B81" w14:textId="77777777" w:rsidR="00A85EEC" w:rsidRDefault="00CA7016" w:rsidP="00CA7016">
      <w:r w:rsidRPr="00FC1976">
        <w:t>The Taskforce is reviewing existing MBS items, with a primary focus on ensuring that individual items and usage meet the definition of best practice. Within the Taskforce’s brief, there is considerable scope to review and provide advice on all aspects that would contribute to a modern, transparent and responsive system. This includes not only making recommendations about adding new items or services to the MBS, but also about an MBS structure that could better accommodate changing health service models.</w:t>
      </w:r>
    </w:p>
    <w:p w14:paraId="26CBBF22" w14:textId="77777777" w:rsidR="00CA7016" w:rsidRPr="00FC1976" w:rsidRDefault="00CA7016" w:rsidP="00CA7016">
      <w:r w:rsidRPr="00FC1976">
        <w:t xml:space="preserve">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w:t>
      </w:r>
      <w:r>
        <w:t>Review</w:t>
      </w:r>
      <w:r w:rsidRPr="00FC1976">
        <w:t xml:space="preserve"> has concluded.</w:t>
      </w:r>
    </w:p>
    <w:p w14:paraId="717048D3" w14:textId="77777777" w:rsidR="00CA7016" w:rsidRPr="00FC1976" w:rsidRDefault="00CA7016" w:rsidP="00CA7016">
      <w:r w:rsidRPr="00FC1976">
        <w:t xml:space="preserve">As the MBS Review is to be clinician-led, the Taskforce decided that </w:t>
      </w:r>
      <w:r>
        <w:t xml:space="preserve">Clinical Committees should conduct </w:t>
      </w:r>
      <w:r w:rsidRPr="00FC1976">
        <w:t xml:space="preserve">the detailed review of MBS items. The committees are broad-based in their membership, and members have been appointed in </w:t>
      </w:r>
      <w:r>
        <w:t>an</w:t>
      </w:r>
      <w:r w:rsidRPr="00FC1976">
        <w:t xml:space="preserve"> individual capacity, rather than as representatives of any organisation. </w:t>
      </w:r>
    </w:p>
    <w:p w14:paraId="7BA6BFCF" w14:textId="77777777" w:rsidR="00CA7016" w:rsidRPr="00FC1976" w:rsidRDefault="00CA7016" w:rsidP="00CA7016">
      <w:r w:rsidRPr="00FC1976">
        <w:t xml:space="preserve">The Taskforce asked all committees to review MBS items using a framework based on </w:t>
      </w:r>
      <w:r>
        <w:t>A</w:t>
      </w:r>
      <w:r w:rsidRPr="00FC1976">
        <w:t xml:space="preserve">ppropriate </w:t>
      </w:r>
      <w:r>
        <w:t>U</w:t>
      </w:r>
      <w:r w:rsidRPr="00FC1976">
        <w:t xml:space="preserve">se </w:t>
      </w:r>
      <w:r>
        <w:t>C</w:t>
      </w:r>
      <w:r w:rsidRPr="00FC1976">
        <w:t>riteria</w:t>
      </w:r>
      <w:r>
        <w:t xml:space="preserve"> accepted by the </w:t>
      </w:r>
      <w:r w:rsidRPr="00804D68">
        <w:t>Taskforce.</w:t>
      </w:r>
      <w:r>
        <w:fldChar w:fldCharType="begin"/>
      </w:r>
      <w:r w:rsidR="00365487">
        <w:instrText xml:space="preserve"> ADDIN EN.CITE &lt;EndNote&gt;&lt;Cite&gt;&lt;Author&gt;Elshaug&lt;/Author&gt;&lt;Year&gt;2012&lt;/Year&gt;&lt;RecNum&gt;1&lt;/RecNum&gt;&lt;DisplayText&gt; [1]&lt;/DisplayText&gt;&lt;record&gt;&lt;rec-number&gt;1&lt;/rec-number&gt;&lt;foreign-keys&gt;&lt;key app="EN" db-id="9rerxxddifw5xaewxvlxffw2vsfzrarx0vva" timestamp="1506991270"&gt;1&lt;/key&gt;&lt;/foreign-keys&gt;&lt;ref-type name="Journal Article"&gt;17&lt;/ref-type&gt;&lt;contributors&gt;&lt;authors&gt;&lt;author&gt;Elshaug, A. G.&lt;/author&gt;&lt;author&gt;Watt, A. M.&lt;/author&gt;&lt;author&gt;Mundy, L.&lt;/author&gt;&lt;author&gt;Willis, C. D.&lt;/author&gt;&lt;/authors&gt;&lt;/contributors&gt;&lt;auth-address&gt;Department of Health Care Policy, Harvard Medical School, Boston, MA, USA. elshaug@hcp.med.harvard.edu&lt;/auth-address&gt;&lt;titles&gt;&lt;title&gt;Over 150 potentially low-value health care practices: an Australian study&lt;/title&gt;&lt;secondary-title&gt;Medical Journal of Australia&lt;/secondary-title&gt;&lt;alt-title&gt;The Medical journal of Australia&lt;/alt-title&gt;&lt;/titles&gt;&lt;alt-periodical&gt;&lt;full-title&gt;Med J Aust&lt;/full-title&gt;&lt;abbr-1&gt;The Medical journal of Australia&lt;/abbr-1&gt;&lt;/alt-periodical&gt;&lt;pages&gt;556-60&lt;/pages&gt;&lt;volume&gt;197&lt;/volume&gt;&lt;number&gt;10&lt;/number&gt;&lt;edition&gt;2012/11/21&lt;/edition&gt;&lt;keywords&gt;&lt;keyword&gt;Australia&lt;/keyword&gt;&lt;keyword&gt;Health Services/*standards&lt;/keyword&gt;&lt;keyword&gt;Humans&lt;/keyword&gt;&lt;keyword&gt;Insurance Benefits&lt;/keyword&gt;&lt;keyword&gt;National Health Programs&lt;/keyword&gt;&lt;keyword&gt;Patient Safety&lt;/keyword&gt;&lt;keyword&gt;*Quality of Health Care&lt;/keyword&gt;&lt;keyword&gt;*Unnecessary Procedures&lt;/keyword&gt;&lt;/keywords&gt;&lt;dates&gt;&lt;year&gt;2012&lt;/year&gt;&lt;pub-dates&gt;&lt;date&gt;Nov 19&lt;/date&gt;&lt;/pub-dates&gt;&lt;/dates&gt;&lt;isbn&gt;0025-729x&lt;/isbn&gt;&lt;accession-num&gt;23163685&lt;/accession-num&gt;&lt;urls&gt;&lt;related-urls&gt;&lt;url&gt;https://www.ncbi.nlm.nih.gov/pubmed/23163685&lt;/url&gt;&lt;/related-urls&gt;&lt;/urls&gt;&lt;remote-database-provider&gt;NLM&lt;/remote-database-provider&gt;&lt;language&gt;eng&lt;/language&gt;&lt;access-date&gt;&amp;lt;Date&amp;gt;&amp;lt;Month&amp;gt;&amp;lt;Year&amp;gt;&lt;/access-date&gt;&lt;/record&gt;&lt;/Cite&gt;&lt;/EndNote&gt;</w:instrText>
      </w:r>
      <w:r>
        <w:fldChar w:fldCharType="separate"/>
      </w:r>
      <w:r w:rsidR="00EE147F">
        <w:rPr>
          <w:noProof/>
        </w:rPr>
        <w:t xml:space="preserve"> [1]</w:t>
      </w:r>
      <w:r>
        <w:fldChar w:fldCharType="end"/>
      </w:r>
      <w:r w:rsidRPr="00FC1976">
        <w:t xml:space="preserve"> The framework consists of seven steps:</w:t>
      </w:r>
    </w:p>
    <w:p w14:paraId="47195D76" w14:textId="77777777" w:rsidR="00CA7016" w:rsidRPr="00A0513E" w:rsidRDefault="00CA7016" w:rsidP="00CA7016">
      <w:pPr>
        <w:pStyle w:val="01squarebullet"/>
      </w:pPr>
      <w:r w:rsidRPr="00A0513E">
        <w:t xml:space="preserve">Develop an initial fact base for all items under consideration, drawing on the relevant data and literature. </w:t>
      </w:r>
    </w:p>
    <w:p w14:paraId="33235C0C" w14:textId="77777777" w:rsidR="00CA7016" w:rsidRPr="00A0513E" w:rsidRDefault="00CA7016" w:rsidP="00CA7016">
      <w:pPr>
        <w:pStyle w:val="01squarebullet"/>
      </w:pPr>
      <w:r w:rsidRPr="00A0513E">
        <w:t xml:space="preserve">Identify items that are obsolete, are of questionable clinical value, are misused and/or pose a risk to patient safety. This step includes </w:t>
      </w:r>
      <w:proofErr w:type="spellStart"/>
      <w:r w:rsidRPr="00A0513E">
        <w:t>prioritising</w:t>
      </w:r>
      <w:proofErr w:type="spellEnd"/>
      <w:r w:rsidRPr="00A0513E">
        <w:t xml:space="preserve"> items as ‘priority 1,’ ‘priority 2’ or ‘priority 3,’ using a </w:t>
      </w:r>
      <w:proofErr w:type="spellStart"/>
      <w:r w:rsidRPr="00A0513E">
        <w:t>prioritisation</w:t>
      </w:r>
      <w:proofErr w:type="spellEnd"/>
      <w:r w:rsidRPr="00A0513E">
        <w:t xml:space="preserve"> methodology (described in more detail below).</w:t>
      </w:r>
    </w:p>
    <w:p w14:paraId="6E8F0C94" w14:textId="77777777" w:rsidR="00CA7016" w:rsidRPr="00A0513E" w:rsidRDefault="00CA7016" w:rsidP="00CA7016">
      <w:pPr>
        <w:pStyle w:val="01squarebullet"/>
      </w:pPr>
      <w:r w:rsidRPr="00A0513E">
        <w:t>Identify any issues, develop hypotheses for recommendations and create a work plan (including establishing Working Groups, when required) to arrive at recommendations for each item.</w:t>
      </w:r>
    </w:p>
    <w:p w14:paraId="00E269E7" w14:textId="77777777" w:rsidR="00CA7016" w:rsidRPr="00A0513E" w:rsidRDefault="00CA7016" w:rsidP="00CA7016">
      <w:pPr>
        <w:pStyle w:val="01squarebullet"/>
      </w:pPr>
      <w:r w:rsidRPr="00A0513E">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Working Groups, and relevant colleagues or colleges. For complex cases, full </w:t>
      </w:r>
      <w:r w:rsidR="00A85EEC">
        <w:t>A</w:t>
      </w:r>
      <w:r w:rsidR="00A85EEC" w:rsidRPr="00A0513E">
        <w:t xml:space="preserve">ppropriate </w:t>
      </w:r>
      <w:r w:rsidR="00A85EEC">
        <w:t>U</w:t>
      </w:r>
      <w:r w:rsidR="00A85EEC" w:rsidRPr="00A0513E">
        <w:t xml:space="preserve">se </w:t>
      </w:r>
      <w:r w:rsidR="00A85EEC">
        <w:t>C</w:t>
      </w:r>
      <w:r w:rsidR="00A85EEC" w:rsidRPr="00A0513E">
        <w:t xml:space="preserve">riteria </w:t>
      </w:r>
      <w:r w:rsidRPr="00A0513E">
        <w:t>were developed for the item’s explanatory notes.</w:t>
      </w:r>
    </w:p>
    <w:p w14:paraId="09057832" w14:textId="77777777" w:rsidR="00CA7016" w:rsidRPr="00A0513E" w:rsidRDefault="00CA7016" w:rsidP="00CA7016">
      <w:pPr>
        <w:pStyle w:val="01squarebullet"/>
      </w:pPr>
      <w:r w:rsidRPr="00A0513E">
        <w:t>Review the provisional recommendations and the accompanying rationales, and gather further evidence as required.</w:t>
      </w:r>
    </w:p>
    <w:p w14:paraId="31E0CF43" w14:textId="77777777" w:rsidR="00CA7016" w:rsidRPr="00A0513E" w:rsidRDefault="00CA7016" w:rsidP="00CA7016">
      <w:pPr>
        <w:pStyle w:val="01squarebullet"/>
      </w:pPr>
      <w:proofErr w:type="spellStart"/>
      <w:r w:rsidRPr="00A0513E">
        <w:t>Finalise</w:t>
      </w:r>
      <w:proofErr w:type="spellEnd"/>
      <w:r w:rsidRPr="00A0513E">
        <w:t xml:space="preserve"> the recommendations in preparation for broader stakeholder consultation.</w:t>
      </w:r>
    </w:p>
    <w:p w14:paraId="187C0C0E" w14:textId="77777777" w:rsidR="00CA7016" w:rsidRPr="00A0513E" w:rsidRDefault="00CA7016" w:rsidP="00CA7016">
      <w:pPr>
        <w:pStyle w:val="01squarebullet"/>
      </w:pPr>
      <w:r w:rsidRPr="00A0513E">
        <w:t xml:space="preserve">Incorporate feedback gathered during stakeholder consultation and </w:t>
      </w:r>
      <w:proofErr w:type="spellStart"/>
      <w:r w:rsidRPr="00A0513E">
        <w:t>finalise</w:t>
      </w:r>
      <w:proofErr w:type="spellEnd"/>
      <w:r w:rsidRPr="00A0513E">
        <w:t xml:space="preserve"> the Review report, which provides recommendations for the Taskforce. </w:t>
      </w:r>
    </w:p>
    <w:p w14:paraId="69E73496" w14:textId="77777777" w:rsidR="00CA7016" w:rsidRPr="00FC1976" w:rsidRDefault="00CA7016" w:rsidP="00CA7016">
      <w:r w:rsidRPr="00FC1976">
        <w:t xml:space="preserve">All MBS items </w:t>
      </w:r>
      <w:r w:rsidRPr="00A0513E">
        <w:t>will be</w:t>
      </w:r>
      <w:r w:rsidRPr="00FC1976">
        <w:t xml:space="preserve"> reviewed </w:t>
      </w:r>
      <w:proofErr w:type="gramStart"/>
      <w:r w:rsidRPr="00FC1976">
        <w:t>during the course of</w:t>
      </w:r>
      <w:proofErr w:type="gramEnd"/>
      <w:r w:rsidRPr="00FC1976">
        <w:t xml:space="preserve"> the MBS Review. However, given the breadth of</w:t>
      </w:r>
      <w:r w:rsidR="008C3F73">
        <w:t>,</w:t>
      </w:r>
      <w:r w:rsidRPr="00FC1976">
        <w:t xml:space="preserve"> and timeframe for</w:t>
      </w:r>
      <w:r w:rsidR="008C3F73">
        <w:t>,</w:t>
      </w:r>
      <w:r w:rsidRPr="00FC1976">
        <w:t xml:space="preserve"> the </w:t>
      </w:r>
      <w:r>
        <w:t>Review</w:t>
      </w:r>
      <w:r w:rsidRPr="00FC1976">
        <w:t xml:space="preserve">, each </w:t>
      </w:r>
      <w:r>
        <w:t>Clinical Committee</w:t>
      </w:r>
      <w:r w:rsidRPr="00FC1976">
        <w:t xml:space="preserve"> had to develop a work plan and assign priorities, keeping in mind the objectives of the </w:t>
      </w:r>
      <w:r>
        <w:t>Review</w:t>
      </w:r>
      <w:r w:rsidRPr="00FC1976">
        <w:t xml:space="preserve">. Committees used a robust prioritisation methodology to focus their attention and resources on the most important items requiring review. This was determined based on a combination of two standard metrics, derived from the </w:t>
      </w:r>
      <w:r w:rsidR="00A85EEC">
        <w:t>A</w:t>
      </w:r>
      <w:r w:rsidR="00A85EEC" w:rsidRPr="00FC1976">
        <w:t xml:space="preserve">ppropriate </w:t>
      </w:r>
      <w:r w:rsidR="00A85EEC">
        <w:t>U</w:t>
      </w:r>
      <w:r w:rsidR="00A85EEC" w:rsidRPr="00FC1976">
        <w:t xml:space="preserve">se </w:t>
      </w:r>
      <w:r w:rsidR="00A85EEC">
        <w:t>C</w:t>
      </w:r>
      <w:r w:rsidR="00A85EEC" w:rsidRPr="00804D68">
        <w:t>riteria</w:t>
      </w:r>
      <w:r w:rsidRPr="00804D68">
        <w:t>:</w:t>
      </w:r>
    </w:p>
    <w:p w14:paraId="65D9493A" w14:textId="77777777" w:rsidR="00CA7016" w:rsidRPr="00A0513E" w:rsidRDefault="00CA7016" w:rsidP="00CA7016">
      <w:pPr>
        <w:pStyle w:val="NormalBulleted"/>
        <w:numPr>
          <w:ilvl w:val="0"/>
          <w:numId w:val="17"/>
        </w:numPr>
        <w:spacing w:before="120" w:after="60" w:line="240" w:lineRule="auto"/>
        <w:ind w:right="142"/>
        <w:contextualSpacing w:val="0"/>
      </w:pPr>
      <w:r w:rsidRPr="00FC1976">
        <w:lastRenderedPageBreak/>
        <w:t>Service volume</w:t>
      </w:r>
      <w:r w:rsidRPr="00A0513E">
        <w:t>.</w:t>
      </w:r>
    </w:p>
    <w:p w14:paraId="5BDB196D" w14:textId="77777777" w:rsidR="00CA7016" w:rsidRPr="00A0513E" w:rsidRDefault="00CA7016" w:rsidP="00CA7016">
      <w:pPr>
        <w:pStyle w:val="NormalBulleted"/>
        <w:numPr>
          <w:ilvl w:val="0"/>
          <w:numId w:val="17"/>
        </w:numPr>
        <w:spacing w:before="120" w:after="60" w:line="240" w:lineRule="auto"/>
        <w:ind w:right="142"/>
        <w:contextualSpacing w:val="0"/>
      </w:pPr>
      <w:r w:rsidRPr="00EF500C">
        <w:t>The likelihood that the item needed to be revised, determined by indicators such as identified safety concerns, geographic or temporal variation, delivery irregularity, the potential misuse of indications or other concerns raised by the Committee (such as inappropriate co-claiming).</w:t>
      </w:r>
    </w:p>
    <w:p w14:paraId="7F6B3EE3" w14:textId="77777777" w:rsidR="00CA7016" w:rsidRPr="00FC1976" w:rsidRDefault="00CA7016" w:rsidP="00CA7016">
      <w:r w:rsidRPr="00FC1976">
        <w:t xml:space="preserve">For each item, these two metrics were ranked high, medium or low. These rankings were then combined to generate a priority ranking ranging from </w:t>
      </w:r>
      <w:r>
        <w:t>1</w:t>
      </w:r>
      <w:r w:rsidRPr="00FC1976">
        <w:t xml:space="preserve"> to </w:t>
      </w:r>
      <w:r>
        <w:t>3</w:t>
      </w:r>
      <w:r w:rsidRPr="00FC1976">
        <w:t xml:space="preserve"> (where priority 1 items are the </w:t>
      </w:r>
      <w:r w:rsidR="008C3F73" w:rsidRPr="00FC1976">
        <w:t>highest</w:t>
      </w:r>
      <w:r w:rsidR="008C3F73">
        <w:t> </w:t>
      </w:r>
      <w:r w:rsidRPr="00FC1976">
        <w:t>priority and priority 3 items are the lowest priority for review), using a prioritisation matrix (</w:t>
      </w:r>
      <w:r w:rsidR="008C3F73">
        <w:t>Figure </w:t>
      </w:r>
      <w:r>
        <w:t>1</w:t>
      </w:r>
      <w:r w:rsidRPr="00A0513E">
        <w:t>).</w:t>
      </w:r>
      <w:r w:rsidRPr="00FC1976">
        <w:t xml:space="preserve"> The Committee used this priority ranking to organise its review of item numbers and apportion the amount of time spent on each item. </w:t>
      </w:r>
    </w:p>
    <w:p w14:paraId="505897EE" w14:textId="77777777" w:rsidR="00CA7016" w:rsidRDefault="00CA7016" w:rsidP="00CA7016">
      <w:pPr>
        <w:pStyle w:val="Caption"/>
      </w:pPr>
      <w:bookmarkStart w:id="63" w:name="_Toc459996843"/>
      <w:bookmarkStart w:id="64" w:name="_Toc459985370"/>
      <w:bookmarkStart w:id="65" w:name="_Toc477785343"/>
      <w:bookmarkStart w:id="66" w:name="_Toc483989437"/>
      <w:bookmarkStart w:id="67" w:name="_Toc486935637"/>
      <w:bookmarkStart w:id="68" w:name="_Toc495262570"/>
      <w:bookmarkStart w:id="69" w:name="_Toc497300161"/>
      <w:r>
        <w:t xml:space="preserve">Figure </w:t>
      </w:r>
      <w:r w:rsidR="00BB490A">
        <w:rPr>
          <w:noProof/>
        </w:rPr>
        <w:fldChar w:fldCharType="begin"/>
      </w:r>
      <w:r w:rsidR="00BB490A">
        <w:rPr>
          <w:noProof/>
        </w:rPr>
        <w:instrText xml:space="preserve"> SEQ Figure \* ARABIC </w:instrText>
      </w:r>
      <w:r w:rsidR="00BB490A">
        <w:rPr>
          <w:noProof/>
        </w:rPr>
        <w:fldChar w:fldCharType="separate"/>
      </w:r>
      <w:r w:rsidR="007A1648">
        <w:rPr>
          <w:noProof/>
        </w:rPr>
        <w:t>1</w:t>
      </w:r>
      <w:r w:rsidR="00BB490A">
        <w:rPr>
          <w:noProof/>
        </w:rPr>
        <w:fldChar w:fldCharType="end"/>
      </w:r>
      <w:r>
        <w:t xml:space="preserve">: </w:t>
      </w:r>
      <w:r w:rsidRPr="0050434D">
        <w:t>Prioritisation matrix</w:t>
      </w:r>
      <w:bookmarkEnd w:id="63"/>
      <w:bookmarkEnd w:id="64"/>
      <w:bookmarkEnd w:id="65"/>
      <w:r w:rsidRPr="0050434D">
        <w:t>.</w:t>
      </w:r>
      <w:bookmarkEnd w:id="66"/>
      <w:bookmarkEnd w:id="67"/>
      <w:bookmarkEnd w:id="68"/>
      <w:bookmarkEnd w:id="69"/>
    </w:p>
    <w:p w14:paraId="71C95CE6" w14:textId="77777777" w:rsidR="00CA7016" w:rsidRDefault="00CA7016" w:rsidP="00CA7016">
      <w:pPr>
        <w:pStyle w:val="FigureCaption"/>
      </w:pPr>
    </w:p>
    <w:p w14:paraId="54FDE2C8" w14:textId="77777777" w:rsidR="00CA7016" w:rsidRDefault="00CA7016" w:rsidP="00CA7016">
      <w:pPr>
        <w:pStyle w:val="FigureCaption"/>
      </w:pPr>
      <w:bookmarkStart w:id="70" w:name="_Toc477786657"/>
      <w:bookmarkStart w:id="71" w:name="_Toc478249927"/>
      <w:r w:rsidRPr="00AC7D0D">
        <w:rPr>
          <w:rFonts w:ascii="Calibri" w:eastAsia="Calibri" w:hAnsi="Calibri" w:cs="Times New Roman"/>
          <w:b w:val="0"/>
          <w:noProof/>
          <w:sz w:val="22"/>
          <w:lang w:eastAsia="en-AU"/>
        </w:rPr>
        <w:drawing>
          <wp:inline distT="0" distB="0" distL="0" distR="0" wp14:anchorId="174F8AE0" wp14:editId="618F8079">
            <wp:extent cx="4475480" cy="3368675"/>
            <wp:effectExtent l="0" t="0" r="1270" b="3175"/>
            <wp:docPr id="8" name="Picture 8" descr="Figure 1 shows the prioritisation matrix ranking item priority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title="Figure 1: Prioritisa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5480" cy="3368675"/>
                    </a:xfrm>
                    <a:prstGeom prst="rect">
                      <a:avLst/>
                    </a:prstGeom>
                    <a:noFill/>
                    <a:ln>
                      <a:noFill/>
                    </a:ln>
                  </pic:spPr>
                </pic:pic>
              </a:graphicData>
            </a:graphic>
          </wp:inline>
        </w:drawing>
      </w:r>
      <w:bookmarkEnd w:id="70"/>
      <w:bookmarkEnd w:id="71"/>
    </w:p>
    <w:p w14:paraId="2AF1FCFB" w14:textId="77777777" w:rsidR="00CA7016" w:rsidRPr="00FC1976" w:rsidRDefault="00CA7016" w:rsidP="00CA7016">
      <w:pPr>
        <w:pStyle w:val="FigureCaption"/>
      </w:pPr>
    </w:p>
    <w:p w14:paraId="2082F95C" w14:textId="77777777" w:rsidR="00CA7016" w:rsidRPr="00A0513E" w:rsidRDefault="00CA7016" w:rsidP="00CA7016">
      <w:pPr>
        <w:pStyle w:val="Heading1"/>
      </w:pPr>
      <w:bookmarkStart w:id="72" w:name="_Toc457463617"/>
      <w:bookmarkStart w:id="73" w:name="_Toc459996808"/>
      <w:bookmarkStart w:id="74" w:name="_Toc458166996"/>
      <w:bookmarkStart w:id="75" w:name="_Toc483989358"/>
      <w:bookmarkStart w:id="76" w:name="_Toc486939177"/>
      <w:bookmarkStart w:id="77" w:name="_Toc12886538"/>
      <w:bookmarkStart w:id="78" w:name="_Toc456045429"/>
      <w:bookmarkEnd w:id="62"/>
      <w:r w:rsidRPr="00A0513E">
        <w:t>About the Pathology Clinical Committee</w:t>
      </w:r>
      <w:bookmarkEnd w:id="72"/>
      <w:bookmarkEnd w:id="73"/>
      <w:bookmarkEnd w:id="74"/>
      <w:bookmarkEnd w:id="75"/>
      <w:bookmarkEnd w:id="76"/>
      <w:bookmarkEnd w:id="77"/>
    </w:p>
    <w:p w14:paraId="5BA4FF88" w14:textId="77777777" w:rsidR="00CA7016" w:rsidRPr="00FC1976" w:rsidRDefault="00CA7016" w:rsidP="00CA7016">
      <w:r w:rsidRPr="00FC1976">
        <w:t xml:space="preserve">The </w:t>
      </w:r>
      <w:r>
        <w:t>Pathology</w:t>
      </w:r>
      <w:r w:rsidRPr="00FC1976">
        <w:t xml:space="preserve"> Clinical Committee (the Committee) was established in April 2016 to make recommendations to the Taskforce on MBS items within its remit, based on rapid evidence review and clinical expertise. The Taskforce asked the Committee to review </w:t>
      </w:r>
      <w:r>
        <w:t>microbiology</w:t>
      </w:r>
      <w:r w:rsidRPr="00FC1976">
        <w:t xml:space="preserve">-related MBS items. </w:t>
      </w:r>
    </w:p>
    <w:p w14:paraId="63EBFEB0" w14:textId="77777777" w:rsidR="00CA7016" w:rsidRPr="00FC1976" w:rsidRDefault="00CA7016" w:rsidP="00CA7016">
      <w:r w:rsidRPr="00FC1976">
        <w:t xml:space="preserve">The Committee consists of </w:t>
      </w:r>
      <w:r>
        <w:t>19</w:t>
      </w:r>
      <w:r w:rsidRPr="00FC1976">
        <w:t xml:space="preserve"> members, whose names, positions/organisations </w:t>
      </w:r>
      <w:r>
        <w:t xml:space="preserve">and </w:t>
      </w:r>
      <w:r w:rsidRPr="00FC1976">
        <w:t xml:space="preserve">declared conflicts of interest are listed in Section </w:t>
      </w:r>
      <w:r>
        <w:fldChar w:fldCharType="begin"/>
      </w:r>
      <w:r>
        <w:instrText xml:space="preserve"> REF _Ref466964262 \r \h </w:instrText>
      </w:r>
      <w:r>
        <w:fldChar w:fldCharType="separate"/>
      </w:r>
      <w:r w:rsidR="007A1648">
        <w:t>3.1</w:t>
      </w:r>
      <w:r>
        <w:fldChar w:fldCharType="end"/>
      </w:r>
      <w:r w:rsidRPr="00FC1976">
        <w:t xml:space="preserve">. All members of the Taskforce, </w:t>
      </w:r>
      <w:r>
        <w:t>Clinical Committee</w:t>
      </w:r>
      <w:r w:rsidRPr="00FC1976">
        <w:t xml:space="preserve">s and </w:t>
      </w:r>
      <w:r>
        <w:t>Working Group</w:t>
      </w:r>
      <w:r w:rsidRPr="00FC1976">
        <w:t xml:space="preserve">s </w:t>
      </w:r>
      <w:r>
        <w:t>were</w:t>
      </w:r>
      <w:r w:rsidRPr="00FC1976">
        <w:t xml:space="preserve"> asked to declare any conflicts of interest at the start of their involvement and</w:t>
      </w:r>
      <w:r>
        <w:t xml:space="preserve"> are</w:t>
      </w:r>
      <w:r w:rsidRPr="00FC1976">
        <w:t xml:space="preserve"> reminded to update their declarations periodically.</w:t>
      </w:r>
    </w:p>
    <w:p w14:paraId="6F96908F" w14:textId="77777777" w:rsidR="00CA7016" w:rsidRPr="00A0513E" w:rsidRDefault="00CA7016" w:rsidP="00CA7016">
      <w:pPr>
        <w:pStyle w:val="Heading2"/>
      </w:pPr>
      <w:bookmarkStart w:id="79" w:name="_Toc459996809"/>
      <w:bookmarkStart w:id="80" w:name="_Toc458166997"/>
      <w:bookmarkStart w:id="81" w:name="_Ref466964262"/>
      <w:bookmarkStart w:id="82" w:name="_Ref466964264"/>
      <w:bookmarkStart w:id="83" w:name="_Toc483989359"/>
      <w:bookmarkStart w:id="84" w:name="_Toc486939178"/>
      <w:bookmarkStart w:id="85" w:name="_Toc12886539"/>
      <w:r w:rsidRPr="00A0513E">
        <w:lastRenderedPageBreak/>
        <w:t>Committee members</w:t>
      </w:r>
      <w:bookmarkEnd w:id="78"/>
      <w:bookmarkEnd w:id="79"/>
      <w:bookmarkEnd w:id="80"/>
      <w:bookmarkEnd w:id="81"/>
      <w:bookmarkEnd w:id="82"/>
      <w:bookmarkEnd w:id="83"/>
      <w:bookmarkEnd w:id="84"/>
      <w:bookmarkEnd w:id="85"/>
    </w:p>
    <w:p w14:paraId="7E34A9FE" w14:textId="77777777" w:rsidR="00CA7016" w:rsidRPr="00C702A9" w:rsidRDefault="00CA7016" w:rsidP="00CA7016">
      <w:pPr>
        <w:pStyle w:val="Caption"/>
      </w:pPr>
      <w:bookmarkStart w:id="86" w:name="_Ref487621899"/>
      <w:bookmarkStart w:id="87" w:name="_Toc458167025"/>
      <w:bookmarkStart w:id="88" w:name="_Toc459971207"/>
      <w:bookmarkStart w:id="89" w:name="_Toc459996834"/>
      <w:bookmarkStart w:id="90" w:name="_Toc459891295"/>
      <w:bookmarkStart w:id="91" w:name="_Toc477785174"/>
      <w:bookmarkStart w:id="92" w:name="_Toc484598338"/>
      <w:bookmarkStart w:id="93" w:name="_Toc486935599"/>
      <w:bookmarkStart w:id="94" w:name="_Toc12953451"/>
      <w:r>
        <w:t>Table</w:t>
      </w:r>
      <w:bookmarkEnd w:id="86"/>
      <w:r>
        <w:t xml:space="preserve"> </w:t>
      </w:r>
      <w:r w:rsidR="00BB490A">
        <w:rPr>
          <w:noProof/>
        </w:rPr>
        <w:fldChar w:fldCharType="begin"/>
      </w:r>
      <w:r w:rsidR="00BB490A">
        <w:rPr>
          <w:noProof/>
        </w:rPr>
        <w:instrText xml:space="preserve"> SEQ Table \* ARABIC </w:instrText>
      </w:r>
      <w:r w:rsidR="00BB490A">
        <w:rPr>
          <w:noProof/>
        </w:rPr>
        <w:fldChar w:fldCharType="separate"/>
      </w:r>
      <w:r w:rsidR="007A1648">
        <w:rPr>
          <w:noProof/>
        </w:rPr>
        <w:t>1</w:t>
      </w:r>
      <w:r w:rsidR="00BB490A">
        <w:rPr>
          <w:noProof/>
        </w:rPr>
        <w:fldChar w:fldCharType="end"/>
      </w:r>
      <w:r>
        <w:t xml:space="preserve">: </w:t>
      </w:r>
      <w:r w:rsidRPr="00C702A9">
        <w:t>Pathology Clinical Committee members</w:t>
      </w:r>
      <w:bookmarkEnd w:id="87"/>
      <w:bookmarkEnd w:id="88"/>
      <w:bookmarkEnd w:id="89"/>
      <w:bookmarkEnd w:id="90"/>
      <w:bookmarkEnd w:id="91"/>
      <w:bookmarkEnd w:id="92"/>
      <w:bookmarkEnd w:id="93"/>
      <w:bookmarkEnd w:id="9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 Pathology Committee members"/>
        <w:tblDescription w:val="Table 1 lists the committee members for the Pathology Clinical Committee. The table shows that there are no conflict of interest from all the members."/>
      </w:tblPr>
      <w:tblGrid>
        <w:gridCol w:w="2263"/>
        <w:gridCol w:w="4111"/>
        <w:gridCol w:w="2642"/>
      </w:tblGrid>
      <w:tr w:rsidR="00CA7016" w:rsidRPr="00FC1976" w14:paraId="6021F993" w14:textId="77777777" w:rsidTr="003C3F6A">
        <w:trPr>
          <w:tblHeader/>
        </w:trPr>
        <w:tc>
          <w:tcPr>
            <w:tcW w:w="1255" w:type="pct"/>
            <w:shd w:val="clear" w:color="auto" w:fill="F2F2F2" w:themeFill="background1" w:themeFillShade="F2"/>
            <w:vAlign w:val="bottom"/>
          </w:tcPr>
          <w:p w14:paraId="456A72C7" w14:textId="77777777" w:rsidR="00CA7016" w:rsidRPr="00A0513E" w:rsidRDefault="00CA7016" w:rsidP="003C3F6A">
            <w:pPr>
              <w:pStyle w:val="01Tableheaderrow"/>
            </w:pPr>
            <w:r w:rsidRPr="00A0513E">
              <w:t>Name</w:t>
            </w:r>
          </w:p>
        </w:tc>
        <w:tc>
          <w:tcPr>
            <w:tcW w:w="2280" w:type="pct"/>
            <w:shd w:val="clear" w:color="auto" w:fill="F2F2F2" w:themeFill="background1" w:themeFillShade="F2"/>
            <w:vAlign w:val="bottom"/>
          </w:tcPr>
          <w:p w14:paraId="1FC21FBA" w14:textId="77777777" w:rsidR="00CA7016" w:rsidRPr="00A0513E" w:rsidRDefault="00CA7016" w:rsidP="003C3F6A">
            <w:pPr>
              <w:pStyle w:val="01Tableheaderrow"/>
            </w:pPr>
            <w:r w:rsidRPr="00A0513E">
              <w:t>Position/organisation</w:t>
            </w:r>
          </w:p>
        </w:tc>
        <w:tc>
          <w:tcPr>
            <w:tcW w:w="1465" w:type="pct"/>
            <w:shd w:val="clear" w:color="auto" w:fill="F2F2F2" w:themeFill="background1" w:themeFillShade="F2"/>
            <w:vAlign w:val="bottom"/>
          </w:tcPr>
          <w:p w14:paraId="7547D777" w14:textId="77777777" w:rsidR="00CA7016" w:rsidRPr="00A0513E" w:rsidRDefault="00CA7016" w:rsidP="003C3F6A">
            <w:pPr>
              <w:pStyle w:val="01Tableheaderrow"/>
            </w:pPr>
            <w:r w:rsidRPr="00A0513E">
              <w:t>Declared conflict of interest</w:t>
            </w:r>
          </w:p>
        </w:tc>
      </w:tr>
      <w:tr w:rsidR="00CA7016" w:rsidRPr="00FC1976" w14:paraId="1D19359E" w14:textId="77777777" w:rsidTr="003C3F6A">
        <w:tc>
          <w:tcPr>
            <w:tcW w:w="1255" w:type="pct"/>
          </w:tcPr>
          <w:p w14:paraId="1270544C" w14:textId="77777777" w:rsidR="00CA7016" w:rsidRPr="00A0513E" w:rsidRDefault="00CA7016" w:rsidP="003C3F6A">
            <w:pPr>
              <w:pStyle w:val="02Tabletext"/>
            </w:pPr>
            <w:r w:rsidRPr="00A0513E">
              <w:t>Associate Professor Peter Stewart</w:t>
            </w:r>
          </w:p>
        </w:tc>
        <w:tc>
          <w:tcPr>
            <w:tcW w:w="2280" w:type="pct"/>
          </w:tcPr>
          <w:p w14:paraId="7A5E9D8E" w14:textId="77777777" w:rsidR="00CA7016" w:rsidRPr="00A0513E" w:rsidRDefault="00CA7016" w:rsidP="003C3F6A">
            <w:pPr>
              <w:pStyle w:val="02Tabletext"/>
            </w:pPr>
            <w:r w:rsidRPr="00CB798C">
              <w:t>Royal Prince Alfred Hospital (Public)</w:t>
            </w:r>
          </w:p>
        </w:tc>
        <w:tc>
          <w:tcPr>
            <w:tcW w:w="1465" w:type="pct"/>
            <w:shd w:val="clear" w:color="auto" w:fill="auto"/>
          </w:tcPr>
          <w:p w14:paraId="1ACF4866" w14:textId="77777777" w:rsidR="00CA7016" w:rsidRPr="00A0513E" w:rsidRDefault="00CA7016" w:rsidP="003C3F6A">
            <w:pPr>
              <w:pStyle w:val="02Tabletext"/>
            </w:pPr>
            <w:r>
              <w:t>None</w:t>
            </w:r>
          </w:p>
        </w:tc>
      </w:tr>
      <w:tr w:rsidR="00CA7016" w:rsidRPr="00FC1976" w14:paraId="7BD089BA" w14:textId="77777777" w:rsidTr="003C3F6A">
        <w:tc>
          <w:tcPr>
            <w:tcW w:w="1255" w:type="pct"/>
          </w:tcPr>
          <w:p w14:paraId="6B2AA997" w14:textId="77777777" w:rsidR="00CA7016" w:rsidRPr="00A0513E" w:rsidRDefault="00CA7016" w:rsidP="003C3F6A">
            <w:pPr>
              <w:pStyle w:val="02Tabletext"/>
            </w:pPr>
            <w:r w:rsidRPr="00A0513E">
              <w:t xml:space="preserve">Professor Rita Horvath </w:t>
            </w:r>
          </w:p>
        </w:tc>
        <w:tc>
          <w:tcPr>
            <w:tcW w:w="2280" w:type="pct"/>
          </w:tcPr>
          <w:p w14:paraId="5EB8F2BA" w14:textId="77777777" w:rsidR="00CA7016" w:rsidRPr="00A0513E" w:rsidRDefault="00CA7016" w:rsidP="003C3F6A">
            <w:pPr>
              <w:pStyle w:val="02Tabletext"/>
            </w:pPr>
            <w:r w:rsidRPr="00CB798C">
              <w:t xml:space="preserve">South </w:t>
            </w:r>
            <w:r w:rsidRPr="00A0513E">
              <w:t>Eastern Area Laboratory Services (Public)</w:t>
            </w:r>
          </w:p>
        </w:tc>
        <w:tc>
          <w:tcPr>
            <w:tcW w:w="1465" w:type="pct"/>
            <w:shd w:val="clear" w:color="auto" w:fill="auto"/>
          </w:tcPr>
          <w:p w14:paraId="7844A08F" w14:textId="77777777" w:rsidR="00CA7016" w:rsidRPr="00A0513E" w:rsidRDefault="00CA7016" w:rsidP="003C3F6A">
            <w:pPr>
              <w:pStyle w:val="02Tabletext"/>
            </w:pPr>
            <w:r w:rsidRPr="00FE583F">
              <w:t>None</w:t>
            </w:r>
          </w:p>
        </w:tc>
      </w:tr>
      <w:tr w:rsidR="00CA7016" w:rsidRPr="00FC1976" w14:paraId="065ED4D0" w14:textId="77777777" w:rsidTr="003C3F6A">
        <w:tc>
          <w:tcPr>
            <w:tcW w:w="1255" w:type="pct"/>
          </w:tcPr>
          <w:p w14:paraId="0A40A779" w14:textId="77777777" w:rsidR="00CA7016" w:rsidRPr="00A0513E" w:rsidRDefault="00CA7016" w:rsidP="003C3F6A">
            <w:pPr>
              <w:pStyle w:val="02Tabletext"/>
            </w:pPr>
            <w:r w:rsidRPr="00A0513E">
              <w:t xml:space="preserve">Dr Debra Norris </w:t>
            </w:r>
          </w:p>
        </w:tc>
        <w:tc>
          <w:tcPr>
            <w:tcW w:w="2280" w:type="pct"/>
          </w:tcPr>
          <w:p w14:paraId="6D658D05" w14:textId="77777777" w:rsidR="00CA7016" w:rsidRPr="00A0513E" w:rsidRDefault="00CA7016" w:rsidP="003C3F6A">
            <w:pPr>
              <w:pStyle w:val="02Tabletext"/>
            </w:pPr>
            <w:r w:rsidRPr="00CB798C">
              <w:t>QML Pathology (Primary)</w:t>
            </w:r>
          </w:p>
        </w:tc>
        <w:tc>
          <w:tcPr>
            <w:tcW w:w="1465" w:type="pct"/>
            <w:shd w:val="clear" w:color="auto" w:fill="auto"/>
          </w:tcPr>
          <w:p w14:paraId="6BDFDE44" w14:textId="77777777" w:rsidR="00CA7016" w:rsidRPr="00A0513E" w:rsidRDefault="00CA7016" w:rsidP="003C3F6A">
            <w:pPr>
              <w:pStyle w:val="02Tabletext"/>
            </w:pPr>
            <w:r w:rsidRPr="00FE583F">
              <w:t>None</w:t>
            </w:r>
          </w:p>
        </w:tc>
      </w:tr>
      <w:tr w:rsidR="00CA7016" w:rsidRPr="00FC1976" w14:paraId="56F39BB7" w14:textId="77777777" w:rsidTr="003C3F6A">
        <w:tc>
          <w:tcPr>
            <w:tcW w:w="1255" w:type="pct"/>
          </w:tcPr>
          <w:p w14:paraId="7F16D7A5" w14:textId="77777777" w:rsidR="00CA7016" w:rsidRPr="00A0513E" w:rsidRDefault="00CA7016" w:rsidP="003C3F6A">
            <w:pPr>
              <w:pStyle w:val="02Tabletext"/>
            </w:pPr>
            <w:r w:rsidRPr="00A0513E">
              <w:t xml:space="preserve">Dr Michael Harrison </w:t>
            </w:r>
          </w:p>
        </w:tc>
        <w:tc>
          <w:tcPr>
            <w:tcW w:w="2280" w:type="pct"/>
          </w:tcPr>
          <w:p w14:paraId="2A5BDBF7" w14:textId="77777777" w:rsidR="00CA7016" w:rsidRPr="00A0513E" w:rsidRDefault="00CA7016" w:rsidP="003C3F6A">
            <w:pPr>
              <w:pStyle w:val="02Tabletext"/>
            </w:pPr>
            <w:r w:rsidRPr="00CB798C">
              <w:t>Sullivan Nicolaides Pathology (Sonic)</w:t>
            </w:r>
          </w:p>
        </w:tc>
        <w:tc>
          <w:tcPr>
            <w:tcW w:w="1465" w:type="pct"/>
            <w:shd w:val="clear" w:color="auto" w:fill="auto"/>
          </w:tcPr>
          <w:p w14:paraId="2112527F" w14:textId="77777777" w:rsidR="00CA7016" w:rsidRPr="00A0513E" w:rsidRDefault="00CA7016" w:rsidP="003C3F6A">
            <w:pPr>
              <w:pStyle w:val="02Tabletext"/>
            </w:pPr>
            <w:r w:rsidRPr="00FE583F">
              <w:t>None</w:t>
            </w:r>
          </w:p>
        </w:tc>
      </w:tr>
      <w:tr w:rsidR="00CA7016" w:rsidRPr="00FC1976" w14:paraId="755EBCB9" w14:textId="77777777" w:rsidTr="003C3F6A">
        <w:tc>
          <w:tcPr>
            <w:tcW w:w="1255" w:type="pct"/>
          </w:tcPr>
          <w:p w14:paraId="5AA9A38E" w14:textId="77777777" w:rsidR="00CA7016" w:rsidRPr="00A0513E" w:rsidRDefault="00CA7016" w:rsidP="003C3F6A">
            <w:pPr>
              <w:pStyle w:val="02Tabletext"/>
            </w:pPr>
            <w:r w:rsidRPr="00A0513E">
              <w:t>Associate Professor Ken </w:t>
            </w:r>
            <w:proofErr w:type="spellStart"/>
            <w:r w:rsidRPr="00A0513E">
              <w:t>Sikaris</w:t>
            </w:r>
            <w:proofErr w:type="spellEnd"/>
            <w:r w:rsidRPr="00A0513E">
              <w:t xml:space="preserve"> </w:t>
            </w:r>
          </w:p>
        </w:tc>
        <w:tc>
          <w:tcPr>
            <w:tcW w:w="2280" w:type="pct"/>
          </w:tcPr>
          <w:p w14:paraId="38F463E4" w14:textId="77777777" w:rsidR="00CA7016" w:rsidRPr="00A0513E" w:rsidRDefault="00CA7016" w:rsidP="003C3F6A">
            <w:pPr>
              <w:pStyle w:val="02Tabletext"/>
            </w:pPr>
            <w:r w:rsidRPr="00CB798C">
              <w:t>Melbourne Pathology (Sonic)</w:t>
            </w:r>
          </w:p>
        </w:tc>
        <w:tc>
          <w:tcPr>
            <w:tcW w:w="1465" w:type="pct"/>
            <w:shd w:val="clear" w:color="auto" w:fill="auto"/>
          </w:tcPr>
          <w:p w14:paraId="12A8EB7C" w14:textId="77777777" w:rsidR="00CA7016" w:rsidRPr="00A0513E" w:rsidRDefault="00CA7016" w:rsidP="003C3F6A">
            <w:pPr>
              <w:pStyle w:val="02Tabletext"/>
            </w:pPr>
            <w:r w:rsidRPr="00FE583F">
              <w:t>None</w:t>
            </w:r>
          </w:p>
        </w:tc>
      </w:tr>
      <w:tr w:rsidR="00CA7016" w:rsidRPr="00FC1976" w14:paraId="0DD67C6B" w14:textId="77777777" w:rsidTr="003C3F6A">
        <w:tc>
          <w:tcPr>
            <w:tcW w:w="1255" w:type="pct"/>
          </w:tcPr>
          <w:p w14:paraId="4E7B0CC0" w14:textId="77777777" w:rsidR="00CA7016" w:rsidRPr="00A0513E" w:rsidRDefault="00CA7016" w:rsidP="003C3F6A">
            <w:pPr>
              <w:pStyle w:val="02Tabletext"/>
            </w:pPr>
            <w:r w:rsidRPr="00A0513E">
              <w:t xml:space="preserve">Dr Melody </w:t>
            </w:r>
            <w:proofErr w:type="spellStart"/>
            <w:r w:rsidRPr="00A0513E">
              <w:t>Caramins</w:t>
            </w:r>
            <w:proofErr w:type="spellEnd"/>
            <w:r w:rsidRPr="00A0513E">
              <w:t xml:space="preserve"> </w:t>
            </w:r>
          </w:p>
        </w:tc>
        <w:tc>
          <w:tcPr>
            <w:tcW w:w="2280" w:type="pct"/>
          </w:tcPr>
          <w:p w14:paraId="61A51237" w14:textId="77777777" w:rsidR="00CA7016" w:rsidRPr="00A0513E" w:rsidRDefault="00CA7016" w:rsidP="003C3F6A">
            <w:pPr>
              <w:pStyle w:val="02Tabletext"/>
            </w:pPr>
            <w:r w:rsidRPr="00CB798C">
              <w:t>Specialist Diagnostic Services (Primary)</w:t>
            </w:r>
          </w:p>
        </w:tc>
        <w:tc>
          <w:tcPr>
            <w:tcW w:w="1465" w:type="pct"/>
            <w:shd w:val="clear" w:color="auto" w:fill="auto"/>
          </w:tcPr>
          <w:p w14:paraId="14B8BA79" w14:textId="77777777" w:rsidR="00CA7016" w:rsidRPr="00A0513E" w:rsidRDefault="00CA7016" w:rsidP="003C3F6A">
            <w:pPr>
              <w:pStyle w:val="02Tabletext"/>
            </w:pPr>
            <w:r w:rsidRPr="00FE583F">
              <w:t>None</w:t>
            </w:r>
          </w:p>
        </w:tc>
      </w:tr>
      <w:tr w:rsidR="00CA7016" w:rsidRPr="00FC1976" w14:paraId="7D4AD894" w14:textId="77777777" w:rsidTr="003C3F6A">
        <w:tc>
          <w:tcPr>
            <w:tcW w:w="1255" w:type="pct"/>
          </w:tcPr>
          <w:p w14:paraId="786FBAC8" w14:textId="77777777" w:rsidR="00CA7016" w:rsidRPr="00A0513E" w:rsidRDefault="00CA7016" w:rsidP="003C3F6A">
            <w:pPr>
              <w:pStyle w:val="02Tabletext"/>
            </w:pPr>
            <w:r w:rsidRPr="00A0513E">
              <w:t xml:space="preserve">Dr John Rowell </w:t>
            </w:r>
          </w:p>
        </w:tc>
        <w:tc>
          <w:tcPr>
            <w:tcW w:w="2280" w:type="pct"/>
          </w:tcPr>
          <w:p w14:paraId="715D8769" w14:textId="77777777" w:rsidR="00CA7016" w:rsidRPr="00A0513E" w:rsidRDefault="00CA7016" w:rsidP="003C3F6A">
            <w:pPr>
              <w:pStyle w:val="02Tabletext"/>
            </w:pPr>
            <w:r>
              <w:t>Pathology Queensland</w:t>
            </w:r>
          </w:p>
        </w:tc>
        <w:tc>
          <w:tcPr>
            <w:tcW w:w="1465" w:type="pct"/>
            <w:shd w:val="clear" w:color="auto" w:fill="auto"/>
          </w:tcPr>
          <w:p w14:paraId="2C20B19F" w14:textId="77777777" w:rsidR="00CA7016" w:rsidRPr="00A0513E" w:rsidRDefault="00CA7016" w:rsidP="003C3F6A">
            <w:pPr>
              <w:pStyle w:val="02Tabletext"/>
            </w:pPr>
            <w:r w:rsidRPr="00FE583F">
              <w:t>None</w:t>
            </w:r>
          </w:p>
        </w:tc>
      </w:tr>
      <w:tr w:rsidR="00CA7016" w:rsidRPr="00FC1976" w14:paraId="6460EB0C" w14:textId="77777777" w:rsidTr="003C3F6A">
        <w:tc>
          <w:tcPr>
            <w:tcW w:w="1255" w:type="pct"/>
          </w:tcPr>
          <w:p w14:paraId="3B63B255" w14:textId="77777777" w:rsidR="00CA7016" w:rsidRPr="00A0513E" w:rsidRDefault="00CA7016" w:rsidP="003C3F6A">
            <w:pPr>
              <w:pStyle w:val="02Tabletext"/>
            </w:pPr>
            <w:r w:rsidRPr="00A0513E">
              <w:t>Professor Dominic Mallon</w:t>
            </w:r>
          </w:p>
        </w:tc>
        <w:tc>
          <w:tcPr>
            <w:tcW w:w="2280" w:type="pct"/>
          </w:tcPr>
          <w:p w14:paraId="7ABD376C" w14:textId="77777777" w:rsidR="00CA7016" w:rsidRPr="00A0513E" w:rsidRDefault="00CA7016" w:rsidP="003C3F6A">
            <w:pPr>
              <w:pStyle w:val="02Tabletext"/>
            </w:pPr>
            <w:proofErr w:type="spellStart"/>
            <w:r w:rsidRPr="00CB798C">
              <w:t>PathWest</w:t>
            </w:r>
            <w:proofErr w:type="spellEnd"/>
          </w:p>
        </w:tc>
        <w:tc>
          <w:tcPr>
            <w:tcW w:w="1465" w:type="pct"/>
            <w:shd w:val="clear" w:color="auto" w:fill="auto"/>
          </w:tcPr>
          <w:p w14:paraId="4804348D" w14:textId="77777777" w:rsidR="00CA7016" w:rsidRPr="00A0513E" w:rsidRDefault="00CA7016" w:rsidP="003C3F6A">
            <w:pPr>
              <w:pStyle w:val="02Tabletext"/>
            </w:pPr>
            <w:r w:rsidRPr="00FE583F">
              <w:t>None</w:t>
            </w:r>
          </w:p>
        </w:tc>
      </w:tr>
      <w:tr w:rsidR="00CA7016" w:rsidRPr="00FC1976" w14:paraId="1BB355AC" w14:textId="77777777" w:rsidTr="003C3F6A">
        <w:tc>
          <w:tcPr>
            <w:tcW w:w="1255" w:type="pct"/>
          </w:tcPr>
          <w:p w14:paraId="752625CA" w14:textId="77777777" w:rsidR="00CA7016" w:rsidRPr="00A0513E" w:rsidRDefault="00CA7016" w:rsidP="003C3F6A">
            <w:pPr>
              <w:pStyle w:val="02Tabletext"/>
            </w:pPr>
            <w:r w:rsidRPr="00A0513E">
              <w:t>Dr Peter Roberts</w:t>
            </w:r>
          </w:p>
        </w:tc>
        <w:tc>
          <w:tcPr>
            <w:tcW w:w="2280" w:type="pct"/>
          </w:tcPr>
          <w:p w14:paraId="5384AEF1" w14:textId="77777777" w:rsidR="00CA7016" w:rsidRPr="00A0513E" w:rsidRDefault="00CA7016" w:rsidP="003C3F6A">
            <w:pPr>
              <w:pStyle w:val="02Tabletext"/>
            </w:pPr>
            <w:r w:rsidRPr="00CB798C">
              <w:t>Ryde Hospital (AESM)</w:t>
            </w:r>
          </w:p>
        </w:tc>
        <w:tc>
          <w:tcPr>
            <w:tcW w:w="1465" w:type="pct"/>
            <w:shd w:val="clear" w:color="auto" w:fill="auto"/>
          </w:tcPr>
          <w:p w14:paraId="2438376F" w14:textId="77777777" w:rsidR="00CA7016" w:rsidRPr="00A0513E" w:rsidRDefault="00CA7016" w:rsidP="003C3F6A">
            <w:pPr>
              <w:pStyle w:val="02Tabletext"/>
            </w:pPr>
            <w:r w:rsidRPr="00FE583F">
              <w:t>None</w:t>
            </w:r>
          </w:p>
        </w:tc>
      </w:tr>
      <w:tr w:rsidR="00CA7016" w:rsidRPr="00FC1976" w14:paraId="4A32700C" w14:textId="77777777" w:rsidTr="003C3F6A">
        <w:tc>
          <w:tcPr>
            <w:tcW w:w="1255" w:type="pct"/>
          </w:tcPr>
          <w:p w14:paraId="49EA71BD" w14:textId="77777777" w:rsidR="00CA7016" w:rsidRPr="00A0513E" w:rsidRDefault="00CA7016" w:rsidP="003C3F6A">
            <w:pPr>
              <w:pStyle w:val="02Tabletext"/>
            </w:pPr>
            <w:r w:rsidRPr="00A0513E">
              <w:t>Associate Professor Anthony Landgren</w:t>
            </w:r>
          </w:p>
        </w:tc>
        <w:tc>
          <w:tcPr>
            <w:tcW w:w="2280" w:type="pct"/>
          </w:tcPr>
          <w:p w14:paraId="421A39B9" w14:textId="77777777" w:rsidR="00CA7016" w:rsidRPr="00A0513E" w:rsidRDefault="00CA7016" w:rsidP="003C3F6A">
            <w:pPr>
              <w:pStyle w:val="02Tabletext"/>
            </w:pPr>
            <w:r w:rsidRPr="00CB798C">
              <w:t>Australian Clinical Labs</w:t>
            </w:r>
          </w:p>
        </w:tc>
        <w:tc>
          <w:tcPr>
            <w:tcW w:w="1465" w:type="pct"/>
            <w:shd w:val="clear" w:color="auto" w:fill="auto"/>
          </w:tcPr>
          <w:p w14:paraId="032554CA" w14:textId="77777777" w:rsidR="00CA7016" w:rsidRPr="00A0513E" w:rsidRDefault="00CA7016" w:rsidP="003C3F6A">
            <w:pPr>
              <w:pStyle w:val="02Tabletext"/>
            </w:pPr>
            <w:r w:rsidRPr="00FE583F">
              <w:t>None</w:t>
            </w:r>
          </w:p>
        </w:tc>
      </w:tr>
      <w:tr w:rsidR="00CA7016" w:rsidRPr="00FC1976" w14:paraId="7E49E2A4" w14:textId="77777777" w:rsidTr="003C3F6A">
        <w:tc>
          <w:tcPr>
            <w:tcW w:w="1255" w:type="pct"/>
          </w:tcPr>
          <w:p w14:paraId="0C014BB7" w14:textId="77777777" w:rsidR="00CA7016" w:rsidRPr="00A0513E" w:rsidRDefault="00CA7016" w:rsidP="003C3F6A">
            <w:pPr>
              <w:pStyle w:val="02Tabletext"/>
            </w:pPr>
            <w:r w:rsidRPr="00A0513E">
              <w:t>Associ</w:t>
            </w:r>
            <w:r w:rsidR="00FE2566">
              <w:t xml:space="preserve">ate Professor </w:t>
            </w:r>
            <w:r w:rsidR="00FE2566">
              <w:br/>
              <w:t xml:space="preserve">Mary </w:t>
            </w:r>
            <w:r w:rsidRPr="00A0513E">
              <w:t xml:space="preserve">Jo Waters </w:t>
            </w:r>
          </w:p>
        </w:tc>
        <w:tc>
          <w:tcPr>
            <w:tcW w:w="2280" w:type="pct"/>
          </w:tcPr>
          <w:p w14:paraId="28C25D4F" w14:textId="77777777" w:rsidR="00CA7016" w:rsidRPr="00A0513E" w:rsidRDefault="00CA7016" w:rsidP="003C3F6A">
            <w:pPr>
              <w:pStyle w:val="02Tabletext"/>
            </w:pPr>
            <w:r w:rsidRPr="007962E8">
              <w:t>St Vincent's Pathology (CHA)</w:t>
            </w:r>
          </w:p>
        </w:tc>
        <w:tc>
          <w:tcPr>
            <w:tcW w:w="1465" w:type="pct"/>
            <w:shd w:val="clear" w:color="auto" w:fill="auto"/>
          </w:tcPr>
          <w:p w14:paraId="43827185" w14:textId="77777777" w:rsidR="00CA7016" w:rsidRPr="00A0513E" w:rsidRDefault="00CA7016" w:rsidP="003C3F6A">
            <w:pPr>
              <w:pStyle w:val="02Tabletext"/>
            </w:pPr>
            <w:r w:rsidRPr="00FE583F">
              <w:t>None</w:t>
            </w:r>
          </w:p>
        </w:tc>
      </w:tr>
      <w:tr w:rsidR="00CA7016" w:rsidRPr="00FC1976" w14:paraId="6E058E6C" w14:textId="77777777" w:rsidTr="003C3F6A">
        <w:tc>
          <w:tcPr>
            <w:tcW w:w="1255" w:type="pct"/>
          </w:tcPr>
          <w:p w14:paraId="738899EC" w14:textId="77777777" w:rsidR="00CA7016" w:rsidRPr="00A0513E" w:rsidRDefault="00CA7016" w:rsidP="003C3F6A">
            <w:pPr>
              <w:pStyle w:val="02Tabletext"/>
            </w:pPr>
            <w:r w:rsidRPr="00A0513E">
              <w:t>Professor Richard </w:t>
            </w:r>
            <w:proofErr w:type="spellStart"/>
            <w:r w:rsidRPr="00A0513E">
              <w:t>Maclsaac</w:t>
            </w:r>
            <w:proofErr w:type="spellEnd"/>
          </w:p>
        </w:tc>
        <w:tc>
          <w:tcPr>
            <w:tcW w:w="2280" w:type="pct"/>
          </w:tcPr>
          <w:p w14:paraId="5A85E5BF" w14:textId="77777777" w:rsidR="00CA7016" w:rsidRPr="00A0513E" w:rsidRDefault="00CA7016" w:rsidP="003C3F6A">
            <w:pPr>
              <w:pStyle w:val="02Tabletext"/>
            </w:pPr>
            <w:r w:rsidRPr="007962E8">
              <w:t>St Vincent's Hospital</w:t>
            </w:r>
          </w:p>
        </w:tc>
        <w:tc>
          <w:tcPr>
            <w:tcW w:w="1465" w:type="pct"/>
            <w:shd w:val="clear" w:color="auto" w:fill="auto"/>
          </w:tcPr>
          <w:p w14:paraId="5DCBC9B2" w14:textId="77777777" w:rsidR="00CA7016" w:rsidRPr="00A0513E" w:rsidRDefault="00CA7016" w:rsidP="003C3F6A">
            <w:pPr>
              <w:pStyle w:val="02Tabletext"/>
            </w:pPr>
            <w:r w:rsidRPr="00FE583F">
              <w:t>None</w:t>
            </w:r>
          </w:p>
        </w:tc>
      </w:tr>
      <w:tr w:rsidR="00CA7016" w:rsidRPr="00FC1976" w14:paraId="6763534B" w14:textId="77777777" w:rsidTr="003C3F6A">
        <w:tc>
          <w:tcPr>
            <w:tcW w:w="1255" w:type="pct"/>
          </w:tcPr>
          <w:p w14:paraId="6635C07D" w14:textId="77777777" w:rsidR="00CA7016" w:rsidRPr="00A0513E" w:rsidRDefault="00CA7016" w:rsidP="003C3F6A">
            <w:pPr>
              <w:pStyle w:val="02Tabletext"/>
            </w:pPr>
            <w:r w:rsidRPr="00A0513E">
              <w:t xml:space="preserve">Dr Emil </w:t>
            </w:r>
            <w:proofErr w:type="spellStart"/>
            <w:r w:rsidRPr="00A0513E">
              <w:t>Djakic</w:t>
            </w:r>
            <w:proofErr w:type="spellEnd"/>
          </w:p>
        </w:tc>
        <w:tc>
          <w:tcPr>
            <w:tcW w:w="2280" w:type="pct"/>
          </w:tcPr>
          <w:p w14:paraId="372673F8" w14:textId="77777777" w:rsidR="00CA7016" w:rsidRPr="00A0513E" w:rsidRDefault="00CA7016" w:rsidP="003C3F6A">
            <w:pPr>
              <w:pStyle w:val="02Tabletext"/>
            </w:pPr>
            <w:r w:rsidRPr="007962E8">
              <w:t xml:space="preserve">General </w:t>
            </w:r>
            <w:r w:rsidRPr="00A0513E">
              <w:t>practitioner</w:t>
            </w:r>
          </w:p>
        </w:tc>
        <w:tc>
          <w:tcPr>
            <w:tcW w:w="1465" w:type="pct"/>
            <w:shd w:val="clear" w:color="auto" w:fill="auto"/>
          </w:tcPr>
          <w:p w14:paraId="593BD4E6" w14:textId="77777777" w:rsidR="00CA7016" w:rsidRPr="00A0513E" w:rsidRDefault="00CA7016" w:rsidP="003C3F6A">
            <w:pPr>
              <w:pStyle w:val="02Tabletext"/>
            </w:pPr>
            <w:r w:rsidRPr="00FE583F">
              <w:t>None</w:t>
            </w:r>
          </w:p>
        </w:tc>
      </w:tr>
      <w:tr w:rsidR="00CA7016" w:rsidRPr="00FC1976" w14:paraId="1D511AD3" w14:textId="77777777" w:rsidTr="003C3F6A">
        <w:tc>
          <w:tcPr>
            <w:tcW w:w="1255" w:type="pct"/>
          </w:tcPr>
          <w:p w14:paraId="687F58FB" w14:textId="77777777" w:rsidR="00CA7016" w:rsidRPr="00A0513E" w:rsidRDefault="00CA7016" w:rsidP="003C3F6A">
            <w:pPr>
              <w:pStyle w:val="02Tabletext"/>
            </w:pPr>
            <w:r w:rsidRPr="00A0513E">
              <w:t xml:space="preserve">Dr Bev </w:t>
            </w:r>
            <w:proofErr w:type="spellStart"/>
            <w:r w:rsidRPr="00A0513E">
              <w:t>Rowbotham</w:t>
            </w:r>
            <w:proofErr w:type="spellEnd"/>
          </w:p>
        </w:tc>
        <w:tc>
          <w:tcPr>
            <w:tcW w:w="2280" w:type="pct"/>
          </w:tcPr>
          <w:p w14:paraId="7885953C" w14:textId="77777777" w:rsidR="00CA7016" w:rsidRPr="00A0513E" w:rsidRDefault="00CA7016" w:rsidP="003C3F6A">
            <w:pPr>
              <w:pStyle w:val="02Tabletext"/>
            </w:pPr>
            <w:r>
              <w:t>MBS Taskforce</w:t>
            </w:r>
          </w:p>
        </w:tc>
        <w:tc>
          <w:tcPr>
            <w:tcW w:w="1465" w:type="pct"/>
            <w:shd w:val="clear" w:color="auto" w:fill="auto"/>
          </w:tcPr>
          <w:p w14:paraId="37BB08E5" w14:textId="77777777" w:rsidR="00CA7016" w:rsidRPr="00A0513E" w:rsidRDefault="00CA7016" w:rsidP="003C3F6A">
            <w:pPr>
              <w:pStyle w:val="02Tabletext"/>
            </w:pPr>
            <w:r w:rsidRPr="00FE583F">
              <w:t>None</w:t>
            </w:r>
          </w:p>
        </w:tc>
      </w:tr>
      <w:tr w:rsidR="00CA7016" w:rsidRPr="00FC1976" w14:paraId="04848E9C" w14:textId="77777777" w:rsidTr="003C3F6A">
        <w:tc>
          <w:tcPr>
            <w:tcW w:w="1255" w:type="pct"/>
          </w:tcPr>
          <w:p w14:paraId="4B7EDE21" w14:textId="77777777" w:rsidR="00CA7016" w:rsidRPr="00A0513E" w:rsidRDefault="00CA7016" w:rsidP="003C3F6A">
            <w:pPr>
              <w:pStyle w:val="02Tabletext"/>
            </w:pPr>
            <w:r w:rsidRPr="00A0513E">
              <w:t xml:space="preserve">Dr Jill </w:t>
            </w:r>
            <w:proofErr w:type="spellStart"/>
            <w:r w:rsidRPr="00A0513E">
              <w:t>Thistlethwaite</w:t>
            </w:r>
            <w:proofErr w:type="spellEnd"/>
          </w:p>
        </w:tc>
        <w:tc>
          <w:tcPr>
            <w:tcW w:w="2280" w:type="pct"/>
          </w:tcPr>
          <w:p w14:paraId="5D1C6AC8" w14:textId="77777777" w:rsidR="00CA7016" w:rsidRPr="00A0513E" w:rsidRDefault="00CA7016" w:rsidP="003C3F6A">
            <w:pPr>
              <w:pStyle w:val="02Tabletext"/>
            </w:pPr>
            <w:r>
              <w:t>General practitioner</w:t>
            </w:r>
          </w:p>
        </w:tc>
        <w:tc>
          <w:tcPr>
            <w:tcW w:w="1465" w:type="pct"/>
            <w:shd w:val="clear" w:color="auto" w:fill="auto"/>
          </w:tcPr>
          <w:p w14:paraId="26396FD9" w14:textId="77777777" w:rsidR="00CA7016" w:rsidRPr="00A0513E" w:rsidRDefault="00CA7016" w:rsidP="003C3F6A">
            <w:pPr>
              <w:pStyle w:val="02Tabletext"/>
            </w:pPr>
            <w:r w:rsidRPr="00FE583F">
              <w:t>None</w:t>
            </w:r>
          </w:p>
        </w:tc>
      </w:tr>
      <w:tr w:rsidR="00CA7016" w:rsidRPr="00FC1976" w14:paraId="419EB74D" w14:textId="77777777" w:rsidTr="003C3F6A">
        <w:tc>
          <w:tcPr>
            <w:tcW w:w="1255" w:type="pct"/>
          </w:tcPr>
          <w:p w14:paraId="6C5FA1AE" w14:textId="77777777" w:rsidR="00CA7016" w:rsidRPr="00A0513E" w:rsidRDefault="00CA7016" w:rsidP="003C3F6A">
            <w:pPr>
              <w:pStyle w:val="02Tabletext"/>
            </w:pPr>
            <w:r w:rsidRPr="00A0513E">
              <w:t>Ms Valerie Hanrahan</w:t>
            </w:r>
          </w:p>
        </w:tc>
        <w:tc>
          <w:tcPr>
            <w:tcW w:w="2280" w:type="pct"/>
          </w:tcPr>
          <w:p w14:paraId="2BCA7418" w14:textId="77777777" w:rsidR="00CA7016" w:rsidRPr="00A0513E" w:rsidRDefault="00CA7016" w:rsidP="003C3F6A">
            <w:pPr>
              <w:pStyle w:val="02Tabletext"/>
            </w:pPr>
            <w:r w:rsidRPr="00AA0871">
              <w:t>Consumers Health Forum</w:t>
            </w:r>
          </w:p>
        </w:tc>
        <w:tc>
          <w:tcPr>
            <w:tcW w:w="1465" w:type="pct"/>
            <w:shd w:val="clear" w:color="auto" w:fill="auto"/>
          </w:tcPr>
          <w:p w14:paraId="10D47525" w14:textId="77777777" w:rsidR="00CA7016" w:rsidRPr="00A0513E" w:rsidRDefault="00CA7016" w:rsidP="003C3F6A">
            <w:pPr>
              <w:pStyle w:val="02Tabletext"/>
            </w:pPr>
            <w:r w:rsidRPr="00E315F6">
              <w:t>None</w:t>
            </w:r>
          </w:p>
        </w:tc>
      </w:tr>
      <w:tr w:rsidR="00CA7016" w:rsidRPr="00FC1976" w14:paraId="12C5D696" w14:textId="77777777" w:rsidTr="003C3F6A">
        <w:tc>
          <w:tcPr>
            <w:tcW w:w="1255" w:type="pct"/>
          </w:tcPr>
          <w:p w14:paraId="00EADAEB" w14:textId="77777777" w:rsidR="00CA7016" w:rsidRPr="00A0513E" w:rsidRDefault="00CA7016" w:rsidP="003C3F6A">
            <w:pPr>
              <w:pStyle w:val="02Tabletext"/>
            </w:pPr>
            <w:r w:rsidRPr="00A0513E">
              <w:t>Dr Robyn Lindner</w:t>
            </w:r>
          </w:p>
        </w:tc>
        <w:tc>
          <w:tcPr>
            <w:tcW w:w="2280" w:type="pct"/>
          </w:tcPr>
          <w:p w14:paraId="4CDD29F5" w14:textId="77777777" w:rsidR="00CA7016" w:rsidRPr="00A0513E" w:rsidRDefault="00CA7016" w:rsidP="003C3F6A">
            <w:pPr>
              <w:pStyle w:val="02Tabletext"/>
            </w:pPr>
            <w:r>
              <w:t>NPS MedicineWise</w:t>
            </w:r>
          </w:p>
        </w:tc>
        <w:tc>
          <w:tcPr>
            <w:tcW w:w="1465" w:type="pct"/>
            <w:shd w:val="clear" w:color="auto" w:fill="auto"/>
          </w:tcPr>
          <w:p w14:paraId="5B9F8BDF" w14:textId="77777777" w:rsidR="00CA7016" w:rsidRPr="00A0513E" w:rsidRDefault="00CA7016" w:rsidP="003C3F6A">
            <w:pPr>
              <w:pStyle w:val="02Tabletext"/>
            </w:pPr>
            <w:r w:rsidRPr="00E315F6">
              <w:t>None</w:t>
            </w:r>
          </w:p>
        </w:tc>
      </w:tr>
      <w:tr w:rsidR="00CA7016" w:rsidRPr="00FC1976" w14:paraId="56E83BEC" w14:textId="77777777" w:rsidTr="003C3F6A">
        <w:tc>
          <w:tcPr>
            <w:tcW w:w="1255" w:type="pct"/>
          </w:tcPr>
          <w:p w14:paraId="4AC5F389" w14:textId="77777777" w:rsidR="00CA7016" w:rsidRPr="00A0513E" w:rsidRDefault="00CA7016" w:rsidP="003C3F6A">
            <w:pPr>
              <w:pStyle w:val="02Tabletext"/>
            </w:pPr>
            <w:r w:rsidRPr="00FB18F0">
              <w:t>Professor Hans Schneider</w:t>
            </w:r>
          </w:p>
        </w:tc>
        <w:tc>
          <w:tcPr>
            <w:tcW w:w="2280" w:type="pct"/>
          </w:tcPr>
          <w:p w14:paraId="271CADB5" w14:textId="77777777" w:rsidR="00CA7016" w:rsidRDefault="00CA7016" w:rsidP="003C3F6A">
            <w:pPr>
              <w:pStyle w:val="02Tabletext"/>
            </w:pPr>
            <w:r w:rsidRPr="00FB18F0">
              <w:t>Alfre</w:t>
            </w:r>
            <w:r>
              <w:t>d Pathology Service (Melbourne)</w:t>
            </w:r>
          </w:p>
        </w:tc>
        <w:tc>
          <w:tcPr>
            <w:tcW w:w="1465" w:type="pct"/>
            <w:shd w:val="clear" w:color="auto" w:fill="auto"/>
          </w:tcPr>
          <w:p w14:paraId="1240B18D" w14:textId="77777777" w:rsidR="00CA7016" w:rsidRPr="00E315F6" w:rsidRDefault="00CA7016" w:rsidP="003C3F6A">
            <w:pPr>
              <w:pStyle w:val="02Tabletext"/>
            </w:pPr>
            <w:r>
              <w:t>None</w:t>
            </w:r>
          </w:p>
        </w:tc>
      </w:tr>
      <w:tr w:rsidR="00CA7016" w:rsidRPr="00FC1976" w14:paraId="612D49FB" w14:textId="77777777" w:rsidTr="003C3F6A">
        <w:tc>
          <w:tcPr>
            <w:tcW w:w="1255" w:type="pct"/>
          </w:tcPr>
          <w:p w14:paraId="264FB470" w14:textId="77777777" w:rsidR="00CA7016" w:rsidRPr="00A0513E" w:rsidRDefault="00CA7016" w:rsidP="003C3F6A">
            <w:pPr>
              <w:pStyle w:val="02Tabletext"/>
            </w:pPr>
            <w:r w:rsidRPr="00FB18F0">
              <w:t>Associate Professor Adrienne Morey</w:t>
            </w:r>
          </w:p>
        </w:tc>
        <w:tc>
          <w:tcPr>
            <w:tcW w:w="2280" w:type="pct"/>
          </w:tcPr>
          <w:p w14:paraId="5AC9EF26" w14:textId="77777777" w:rsidR="00CA7016" w:rsidRDefault="00CA7016" w:rsidP="003C3F6A">
            <w:pPr>
              <w:pStyle w:val="02Tabletext"/>
            </w:pPr>
            <w:r w:rsidRPr="00FB18F0">
              <w:t>ACT Pathology</w:t>
            </w:r>
          </w:p>
        </w:tc>
        <w:tc>
          <w:tcPr>
            <w:tcW w:w="1465" w:type="pct"/>
            <w:shd w:val="clear" w:color="auto" w:fill="auto"/>
          </w:tcPr>
          <w:p w14:paraId="0FE86311" w14:textId="77777777" w:rsidR="00CA7016" w:rsidRPr="00E315F6" w:rsidRDefault="00CA7016" w:rsidP="003C3F6A">
            <w:pPr>
              <w:pStyle w:val="02Tabletext"/>
            </w:pPr>
            <w:r>
              <w:t>None</w:t>
            </w:r>
          </w:p>
        </w:tc>
      </w:tr>
    </w:tbl>
    <w:p w14:paraId="217C14FA" w14:textId="77777777" w:rsidR="00CA7016" w:rsidRDefault="00CA7016" w:rsidP="00CA7016">
      <w:bookmarkStart w:id="95" w:name="_Toc457463620"/>
      <w:bookmarkStart w:id="96" w:name="_Toc458166998"/>
      <w:r w:rsidRPr="00FC1976">
        <w:t xml:space="preserve">It is noted that </w:t>
      </w:r>
      <w:r>
        <w:t xml:space="preserve">most </w:t>
      </w:r>
      <w:r w:rsidRPr="00FC1976">
        <w:t xml:space="preserve">Committee </w:t>
      </w:r>
      <w:r>
        <w:t xml:space="preserve">and Working Group </w:t>
      </w:r>
      <w:r w:rsidRPr="00FC1976">
        <w:t xml:space="preserve">members share a common conflict </w:t>
      </w:r>
      <w:r>
        <w:t xml:space="preserve">of interest </w:t>
      </w:r>
      <w:r w:rsidRPr="00FC1976">
        <w:t xml:space="preserve">in reviewing items </w:t>
      </w:r>
      <w:r>
        <w:t>that</w:t>
      </w:r>
      <w:r w:rsidRPr="00FC1976">
        <w:t xml:space="preserve"> are a source of revenue</w:t>
      </w:r>
      <w:r>
        <w:t xml:space="preserve"> for them</w:t>
      </w:r>
      <w:r w:rsidRPr="00FC1976">
        <w:t xml:space="preserve"> (i.e. </w:t>
      </w:r>
      <w:r>
        <w:t>C</w:t>
      </w:r>
      <w:r w:rsidRPr="00FC1976">
        <w:t xml:space="preserve">ommittee members </w:t>
      </w:r>
      <w:r>
        <w:t>provide the services under review</w:t>
      </w:r>
      <w:r w:rsidRPr="00FC1976">
        <w:t>). This conflict is inherent in a clinician</w:t>
      </w:r>
      <w:r>
        <w:t>-</w:t>
      </w:r>
      <w:r w:rsidRPr="00FC1976">
        <w:t xml:space="preserve">led </w:t>
      </w:r>
      <w:proofErr w:type="gramStart"/>
      <w:r w:rsidRPr="00FC1976">
        <w:t>process</w:t>
      </w:r>
      <w:r>
        <w:t>,</w:t>
      </w:r>
      <w:r w:rsidRPr="00FC1976">
        <w:t xml:space="preserve"> and</w:t>
      </w:r>
      <w:proofErr w:type="gramEnd"/>
      <w:r w:rsidRPr="00FC1976">
        <w:t xml:space="preserve"> having been acknowledged by the Committee and the Taskforce, it was agreed that this should not prevent a clinician from participating </w:t>
      </w:r>
      <w:r>
        <w:t xml:space="preserve">in </w:t>
      </w:r>
      <w:r w:rsidRPr="00FC1976">
        <w:t xml:space="preserve">the </w:t>
      </w:r>
      <w:r>
        <w:t>Review</w:t>
      </w:r>
      <w:r w:rsidRPr="00FC1976">
        <w:t>.</w:t>
      </w:r>
    </w:p>
    <w:p w14:paraId="303D78CA" w14:textId="77777777" w:rsidR="00CA7016" w:rsidRPr="00A0513E" w:rsidRDefault="00CA7016" w:rsidP="00CA7016">
      <w:pPr>
        <w:pStyle w:val="Heading2"/>
      </w:pPr>
      <w:bookmarkStart w:id="97" w:name="_Toc483989360"/>
      <w:bookmarkStart w:id="98" w:name="_Toc486939179"/>
      <w:bookmarkStart w:id="99" w:name="_Toc12886540"/>
      <w:r>
        <w:t>Microbiology</w:t>
      </w:r>
      <w:r w:rsidRPr="00A0513E">
        <w:t xml:space="preserve"> Working Group</w:t>
      </w:r>
      <w:bookmarkEnd w:id="97"/>
      <w:bookmarkEnd w:id="98"/>
      <w:bookmarkEnd w:id="99"/>
    </w:p>
    <w:p w14:paraId="414F992D" w14:textId="77777777" w:rsidR="00CA7016" w:rsidRDefault="00CA7016" w:rsidP="00CA7016">
      <w:r>
        <w:t xml:space="preserve">The Microbiology Working Group is one of six clinical working groups that have been established to support the work of the Pathology Clinical Committee. It was established to review microbiology pathology items and make recommendations to the Pathology Clinical Committee based on rapid evidence review and clinical expertise. </w:t>
      </w:r>
    </w:p>
    <w:p w14:paraId="25B42B3E" w14:textId="77777777" w:rsidR="00CA7016" w:rsidRDefault="00CA7016" w:rsidP="00CA7016">
      <w:r>
        <w:t>The Microbiology Working Group consists of seven members, whose names, positions/organisations and declared conflicts of interest are listed in Table 2 below.</w:t>
      </w:r>
    </w:p>
    <w:p w14:paraId="0BEB9F7A" w14:textId="77777777" w:rsidR="00CA7016" w:rsidRDefault="00CA7016" w:rsidP="00CA7016">
      <w:pPr>
        <w:spacing w:before="0" w:after="0"/>
      </w:pPr>
      <w:r>
        <w:br w:type="page"/>
      </w:r>
    </w:p>
    <w:p w14:paraId="6951B667" w14:textId="77777777" w:rsidR="00CA7016" w:rsidRDefault="00CA7016" w:rsidP="00CA7016"/>
    <w:p w14:paraId="7ECF7843" w14:textId="77777777" w:rsidR="00CA7016" w:rsidRDefault="00CA7016" w:rsidP="00CA7016">
      <w:pPr>
        <w:pStyle w:val="Caption"/>
      </w:pPr>
      <w:bookmarkStart w:id="100" w:name="_Toc484598339"/>
      <w:bookmarkStart w:id="101" w:name="_Toc486935600"/>
      <w:bookmarkStart w:id="102" w:name="_Toc12953452"/>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7A1648">
        <w:rPr>
          <w:noProof/>
        </w:rPr>
        <w:t>2</w:t>
      </w:r>
      <w:r w:rsidR="00BB490A">
        <w:rPr>
          <w:noProof/>
        </w:rPr>
        <w:fldChar w:fldCharType="end"/>
      </w:r>
      <w:r>
        <w:t>: Microbiology Working Group members</w:t>
      </w:r>
      <w:bookmarkEnd w:id="100"/>
      <w:bookmarkEnd w:id="101"/>
      <w:bookmarkEnd w:id="10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 Working Group Members"/>
        <w:tblDescription w:val="Table 1 lists the working-group members for the Micrbiology Working Group. The table shows that there are no conflict of interest from all the members."/>
      </w:tblPr>
      <w:tblGrid>
        <w:gridCol w:w="2547"/>
        <w:gridCol w:w="3827"/>
        <w:gridCol w:w="2642"/>
      </w:tblGrid>
      <w:tr w:rsidR="00CA7016" w:rsidRPr="00FC1976" w14:paraId="225B6C1B" w14:textId="77777777" w:rsidTr="003C3F6A">
        <w:trPr>
          <w:tblHeader/>
        </w:trPr>
        <w:tc>
          <w:tcPr>
            <w:tcW w:w="1412" w:type="pct"/>
            <w:shd w:val="clear" w:color="auto" w:fill="F2F2F2" w:themeFill="background1" w:themeFillShade="F2"/>
            <w:vAlign w:val="bottom"/>
          </w:tcPr>
          <w:p w14:paraId="7845A34A" w14:textId="77777777" w:rsidR="00CA7016" w:rsidRPr="00A0513E" w:rsidRDefault="00CA7016" w:rsidP="003C3F6A">
            <w:pPr>
              <w:pStyle w:val="01Tableheaderrow"/>
            </w:pPr>
            <w:r w:rsidRPr="00A0513E">
              <w:t>Name</w:t>
            </w:r>
          </w:p>
        </w:tc>
        <w:tc>
          <w:tcPr>
            <w:tcW w:w="2122" w:type="pct"/>
            <w:shd w:val="clear" w:color="auto" w:fill="F2F2F2" w:themeFill="background1" w:themeFillShade="F2"/>
            <w:vAlign w:val="bottom"/>
          </w:tcPr>
          <w:p w14:paraId="22963EF4" w14:textId="77777777" w:rsidR="00CA7016" w:rsidRPr="00A0513E" w:rsidRDefault="00CA7016" w:rsidP="003C3F6A">
            <w:pPr>
              <w:pStyle w:val="01Tableheaderrow"/>
            </w:pPr>
            <w:r w:rsidRPr="00A0513E">
              <w:t>Position/Organisation</w:t>
            </w:r>
          </w:p>
        </w:tc>
        <w:tc>
          <w:tcPr>
            <w:tcW w:w="1465" w:type="pct"/>
            <w:shd w:val="clear" w:color="auto" w:fill="F2F2F2" w:themeFill="background1" w:themeFillShade="F2"/>
            <w:vAlign w:val="bottom"/>
          </w:tcPr>
          <w:p w14:paraId="78F9CDDC" w14:textId="77777777" w:rsidR="00CA7016" w:rsidRPr="00A0513E" w:rsidRDefault="00CA7016" w:rsidP="003C3F6A">
            <w:pPr>
              <w:pStyle w:val="01Tableheaderrow"/>
            </w:pPr>
            <w:r w:rsidRPr="00A0513E">
              <w:t>Declared conflict of interest</w:t>
            </w:r>
          </w:p>
        </w:tc>
      </w:tr>
      <w:tr w:rsidR="00CA7016" w:rsidRPr="00FC1976" w14:paraId="6F672C2C" w14:textId="77777777" w:rsidTr="003C3F6A">
        <w:tc>
          <w:tcPr>
            <w:tcW w:w="1412" w:type="pct"/>
          </w:tcPr>
          <w:p w14:paraId="284F12F7" w14:textId="77777777" w:rsidR="00CA7016" w:rsidRPr="00A0513E" w:rsidRDefault="00CA7016" w:rsidP="003C3F6A">
            <w:pPr>
              <w:pStyle w:val="02Tabletext"/>
            </w:pPr>
            <w:r w:rsidRPr="00A0513E">
              <w:t xml:space="preserve">A/Professor </w:t>
            </w:r>
            <w:r w:rsidR="000F7884" w:rsidRPr="00A0513E">
              <w:t>Mary</w:t>
            </w:r>
            <w:r w:rsidR="00FE2566">
              <w:t xml:space="preserve"> </w:t>
            </w:r>
            <w:r w:rsidRPr="00A0513E">
              <w:t>Jo Waters (Chair)</w:t>
            </w:r>
          </w:p>
        </w:tc>
        <w:tc>
          <w:tcPr>
            <w:tcW w:w="2122" w:type="pct"/>
          </w:tcPr>
          <w:p w14:paraId="7C974852" w14:textId="77777777" w:rsidR="00CA7016" w:rsidRPr="00A0513E" w:rsidRDefault="00CA7016" w:rsidP="003C3F6A">
            <w:pPr>
              <w:pStyle w:val="02Tabletext"/>
            </w:pPr>
            <w:r w:rsidRPr="00A0513E">
              <w:t>St Vincent’s Pathology (CHA)</w:t>
            </w:r>
          </w:p>
        </w:tc>
        <w:tc>
          <w:tcPr>
            <w:tcW w:w="1465" w:type="pct"/>
          </w:tcPr>
          <w:p w14:paraId="52BE73A4" w14:textId="77777777" w:rsidR="00CA7016" w:rsidRPr="00A0513E" w:rsidRDefault="00CA7016" w:rsidP="003C3F6A">
            <w:pPr>
              <w:pStyle w:val="02Tabletext"/>
            </w:pPr>
            <w:r>
              <w:t>Employed by private provider of MBS items under discussion</w:t>
            </w:r>
          </w:p>
        </w:tc>
      </w:tr>
      <w:tr w:rsidR="00CA7016" w:rsidRPr="00FC1976" w14:paraId="0B709C78" w14:textId="77777777" w:rsidTr="003C3F6A">
        <w:trPr>
          <w:trHeight w:val="311"/>
        </w:trPr>
        <w:tc>
          <w:tcPr>
            <w:tcW w:w="1412" w:type="pct"/>
          </w:tcPr>
          <w:p w14:paraId="64168CC4" w14:textId="77777777" w:rsidR="00CA7016" w:rsidRPr="00A0513E" w:rsidRDefault="00CA7016" w:rsidP="003C3F6A">
            <w:pPr>
              <w:pStyle w:val="02Tabletext"/>
            </w:pPr>
            <w:r w:rsidRPr="00A0513E">
              <w:t>Dr Jenny Robson</w:t>
            </w:r>
          </w:p>
        </w:tc>
        <w:tc>
          <w:tcPr>
            <w:tcW w:w="2122" w:type="pct"/>
          </w:tcPr>
          <w:p w14:paraId="502333E9" w14:textId="77777777" w:rsidR="00CA7016" w:rsidRPr="00A0513E" w:rsidRDefault="00CA7016" w:rsidP="003C3F6A">
            <w:pPr>
              <w:pStyle w:val="02Tabletext"/>
            </w:pPr>
            <w:r w:rsidRPr="00A0513E">
              <w:t>Sullivan Nicolaides Pathology (Sonic)</w:t>
            </w:r>
          </w:p>
        </w:tc>
        <w:tc>
          <w:tcPr>
            <w:tcW w:w="1465" w:type="pct"/>
          </w:tcPr>
          <w:p w14:paraId="718B6362" w14:textId="77777777" w:rsidR="00CA7016" w:rsidRPr="00A0513E" w:rsidRDefault="00CA7016" w:rsidP="003C3F6A">
            <w:pPr>
              <w:pStyle w:val="02Tabletext"/>
            </w:pPr>
            <w:r>
              <w:t>Employed by private provider of MBS items under discussion</w:t>
            </w:r>
          </w:p>
        </w:tc>
      </w:tr>
      <w:tr w:rsidR="00CA7016" w:rsidRPr="00FC1976" w14:paraId="4BC19629" w14:textId="77777777" w:rsidTr="003C3F6A">
        <w:tc>
          <w:tcPr>
            <w:tcW w:w="1412" w:type="pct"/>
          </w:tcPr>
          <w:p w14:paraId="7A2F506D" w14:textId="77777777" w:rsidR="00CA7016" w:rsidRPr="00A0513E" w:rsidRDefault="00CA7016" w:rsidP="003C3F6A">
            <w:pPr>
              <w:pStyle w:val="02Tabletext"/>
            </w:pPr>
            <w:r w:rsidRPr="00A0513E">
              <w:t xml:space="preserve">Dr Sasha </w:t>
            </w:r>
            <w:proofErr w:type="spellStart"/>
            <w:r w:rsidRPr="00A0513E">
              <w:t>Jaksic</w:t>
            </w:r>
            <w:proofErr w:type="spellEnd"/>
          </w:p>
        </w:tc>
        <w:tc>
          <w:tcPr>
            <w:tcW w:w="2122" w:type="pct"/>
          </w:tcPr>
          <w:p w14:paraId="042D6594" w14:textId="77777777" w:rsidR="00CA7016" w:rsidRPr="00A0513E" w:rsidRDefault="00CA7016" w:rsidP="003C3F6A">
            <w:pPr>
              <w:pStyle w:val="02Tabletext"/>
            </w:pPr>
            <w:proofErr w:type="spellStart"/>
            <w:r w:rsidRPr="00A0513E">
              <w:t>Dorevitch</w:t>
            </w:r>
            <w:proofErr w:type="spellEnd"/>
            <w:r w:rsidRPr="00A0513E">
              <w:t xml:space="preserve"> Pathology (Primary)</w:t>
            </w:r>
          </w:p>
        </w:tc>
        <w:tc>
          <w:tcPr>
            <w:tcW w:w="1465" w:type="pct"/>
          </w:tcPr>
          <w:p w14:paraId="5C9E9B88" w14:textId="77777777" w:rsidR="00CA7016" w:rsidRPr="00A0513E" w:rsidRDefault="00CA7016" w:rsidP="003C3F6A">
            <w:pPr>
              <w:pStyle w:val="02Tabletext"/>
            </w:pPr>
            <w:r>
              <w:t>Employed by private provider of MBS items under discussion</w:t>
            </w:r>
          </w:p>
        </w:tc>
      </w:tr>
      <w:tr w:rsidR="00CA7016" w:rsidRPr="00FC1976" w14:paraId="453B48CD" w14:textId="77777777" w:rsidTr="003C3F6A">
        <w:tc>
          <w:tcPr>
            <w:tcW w:w="1412" w:type="pct"/>
          </w:tcPr>
          <w:p w14:paraId="5CAA6FFF" w14:textId="77777777" w:rsidR="00CA7016" w:rsidRPr="00A0513E" w:rsidRDefault="00CA7016" w:rsidP="003C3F6A">
            <w:pPr>
              <w:pStyle w:val="02Tabletext"/>
            </w:pPr>
            <w:r w:rsidRPr="00A0513E">
              <w:t>Dr Rob Hosking</w:t>
            </w:r>
          </w:p>
        </w:tc>
        <w:tc>
          <w:tcPr>
            <w:tcW w:w="2122" w:type="pct"/>
          </w:tcPr>
          <w:p w14:paraId="11975FF5" w14:textId="77777777" w:rsidR="00CA7016" w:rsidRPr="00A0513E" w:rsidRDefault="00CA7016" w:rsidP="003C3F6A">
            <w:pPr>
              <w:pStyle w:val="02Tabletext"/>
            </w:pPr>
            <w:r w:rsidRPr="00A0513E">
              <w:t xml:space="preserve">General Practitioner </w:t>
            </w:r>
          </w:p>
        </w:tc>
        <w:tc>
          <w:tcPr>
            <w:tcW w:w="1465" w:type="pct"/>
          </w:tcPr>
          <w:p w14:paraId="7748F711" w14:textId="77777777" w:rsidR="00CA7016" w:rsidRPr="00A0513E" w:rsidRDefault="00CA7016" w:rsidP="003C3F6A">
            <w:pPr>
              <w:pStyle w:val="02Tabletext"/>
            </w:pPr>
            <w:r>
              <w:t>None</w:t>
            </w:r>
          </w:p>
        </w:tc>
      </w:tr>
      <w:tr w:rsidR="00CA7016" w:rsidRPr="00FC1976" w14:paraId="389A384E" w14:textId="77777777" w:rsidTr="003C3F6A">
        <w:tc>
          <w:tcPr>
            <w:tcW w:w="1412" w:type="pct"/>
          </w:tcPr>
          <w:p w14:paraId="0E64C39B" w14:textId="77777777" w:rsidR="00CA7016" w:rsidRPr="00A0513E" w:rsidRDefault="00CA7016" w:rsidP="003C3F6A">
            <w:pPr>
              <w:pStyle w:val="02Tabletext"/>
            </w:pPr>
            <w:r w:rsidRPr="00A0513E">
              <w:t>Dr Ian Woolley</w:t>
            </w:r>
          </w:p>
        </w:tc>
        <w:tc>
          <w:tcPr>
            <w:tcW w:w="2122" w:type="pct"/>
          </w:tcPr>
          <w:p w14:paraId="4AB0D0B3" w14:textId="77777777" w:rsidR="00CA7016" w:rsidRPr="00A0513E" w:rsidRDefault="00CA7016" w:rsidP="003C3F6A">
            <w:pPr>
              <w:pStyle w:val="02Tabletext"/>
            </w:pPr>
            <w:r w:rsidRPr="00A0513E">
              <w:t>Monash Health</w:t>
            </w:r>
          </w:p>
        </w:tc>
        <w:tc>
          <w:tcPr>
            <w:tcW w:w="1465" w:type="pct"/>
          </w:tcPr>
          <w:p w14:paraId="7C433020" w14:textId="77777777" w:rsidR="00CA7016" w:rsidRPr="00A0513E" w:rsidRDefault="00CA7016" w:rsidP="003C3F6A">
            <w:pPr>
              <w:pStyle w:val="02Tabletext"/>
            </w:pPr>
            <w:r>
              <w:t>None</w:t>
            </w:r>
          </w:p>
        </w:tc>
      </w:tr>
      <w:tr w:rsidR="00CA7016" w:rsidRPr="00FC1976" w14:paraId="7149E86E" w14:textId="77777777" w:rsidTr="003C3F6A">
        <w:tc>
          <w:tcPr>
            <w:tcW w:w="1412" w:type="pct"/>
          </w:tcPr>
          <w:p w14:paraId="0F6EEBC5" w14:textId="77777777" w:rsidR="00CA7016" w:rsidRPr="00A0513E" w:rsidRDefault="00CA7016" w:rsidP="003C3F6A">
            <w:pPr>
              <w:pStyle w:val="02Tabletext"/>
            </w:pPr>
            <w:r w:rsidRPr="00A0513E">
              <w:t>Dr Stuart McMaster</w:t>
            </w:r>
          </w:p>
        </w:tc>
        <w:tc>
          <w:tcPr>
            <w:tcW w:w="2122" w:type="pct"/>
          </w:tcPr>
          <w:p w14:paraId="2D579978" w14:textId="77777777" w:rsidR="00CA7016" w:rsidRPr="00A0513E" w:rsidRDefault="00CA7016" w:rsidP="003C3F6A">
            <w:pPr>
              <w:pStyle w:val="02Tabletext"/>
            </w:pPr>
            <w:r w:rsidRPr="00A0513E">
              <w:t>General Practitioner</w:t>
            </w:r>
          </w:p>
        </w:tc>
        <w:tc>
          <w:tcPr>
            <w:tcW w:w="1465" w:type="pct"/>
          </w:tcPr>
          <w:p w14:paraId="14A74D37" w14:textId="77777777" w:rsidR="00CA7016" w:rsidRPr="00A0513E" w:rsidRDefault="00CA7016" w:rsidP="003C3F6A">
            <w:pPr>
              <w:pStyle w:val="02Tabletext"/>
            </w:pPr>
            <w:r>
              <w:t>None</w:t>
            </w:r>
          </w:p>
        </w:tc>
      </w:tr>
      <w:tr w:rsidR="00CA7016" w:rsidRPr="00FC1976" w14:paraId="17717E4C" w14:textId="77777777" w:rsidTr="003C3F6A">
        <w:tc>
          <w:tcPr>
            <w:tcW w:w="1412" w:type="pct"/>
          </w:tcPr>
          <w:p w14:paraId="3B66BFAB" w14:textId="77777777" w:rsidR="00CA7016" w:rsidRPr="00A0513E" w:rsidRDefault="00CA7016" w:rsidP="003C3F6A">
            <w:pPr>
              <w:pStyle w:val="02Tabletext"/>
            </w:pPr>
            <w:r w:rsidRPr="00A0513E">
              <w:t>M</w:t>
            </w:r>
            <w:r>
              <w:t>s</w:t>
            </w:r>
            <w:r w:rsidRPr="00A0513E">
              <w:t xml:space="preserve"> Diane Walsh</w:t>
            </w:r>
          </w:p>
        </w:tc>
        <w:tc>
          <w:tcPr>
            <w:tcW w:w="2122" w:type="pct"/>
          </w:tcPr>
          <w:p w14:paraId="6FD3D8C3" w14:textId="77777777" w:rsidR="00CA7016" w:rsidRPr="00A0513E" w:rsidRDefault="00CA7016" w:rsidP="003C3F6A">
            <w:pPr>
              <w:pStyle w:val="02Tabletext"/>
            </w:pPr>
            <w:r w:rsidRPr="00A0513E">
              <w:t>Consumer</w:t>
            </w:r>
          </w:p>
        </w:tc>
        <w:tc>
          <w:tcPr>
            <w:tcW w:w="1465" w:type="pct"/>
          </w:tcPr>
          <w:p w14:paraId="2D2FA248" w14:textId="77777777" w:rsidR="00CA7016" w:rsidRPr="00A0513E" w:rsidRDefault="00CA7016" w:rsidP="003C3F6A">
            <w:pPr>
              <w:pStyle w:val="02Tabletext"/>
            </w:pPr>
            <w:r>
              <w:t>None</w:t>
            </w:r>
          </w:p>
        </w:tc>
      </w:tr>
    </w:tbl>
    <w:p w14:paraId="7806F0CA" w14:textId="77777777" w:rsidR="00CA7016" w:rsidRPr="00A0513E" w:rsidRDefault="00CA7016" w:rsidP="00CA7016">
      <w:pPr>
        <w:pStyle w:val="Heading2"/>
      </w:pPr>
      <w:bookmarkStart w:id="103" w:name="_Toc459996810"/>
      <w:bookmarkStart w:id="104" w:name="_Toc483989361"/>
      <w:bookmarkStart w:id="105" w:name="_Toc486939180"/>
      <w:bookmarkStart w:id="106" w:name="_Toc12886541"/>
      <w:r w:rsidRPr="00A0513E">
        <w:t>Areas of responsibility of the Committee</w:t>
      </w:r>
      <w:bookmarkEnd w:id="95"/>
      <w:bookmarkEnd w:id="96"/>
      <w:bookmarkEnd w:id="103"/>
      <w:bookmarkEnd w:id="104"/>
      <w:bookmarkEnd w:id="105"/>
      <w:bookmarkEnd w:id="106"/>
    </w:p>
    <w:p w14:paraId="3D5064A7" w14:textId="77777777" w:rsidR="00CA7016" w:rsidRPr="00FC1976" w:rsidRDefault="00CA7016" w:rsidP="00CA7016">
      <w:r w:rsidRPr="00FC1976">
        <w:t xml:space="preserve">The Committee was assigned </w:t>
      </w:r>
      <w:r>
        <w:t>66</w:t>
      </w:r>
      <w:r w:rsidRPr="00FC1976">
        <w:t xml:space="preserve"> MBS </w:t>
      </w:r>
      <w:r>
        <w:t xml:space="preserve">microbiology </w:t>
      </w:r>
      <w:r w:rsidRPr="00FC1976">
        <w:t>items</w:t>
      </w:r>
      <w:r>
        <w:t xml:space="preserve"> and four referred items</w:t>
      </w:r>
      <w:r w:rsidRPr="00FC1976">
        <w:t xml:space="preserve"> to review</w:t>
      </w:r>
      <w:r>
        <w:t xml:space="preserve"> (MBS 2014</w:t>
      </w:r>
      <w:r w:rsidR="000F7884">
        <w:t>–</w:t>
      </w:r>
      <w:r>
        <w:t>15)</w:t>
      </w:r>
      <w:r w:rsidRPr="00FC1976">
        <w:t xml:space="preserve">. A complete list of these items can be found in Appendix A. </w:t>
      </w:r>
    </w:p>
    <w:p w14:paraId="50322A77" w14:textId="77777777" w:rsidR="00CA7016" w:rsidRPr="00A0513E" w:rsidRDefault="00CA7016" w:rsidP="00CA7016">
      <w:pPr>
        <w:pStyle w:val="Heading2"/>
      </w:pPr>
      <w:bookmarkStart w:id="107" w:name="_Toc457463621"/>
      <w:bookmarkStart w:id="108" w:name="_Toc459996811"/>
      <w:bookmarkStart w:id="109" w:name="_Toc458166999"/>
      <w:bookmarkStart w:id="110" w:name="_Toc483989362"/>
      <w:bookmarkStart w:id="111" w:name="_Toc486939181"/>
      <w:bookmarkStart w:id="112" w:name="_Toc12886542"/>
      <w:bookmarkStart w:id="113" w:name="_Toc456045432"/>
      <w:r w:rsidRPr="00A0513E">
        <w:t>Summary of the Committee’s review approach</w:t>
      </w:r>
      <w:bookmarkEnd w:id="107"/>
      <w:bookmarkEnd w:id="108"/>
      <w:bookmarkEnd w:id="109"/>
      <w:bookmarkEnd w:id="110"/>
      <w:bookmarkEnd w:id="111"/>
      <w:bookmarkEnd w:id="112"/>
    </w:p>
    <w:p w14:paraId="2F94023B" w14:textId="77777777" w:rsidR="00CA7016" w:rsidRPr="00FC1976" w:rsidRDefault="00CA7016" w:rsidP="00CA7016">
      <w:r w:rsidRPr="00FC1976">
        <w:t>The Com</w:t>
      </w:r>
      <w:r>
        <w:t>mittee completed a review of</w:t>
      </w:r>
      <w:r w:rsidRPr="00FC1976">
        <w:t xml:space="preserve"> </w:t>
      </w:r>
      <w:r>
        <w:t xml:space="preserve">66 microbiology </w:t>
      </w:r>
      <w:r w:rsidRPr="00FC1976">
        <w:t>items</w:t>
      </w:r>
      <w:r>
        <w:t xml:space="preserve"> and four referred items</w:t>
      </w:r>
      <w:r w:rsidRPr="00FC1976">
        <w:t xml:space="preserve"> across </w:t>
      </w:r>
      <w:r>
        <w:t>eight</w:t>
      </w:r>
      <w:r w:rsidRPr="00FC1976">
        <w:t xml:space="preserve"> meetings, during which it developed the recommendations and rationales outlined in Section </w:t>
      </w:r>
      <w:r>
        <w:t>4</w:t>
      </w:r>
      <w:r w:rsidRPr="00FC1976">
        <w:t xml:space="preserve">. Recommendations were also developed for referral to other committees. These are outlined in Section </w:t>
      </w:r>
      <w:r>
        <w:t>5</w:t>
      </w:r>
      <w:r w:rsidRPr="00FC1976">
        <w:t>.</w:t>
      </w:r>
      <w:r>
        <w:t xml:space="preserve"> </w:t>
      </w:r>
    </w:p>
    <w:p w14:paraId="5C265398" w14:textId="77777777" w:rsidR="00CA7016" w:rsidRDefault="00CA7016" w:rsidP="00CA7016">
      <w:r w:rsidRPr="00FC1976">
        <w:t xml:space="preserve">The </w:t>
      </w:r>
      <w:r>
        <w:t>Review</w:t>
      </w:r>
      <w:r w:rsidRPr="00FC1976">
        <w:t xml:space="preserve"> drew on various types of MBS data, including data on</w:t>
      </w:r>
      <w:r>
        <w:t>:</w:t>
      </w:r>
      <w:r w:rsidRPr="00FC1976">
        <w:t xml:space="preserve"> </w:t>
      </w:r>
    </w:p>
    <w:p w14:paraId="4561D6F8" w14:textId="77777777" w:rsidR="00CA7016" w:rsidRPr="00A0513E" w:rsidRDefault="00CA7016" w:rsidP="00CA7016">
      <w:pPr>
        <w:pStyle w:val="NormalBulleted"/>
        <w:numPr>
          <w:ilvl w:val="0"/>
          <w:numId w:val="17"/>
        </w:numPr>
        <w:spacing w:before="120" w:after="60" w:line="240" w:lineRule="auto"/>
        <w:ind w:right="142"/>
        <w:contextualSpacing w:val="0"/>
      </w:pPr>
      <w:r w:rsidRPr="00FC1976">
        <w:t>utilisation of items (services, benefits, patients, providers and growth rates)</w:t>
      </w:r>
    </w:p>
    <w:p w14:paraId="5580BF62" w14:textId="77777777" w:rsidR="00CA7016" w:rsidRPr="00A0513E" w:rsidRDefault="00CA7016" w:rsidP="00CA7016">
      <w:pPr>
        <w:pStyle w:val="NormalBulleted"/>
        <w:numPr>
          <w:ilvl w:val="0"/>
          <w:numId w:val="17"/>
        </w:numPr>
        <w:spacing w:before="120" w:after="60" w:line="240" w:lineRule="auto"/>
        <w:ind w:right="142"/>
        <w:contextualSpacing w:val="0"/>
      </w:pPr>
      <w:r w:rsidRPr="00FC1976">
        <w:t>service provision (type of provider, geography of service provision)</w:t>
      </w:r>
    </w:p>
    <w:p w14:paraId="473B03E5" w14:textId="77777777" w:rsidR="00CA7016" w:rsidRPr="00A0513E" w:rsidRDefault="00CA7016" w:rsidP="00CA7016">
      <w:pPr>
        <w:pStyle w:val="NormalBulleted"/>
        <w:numPr>
          <w:ilvl w:val="0"/>
          <w:numId w:val="17"/>
        </w:numPr>
        <w:spacing w:before="120" w:after="60" w:line="240" w:lineRule="auto"/>
        <w:ind w:right="142"/>
        <w:contextualSpacing w:val="0"/>
      </w:pPr>
      <w:r w:rsidRPr="00FC1976">
        <w:t>patients (demographics and services per patient)</w:t>
      </w:r>
    </w:p>
    <w:p w14:paraId="3E11343E" w14:textId="77777777" w:rsidR="00CA7016" w:rsidRPr="00A0513E" w:rsidRDefault="00CA7016" w:rsidP="00CA7016">
      <w:pPr>
        <w:pStyle w:val="NormalBulleted"/>
        <w:numPr>
          <w:ilvl w:val="0"/>
          <w:numId w:val="17"/>
        </w:numPr>
        <w:spacing w:before="120" w:after="60" w:line="240" w:lineRule="auto"/>
        <w:ind w:right="142"/>
        <w:contextualSpacing w:val="0"/>
      </w:pPr>
      <w:r w:rsidRPr="00FC1976">
        <w:t>co-claiming or episodes of services (</w:t>
      </w:r>
      <w:proofErr w:type="gramStart"/>
      <w:r w:rsidRPr="00FC1976">
        <w:t>same-day</w:t>
      </w:r>
      <w:proofErr w:type="gramEnd"/>
      <w:r w:rsidRPr="00FC1976">
        <w:t xml:space="preserve"> claiming and claiming with specific items over time)</w:t>
      </w:r>
    </w:p>
    <w:p w14:paraId="350E1660" w14:textId="77777777" w:rsidR="00CA7016" w:rsidRPr="00A0513E" w:rsidRDefault="00CA7016" w:rsidP="00CA7016">
      <w:pPr>
        <w:pStyle w:val="NormalBulleted"/>
        <w:numPr>
          <w:ilvl w:val="0"/>
          <w:numId w:val="17"/>
        </w:numPr>
        <w:spacing w:before="120" w:after="60" w:line="240" w:lineRule="auto"/>
        <w:ind w:right="142"/>
        <w:contextualSpacing w:val="0"/>
      </w:pPr>
      <w:r w:rsidRPr="00FC1976">
        <w:t>additional provider and patient-level data, when required.</w:t>
      </w:r>
    </w:p>
    <w:p w14:paraId="787D3145" w14:textId="77777777" w:rsidR="00CA7016" w:rsidRPr="00FC1976" w:rsidRDefault="00CA7016" w:rsidP="00CA7016">
      <w:r w:rsidRPr="00FC1976">
        <w:t xml:space="preserve">The review also drew on data presented in the relevant literature and clinical guidelines, all of which are referenced in the report. </w:t>
      </w:r>
    </w:p>
    <w:p w14:paraId="75D82072" w14:textId="77777777" w:rsidR="00CA7016" w:rsidRPr="00FC1976" w:rsidRDefault="00CA7016" w:rsidP="00CA7016">
      <w:r w:rsidRPr="00FC1976">
        <w:t xml:space="preserve">An inclusive set of stakeholders </w:t>
      </w:r>
      <w:r>
        <w:t xml:space="preserve">is </w:t>
      </w:r>
      <w:r w:rsidRPr="00FC1976">
        <w:t xml:space="preserve">now engaged in consultation on the recommendations resulting from this process, which are outlined in this report. Following this period of consultation, </w:t>
      </w:r>
      <w:r>
        <w:t xml:space="preserve">the Committee will consider </w:t>
      </w:r>
      <w:r w:rsidRPr="00FC1976">
        <w:t xml:space="preserve">stakeholder feedback </w:t>
      </w:r>
      <w:r>
        <w:t>before finalising</w:t>
      </w:r>
      <w:r w:rsidRPr="00FC1976">
        <w:t xml:space="preserve"> the recommendations and present</w:t>
      </w:r>
      <w:r>
        <w:t>ing</w:t>
      </w:r>
      <w:r w:rsidRPr="00FC1976">
        <w:t xml:space="preserve"> </w:t>
      </w:r>
      <w:r>
        <w:t xml:space="preserve">them </w:t>
      </w:r>
      <w:r w:rsidRPr="00FC1976">
        <w:t xml:space="preserve">to the Taskforce. The Taskforce will consider the report and stakeholder feedback before making recommendations to the </w:t>
      </w:r>
      <w:r>
        <w:t xml:space="preserve">Minister for Health </w:t>
      </w:r>
      <w:r w:rsidRPr="00FC1976">
        <w:t xml:space="preserve">for consideration by the Government. </w:t>
      </w:r>
    </w:p>
    <w:bookmarkEnd w:id="113"/>
    <w:p w14:paraId="7F61A355" w14:textId="77777777" w:rsidR="00CA7016" w:rsidRPr="003B1071" w:rsidRDefault="00CA7016" w:rsidP="00CA7016">
      <w:r w:rsidRPr="00FC1976">
        <w:br w:type="page"/>
      </w:r>
    </w:p>
    <w:p w14:paraId="5FC3DFB3" w14:textId="77777777" w:rsidR="00CA7016" w:rsidRPr="00A0513E" w:rsidRDefault="00CA7016" w:rsidP="00CA7016">
      <w:pPr>
        <w:pStyle w:val="Heading1"/>
      </w:pPr>
      <w:bookmarkStart w:id="114" w:name="_Toc483989363"/>
      <w:bookmarkStart w:id="115" w:name="_Toc486939182"/>
      <w:bookmarkStart w:id="116" w:name="_Toc12886543"/>
      <w:r w:rsidRPr="00A0513E">
        <w:lastRenderedPageBreak/>
        <w:t>Recommendations for consultation</w:t>
      </w:r>
      <w:bookmarkEnd w:id="114"/>
      <w:bookmarkEnd w:id="115"/>
      <w:bookmarkEnd w:id="116"/>
    </w:p>
    <w:p w14:paraId="7869BE8D" w14:textId="77777777" w:rsidR="00CA7016" w:rsidRPr="00F158FF" w:rsidRDefault="00CA7016" w:rsidP="00F158FF">
      <w:pPr>
        <w:rPr>
          <w:b/>
        </w:rPr>
      </w:pPr>
      <w:r w:rsidRPr="00F158FF">
        <w:rPr>
          <w:b/>
        </w:rPr>
        <w:t>Introduction</w:t>
      </w:r>
    </w:p>
    <w:p w14:paraId="0BC00FFA" w14:textId="77777777" w:rsidR="00CA7016" w:rsidRPr="00B96BC0" w:rsidRDefault="00CA7016" w:rsidP="00CA7016">
      <w:r w:rsidRPr="00B96BC0">
        <w:t>The Committee reviewed 66 assigned microbiology items and four referred items and made recommendations based on evidence and clinical expertise, in consultation with relevant stakeholders. The item-level recommendations are described below. A summary list of recommendations can be fo</w:t>
      </w:r>
      <w:r>
        <w:t>und in Appendices A and B, and the Consumer Summary table in Appendix C</w:t>
      </w:r>
      <w:r w:rsidRPr="00B96BC0">
        <w:t>.</w:t>
      </w:r>
    </w:p>
    <w:p w14:paraId="62319AE6" w14:textId="77777777" w:rsidR="00CA7016" w:rsidRPr="00B96BC0" w:rsidRDefault="00CA7016" w:rsidP="00CA7016">
      <w:r w:rsidRPr="00B96BC0">
        <w:t xml:space="preserve">The Committee’s recommendations for public consultation are that </w:t>
      </w:r>
      <w:r>
        <w:t>24</w:t>
      </w:r>
      <w:r w:rsidRPr="00B96BC0">
        <w:t xml:space="preserve"> items should be deleted (and their services</w:t>
      </w:r>
      <w:r w:rsidR="009B5140">
        <w:t xml:space="preserve"> are</w:t>
      </w:r>
      <w:r w:rsidRPr="00B96BC0">
        <w:t xml:space="preserve"> no longer provided under the MBS), </w:t>
      </w:r>
      <w:r>
        <w:t>20</w:t>
      </w:r>
      <w:r w:rsidRPr="00B96BC0">
        <w:t xml:space="preserve"> items should be changed, and </w:t>
      </w:r>
      <w:r>
        <w:t>26</w:t>
      </w:r>
      <w:r w:rsidRPr="00B96BC0">
        <w:t xml:space="preserve"> items should remain unchanged. The Committee has proposed </w:t>
      </w:r>
      <w:r>
        <w:t>16</w:t>
      </w:r>
      <w:r w:rsidRPr="00B96BC0">
        <w:t xml:space="preserve"> new items and referred </w:t>
      </w:r>
      <w:r>
        <w:t xml:space="preserve">seven </w:t>
      </w:r>
      <w:r w:rsidRPr="00B96BC0">
        <w:t xml:space="preserve">items to other Committees. </w:t>
      </w:r>
    </w:p>
    <w:p w14:paraId="2410426C" w14:textId="77777777" w:rsidR="00CA7016" w:rsidRPr="00B96BC0" w:rsidRDefault="00CA7016" w:rsidP="00CA7016">
      <w:r w:rsidRPr="00B96BC0">
        <w:t>The changes focus on encouraging best practice, modernising the MBS to reflect contemporary practice, and ensuring that MBS services provide value for the patient and the healthcare system. Some of this can be achieved by:</w:t>
      </w:r>
    </w:p>
    <w:p w14:paraId="1ED0ED0C" w14:textId="77777777" w:rsidR="00CA7016" w:rsidRPr="00A0513E" w:rsidRDefault="00CA7016" w:rsidP="00CA7016">
      <w:pPr>
        <w:pStyle w:val="NormalBulleted"/>
        <w:numPr>
          <w:ilvl w:val="0"/>
          <w:numId w:val="17"/>
        </w:numPr>
        <w:spacing w:before="120" w:after="60" w:line="240" w:lineRule="auto"/>
        <w:ind w:right="142"/>
        <w:contextualSpacing w:val="0"/>
      </w:pPr>
      <w:r w:rsidRPr="00B96BC0">
        <w:t>deleting items that are obsolete</w:t>
      </w:r>
    </w:p>
    <w:p w14:paraId="5022A798" w14:textId="77777777" w:rsidR="00CA7016" w:rsidRPr="00A0513E" w:rsidRDefault="00CA7016" w:rsidP="00CA7016">
      <w:pPr>
        <w:pStyle w:val="NormalBulleted"/>
        <w:numPr>
          <w:ilvl w:val="0"/>
          <w:numId w:val="17"/>
        </w:numPr>
        <w:spacing w:before="120" w:after="60" w:line="240" w:lineRule="auto"/>
        <w:ind w:right="142"/>
        <w:contextualSpacing w:val="0"/>
      </w:pPr>
      <w:r w:rsidRPr="00B96BC0">
        <w:t>consolidating or splitting items to reflect contemporary practice</w:t>
      </w:r>
    </w:p>
    <w:p w14:paraId="5C8461EF" w14:textId="77777777" w:rsidR="00CA7016" w:rsidRPr="00A0513E" w:rsidRDefault="00CA7016" w:rsidP="00CA7016">
      <w:pPr>
        <w:pStyle w:val="NormalBulleted"/>
        <w:numPr>
          <w:ilvl w:val="0"/>
          <w:numId w:val="17"/>
        </w:numPr>
        <w:spacing w:before="120" w:after="60" w:line="240" w:lineRule="auto"/>
        <w:ind w:right="142"/>
        <w:contextualSpacing w:val="0"/>
      </w:pPr>
      <w:r w:rsidRPr="00B96BC0">
        <w:t>modernising item descriptors to reflect best practice</w:t>
      </w:r>
    </w:p>
    <w:p w14:paraId="5DAE075B" w14:textId="77777777" w:rsidR="00CA7016" w:rsidRPr="00A0513E" w:rsidRDefault="00CA7016" w:rsidP="00CA7016">
      <w:pPr>
        <w:pStyle w:val="NormalBulleted"/>
        <w:numPr>
          <w:ilvl w:val="0"/>
          <w:numId w:val="17"/>
        </w:numPr>
        <w:spacing w:before="120" w:after="60" w:line="240" w:lineRule="auto"/>
        <w:ind w:right="142"/>
        <w:contextualSpacing w:val="0"/>
      </w:pPr>
      <w:r w:rsidRPr="00B96BC0">
        <w:t>providing clinical guidance for appropriate use through explanatory notes.</w:t>
      </w:r>
    </w:p>
    <w:p w14:paraId="785D1FB9" w14:textId="77777777" w:rsidR="00CA7016" w:rsidRPr="00B96BC0" w:rsidRDefault="00CA7016" w:rsidP="00CA7016">
      <w:r w:rsidRPr="00B96BC0">
        <w:t>The recommendations are presented by item groups, with higher priority groups presented first.</w:t>
      </w:r>
      <w:r w:rsidRPr="00B96BC0">
        <w:br/>
        <w:t>In circumstances where the Committee would have preferred to recommend a change, but for various reasons have elected not to, the full discussion has been included for the record.</w:t>
      </w:r>
    </w:p>
    <w:p w14:paraId="2796EB1A" w14:textId="77777777" w:rsidR="00CA7016" w:rsidRPr="00A0513E" w:rsidRDefault="00CA7016" w:rsidP="00CA7016">
      <w:pPr>
        <w:pStyle w:val="Heading2"/>
      </w:pPr>
      <w:bookmarkStart w:id="117" w:name="_Toc483989364"/>
      <w:bookmarkStart w:id="118" w:name="_Toc486939183"/>
      <w:bookmarkStart w:id="119" w:name="_Toc12886544"/>
      <w:r w:rsidRPr="00A0513E">
        <w:t xml:space="preserve">System framework for microbiology testing using nucleic acid amplification tests </w:t>
      </w:r>
      <w:r>
        <w:t>(</w:t>
      </w:r>
      <w:r w:rsidRPr="00A0513E">
        <w:t>NAAT</w:t>
      </w:r>
      <w:bookmarkEnd w:id="117"/>
      <w:bookmarkEnd w:id="118"/>
      <w:r>
        <w:t>)</w:t>
      </w:r>
      <w:bookmarkEnd w:id="119"/>
    </w:p>
    <w:p w14:paraId="63C617B0" w14:textId="77777777" w:rsidR="00CA7016" w:rsidRPr="00B96BC0" w:rsidRDefault="00CA7016" w:rsidP="00CA7016">
      <w:pPr>
        <w:pStyle w:val="Caption"/>
      </w:pPr>
      <w:bookmarkStart w:id="120" w:name="_Toc484598340"/>
      <w:bookmarkStart w:id="121" w:name="_Toc486935601"/>
      <w:bookmarkStart w:id="122" w:name="_Toc12953453"/>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7A1648">
        <w:rPr>
          <w:noProof/>
        </w:rPr>
        <w:t>3</w:t>
      </w:r>
      <w:r w:rsidR="00BB490A">
        <w:rPr>
          <w:noProof/>
        </w:rPr>
        <w:fldChar w:fldCharType="end"/>
      </w:r>
      <w:r>
        <w:t xml:space="preserve">: </w:t>
      </w:r>
      <w:r w:rsidRPr="00B96BC0">
        <w:t xml:space="preserve">Item introduction table </w:t>
      </w:r>
      <w:r>
        <w:t>for items 69494—69498</w:t>
      </w:r>
      <w:bookmarkEnd w:id="120"/>
      <w:bookmarkEnd w:id="121"/>
      <w:bookmarkEnd w:id="122"/>
    </w:p>
    <w:tbl>
      <w:tblPr>
        <w:tblStyle w:val="TableGrid3"/>
        <w:tblW w:w="9634" w:type="dxa"/>
        <w:tblLayout w:type="fixed"/>
        <w:tblLook w:val="04A0" w:firstRow="1" w:lastRow="0" w:firstColumn="1" w:lastColumn="0" w:noHBand="0" w:noVBand="1"/>
        <w:tblDescription w:val="This table lists Item numbers, Long item descriptors, Schedule fees, Benefits for FY 2014–15, Services for FY 2014–15, Patient count 2014–15, and 5-year service change (CAGR) for items compmrising a proposed system framework for mecriobiology using NAAT.&#10;"/>
      </w:tblPr>
      <w:tblGrid>
        <w:gridCol w:w="846"/>
        <w:gridCol w:w="2977"/>
        <w:gridCol w:w="1134"/>
        <w:gridCol w:w="1216"/>
        <w:gridCol w:w="1355"/>
        <w:gridCol w:w="1053"/>
        <w:gridCol w:w="1053"/>
      </w:tblGrid>
      <w:tr w:rsidR="00CA7016" w:rsidRPr="00B96BC0" w14:paraId="55A64A12" w14:textId="77777777" w:rsidTr="003C3F6A">
        <w:trPr>
          <w:cnfStyle w:val="100000000000" w:firstRow="1" w:lastRow="0" w:firstColumn="0" w:lastColumn="0" w:oddVBand="0" w:evenVBand="0" w:oddHBand="0" w:evenHBand="0" w:firstRowFirstColumn="0" w:firstRowLastColumn="0" w:lastRowFirstColumn="0" w:lastRowLastColumn="0"/>
          <w:trHeight w:val="729"/>
          <w:tblHeader/>
        </w:trPr>
        <w:tc>
          <w:tcPr>
            <w:tcW w:w="846" w:type="dxa"/>
            <w:shd w:val="clear" w:color="auto" w:fill="EEECE1" w:themeFill="background2"/>
            <w:vAlign w:val="bottom"/>
            <w:hideMark/>
          </w:tcPr>
          <w:p w14:paraId="4187B393" w14:textId="77777777" w:rsidR="00CA7016" w:rsidRPr="001E01AE" w:rsidRDefault="00CA7016" w:rsidP="003C3F6A">
            <w:pPr>
              <w:pStyle w:val="01Tableheaderrow"/>
              <w:rPr>
                <w:b/>
              </w:rPr>
            </w:pPr>
            <w:r w:rsidRPr="001E01AE">
              <w:rPr>
                <w:b/>
              </w:rPr>
              <w:t>Item</w:t>
            </w:r>
          </w:p>
        </w:tc>
        <w:tc>
          <w:tcPr>
            <w:tcW w:w="2977" w:type="dxa"/>
            <w:shd w:val="clear" w:color="auto" w:fill="EEECE1" w:themeFill="background2"/>
            <w:vAlign w:val="bottom"/>
            <w:hideMark/>
          </w:tcPr>
          <w:p w14:paraId="0E00D2D1" w14:textId="77777777" w:rsidR="00CA7016" w:rsidRPr="001E01AE" w:rsidRDefault="00CA7016" w:rsidP="003C3F6A">
            <w:pPr>
              <w:pStyle w:val="01Tableheaderrow"/>
              <w:rPr>
                <w:b/>
              </w:rPr>
            </w:pPr>
            <w:r w:rsidRPr="001E01AE">
              <w:rPr>
                <w:b/>
              </w:rPr>
              <w:t>Long item descriptor</w:t>
            </w:r>
          </w:p>
        </w:tc>
        <w:tc>
          <w:tcPr>
            <w:tcW w:w="1134" w:type="dxa"/>
            <w:shd w:val="clear" w:color="auto" w:fill="EEECE1" w:themeFill="background2"/>
            <w:vAlign w:val="bottom"/>
            <w:hideMark/>
          </w:tcPr>
          <w:p w14:paraId="50A4492F" w14:textId="77777777" w:rsidR="00CA7016" w:rsidRPr="001E01AE" w:rsidRDefault="00CA7016" w:rsidP="003C3F6A">
            <w:pPr>
              <w:pStyle w:val="01Tableheaderrow"/>
              <w:rPr>
                <w:b/>
              </w:rPr>
            </w:pPr>
            <w:r w:rsidRPr="001E01AE">
              <w:rPr>
                <w:b/>
              </w:rPr>
              <w:t>Schedule</w:t>
            </w:r>
            <w:r>
              <w:rPr>
                <w:b/>
              </w:rPr>
              <w:t xml:space="preserve"> </w:t>
            </w:r>
            <w:r w:rsidRPr="001E01AE">
              <w:rPr>
                <w:b/>
              </w:rPr>
              <w:t>fee</w:t>
            </w:r>
          </w:p>
        </w:tc>
        <w:tc>
          <w:tcPr>
            <w:tcW w:w="1216" w:type="dxa"/>
            <w:shd w:val="clear" w:color="auto" w:fill="EEECE1" w:themeFill="background2"/>
            <w:vAlign w:val="bottom"/>
            <w:hideMark/>
          </w:tcPr>
          <w:p w14:paraId="49985ED3" w14:textId="77777777" w:rsidR="00CA7016" w:rsidRPr="001E01AE" w:rsidRDefault="00CA7016" w:rsidP="003C3F6A">
            <w:pPr>
              <w:pStyle w:val="01Tableheaderrow"/>
              <w:rPr>
                <w:b/>
              </w:rPr>
            </w:pPr>
            <w:r w:rsidRPr="001E01AE">
              <w:rPr>
                <w:b/>
              </w:rPr>
              <w:t xml:space="preserve">Benefits </w:t>
            </w:r>
            <w:r>
              <w:rPr>
                <w:b/>
              </w:rPr>
              <w:br/>
            </w:r>
            <w:r w:rsidRPr="001E01AE">
              <w:rPr>
                <w:b/>
              </w:rPr>
              <w:t>FY</w:t>
            </w:r>
            <w:r>
              <w:rPr>
                <w:b/>
              </w:rPr>
              <w:t xml:space="preserve"> </w:t>
            </w:r>
            <w:r w:rsidRPr="001E01AE">
              <w:rPr>
                <w:b/>
              </w:rPr>
              <w:t>2014</w:t>
            </w:r>
            <w:r>
              <w:rPr>
                <w:b/>
              </w:rPr>
              <w:t>–</w:t>
            </w:r>
            <w:r w:rsidRPr="001E01AE">
              <w:rPr>
                <w:b/>
              </w:rPr>
              <w:t>15</w:t>
            </w:r>
          </w:p>
        </w:tc>
        <w:tc>
          <w:tcPr>
            <w:tcW w:w="1355" w:type="dxa"/>
            <w:shd w:val="clear" w:color="auto" w:fill="EEECE1" w:themeFill="background2"/>
            <w:vAlign w:val="bottom"/>
            <w:hideMark/>
          </w:tcPr>
          <w:p w14:paraId="757A9AD1" w14:textId="77777777" w:rsidR="00CA7016" w:rsidRPr="001E01AE" w:rsidRDefault="00CA7016" w:rsidP="003C3F6A">
            <w:pPr>
              <w:pStyle w:val="01Tableheaderrow"/>
              <w:rPr>
                <w:b/>
              </w:rPr>
            </w:pPr>
            <w:r w:rsidRPr="001E01AE">
              <w:rPr>
                <w:b/>
              </w:rPr>
              <w:t>Services</w:t>
            </w:r>
            <w:r>
              <w:rPr>
                <w:b/>
              </w:rPr>
              <w:br/>
            </w:r>
            <w:r w:rsidRPr="001E01AE">
              <w:rPr>
                <w:b/>
              </w:rPr>
              <w:t>FY</w:t>
            </w:r>
            <w:r>
              <w:rPr>
                <w:b/>
              </w:rPr>
              <w:t xml:space="preserve"> </w:t>
            </w:r>
            <w:r w:rsidRPr="001E01AE">
              <w:rPr>
                <w:b/>
              </w:rPr>
              <w:t>2014</w:t>
            </w:r>
            <w:r>
              <w:rPr>
                <w:b/>
              </w:rPr>
              <w:t>–</w:t>
            </w:r>
            <w:r w:rsidRPr="001E01AE">
              <w:rPr>
                <w:b/>
              </w:rPr>
              <w:t>15</w:t>
            </w:r>
          </w:p>
        </w:tc>
        <w:tc>
          <w:tcPr>
            <w:tcW w:w="1053" w:type="dxa"/>
            <w:shd w:val="clear" w:color="auto" w:fill="EEECE1" w:themeFill="background2"/>
            <w:vAlign w:val="bottom"/>
            <w:hideMark/>
          </w:tcPr>
          <w:p w14:paraId="7B923FC7" w14:textId="77777777" w:rsidR="00CA7016" w:rsidRPr="001E01AE" w:rsidRDefault="00CA7016" w:rsidP="003C3F6A">
            <w:pPr>
              <w:pStyle w:val="01Tableheaderrow"/>
              <w:rPr>
                <w:b/>
              </w:rPr>
            </w:pPr>
            <w:r w:rsidRPr="001E01AE">
              <w:rPr>
                <w:b/>
              </w:rPr>
              <w:t>Patient count 2014</w:t>
            </w:r>
            <w:r>
              <w:rPr>
                <w:b/>
              </w:rPr>
              <w:t>–</w:t>
            </w:r>
            <w:r w:rsidRPr="001E01AE">
              <w:rPr>
                <w:b/>
              </w:rPr>
              <w:t>15</w:t>
            </w:r>
          </w:p>
        </w:tc>
        <w:tc>
          <w:tcPr>
            <w:tcW w:w="1053" w:type="dxa"/>
            <w:shd w:val="clear" w:color="auto" w:fill="EEECE1" w:themeFill="background2"/>
            <w:vAlign w:val="bottom"/>
            <w:hideMark/>
          </w:tcPr>
          <w:p w14:paraId="34A5BF3D" w14:textId="77777777" w:rsidR="00CA7016" w:rsidRPr="001E01AE" w:rsidRDefault="00CA7016" w:rsidP="003C3F6A">
            <w:pPr>
              <w:pStyle w:val="01Tableheaderrow"/>
              <w:rPr>
                <w:b/>
              </w:rPr>
            </w:pPr>
            <w:r w:rsidRPr="001E01AE">
              <w:rPr>
                <w:b/>
              </w:rPr>
              <w:t>5</w:t>
            </w:r>
            <w:r>
              <w:rPr>
                <w:b/>
              </w:rPr>
              <w:t>-</w:t>
            </w:r>
            <w:r w:rsidRPr="001E01AE">
              <w:rPr>
                <w:b/>
              </w:rPr>
              <w:t xml:space="preserve">year </w:t>
            </w:r>
            <w:r>
              <w:rPr>
                <w:b/>
              </w:rPr>
              <w:t>service change (CAGR)</w:t>
            </w:r>
          </w:p>
        </w:tc>
      </w:tr>
      <w:tr w:rsidR="00CA7016" w:rsidRPr="00B96BC0" w14:paraId="5809163A" w14:textId="77777777" w:rsidTr="003C3F6A">
        <w:trPr>
          <w:trHeight w:val="300"/>
        </w:trPr>
        <w:tc>
          <w:tcPr>
            <w:tcW w:w="846" w:type="dxa"/>
            <w:noWrap/>
            <w:hideMark/>
          </w:tcPr>
          <w:p w14:paraId="6774763E" w14:textId="77777777" w:rsidR="00CA7016" w:rsidRPr="00A0513E" w:rsidRDefault="00CA7016" w:rsidP="003C3F6A">
            <w:pPr>
              <w:pStyle w:val="02Tabletext"/>
              <w:jc w:val="right"/>
            </w:pPr>
            <w:r w:rsidRPr="00A0513E">
              <w:t xml:space="preserve">69494 </w:t>
            </w:r>
          </w:p>
        </w:tc>
        <w:tc>
          <w:tcPr>
            <w:tcW w:w="2977" w:type="dxa"/>
            <w:noWrap/>
            <w:hideMark/>
          </w:tcPr>
          <w:p w14:paraId="79E92354" w14:textId="77777777" w:rsidR="00CA7016" w:rsidRPr="00A0513E" w:rsidRDefault="00CA7016" w:rsidP="003C3F6A">
            <w:pPr>
              <w:pStyle w:val="02Tabletext"/>
            </w:pPr>
            <w:r w:rsidRPr="00A0513E">
              <w:t xml:space="preserve">Detection of a virus or microbial antigen or microbial nucleic acid (not elsewhere specified) 1 test (Item is subject to rule 6 and 26) </w:t>
            </w:r>
          </w:p>
        </w:tc>
        <w:tc>
          <w:tcPr>
            <w:tcW w:w="1134" w:type="dxa"/>
            <w:noWrap/>
            <w:hideMark/>
          </w:tcPr>
          <w:p w14:paraId="7FFD428D" w14:textId="77777777" w:rsidR="00CA7016" w:rsidRPr="00A0513E" w:rsidRDefault="00CA7016" w:rsidP="003C3F6A">
            <w:pPr>
              <w:pStyle w:val="02Tabletext"/>
              <w:jc w:val="right"/>
            </w:pPr>
            <w:r w:rsidRPr="00A0513E">
              <w:t xml:space="preserve">$28.65 </w:t>
            </w:r>
          </w:p>
        </w:tc>
        <w:tc>
          <w:tcPr>
            <w:tcW w:w="1216" w:type="dxa"/>
            <w:noWrap/>
            <w:hideMark/>
          </w:tcPr>
          <w:p w14:paraId="31EF10F0" w14:textId="77777777" w:rsidR="00CA7016" w:rsidRPr="00A0513E" w:rsidRDefault="00CA7016" w:rsidP="003C3F6A">
            <w:pPr>
              <w:pStyle w:val="02Tabletext"/>
              <w:jc w:val="right"/>
            </w:pPr>
            <w:r w:rsidRPr="00A0513E">
              <w:t xml:space="preserve">$5,694,326 </w:t>
            </w:r>
          </w:p>
        </w:tc>
        <w:tc>
          <w:tcPr>
            <w:tcW w:w="1355" w:type="dxa"/>
            <w:noWrap/>
            <w:hideMark/>
          </w:tcPr>
          <w:p w14:paraId="3B698873" w14:textId="77777777" w:rsidR="00CA7016" w:rsidRPr="00A0513E" w:rsidRDefault="00CA7016" w:rsidP="003C3F6A">
            <w:pPr>
              <w:pStyle w:val="02Tabletext"/>
              <w:jc w:val="right"/>
            </w:pPr>
            <w:r w:rsidRPr="00A0513E">
              <w:t>234</w:t>
            </w:r>
            <w:r>
              <w:t xml:space="preserve"> </w:t>
            </w:r>
            <w:r w:rsidRPr="00A0513E">
              <w:t xml:space="preserve">606 </w:t>
            </w:r>
          </w:p>
        </w:tc>
        <w:tc>
          <w:tcPr>
            <w:tcW w:w="1053" w:type="dxa"/>
            <w:noWrap/>
            <w:hideMark/>
          </w:tcPr>
          <w:p w14:paraId="5AA485A2" w14:textId="77777777" w:rsidR="00CA7016" w:rsidRPr="00A0513E" w:rsidRDefault="00CA7016" w:rsidP="003C3F6A">
            <w:pPr>
              <w:pStyle w:val="02Tabletext"/>
              <w:jc w:val="right"/>
            </w:pPr>
            <w:r w:rsidRPr="00A0513E">
              <w:t>223</w:t>
            </w:r>
            <w:r>
              <w:t xml:space="preserve"> </w:t>
            </w:r>
            <w:r w:rsidRPr="00A0513E">
              <w:t xml:space="preserve">039 </w:t>
            </w:r>
          </w:p>
        </w:tc>
        <w:tc>
          <w:tcPr>
            <w:tcW w:w="1053" w:type="dxa"/>
            <w:noWrap/>
            <w:hideMark/>
          </w:tcPr>
          <w:p w14:paraId="74A77A3B" w14:textId="77777777" w:rsidR="00CA7016" w:rsidRPr="00A0513E" w:rsidRDefault="00CA7016" w:rsidP="003C3F6A">
            <w:pPr>
              <w:pStyle w:val="02Tabletext"/>
              <w:jc w:val="right"/>
            </w:pPr>
            <w:r>
              <w:t>–</w:t>
            </w:r>
            <w:r w:rsidRPr="00A0513E">
              <w:t xml:space="preserve">0.6% </w:t>
            </w:r>
          </w:p>
        </w:tc>
      </w:tr>
      <w:tr w:rsidR="00CA7016" w:rsidRPr="00B96BC0" w14:paraId="286A841D" w14:textId="77777777" w:rsidTr="003C3F6A">
        <w:trPr>
          <w:trHeight w:val="300"/>
        </w:trPr>
        <w:tc>
          <w:tcPr>
            <w:tcW w:w="846" w:type="dxa"/>
            <w:noWrap/>
            <w:hideMark/>
          </w:tcPr>
          <w:p w14:paraId="6FA6A561" w14:textId="77777777" w:rsidR="00CA7016" w:rsidRPr="00A0513E" w:rsidRDefault="00CA7016" w:rsidP="003C3F6A">
            <w:pPr>
              <w:pStyle w:val="02Tabletext"/>
              <w:jc w:val="right"/>
            </w:pPr>
            <w:bookmarkStart w:id="123" w:name="_Hlk485156269"/>
            <w:r w:rsidRPr="00A0513E">
              <w:t xml:space="preserve">69495 </w:t>
            </w:r>
          </w:p>
        </w:tc>
        <w:tc>
          <w:tcPr>
            <w:tcW w:w="2977" w:type="dxa"/>
            <w:noWrap/>
            <w:hideMark/>
          </w:tcPr>
          <w:p w14:paraId="6723732C" w14:textId="77777777" w:rsidR="00CA7016" w:rsidRPr="00A0513E" w:rsidRDefault="00CA7016" w:rsidP="003C3F6A">
            <w:pPr>
              <w:pStyle w:val="02Tabletext"/>
            </w:pPr>
            <w:r w:rsidRPr="00A0513E">
              <w:t xml:space="preserve">2 tests described in 69494 (Item is subject to rule 6 and 26) </w:t>
            </w:r>
          </w:p>
        </w:tc>
        <w:tc>
          <w:tcPr>
            <w:tcW w:w="1134" w:type="dxa"/>
            <w:noWrap/>
            <w:hideMark/>
          </w:tcPr>
          <w:p w14:paraId="56063F6B" w14:textId="77777777" w:rsidR="00CA7016" w:rsidRPr="00A0513E" w:rsidRDefault="00CA7016" w:rsidP="003C3F6A">
            <w:pPr>
              <w:pStyle w:val="02Tabletext"/>
              <w:jc w:val="right"/>
            </w:pPr>
            <w:r w:rsidRPr="00A0513E">
              <w:t xml:space="preserve">$35.85 </w:t>
            </w:r>
          </w:p>
        </w:tc>
        <w:tc>
          <w:tcPr>
            <w:tcW w:w="1216" w:type="dxa"/>
            <w:noWrap/>
            <w:hideMark/>
          </w:tcPr>
          <w:p w14:paraId="48BBBCF1" w14:textId="77777777" w:rsidR="00CA7016" w:rsidRPr="00A0513E" w:rsidRDefault="00CA7016" w:rsidP="003C3F6A">
            <w:pPr>
              <w:pStyle w:val="02Tabletext"/>
              <w:jc w:val="right"/>
            </w:pPr>
            <w:r w:rsidRPr="00A0513E">
              <w:t xml:space="preserve">$5,736,362 </w:t>
            </w:r>
          </w:p>
        </w:tc>
        <w:tc>
          <w:tcPr>
            <w:tcW w:w="1355" w:type="dxa"/>
            <w:noWrap/>
            <w:hideMark/>
          </w:tcPr>
          <w:p w14:paraId="654C57EB" w14:textId="77777777" w:rsidR="00CA7016" w:rsidRPr="00A0513E" w:rsidRDefault="00CA7016" w:rsidP="003C3F6A">
            <w:pPr>
              <w:pStyle w:val="02Tabletext"/>
              <w:jc w:val="right"/>
            </w:pPr>
            <w:r w:rsidRPr="00A0513E">
              <w:t>189</w:t>
            </w:r>
            <w:r>
              <w:t xml:space="preserve"> </w:t>
            </w:r>
            <w:r w:rsidRPr="00A0513E">
              <w:t xml:space="preserve">173 </w:t>
            </w:r>
          </w:p>
        </w:tc>
        <w:tc>
          <w:tcPr>
            <w:tcW w:w="1053" w:type="dxa"/>
            <w:noWrap/>
            <w:hideMark/>
          </w:tcPr>
          <w:p w14:paraId="3CD5C191" w14:textId="77777777" w:rsidR="00CA7016" w:rsidRPr="00A0513E" w:rsidRDefault="00CA7016" w:rsidP="003C3F6A">
            <w:pPr>
              <w:pStyle w:val="02Tabletext"/>
              <w:jc w:val="right"/>
            </w:pPr>
            <w:r w:rsidRPr="00A0513E">
              <w:t>180</w:t>
            </w:r>
            <w:r>
              <w:t xml:space="preserve"> </w:t>
            </w:r>
            <w:r w:rsidRPr="00A0513E">
              <w:t xml:space="preserve">461 </w:t>
            </w:r>
          </w:p>
        </w:tc>
        <w:tc>
          <w:tcPr>
            <w:tcW w:w="1053" w:type="dxa"/>
            <w:noWrap/>
            <w:hideMark/>
          </w:tcPr>
          <w:p w14:paraId="6F6FA06E" w14:textId="77777777" w:rsidR="00CA7016" w:rsidRPr="00A0513E" w:rsidRDefault="00CA7016" w:rsidP="003C3F6A">
            <w:pPr>
              <w:pStyle w:val="02Tabletext"/>
              <w:jc w:val="right"/>
            </w:pPr>
            <w:r w:rsidRPr="00A0513E">
              <w:t xml:space="preserve">4.8% </w:t>
            </w:r>
          </w:p>
        </w:tc>
      </w:tr>
      <w:tr w:rsidR="00CA7016" w:rsidRPr="00B96BC0" w14:paraId="37179F95" w14:textId="77777777" w:rsidTr="003C3F6A">
        <w:trPr>
          <w:trHeight w:val="300"/>
        </w:trPr>
        <w:tc>
          <w:tcPr>
            <w:tcW w:w="846" w:type="dxa"/>
            <w:noWrap/>
            <w:hideMark/>
          </w:tcPr>
          <w:p w14:paraId="195B1299" w14:textId="77777777" w:rsidR="00CA7016" w:rsidRPr="00A0513E" w:rsidRDefault="00CA7016" w:rsidP="003C3F6A">
            <w:pPr>
              <w:pStyle w:val="02Tabletext"/>
              <w:jc w:val="right"/>
            </w:pPr>
            <w:r w:rsidRPr="00A0513E">
              <w:t xml:space="preserve">69496 </w:t>
            </w:r>
          </w:p>
        </w:tc>
        <w:tc>
          <w:tcPr>
            <w:tcW w:w="2977" w:type="dxa"/>
            <w:noWrap/>
            <w:hideMark/>
          </w:tcPr>
          <w:p w14:paraId="55E524B0" w14:textId="77777777" w:rsidR="00CA7016" w:rsidRPr="00A0513E" w:rsidRDefault="00CA7016" w:rsidP="003C3F6A">
            <w:pPr>
              <w:pStyle w:val="02Tabletext"/>
            </w:pPr>
            <w:r w:rsidRPr="00A0513E">
              <w:t xml:space="preserve">3 or more tests described in 69494 (Item is subject to rule 6 and 26) </w:t>
            </w:r>
          </w:p>
        </w:tc>
        <w:tc>
          <w:tcPr>
            <w:tcW w:w="1134" w:type="dxa"/>
            <w:noWrap/>
            <w:hideMark/>
          </w:tcPr>
          <w:p w14:paraId="52BD5B1D" w14:textId="77777777" w:rsidR="00CA7016" w:rsidRPr="00A0513E" w:rsidRDefault="00CA7016" w:rsidP="003C3F6A">
            <w:pPr>
              <w:pStyle w:val="02Tabletext"/>
              <w:jc w:val="right"/>
            </w:pPr>
            <w:r w:rsidRPr="00A0513E">
              <w:t xml:space="preserve">$43.05 </w:t>
            </w:r>
          </w:p>
        </w:tc>
        <w:tc>
          <w:tcPr>
            <w:tcW w:w="1216" w:type="dxa"/>
            <w:noWrap/>
            <w:hideMark/>
          </w:tcPr>
          <w:p w14:paraId="455D45F2" w14:textId="77777777" w:rsidR="00CA7016" w:rsidRPr="00A0513E" w:rsidRDefault="00CA7016" w:rsidP="003C3F6A">
            <w:pPr>
              <w:pStyle w:val="02Tabletext"/>
              <w:jc w:val="right"/>
            </w:pPr>
            <w:r w:rsidRPr="00A0513E">
              <w:t xml:space="preserve">$26,882,403 </w:t>
            </w:r>
          </w:p>
        </w:tc>
        <w:tc>
          <w:tcPr>
            <w:tcW w:w="1355" w:type="dxa"/>
            <w:noWrap/>
            <w:hideMark/>
          </w:tcPr>
          <w:p w14:paraId="265129A9" w14:textId="77777777" w:rsidR="00CA7016" w:rsidRPr="00A0513E" w:rsidRDefault="00CA7016" w:rsidP="003C3F6A">
            <w:pPr>
              <w:pStyle w:val="02Tabletext"/>
              <w:jc w:val="right"/>
            </w:pPr>
            <w:r w:rsidRPr="00A0513E">
              <w:t>734</w:t>
            </w:r>
            <w:r>
              <w:t xml:space="preserve"> </w:t>
            </w:r>
            <w:r w:rsidRPr="00A0513E">
              <w:t xml:space="preserve">647 </w:t>
            </w:r>
          </w:p>
        </w:tc>
        <w:tc>
          <w:tcPr>
            <w:tcW w:w="1053" w:type="dxa"/>
            <w:noWrap/>
            <w:hideMark/>
          </w:tcPr>
          <w:p w14:paraId="12B7FC95" w14:textId="77777777" w:rsidR="00CA7016" w:rsidRPr="00A0513E" w:rsidRDefault="00CA7016" w:rsidP="003C3F6A">
            <w:pPr>
              <w:pStyle w:val="02Tabletext"/>
              <w:jc w:val="right"/>
            </w:pPr>
            <w:r w:rsidRPr="00A0513E">
              <w:t>648</w:t>
            </w:r>
            <w:r>
              <w:t xml:space="preserve"> </w:t>
            </w:r>
            <w:r w:rsidRPr="00A0513E">
              <w:t xml:space="preserve">876 </w:t>
            </w:r>
          </w:p>
        </w:tc>
        <w:tc>
          <w:tcPr>
            <w:tcW w:w="1053" w:type="dxa"/>
            <w:noWrap/>
            <w:hideMark/>
          </w:tcPr>
          <w:p w14:paraId="37619ED8" w14:textId="77777777" w:rsidR="00CA7016" w:rsidRPr="00A0513E" w:rsidRDefault="00CA7016" w:rsidP="003C3F6A">
            <w:pPr>
              <w:pStyle w:val="02Tabletext"/>
              <w:jc w:val="right"/>
            </w:pPr>
            <w:r w:rsidRPr="00A0513E">
              <w:t xml:space="preserve">33.9% </w:t>
            </w:r>
          </w:p>
        </w:tc>
      </w:tr>
      <w:bookmarkEnd w:id="123"/>
      <w:tr w:rsidR="00CA7016" w:rsidRPr="00B96BC0" w14:paraId="2E9E6CEC" w14:textId="77777777" w:rsidTr="003C3F6A">
        <w:trPr>
          <w:trHeight w:val="300"/>
        </w:trPr>
        <w:tc>
          <w:tcPr>
            <w:tcW w:w="846" w:type="dxa"/>
            <w:noWrap/>
            <w:hideMark/>
          </w:tcPr>
          <w:p w14:paraId="2051EC2D" w14:textId="77777777" w:rsidR="00CA7016" w:rsidRPr="00A0513E" w:rsidRDefault="00CA7016" w:rsidP="003C3F6A">
            <w:pPr>
              <w:pStyle w:val="02Tabletext"/>
              <w:jc w:val="right"/>
            </w:pPr>
            <w:r w:rsidRPr="00A0513E">
              <w:t xml:space="preserve">69497 </w:t>
            </w:r>
          </w:p>
        </w:tc>
        <w:tc>
          <w:tcPr>
            <w:tcW w:w="2977" w:type="dxa"/>
            <w:noWrap/>
            <w:hideMark/>
          </w:tcPr>
          <w:p w14:paraId="01DE340C" w14:textId="77777777" w:rsidR="00CA7016" w:rsidRPr="00A0513E" w:rsidRDefault="00CA7016" w:rsidP="003C3F6A">
            <w:pPr>
              <w:pStyle w:val="02Tabletext"/>
            </w:pPr>
            <w:r w:rsidRPr="00A0513E">
              <w:t xml:space="preserve">A test described in item 69494, if rendered by a receiving APP, where no tests in the item have been rendered by the referring APP - 1 test (Item is subject to rule 6, 18 and 26) </w:t>
            </w:r>
          </w:p>
        </w:tc>
        <w:tc>
          <w:tcPr>
            <w:tcW w:w="1134" w:type="dxa"/>
            <w:noWrap/>
            <w:hideMark/>
          </w:tcPr>
          <w:p w14:paraId="447F5E97" w14:textId="77777777" w:rsidR="00CA7016" w:rsidRPr="00A0513E" w:rsidRDefault="00CA7016" w:rsidP="003C3F6A">
            <w:pPr>
              <w:pStyle w:val="02Tabletext"/>
              <w:jc w:val="right"/>
            </w:pPr>
            <w:r w:rsidRPr="00A0513E">
              <w:t xml:space="preserve">$28.65 </w:t>
            </w:r>
          </w:p>
        </w:tc>
        <w:tc>
          <w:tcPr>
            <w:tcW w:w="1216" w:type="dxa"/>
            <w:noWrap/>
            <w:hideMark/>
          </w:tcPr>
          <w:p w14:paraId="655CA378" w14:textId="77777777" w:rsidR="00CA7016" w:rsidRPr="00A0513E" w:rsidRDefault="00CA7016" w:rsidP="003C3F6A">
            <w:pPr>
              <w:pStyle w:val="02Tabletext"/>
              <w:jc w:val="right"/>
            </w:pPr>
            <w:r w:rsidRPr="00A0513E">
              <w:t xml:space="preserve">$731,499 </w:t>
            </w:r>
          </w:p>
        </w:tc>
        <w:tc>
          <w:tcPr>
            <w:tcW w:w="1355" w:type="dxa"/>
            <w:noWrap/>
            <w:hideMark/>
          </w:tcPr>
          <w:p w14:paraId="2DF8108E" w14:textId="77777777" w:rsidR="00CA7016" w:rsidRPr="00A0513E" w:rsidRDefault="00CA7016" w:rsidP="003C3F6A">
            <w:pPr>
              <w:pStyle w:val="02Tabletext"/>
              <w:jc w:val="right"/>
            </w:pPr>
            <w:r w:rsidRPr="00A0513E">
              <w:t>30</w:t>
            </w:r>
            <w:r>
              <w:t xml:space="preserve"> </w:t>
            </w:r>
            <w:r w:rsidRPr="00A0513E">
              <w:t xml:space="preserve">173 </w:t>
            </w:r>
          </w:p>
        </w:tc>
        <w:tc>
          <w:tcPr>
            <w:tcW w:w="1053" w:type="dxa"/>
            <w:noWrap/>
            <w:hideMark/>
          </w:tcPr>
          <w:p w14:paraId="209FE8E3" w14:textId="77777777" w:rsidR="00CA7016" w:rsidRPr="00A0513E" w:rsidRDefault="00CA7016" w:rsidP="003C3F6A">
            <w:pPr>
              <w:pStyle w:val="02Tabletext"/>
              <w:jc w:val="right"/>
            </w:pPr>
            <w:r w:rsidRPr="00A0513E">
              <w:t>28</w:t>
            </w:r>
            <w:r>
              <w:t xml:space="preserve"> </w:t>
            </w:r>
            <w:r w:rsidRPr="00A0513E">
              <w:t xml:space="preserve">561 </w:t>
            </w:r>
          </w:p>
        </w:tc>
        <w:tc>
          <w:tcPr>
            <w:tcW w:w="1053" w:type="dxa"/>
            <w:noWrap/>
            <w:hideMark/>
          </w:tcPr>
          <w:p w14:paraId="31B60304" w14:textId="77777777" w:rsidR="00CA7016" w:rsidRPr="00A0513E" w:rsidRDefault="00CA7016" w:rsidP="003C3F6A">
            <w:pPr>
              <w:pStyle w:val="02Tabletext"/>
              <w:jc w:val="right"/>
            </w:pPr>
            <w:r>
              <w:t>–</w:t>
            </w:r>
            <w:r w:rsidRPr="00A0513E">
              <w:t xml:space="preserve">8.2% </w:t>
            </w:r>
          </w:p>
        </w:tc>
      </w:tr>
      <w:tr w:rsidR="00CA7016" w:rsidRPr="00B96BC0" w14:paraId="5F4224D8" w14:textId="77777777" w:rsidTr="003C3F6A">
        <w:trPr>
          <w:trHeight w:val="300"/>
        </w:trPr>
        <w:tc>
          <w:tcPr>
            <w:tcW w:w="846" w:type="dxa"/>
            <w:noWrap/>
          </w:tcPr>
          <w:p w14:paraId="0EC5639E" w14:textId="77777777" w:rsidR="00CA7016" w:rsidRPr="00A0513E" w:rsidRDefault="00CA7016" w:rsidP="003C3F6A">
            <w:pPr>
              <w:pStyle w:val="02Tabletext"/>
              <w:jc w:val="right"/>
            </w:pPr>
            <w:r w:rsidRPr="00A0513E">
              <w:t xml:space="preserve">69498 </w:t>
            </w:r>
          </w:p>
        </w:tc>
        <w:tc>
          <w:tcPr>
            <w:tcW w:w="2977" w:type="dxa"/>
            <w:noWrap/>
          </w:tcPr>
          <w:p w14:paraId="458B5B9F" w14:textId="77777777" w:rsidR="00CA7016" w:rsidRPr="00A0513E" w:rsidRDefault="00CA7016" w:rsidP="003C3F6A">
            <w:pPr>
              <w:pStyle w:val="02Tabletext"/>
            </w:pPr>
            <w:r w:rsidRPr="00A0513E">
              <w:t xml:space="preserve">A test described in item 69494, other than that described in 69497, if rendered by a receiving APP - each test to a maximum of </w:t>
            </w:r>
            <w:r w:rsidRPr="00A0513E">
              <w:lastRenderedPageBreak/>
              <w:t xml:space="preserve">2 tests (Item is subject to rule 6, 18 and 26) </w:t>
            </w:r>
          </w:p>
        </w:tc>
        <w:tc>
          <w:tcPr>
            <w:tcW w:w="1134" w:type="dxa"/>
            <w:noWrap/>
          </w:tcPr>
          <w:p w14:paraId="0E46B795" w14:textId="77777777" w:rsidR="00CA7016" w:rsidRPr="00A0513E" w:rsidRDefault="00CA7016" w:rsidP="003C3F6A">
            <w:pPr>
              <w:pStyle w:val="02Tabletext"/>
              <w:jc w:val="right"/>
            </w:pPr>
            <w:r w:rsidRPr="00A0513E">
              <w:lastRenderedPageBreak/>
              <w:t xml:space="preserve">$7.20 </w:t>
            </w:r>
          </w:p>
        </w:tc>
        <w:tc>
          <w:tcPr>
            <w:tcW w:w="1216" w:type="dxa"/>
            <w:noWrap/>
          </w:tcPr>
          <w:p w14:paraId="49FD9A48" w14:textId="77777777" w:rsidR="00CA7016" w:rsidRPr="00A0513E" w:rsidRDefault="00CA7016" w:rsidP="003C3F6A">
            <w:pPr>
              <w:pStyle w:val="02Tabletext"/>
              <w:jc w:val="right"/>
            </w:pPr>
            <w:r w:rsidRPr="00A0513E">
              <w:t xml:space="preserve">$551,862 </w:t>
            </w:r>
          </w:p>
        </w:tc>
        <w:tc>
          <w:tcPr>
            <w:tcW w:w="1355" w:type="dxa"/>
            <w:noWrap/>
          </w:tcPr>
          <w:p w14:paraId="21149D1E" w14:textId="77777777" w:rsidR="00CA7016" w:rsidRPr="00A0513E" w:rsidRDefault="00CA7016" w:rsidP="003C3F6A">
            <w:pPr>
              <w:pStyle w:val="02Tabletext"/>
              <w:jc w:val="right"/>
            </w:pPr>
            <w:r w:rsidRPr="00A0513E">
              <w:t>90</w:t>
            </w:r>
            <w:r>
              <w:t xml:space="preserve"> </w:t>
            </w:r>
            <w:r w:rsidRPr="00A0513E">
              <w:t xml:space="preserve">106 </w:t>
            </w:r>
          </w:p>
        </w:tc>
        <w:tc>
          <w:tcPr>
            <w:tcW w:w="1053" w:type="dxa"/>
            <w:noWrap/>
          </w:tcPr>
          <w:p w14:paraId="2EDC3D06" w14:textId="77777777" w:rsidR="00CA7016" w:rsidRPr="00A0513E" w:rsidRDefault="00CA7016" w:rsidP="003C3F6A">
            <w:pPr>
              <w:pStyle w:val="02Tabletext"/>
              <w:jc w:val="right"/>
            </w:pPr>
            <w:r w:rsidRPr="00A0513E">
              <w:t>53</w:t>
            </w:r>
            <w:r>
              <w:t xml:space="preserve"> </w:t>
            </w:r>
            <w:r w:rsidRPr="00A0513E">
              <w:t xml:space="preserve">183 </w:t>
            </w:r>
          </w:p>
        </w:tc>
        <w:tc>
          <w:tcPr>
            <w:tcW w:w="1053" w:type="dxa"/>
            <w:noWrap/>
          </w:tcPr>
          <w:p w14:paraId="521DE0B3" w14:textId="77777777" w:rsidR="00CA7016" w:rsidRPr="00A0513E" w:rsidRDefault="00CA7016" w:rsidP="003C3F6A">
            <w:pPr>
              <w:pStyle w:val="02Tabletext"/>
              <w:jc w:val="right"/>
            </w:pPr>
            <w:r>
              <w:t>–</w:t>
            </w:r>
            <w:r w:rsidRPr="00A0513E">
              <w:t xml:space="preserve">0.5% </w:t>
            </w:r>
          </w:p>
        </w:tc>
      </w:tr>
    </w:tbl>
    <w:p w14:paraId="078C48F1" w14:textId="77777777" w:rsidR="00CA7016" w:rsidRPr="00A0513E" w:rsidRDefault="00CA7016" w:rsidP="00CA7016">
      <w:pPr>
        <w:pStyle w:val="Heading3"/>
      </w:pPr>
      <w:bookmarkStart w:id="124" w:name="_Toc12886545"/>
      <w:r>
        <w:t>R</w:t>
      </w:r>
      <w:r w:rsidRPr="00A0513E">
        <w:t>ecommendation</w:t>
      </w:r>
      <w:r>
        <w:t xml:space="preserve"> 1: </w:t>
      </w:r>
      <w:r w:rsidRPr="00A0513E">
        <w:t>Overall recommendation</w:t>
      </w:r>
      <w:bookmarkEnd w:id="124"/>
    </w:p>
    <w:p w14:paraId="2BD6EA31" w14:textId="77777777" w:rsidR="00CA7016" w:rsidRPr="001E01AE" w:rsidRDefault="00CA7016" w:rsidP="00CA7016">
      <w:pPr>
        <w:pStyle w:val="NormalBulleted"/>
        <w:numPr>
          <w:ilvl w:val="0"/>
          <w:numId w:val="17"/>
        </w:numPr>
        <w:spacing w:before="120" w:after="60" w:line="240" w:lineRule="auto"/>
        <w:ind w:right="142"/>
        <w:contextualSpacing w:val="0"/>
      </w:pPr>
      <w:r w:rsidRPr="00A0513E">
        <w:t xml:space="preserve">Create new MBS items for NAAT in </w:t>
      </w:r>
      <w:r w:rsidRPr="001E01AE">
        <w:t>accordance</w:t>
      </w:r>
      <w:r>
        <w:t xml:space="preserve"> with an anatomical and physiological</w:t>
      </w:r>
      <w:r w:rsidRPr="001E01AE">
        <w:t xml:space="preserve"> system framework.</w:t>
      </w:r>
    </w:p>
    <w:p w14:paraId="6EE32CD2" w14:textId="77777777" w:rsidR="00CA7016" w:rsidRPr="001E01AE" w:rsidRDefault="00CA7016" w:rsidP="00CA7016">
      <w:pPr>
        <w:pStyle w:val="NormalBulleted"/>
        <w:numPr>
          <w:ilvl w:val="0"/>
          <w:numId w:val="17"/>
        </w:numPr>
        <w:spacing w:before="120" w:after="60" w:line="240" w:lineRule="auto"/>
        <w:ind w:right="142"/>
        <w:contextualSpacing w:val="0"/>
      </w:pPr>
      <w:r w:rsidRPr="001E01AE">
        <w:t>Retain the generic NAAT item number 69494</w:t>
      </w:r>
      <w:r>
        <w:t>,</w:t>
      </w:r>
      <w:r w:rsidRPr="001E01AE">
        <w:t xml:space="preserve"> with relevant restrictors</w:t>
      </w:r>
      <w:r>
        <w:t>.</w:t>
      </w:r>
    </w:p>
    <w:p w14:paraId="1C3B5805" w14:textId="77777777" w:rsidR="00CA7016" w:rsidRPr="001E01AE" w:rsidRDefault="00CA7016" w:rsidP="00CA7016">
      <w:pPr>
        <w:pStyle w:val="NormalBulleted"/>
        <w:numPr>
          <w:ilvl w:val="0"/>
          <w:numId w:val="17"/>
        </w:numPr>
        <w:spacing w:before="120" w:after="60" w:line="240" w:lineRule="auto"/>
        <w:ind w:right="142"/>
        <w:contextualSpacing w:val="0"/>
      </w:pPr>
      <w:r w:rsidRPr="001E01AE">
        <w:t>Delete items 69495 and 69496.</w:t>
      </w:r>
    </w:p>
    <w:p w14:paraId="2BAC88AA" w14:textId="77777777" w:rsidR="00CA7016" w:rsidRDefault="00CA7016" w:rsidP="00CA7016">
      <w:r w:rsidRPr="00A0513E">
        <w:t>The ability to accurately and quickly identify microbial agents associated with infectious diseases has been a longstanding and continuous goal of diagnostic microbiology laboratories. Over the course of several decades, technology and testing methodologies in this field have gradually evolved from traditional culture-based identification approaches to antigen capture systems and molecular tests.</w:t>
      </w:r>
      <w:r>
        <w:t xml:space="preserve"> </w:t>
      </w:r>
      <w:r w:rsidRPr="00A0513E">
        <w:t xml:space="preserve">The </w:t>
      </w:r>
      <w:proofErr w:type="gramStart"/>
      <w:r w:rsidRPr="00A0513E">
        <w:t>most commonly used</w:t>
      </w:r>
      <w:proofErr w:type="gramEnd"/>
      <w:r w:rsidRPr="00A0513E">
        <w:t xml:space="preserve"> molecular tests are the </w:t>
      </w:r>
      <w:bookmarkStart w:id="125" w:name="_Hlk489444224"/>
      <w:r w:rsidRPr="00A0513E">
        <w:t xml:space="preserve">nucleic acid amplification tests </w:t>
      </w:r>
      <w:bookmarkEnd w:id="125"/>
      <w:r w:rsidRPr="00A0513E">
        <w:t xml:space="preserve">(NAAT), which include </w:t>
      </w:r>
      <w:r w:rsidR="009A6AF9">
        <w:t xml:space="preserve">the </w:t>
      </w:r>
      <w:r w:rsidRPr="00A0513E">
        <w:t>polymerase chain reaction (PCR). With commercial introduction, these tests make up an increasing proportion of the diagnostic workload of microbiology laboratories.</w:t>
      </w:r>
    </w:p>
    <w:p w14:paraId="1503BB3A" w14:textId="77777777" w:rsidR="00CA7016" w:rsidRDefault="00CA7016" w:rsidP="00CA7016">
      <w:r w:rsidRPr="00A0513E">
        <w:t>Over recent years</w:t>
      </w:r>
      <w:r>
        <w:t xml:space="preserve"> </w:t>
      </w:r>
      <w:r w:rsidRPr="00A0513E">
        <w:t>NAAT has been augmenting microscopy and/or culture</w:t>
      </w:r>
      <w:r>
        <w:t>-</w:t>
      </w:r>
      <w:r w:rsidRPr="00A0513E">
        <w:t>based methods that require the use of selective agars and enrichment broths. Unlike traditional culture-based methods, NAAT often have a higher sensitivity than culture (which has been considered the ‘gold standard’) and a shorter turnaround time. Although this testing can be very cost effective and time efficient, the test has its limitations</w:t>
      </w:r>
      <w:r w:rsidR="002B3184">
        <w:t>,</w:t>
      </w:r>
      <w:r w:rsidRPr="00A0513E">
        <w:t xml:space="preserve"> and NAAT on some specimens are yet to be validated.</w:t>
      </w:r>
    </w:p>
    <w:p w14:paraId="4B324EE6" w14:textId="77777777" w:rsidR="00CA7016" w:rsidRPr="00A0513E" w:rsidRDefault="00CA7016" w:rsidP="00CA7016">
      <w:r w:rsidRPr="00A0513E">
        <w:t xml:space="preserve">Nonetheless, the Committee has acknowledged the move towards molecular testing and has made the recommendation to structure the current microbiology NAAT MBS items to </w:t>
      </w:r>
      <w:r>
        <w:t>an anatomical and physiological</w:t>
      </w:r>
      <w:r w:rsidRPr="00A0513E">
        <w:t xml:space="preserve"> system framework; a model that will recognise that there has been</w:t>
      </w:r>
      <w:r>
        <w:t>,</w:t>
      </w:r>
      <w:r w:rsidRPr="00A0513E">
        <w:t xml:space="preserve"> and will continue to be</w:t>
      </w:r>
      <w:r>
        <w:t>,</w:t>
      </w:r>
      <w:r w:rsidRPr="00A0513E">
        <w:t xml:space="preserve"> a shift towards molecular testing for many organisms. Microscopy and culture testing </w:t>
      </w:r>
      <w:proofErr w:type="gramStart"/>
      <w:r w:rsidRPr="00A0513E">
        <w:t>is</w:t>
      </w:r>
      <w:proofErr w:type="gramEnd"/>
      <w:r w:rsidRPr="00A0513E">
        <w:t xml:space="preserve"> still relevant for many organisms and will be required as separate items for many conditions.</w:t>
      </w:r>
    </w:p>
    <w:p w14:paraId="6409BB8C" w14:textId="77777777" w:rsidR="00CA7016" w:rsidRDefault="00CA7016" w:rsidP="00CA7016">
      <w:r w:rsidRPr="00B96BC0">
        <w:t xml:space="preserve">Table </w:t>
      </w:r>
      <w:r w:rsidRPr="00A0513E">
        <w:t xml:space="preserve">3 shows the current item numbers for NAAT. </w:t>
      </w:r>
      <w:bookmarkStart w:id="126" w:name="_Hlk484550038"/>
      <w:r>
        <w:t>The aim of the anatomical and physiological</w:t>
      </w:r>
      <w:r w:rsidRPr="001E01AE">
        <w:t xml:space="preserve"> </w:t>
      </w:r>
      <w:r w:rsidRPr="00A0513E">
        <w:t xml:space="preserve">system framework is to split the current generic molecular items (69494, 69495 and 69496) into system-specific MBS items, allowing for more meaningful data collection </w:t>
      </w:r>
      <w:bookmarkEnd w:id="126"/>
      <w:r w:rsidRPr="00A0513E">
        <w:t xml:space="preserve">on molecular testing. The model will allow for more granular data collection regarding the broad sources for testing </w:t>
      </w:r>
      <w:proofErr w:type="gramStart"/>
      <w:r w:rsidRPr="00A0513E">
        <w:t>and also</w:t>
      </w:r>
      <w:proofErr w:type="gramEnd"/>
      <w:r w:rsidRPr="00A0513E">
        <w:t xml:space="preserve"> provides the opportunity to limit the potential to co-claim NAAT and culture testing</w:t>
      </w:r>
      <w:r>
        <w:t>,</w:t>
      </w:r>
      <w:r w:rsidRPr="00A0513E">
        <w:t xml:space="preserve"> as has been observed for </w:t>
      </w:r>
      <w:r>
        <w:t xml:space="preserve">testing </w:t>
      </w:r>
      <w:r w:rsidRPr="00A0513E">
        <w:t>faeces.</w:t>
      </w:r>
    </w:p>
    <w:p w14:paraId="646CDC93" w14:textId="77777777" w:rsidR="00CA7016" w:rsidRPr="00A0513E" w:rsidRDefault="00CA7016" w:rsidP="00CA7016">
      <w:r w:rsidRPr="00A0513E">
        <w:t>The Committee acknowledged, that while the intent of the proposal is not to increase the net funding of molecular items, it is proposed the restructure will result in some ‘savings’ through limiting co-claiming</w:t>
      </w:r>
      <w:r>
        <w:t>,</w:t>
      </w:r>
      <w:r w:rsidRPr="00A0513E">
        <w:t xml:space="preserve"> particularly for faeces, which could be redistributed to other system panels within the model. The model will also avoid the practice of over</w:t>
      </w:r>
      <w:r>
        <w:t>-</w:t>
      </w:r>
      <w:r w:rsidRPr="00A0513E">
        <w:t xml:space="preserve">testing by introducing more specific item </w:t>
      </w:r>
      <w:proofErr w:type="gramStart"/>
      <w:r w:rsidRPr="00A0513E">
        <w:t>descriptors, and</w:t>
      </w:r>
      <w:proofErr w:type="gramEnd"/>
      <w:r w:rsidRPr="00A0513E">
        <w:t xml:space="preserve"> promote appropriate testing whe</w:t>
      </w:r>
      <w:r>
        <w:t>n</w:t>
      </w:r>
      <w:r w:rsidRPr="00A0513E">
        <w:t xml:space="preserve"> NAAT has proven clinical utility. </w:t>
      </w:r>
    </w:p>
    <w:p w14:paraId="3F56D0C3" w14:textId="77777777" w:rsidR="00CA7016" w:rsidRPr="00B96BC0" w:rsidRDefault="00CA7016" w:rsidP="00CA7016">
      <w:bookmarkStart w:id="127" w:name="_Toc483989365"/>
      <w:r w:rsidRPr="00B96BC0">
        <w:t xml:space="preserve">The Committee proposes </w:t>
      </w:r>
      <w:r>
        <w:t xml:space="preserve">several </w:t>
      </w:r>
      <w:r w:rsidRPr="00B96BC0">
        <w:t xml:space="preserve">separate MBS items, following a primarily systems-based approach. In summary, the </w:t>
      </w:r>
      <w:r>
        <w:t>system</w:t>
      </w:r>
      <w:r w:rsidRPr="00B96BC0">
        <w:t xml:space="preserve"> structure for NAAT is as follows:</w:t>
      </w:r>
      <w:bookmarkEnd w:id="127"/>
    </w:p>
    <w:p w14:paraId="0093AF1F" w14:textId="77777777" w:rsidR="00CA7016" w:rsidRPr="00A0513E" w:rsidRDefault="00CA7016" w:rsidP="00CA7016">
      <w:pPr>
        <w:pStyle w:val="NormalBulleted"/>
        <w:numPr>
          <w:ilvl w:val="0"/>
          <w:numId w:val="17"/>
        </w:numPr>
        <w:spacing w:before="120" w:after="60" w:line="240" w:lineRule="auto"/>
        <w:ind w:right="142"/>
        <w:contextualSpacing w:val="0"/>
      </w:pPr>
      <w:r w:rsidRPr="00A0513E">
        <w:t>Gastrointestinal</w:t>
      </w:r>
      <w:r>
        <w:t>,</w:t>
      </w:r>
      <w:r w:rsidRPr="00A0513E">
        <w:t xml:space="preserve"> covering bacterial, parasite, viral</w:t>
      </w:r>
      <w:r>
        <w:t>.</w:t>
      </w:r>
    </w:p>
    <w:p w14:paraId="3CB1E96A" w14:textId="77777777" w:rsidR="00CA7016" w:rsidRPr="00A0513E" w:rsidRDefault="00CA7016" w:rsidP="00CA7016">
      <w:pPr>
        <w:pStyle w:val="NormalBulleted"/>
        <w:numPr>
          <w:ilvl w:val="0"/>
          <w:numId w:val="17"/>
        </w:numPr>
        <w:spacing w:before="120" w:after="60" w:line="240" w:lineRule="auto"/>
        <w:ind w:right="142"/>
        <w:contextualSpacing w:val="0"/>
      </w:pPr>
      <w:r w:rsidRPr="00A0513E">
        <w:t>Urogenital/</w:t>
      </w:r>
      <w:r w:rsidRPr="00A8360B">
        <w:t>sexually transmissible infection</w:t>
      </w:r>
      <w:r>
        <w:t>s (</w:t>
      </w:r>
      <w:r w:rsidRPr="00A0513E">
        <w:t>STI</w:t>
      </w:r>
      <w:r w:rsidR="002B3184">
        <w:t>s</w:t>
      </w:r>
      <w:r>
        <w:t>),</w:t>
      </w:r>
      <w:r w:rsidRPr="00A0513E">
        <w:t xml:space="preserve"> encompassing bacterial, fungal, parasite, viral</w:t>
      </w:r>
      <w:r>
        <w:t>.</w:t>
      </w:r>
    </w:p>
    <w:p w14:paraId="10546758" w14:textId="77777777" w:rsidR="00CA7016" w:rsidRPr="00A0513E" w:rsidRDefault="00CA7016" w:rsidP="00CA7016">
      <w:pPr>
        <w:pStyle w:val="NormalBulleted"/>
        <w:numPr>
          <w:ilvl w:val="0"/>
          <w:numId w:val="17"/>
        </w:numPr>
        <w:spacing w:before="120" w:after="60" w:line="240" w:lineRule="auto"/>
        <w:ind w:right="142"/>
        <w:contextualSpacing w:val="0"/>
      </w:pPr>
      <w:r w:rsidRPr="00A0513E">
        <w:lastRenderedPageBreak/>
        <w:t>Respiratory</w:t>
      </w:r>
      <w:r>
        <w:t>—</w:t>
      </w:r>
      <w:r w:rsidRPr="00A0513E">
        <w:t>bacterial, viral</w:t>
      </w:r>
      <w:r>
        <w:t>.</w:t>
      </w:r>
    </w:p>
    <w:p w14:paraId="110D6620" w14:textId="77777777" w:rsidR="00CA7016" w:rsidRPr="00A0513E" w:rsidRDefault="00CA7016" w:rsidP="00CA7016">
      <w:pPr>
        <w:pStyle w:val="NormalBulleted"/>
        <w:numPr>
          <w:ilvl w:val="0"/>
          <w:numId w:val="17"/>
        </w:numPr>
        <w:spacing w:before="120" w:after="60" w:line="240" w:lineRule="auto"/>
        <w:ind w:right="142"/>
        <w:contextualSpacing w:val="0"/>
      </w:pPr>
      <w:r w:rsidRPr="00A0513E">
        <w:t>Mycobacterial—</w:t>
      </w:r>
      <w:r w:rsidRPr="00D23BA8">
        <w:rPr>
          <w:i/>
        </w:rPr>
        <w:t>Mycobacterium tuberculosis</w:t>
      </w:r>
      <w:r w:rsidRPr="00A0513E">
        <w:t xml:space="preserve"> and antibiotic resistance testing</w:t>
      </w:r>
      <w:r>
        <w:t>.</w:t>
      </w:r>
    </w:p>
    <w:p w14:paraId="4A139438" w14:textId="77777777" w:rsidR="00CA7016" w:rsidRPr="00A0513E" w:rsidRDefault="00CA7016" w:rsidP="00CA7016">
      <w:pPr>
        <w:pStyle w:val="NormalBulleted"/>
        <w:numPr>
          <w:ilvl w:val="0"/>
          <w:numId w:val="17"/>
        </w:numPr>
        <w:spacing w:before="120" w:after="60" w:line="240" w:lineRule="auto"/>
        <w:ind w:right="142"/>
        <w:contextualSpacing w:val="0"/>
      </w:pPr>
      <w:r w:rsidRPr="00A0513E">
        <w:t>Skin/superficial—bacterial, viral and fungal/dermatophytes</w:t>
      </w:r>
      <w:r>
        <w:t>.</w:t>
      </w:r>
    </w:p>
    <w:p w14:paraId="6C2A03D4"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Sterile </w:t>
      </w:r>
      <w:r>
        <w:t>s</w:t>
      </w:r>
      <w:r w:rsidRPr="00A0513E">
        <w:t>ite (e.g. blood/</w:t>
      </w:r>
      <w:r>
        <w:t>c</w:t>
      </w:r>
      <w:r w:rsidRPr="00A0513E">
        <w:t xml:space="preserve">entral </w:t>
      </w:r>
      <w:r>
        <w:t>n</w:t>
      </w:r>
      <w:r w:rsidRPr="00A0513E">
        <w:t xml:space="preserve">ervous </w:t>
      </w:r>
      <w:r>
        <w:t>s</w:t>
      </w:r>
      <w:r w:rsidRPr="00A0513E">
        <w:t>ystem/ocular)</w:t>
      </w:r>
      <w:r>
        <w:t>.</w:t>
      </w:r>
    </w:p>
    <w:p w14:paraId="22E1D3E7" w14:textId="77777777" w:rsidR="00CA7016" w:rsidRPr="00A0513E" w:rsidRDefault="00CA7016" w:rsidP="00CA7016">
      <w:pPr>
        <w:pStyle w:val="NormalBulleted"/>
        <w:numPr>
          <w:ilvl w:val="0"/>
          <w:numId w:val="17"/>
        </w:numPr>
        <w:spacing w:before="120" w:after="60" w:line="240" w:lineRule="auto"/>
        <w:ind w:right="142"/>
        <w:contextualSpacing w:val="0"/>
      </w:pPr>
      <w:bookmarkStart w:id="128" w:name="_Hlk484546651"/>
      <w:r w:rsidRPr="00B96BC0">
        <w:t>Miscellaneous (not specified elsewhere)—bacterial, fungal, viral and parasite</w:t>
      </w:r>
      <w:r w:rsidRPr="00A0513E">
        <w:t>s as per current item 69494.</w:t>
      </w:r>
      <w:r w:rsidR="002B3184">
        <w:t xml:space="preserve"> </w:t>
      </w:r>
      <w:r>
        <w:t xml:space="preserve">Most </w:t>
      </w:r>
      <w:r w:rsidRPr="00A0513E">
        <w:t>tests will be covered by the new anatomical and physiological system-based items and this item should be rarely used. It should be rare for more than one test to be required.</w:t>
      </w:r>
    </w:p>
    <w:bookmarkEnd w:id="128"/>
    <w:p w14:paraId="4C8B105F" w14:textId="77777777" w:rsidR="00CA7016" w:rsidRPr="00A0513E" w:rsidRDefault="00CA7016" w:rsidP="00CA7016">
      <w:pPr>
        <w:pStyle w:val="NormalBulleted"/>
        <w:numPr>
          <w:ilvl w:val="0"/>
          <w:numId w:val="17"/>
        </w:numPr>
        <w:spacing w:before="120" w:after="60" w:line="240" w:lineRule="auto"/>
        <w:ind w:right="142"/>
        <w:contextualSpacing w:val="0"/>
      </w:pPr>
      <w:r w:rsidRPr="00A0513E">
        <w:t>Hepatic (</w:t>
      </w:r>
      <w:r>
        <w:t>hepatitis C virus [</w:t>
      </w:r>
      <w:r w:rsidRPr="00A0513E">
        <w:t>HCV</w:t>
      </w:r>
      <w:r>
        <w:t>]</w:t>
      </w:r>
      <w:r w:rsidRPr="00A0513E">
        <w:t xml:space="preserve">, </w:t>
      </w:r>
      <w:r>
        <w:t>hepatitis B virus [</w:t>
      </w:r>
      <w:r w:rsidRPr="00A0513E">
        <w:t>HBV</w:t>
      </w:r>
      <w:r>
        <w:t>]</w:t>
      </w:r>
      <w:r w:rsidRPr="00A0513E">
        <w:t xml:space="preserve">), with items to remain as per current MBS Schedule </w:t>
      </w:r>
    </w:p>
    <w:p w14:paraId="0DFFE2FB" w14:textId="77777777" w:rsidR="00CA7016" w:rsidRPr="00A0513E" w:rsidRDefault="00CA7016" w:rsidP="00CA7016">
      <w:pPr>
        <w:pStyle w:val="NormalBulleted"/>
        <w:numPr>
          <w:ilvl w:val="0"/>
          <w:numId w:val="17"/>
        </w:numPr>
        <w:spacing w:before="120" w:after="60" w:line="240" w:lineRule="auto"/>
        <w:ind w:right="142"/>
        <w:contextualSpacing w:val="0"/>
      </w:pPr>
      <w:r w:rsidRPr="00A0513E">
        <w:t>HIV, with items to remain as per current MBS Schedule items</w:t>
      </w:r>
      <w:r>
        <w:t xml:space="preserve"> except for deletion of item 69382</w:t>
      </w:r>
      <w:r w:rsidRPr="00A0513E">
        <w:t xml:space="preserve">. </w:t>
      </w:r>
    </w:p>
    <w:p w14:paraId="2CB38230" w14:textId="77777777" w:rsidR="00CA7016" w:rsidRPr="00A0513E" w:rsidRDefault="00CA7016" w:rsidP="00CA7016">
      <w:pPr>
        <w:pStyle w:val="NormalBulleted"/>
        <w:numPr>
          <w:ilvl w:val="0"/>
          <w:numId w:val="17"/>
        </w:numPr>
        <w:spacing w:before="120" w:after="60" w:line="240" w:lineRule="auto"/>
        <w:ind w:right="142"/>
        <w:contextualSpacing w:val="0"/>
      </w:pPr>
      <w:r w:rsidRPr="00532BA0">
        <w:t xml:space="preserve">The proposed </w:t>
      </w:r>
      <w:r w:rsidRPr="00A0513E">
        <w:t xml:space="preserve">anatomical and physiological system structure provides a framework around which the model could be further developed into a ‘syndromic’ model in the future. The development of information technology (IT) systems to support integrated decision support will provide opportunities to extend the schedule to a syndromic model. </w:t>
      </w:r>
    </w:p>
    <w:p w14:paraId="7D963E74" w14:textId="77777777" w:rsidR="00CA7016" w:rsidRPr="00A0513E" w:rsidRDefault="00CA7016" w:rsidP="00CA7016">
      <w:pPr>
        <w:pStyle w:val="Heading3"/>
      </w:pPr>
      <w:bookmarkStart w:id="129" w:name="_Toc12886546"/>
      <w:r>
        <w:t xml:space="preserve">Rationale 1: </w:t>
      </w:r>
      <w:r w:rsidRPr="00A0513E">
        <w:t>Overall rationale</w:t>
      </w:r>
      <w:bookmarkEnd w:id="129"/>
    </w:p>
    <w:p w14:paraId="07E6F23D" w14:textId="77777777" w:rsidR="00CA7016" w:rsidRPr="00A0513E" w:rsidRDefault="00CA7016" w:rsidP="00CA7016">
      <w:r w:rsidRPr="00A0513E">
        <w:t>The Committee proposes that an anatomical and physiological system structure of MBS items for molecular tests would provide more meaningful information to health authorities. The recommendations focus on modernising the MBS and encouraging best practice and are based on the following observations.</w:t>
      </w:r>
    </w:p>
    <w:p w14:paraId="41E7B8A5" w14:textId="77777777" w:rsidR="00CA7016" w:rsidRPr="00A0513E" w:rsidRDefault="00CA7016" w:rsidP="00CA7016">
      <w:pPr>
        <w:pStyle w:val="NormalBulleted"/>
        <w:numPr>
          <w:ilvl w:val="0"/>
          <w:numId w:val="17"/>
        </w:numPr>
        <w:spacing w:before="120" w:after="60" w:line="240" w:lineRule="auto"/>
        <w:ind w:right="142"/>
        <w:contextualSpacing w:val="0"/>
      </w:pPr>
      <w:r w:rsidRPr="00A0513E">
        <w:t>Maintaining the current simple ‘generic’ structure (Table 4) of molecular items within the MBS Schedule may meet short</w:t>
      </w:r>
      <w:r>
        <w:t>-</w:t>
      </w:r>
      <w:r w:rsidRPr="00A0513E">
        <w:t>term objectives but fails to consider the opportunities of inevitable future developments, particularly with the increasingly widespread adoption of culture</w:t>
      </w:r>
      <w:r>
        <w:t>-</w:t>
      </w:r>
      <w:r w:rsidRPr="00A0513E">
        <w:t>independent diagnostic tests (CIDT), potential point of care testing, and whole genome sequencing (WGS)/next generation sequencing (NGS) technology for identif</w:t>
      </w:r>
      <w:r>
        <w:t>ying</w:t>
      </w:r>
      <w:r w:rsidRPr="00A0513E">
        <w:t xml:space="preserve"> pathogens and antimicrobial resistance profiles.</w:t>
      </w:r>
      <w:r>
        <w:t xml:space="preserve"> </w:t>
      </w:r>
      <w:r w:rsidRPr="00A0513E">
        <w:t>Since the pandemic flu of 2009</w:t>
      </w:r>
      <w:r>
        <w:t>,</w:t>
      </w:r>
      <w:r w:rsidRPr="00A0513E">
        <w:t xml:space="preserve"> most private</w:t>
      </w:r>
      <w:r>
        <w:t xml:space="preserve"> and many public</w:t>
      </w:r>
      <w:r w:rsidRPr="00A0513E">
        <w:t xml:space="preserve"> laboratories are now performing respiratory NAAT.</w:t>
      </w:r>
    </w:p>
    <w:p w14:paraId="71A36B67" w14:textId="77777777" w:rsidR="00CA7016" w:rsidRPr="00A0513E" w:rsidRDefault="00CA7016" w:rsidP="00CA7016">
      <w:pPr>
        <w:pStyle w:val="NormalBulleted"/>
        <w:numPr>
          <w:ilvl w:val="0"/>
          <w:numId w:val="17"/>
        </w:numPr>
        <w:spacing w:before="120" w:after="60" w:line="240" w:lineRule="auto"/>
        <w:ind w:right="142"/>
        <w:contextualSpacing w:val="0"/>
      </w:pPr>
      <w:r w:rsidRPr="00A0513E">
        <w:t>Private pathology laboratory data indicated that molecular testing i</w:t>
      </w:r>
      <w:r>
        <w:t>n microbiology is increasing</w:t>
      </w:r>
      <w:r w:rsidR="003A5E28">
        <w:t>,</w:t>
      </w:r>
      <w:r>
        <w:t xml:space="preserve"> with</w:t>
      </w:r>
      <w:r w:rsidRPr="00A0513E">
        <w:t xml:space="preserve"> chlamydia/gonorrhoea, respiratory, and faeces molecular testing within the top </w:t>
      </w:r>
      <w:r>
        <w:t>10 </w:t>
      </w:r>
      <w:r w:rsidRPr="00A0513E">
        <w:t>microbiology tests ordered.</w:t>
      </w:r>
    </w:p>
    <w:p w14:paraId="255C49FA" w14:textId="77777777" w:rsidR="00CA7016" w:rsidRPr="00A0513E" w:rsidRDefault="00CA7016" w:rsidP="00CA7016">
      <w:pPr>
        <w:pStyle w:val="NormalBulleted"/>
        <w:numPr>
          <w:ilvl w:val="0"/>
          <w:numId w:val="17"/>
        </w:numPr>
        <w:spacing w:before="120" w:after="60" w:line="240" w:lineRule="auto"/>
        <w:ind w:right="142"/>
        <w:contextualSpacing w:val="0"/>
      </w:pPr>
      <w:r w:rsidRPr="00A0513E">
        <w:t>Many pathology laboratories have developed multiplex panels covering key pathogens; for example, standard viral panels for respiratory illness and additional panels for when more serious illness is suspected (e.g. pertussis, atypical organisms, pneumonias</w:t>
      </w:r>
      <w:r>
        <w:t>,</w:t>
      </w:r>
      <w:r w:rsidRPr="00A0513E">
        <w:t xml:space="preserve"> etc.). In a future syndromic framework, pathology laboratories would be more able to provide targeted guidance to</w:t>
      </w:r>
      <w:r>
        <w:t xml:space="preserve"> requesters,</w:t>
      </w:r>
      <w:r w:rsidRPr="00A0513E">
        <w:t xml:space="preserve"> potentially reducing the ordering of inappropriate and unnecessary tests. </w:t>
      </w:r>
    </w:p>
    <w:p w14:paraId="608EC386" w14:textId="77777777" w:rsidR="00CA7016" w:rsidRPr="00A0513E" w:rsidRDefault="00CA7016" w:rsidP="00CA7016">
      <w:pPr>
        <w:pStyle w:val="NormalBulleted"/>
        <w:numPr>
          <w:ilvl w:val="0"/>
          <w:numId w:val="17"/>
        </w:numPr>
        <w:spacing w:before="120" w:after="60" w:line="240" w:lineRule="auto"/>
        <w:ind w:right="142"/>
        <w:contextualSpacing w:val="0"/>
      </w:pPr>
      <w:r w:rsidRPr="00A0513E">
        <w:t>A syndromic framework of MBS items would enable decision</w:t>
      </w:r>
      <w:r>
        <w:t xml:space="preserve"> </w:t>
      </w:r>
      <w:r w:rsidRPr="00A0513E">
        <w:t>support for electronic pathology ordering, with tests recommended based on a patient’s clinical history.</w:t>
      </w:r>
    </w:p>
    <w:p w14:paraId="5FEFE55D" w14:textId="77777777" w:rsidR="00CA7016" w:rsidRPr="00A0513E" w:rsidRDefault="00CA7016" w:rsidP="00CA7016">
      <w:pPr>
        <w:pStyle w:val="NormalBulleted"/>
        <w:numPr>
          <w:ilvl w:val="0"/>
          <w:numId w:val="17"/>
        </w:numPr>
        <w:spacing w:before="120" w:after="60" w:line="240" w:lineRule="auto"/>
        <w:ind w:right="142"/>
        <w:contextualSpacing w:val="0"/>
      </w:pPr>
      <w:r>
        <w:t>The following example outlines the proposed systems model and the opportunity for a future syndromic model.</w:t>
      </w:r>
    </w:p>
    <w:p w14:paraId="113EFA07" w14:textId="77777777" w:rsidR="00CA7016" w:rsidRPr="00096FD8" w:rsidRDefault="00CA7016" w:rsidP="00CA7016">
      <w:pPr>
        <w:pStyle w:val="Caption"/>
      </w:pPr>
      <w:bookmarkStart w:id="130" w:name="_Toc484598341"/>
      <w:bookmarkStart w:id="131" w:name="_Toc486935602"/>
      <w:bookmarkStart w:id="132" w:name="_Toc12953454"/>
      <w:r>
        <w:lastRenderedPageBreak/>
        <w:t xml:space="preserve">Table </w:t>
      </w:r>
      <w:r w:rsidR="00BB490A">
        <w:rPr>
          <w:noProof/>
        </w:rPr>
        <w:fldChar w:fldCharType="begin"/>
      </w:r>
      <w:r w:rsidR="00BB490A">
        <w:rPr>
          <w:noProof/>
        </w:rPr>
        <w:instrText xml:space="preserve"> SEQ Table \* ARABIC </w:instrText>
      </w:r>
      <w:r w:rsidR="00BB490A">
        <w:rPr>
          <w:noProof/>
        </w:rPr>
        <w:fldChar w:fldCharType="separate"/>
      </w:r>
      <w:r w:rsidR="007A1648">
        <w:rPr>
          <w:noProof/>
        </w:rPr>
        <w:t>4</w:t>
      </w:r>
      <w:r w:rsidR="00BB490A">
        <w:rPr>
          <w:noProof/>
        </w:rPr>
        <w:fldChar w:fldCharType="end"/>
      </w:r>
      <w:r>
        <w:t>: Proposed system structure and example of potential future syndromic structure</w:t>
      </w:r>
      <w:bookmarkEnd w:id="130"/>
      <w:bookmarkEnd w:id="131"/>
      <w:bookmarkEnd w:id="132"/>
    </w:p>
    <w:tbl>
      <w:tblPr>
        <w:tblStyle w:val="TableGrid2"/>
        <w:tblW w:w="0" w:type="auto"/>
        <w:tblLook w:val="04A0" w:firstRow="1" w:lastRow="0" w:firstColumn="1" w:lastColumn="0" w:noHBand="0" w:noVBand="1"/>
        <w:tblDescription w:val="This table lists Current generic item 69494, Proposed item for anatomical and physiological system, and Potential syndromic items (examples)&#10;for the proposed syndromic structure."/>
      </w:tblPr>
      <w:tblGrid>
        <w:gridCol w:w="2547"/>
        <w:gridCol w:w="2410"/>
        <w:gridCol w:w="3827"/>
      </w:tblGrid>
      <w:tr w:rsidR="00CA7016" w:rsidRPr="00B96BC0" w14:paraId="7A8E905E" w14:textId="77777777" w:rsidTr="00F20089">
        <w:trPr>
          <w:trHeight w:val="729"/>
          <w:tblHeader/>
        </w:trPr>
        <w:tc>
          <w:tcPr>
            <w:tcW w:w="2547" w:type="dxa"/>
            <w:shd w:val="clear" w:color="auto" w:fill="EEECE1" w:themeFill="background2"/>
            <w:vAlign w:val="bottom"/>
          </w:tcPr>
          <w:p w14:paraId="380A9ED5" w14:textId="77777777" w:rsidR="00CA7016" w:rsidRPr="001E01AE" w:rsidRDefault="00CA7016" w:rsidP="003C3F6A">
            <w:pPr>
              <w:pStyle w:val="01Tableheaderrow"/>
            </w:pPr>
            <w:r w:rsidRPr="001E01AE">
              <w:t>Current generic item 69494</w:t>
            </w:r>
          </w:p>
        </w:tc>
        <w:tc>
          <w:tcPr>
            <w:tcW w:w="2410" w:type="dxa"/>
            <w:shd w:val="clear" w:color="auto" w:fill="EEECE1" w:themeFill="background2"/>
            <w:vAlign w:val="bottom"/>
          </w:tcPr>
          <w:p w14:paraId="0A7C2561" w14:textId="77777777" w:rsidR="00CA7016" w:rsidRPr="001E01AE" w:rsidRDefault="00CA7016" w:rsidP="003C3F6A">
            <w:pPr>
              <w:pStyle w:val="01Tableheaderrow"/>
            </w:pPr>
            <w:r w:rsidRPr="001E01AE">
              <w:t xml:space="preserve">Proposed item for anatomical and physiological system </w:t>
            </w:r>
          </w:p>
        </w:tc>
        <w:tc>
          <w:tcPr>
            <w:tcW w:w="3827" w:type="dxa"/>
            <w:shd w:val="clear" w:color="auto" w:fill="EEECE1" w:themeFill="background2"/>
            <w:vAlign w:val="bottom"/>
          </w:tcPr>
          <w:p w14:paraId="57B29F1A" w14:textId="77777777" w:rsidR="00CA7016" w:rsidRPr="001E01AE" w:rsidRDefault="00CA7016" w:rsidP="003C3F6A">
            <w:pPr>
              <w:pStyle w:val="01Tableheaderrow"/>
            </w:pPr>
            <w:r w:rsidRPr="001E01AE">
              <w:t>Potential syndromic items (examples)</w:t>
            </w:r>
          </w:p>
        </w:tc>
      </w:tr>
      <w:tr w:rsidR="00CA7016" w:rsidRPr="00B96BC0" w14:paraId="471C037D" w14:textId="77777777" w:rsidTr="003C3F6A">
        <w:trPr>
          <w:trHeight w:val="300"/>
        </w:trPr>
        <w:tc>
          <w:tcPr>
            <w:tcW w:w="2547" w:type="dxa"/>
            <w:noWrap/>
          </w:tcPr>
          <w:p w14:paraId="4A4563E1" w14:textId="77777777" w:rsidR="00CA7016" w:rsidRPr="00A0513E" w:rsidRDefault="00CA7016" w:rsidP="003C3F6A">
            <w:pPr>
              <w:pStyle w:val="02Tabletext"/>
            </w:pPr>
            <w:r w:rsidRPr="00A0513E">
              <w:t>Detection of a virus or microbial antigen or microbial nucleic acid (not elsewhere specified) 1 test (Item is subject to rule 6 and 26)</w:t>
            </w:r>
          </w:p>
        </w:tc>
        <w:tc>
          <w:tcPr>
            <w:tcW w:w="2410" w:type="dxa"/>
            <w:noWrap/>
          </w:tcPr>
          <w:p w14:paraId="631580C8" w14:textId="77777777" w:rsidR="00CA7016" w:rsidRPr="00A0513E" w:rsidRDefault="00CA7016" w:rsidP="003C3F6A">
            <w:pPr>
              <w:pStyle w:val="02Tabletext"/>
            </w:pPr>
            <w:r w:rsidRPr="00A0513E">
              <w:t>Respiratory</w:t>
            </w:r>
          </w:p>
          <w:p w14:paraId="4AFA74E3" w14:textId="77777777" w:rsidR="00CA7016" w:rsidRPr="00A0513E" w:rsidRDefault="00CA7016" w:rsidP="003C3F6A">
            <w:pPr>
              <w:pStyle w:val="02Tabletext"/>
            </w:pPr>
            <w:r w:rsidRPr="00A0513E">
              <w:t xml:space="preserve">Detection of viral, atypical pneumonia pathogens and </w:t>
            </w:r>
            <w:r w:rsidRPr="00CC6E75">
              <w:rPr>
                <w:i/>
              </w:rPr>
              <w:t>Bordetella</w:t>
            </w:r>
            <w:r w:rsidRPr="00A0513E">
              <w:t xml:space="preserve"> sp. nucleic acid from nasal swabs, throat swabs, </w:t>
            </w:r>
            <w:r w:rsidR="007C7F60">
              <w:t xml:space="preserve">nasopharyngeal swabs, </w:t>
            </w:r>
            <w:r w:rsidRPr="00A0513E">
              <w:t>nasopharyngeal aspirates and lower respiratory tract samples. Specimens from 1 or more sites. 3 tests or more</w:t>
            </w:r>
          </w:p>
        </w:tc>
        <w:tc>
          <w:tcPr>
            <w:tcW w:w="3827" w:type="dxa"/>
            <w:noWrap/>
          </w:tcPr>
          <w:p w14:paraId="05630874" w14:textId="77777777" w:rsidR="00CA7016" w:rsidRPr="00A0513E" w:rsidRDefault="00CA7016" w:rsidP="003C3F6A">
            <w:pPr>
              <w:pStyle w:val="02Tabletext"/>
            </w:pPr>
            <w:r w:rsidRPr="00A0513E">
              <w:t xml:space="preserve">Acute upper respiratory tract </w:t>
            </w:r>
          </w:p>
          <w:p w14:paraId="4347F167" w14:textId="77777777" w:rsidR="00CA7016" w:rsidRPr="00A0513E" w:rsidRDefault="00CA7016" w:rsidP="003C3F6A">
            <w:pPr>
              <w:pStyle w:val="02Tabletext"/>
            </w:pPr>
            <w:r w:rsidRPr="00A0513E">
              <w:t xml:space="preserve">Acute lower respiratory tract </w:t>
            </w:r>
          </w:p>
          <w:p w14:paraId="3A04DD27" w14:textId="77777777" w:rsidR="00CA7016" w:rsidRPr="00A0513E" w:rsidRDefault="00CA7016" w:rsidP="003C3F6A">
            <w:pPr>
              <w:pStyle w:val="02Tabletext"/>
            </w:pPr>
            <w:r w:rsidRPr="00A0513E">
              <w:t xml:space="preserve">Sinusitis </w:t>
            </w:r>
          </w:p>
          <w:p w14:paraId="67A4E7C0" w14:textId="77777777" w:rsidR="00CA7016" w:rsidRPr="00A0513E" w:rsidRDefault="00CA7016" w:rsidP="003C3F6A">
            <w:pPr>
              <w:pStyle w:val="02Tabletext"/>
            </w:pPr>
            <w:r w:rsidRPr="00A0513E">
              <w:t xml:space="preserve">Otitis media </w:t>
            </w:r>
          </w:p>
          <w:p w14:paraId="3C5B8EA3" w14:textId="77777777" w:rsidR="00CA7016" w:rsidRPr="00A0513E" w:rsidRDefault="00CA7016" w:rsidP="003C3F6A">
            <w:pPr>
              <w:pStyle w:val="02Tabletext"/>
            </w:pPr>
            <w:r w:rsidRPr="00A0513E">
              <w:t>Persistent cough</w:t>
            </w:r>
          </w:p>
          <w:p w14:paraId="1F7BCD8C" w14:textId="77777777" w:rsidR="00CA7016" w:rsidRPr="00A0513E" w:rsidRDefault="00CA7016" w:rsidP="003C3F6A">
            <w:pPr>
              <w:pStyle w:val="02Tabletext"/>
            </w:pPr>
            <w:r w:rsidRPr="00A0513E">
              <w:t>Community</w:t>
            </w:r>
            <w:r>
              <w:t>-</w:t>
            </w:r>
            <w:r w:rsidRPr="00A0513E">
              <w:t xml:space="preserve">acquired pneumonia </w:t>
            </w:r>
          </w:p>
          <w:p w14:paraId="6B892E87" w14:textId="77777777" w:rsidR="00CA7016" w:rsidRPr="00A0513E" w:rsidRDefault="00CA7016" w:rsidP="003C3F6A">
            <w:pPr>
              <w:pStyle w:val="02Tabletext"/>
            </w:pPr>
            <w:r w:rsidRPr="00A0513E">
              <w:t>Hospital</w:t>
            </w:r>
            <w:r>
              <w:t>-</w:t>
            </w:r>
            <w:r w:rsidRPr="00A0513E">
              <w:t xml:space="preserve">acquired pneumonia </w:t>
            </w:r>
          </w:p>
          <w:p w14:paraId="08CAD381" w14:textId="77777777" w:rsidR="00CA7016" w:rsidRPr="00A0513E" w:rsidRDefault="00CA7016" w:rsidP="003C3F6A">
            <w:pPr>
              <w:pStyle w:val="02Tabletext"/>
            </w:pPr>
            <w:r w:rsidRPr="00A0513E">
              <w:t xml:space="preserve">Cystic fibrosis and bronchiectasis </w:t>
            </w:r>
          </w:p>
          <w:p w14:paraId="6820A30C" w14:textId="77777777" w:rsidR="00CA7016" w:rsidRPr="00A0513E" w:rsidRDefault="00CA7016" w:rsidP="003C3F6A">
            <w:pPr>
              <w:pStyle w:val="02Tabletext"/>
            </w:pPr>
            <w:r w:rsidRPr="00A0513E">
              <w:t>Pneumonia in the immunocompromised</w:t>
            </w:r>
          </w:p>
        </w:tc>
      </w:tr>
    </w:tbl>
    <w:p w14:paraId="18BE9D1E" w14:textId="77777777" w:rsidR="00CA7016" w:rsidRPr="00A0513E" w:rsidRDefault="00CA7016" w:rsidP="00CA7016">
      <w:pPr>
        <w:pStyle w:val="Heading2"/>
      </w:pPr>
      <w:bookmarkStart w:id="133" w:name="_Toc487621034"/>
      <w:bookmarkStart w:id="134" w:name="_Toc483989366"/>
      <w:bookmarkStart w:id="135" w:name="_Toc486939184"/>
      <w:bookmarkStart w:id="136" w:name="_Ref487642387"/>
      <w:bookmarkStart w:id="137" w:name="_Ref487785966"/>
      <w:bookmarkStart w:id="138" w:name="_Toc12886547"/>
      <w:bookmarkEnd w:id="133"/>
      <w:r w:rsidRPr="00A0513E">
        <w:t>Gastrointestinal: Clostridium difficile/</w:t>
      </w:r>
      <w:r w:rsidR="00E8782E">
        <w:t>f</w:t>
      </w:r>
      <w:r w:rsidRPr="00A0513E">
        <w:t>aeces</w:t>
      </w:r>
      <w:bookmarkEnd w:id="134"/>
      <w:bookmarkEnd w:id="135"/>
      <w:bookmarkEnd w:id="136"/>
      <w:bookmarkEnd w:id="137"/>
      <w:bookmarkEnd w:id="138"/>
    </w:p>
    <w:p w14:paraId="639E3F0B" w14:textId="77777777" w:rsidR="00CA7016" w:rsidRPr="00B96BC0" w:rsidRDefault="00CA7016" w:rsidP="00CA7016">
      <w:pPr>
        <w:pStyle w:val="Caption"/>
      </w:pPr>
      <w:bookmarkStart w:id="139" w:name="_Toc484598342"/>
      <w:bookmarkStart w:id="140" w:name="_Toc486935603"/>
      <w:bookmarkStart w:id="141" w:name="_Toc12953455"/>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7A1648">
        <w:rPr>
          <w:noProof/>
        </w:rPr>
        <w:t>5</w:t>
      </w:r>
      <w:r w:rsidR="00BB490A">
        <w:rPr>
          <w:noProof/>
        </w:rPr>
        <w:fldChar w:fldCharType="end"/>
      </w:r>
      <w:r>
        <w:t xml:space="preserve">: </w:t>
      </w:r>
      <w:r w:rsidRPr="00B96BC0">
        <w:t>Item introduction table for item 69363</w:t>
      </w:r>
      <w:bookmarkEnd w:id="139"/>
      <w:bookmarkEnd w:id="140"/>
      <w:r>
        <w:t>, 69336, 69339, 69345</w:t>
      </w:r>
      <w:bookmarkEnd w:id="141"/>
    </w:p>
    <w:tbl>
      <w:tblPr>
        <w:tblStyle w:val="TableGrid3"/>
        <w:tblW w:w="9634" w:type="dxa"/>
        <w:tblLayout w:type="fixed"/>
        <w:tblLook w:val="04A0" w:firstRow="1" w:lastRow="0" w:firstColumn="1" w:lastColumn="0" w:noHBand="0" w:noVBand="1"/>
        <w:tblDescription w:val="This table lists Item numbers, Long item descriptors, Schedule fees, Benefits for FY 2014–15, Services for FY 2014–15, Patient count 2014–15, and 5-year service change (CAGR) for gastrointestinal items 69363, 69336, 69339, 69345.&#10;"/>
      </w:tblPr>
      <w:tblGrid>
        <w:gridCol w:w="846"/>
        <w:gridCol w:w="3118"/>
        <w:gridCol w:w="1134"/>
        <w:gridCol w:w="1276"/>
        <w:gridCol w:w="1276"/>
        <w:gridCol w:w="992"/>
        <w:gridCol w:w="992"/>
      </w:tblGrid>
      <w:tr w:rsidR="00CA7016" w:rsidRPr="00B96BC0" w14:paraId="731581C8" w14:textId="77777777" w:rsidTr="003C3F6A">
        <w:trPr>
          <w:cnfStyle w:val="100000000000" w:firstRow="1" w:lastRow="0" w:firstColumn="0" w:lastColumn="0" w:oddVBand="0" w:evenVBand="0" w:oddHBand="0" w:evenHBand="0" w:firstRowFirstColumn="0" w:firstRowLastColumn="0" w:lastRowFirstColumn="0" w:lastRowLastColumn="0"/>
          <w:trHeight w:val="729"/>
          <w:tblHeader/>
        </w:trPr>
        <w:tc>
          <w:tcPr>
            <w:tcW w:w="0" w:type="dxa"/>
            <w:shd w:val="clear" w:color="auto" w:fill="EEECE1" w:themeFill="background2"/>
            <w:vAlign w:val="bottom"/>
            <w:hideMark/>
          </w:tcPr>
          <w:p w14:paraId="48E57D36" w14:textId="77777777" w:rsidR="00CA7016" w:rsidRPr="001E01AE" w:rsidRDefault="00CA7016" w:rsidP="00FE2566">
            <w:pPr>
              <w:pStyle w:val="01Tableheaderrow"/>
              <w:jc w:val="left"/>
              <w:rPr>
                <w:b/>
              </w:rPr>
            </w:pPr>
            <w:r w:rsidRPr="001E01AE">
              <w:rPr>
                <w:b/>
              </w:rPr>
              <w:t>Item</w:t>
            </w:r>
          </w:p>
        </w:tc>
        <w:tc>
          <w:tcPr>
            <w:tcW w:w="0" w:type="dxa"/>
            <w:shd w:val="clear" w:color="auto" w:fill="EEECE1" w:themeFill="background2"/>
            <w:vAlign w:val="bottom"/>
            <w:hideMark/>
          </w:tcPr>
          <w:p w14:paraId="27014FE5" w14:textId="77777777" w:rsidR="00CA7016" w:rsidRPr="001E01AE" w:rsidRDefault="00CA7016" w:rsidP="00FE2566">
            <w:pPr>
              <w:pStyle w:val="01Tableheaderrow"/>
              <w:jc w:val="left"/>
              <w:rPr>
                <w:b/>
              </w:rPr>
            </w:pPr>
            <w:r w:rsidRPr="001E01AE">
              <w:rPr>
                <w:b/>
              </w:rPr>
              <w:t>Long item descriptor</w:t>
            </w:r>
          </w:p>
        </w:tc>
        <w:tc>
          <w:tcPr>
            <w:tcW w:w="1134" w:type="dxa"/>
            <w:shd w:val="clear" w:color="auto" w:fill="EEECE1" w:themeFill="background2"/>
            <w:vAlign w:val="bottom"/>
            <w:hideMark/>
          </w:tcPr>
          <w:p w14:paraId="7862BE68" w14:textId="77777777" w:rsidR="00CA7016" w:rsidRPr="001E01AE" w:rsidRDefault="00CA7016" w:rsidP="00FE2566">
            <w:pPr>
              <w:pStyle w:val="01Tableheaderrow"/>
              <w:jc w:val="left"/>
              <w:rPr>
                <w:b/>
              </w:rPr>
            </w:pPr>
            <w:r w:rsidRPr="001E01AE">
              <w:rPr>
                <w:b/>
              </w:rPr>
              <w:t>Schedule</w:t>
            </w:r>
            <w:r>
              <w:rPr>
                <w:b/>
              </w:rPr>
              <w:t xml:space="preserve"> </w:t>
            </w:r>
            <w:r w:rsidRPr="001E01AE">
              <w:rPr>
                <w:b/>
              </w:rPr>
              <w:t>fee</w:t>
            </w:r>
          </w:p>
        </w:tc>
        <w:tc>
          <w:tcPr>
            <w:tcW w:w="1276" w:type="dxa"/>
            <w:shd w:val="clear" w:color="auto" w:fill="EEECE1" w:themeFill="background2"/>
            <w:vAlign w:val="bottom"/>
            <w:hideMark/>
          </w:tcPr>
          <w:p w14:paraId="7F2FA126" w14:textId="77777777" w:rsidR="00CA7016" w:rsidRPr="001E01AE" w:rsidRDefault="00CA7016" w:rsidP="00FE2566">
            <w:pPr>
              <w:pStyle w:val="01Tableheaderrow"/>
              <w:jc w:val="left"/>
              <w:rPr>
                <w:b/>
              </w:rPr>
            </w:pPr>
            <w:r w:rsidRPr="001E01AE">
              <w:rPr>
                <w:b/>
              </w:rPr>
              <w:t xml:space="preserve">Benefits </w:t>
            </w:r>
            <w:r>
              <w:rPr>
                <w:b/>
              </w:rPr>
              <w:br/>
            </w:r>
            <w:r w:rsidRPr="001E01AE">
              <w:rPr>
                <w:b/>
              </w:rPr>
              <w:t>FY</w:t>
            </w:r>
            <w:r>
              <w:rPr>
                <w:b/>
              </w:rPr>
              <w:t xml:space="preserve"> </w:t>
            </w:r>
            <w:r w:rsidRPr="001E01AE">
              <w:rPr>
                <w:b/>
              </w:rPr>
              <w:t>2014</w:t>
            </w:r>
            <w:r>
              <w:rPr>
                <w:b/>
              </w:rPr>
              <w:t>–</w:t>
            </w:r>
            <w:r w:rsidRPr="001E01AE">
              <w:rPr>
                <w:b/>
              </w:rPr>
              <w:t>15</w:t>
            </w:r>
          </w:p>
        </w:tc>
        <w:tc>
          <w:tcPr>
            <w:tcW w:w="1276" w:type="dxa"/>
            <w:shd w:val="clear" w:color="auto" w:fill="EEECE1" w:themeFill="background2"/>
            <w:vAlign w:val="bottom"/>
            <w:hideMark/>
          </w:tcPr>
          <w:p w14:paraId="61463B4B" w14:textId="77777777" w:rsidR="00CA7016" w:rsidRPr="001E01AE" w:rsidRDefault="00CA7016" w:rsidP="00FE2566">
            <w:pPr>
              <w:pStyle w:val="01Tableheaderrow"/>
              <w:jc w:val="left"/>
              <w:rPr>
                <w:b/>
              </w:rPr>
            </w:pPr>
            <w:r w:rsidRPr="001E01AE">
              <w:rPr>
                <w:b/>
              </w:rPr>
              <w:t xml:space="preserve">Services </w:t>
            </w:r>
            <w:r>
              <w:rPr>
                <w:b/>
              </w:rPr>
              <w:br/>
            </w:r>
            <w:r w:rsidRPr="001E01AE">
              <w:rPr>
                <w:b/>
              </w:rPr>
              <w:t>FY</w:t>
            </w:r>
            <w:r>
              <w:rPr>
                <w:b/>
              </w:rPr>
              <w:t xml:space="preserve"> </w:t>
            </w:r>
            <w:r w:rsidRPr="001E01AE">
              <w:rPr>
                <w:b/>
              </w:rPr>
              <w:t>2014</w:t>
            </w:r>
            <w:r>
              <w:rPr>
                <w:b/>
              </w:rPr>
              <w:t>–</w:t>
            </w:r>
            <w:r w:rsidRPr="001E01AE">
              <w:rPr>
                <w:b/>
              </w:rPr>
              <w:t>15</w:t>
            </w:r>
          </w:p>
        </w:tc>
        <w:tc>
          <w:tcPr>
            <w:tcW w:w="992" w:type="dxa"/>
            <w:shd w:val="clear" w:color="auto" w:fill="EEECE1" w:themeFill="background2"/>
            <w:vAlign w:val="bottom"/>
            <w:hideMark/>
          </w:tcPr>
          <w:p w14:paraId="5E5D9C43" w14:textId="77777777" w:rsidR="00CA7016" w:rsidRPr="001E01AE" w:rsidRDefault="00CA7016" w:rsidP="00FE2566">
            <w:pPr>
              <w:pStyle w:val="01Tableheaderrow"/>
              <w:jc w:val="left"/>
              <w:rPr>
                <w:b/>
              </w:rPr>
            </w:pPr>
            <w:r w:rsidRPr="001E01AE">
              <w:rPr>
                <w:b/>
              </w:rPr>
              <w:t>Patient count 2014</w:t>
            </w:r>
            <w:r>
              <w:rPr>
                <w:b/>
              </w:rPr>
              <w:t>–</w:t>
            </w:r>
            <w:r w:rsidRPr="001E01AE">
              <w:rPr>
                <w:b/>
              </w:rPr>
              <w:t>15</w:t>
            </w:r>
          </w:p>
        </w:tc>
        <w:tc>
          <w:tcPr>
            <w:tcW w:w="992" w:type="dxa"/>
            <w:shd w:val="clear" w:color="auto" w:fill="EEECE1" w:themeFill="background2"/>
            <w:vAlign w:val="bottom"/>
            <w:hideMark/>
          </w:tcPr>
          <w:p w14:paraId="4840A562" w14:textId="77777777" w:rsidR="00CA7016" w:rsidRPr="001E01AE" w:rsidRDefault="00CA7016" w:rsidP="00FE2566">
            <w:pPr>
              <w:pStyle w:val="01Tableheaderrow"/>
              <w:jc w:val="left"/>
              <w:rPr>
                <w:b/>
              </w:rPr>
            </w:pPr>
            <w:r w:rsidRPr="001E01AE">
              <w:rPr>
                <w:b/>
              </w:rPr>
              <w:t>5</w:t>
            </w:r>
            <w:r>
              <w:rPr>
                <w:b/>
              </w:rPr>
              <w:t>-</w:t>
            </w:r>
            <w:r w:rsidRPr="001E01AE">
              <w:rPr>
                <w:b/>
              </w:rPr>
              <w:t xml:space="preserve">year </w:t>
            </w:r>
            <w:r>
              <w:rPr>
                <w:b/>
              </w:rPr>
              <w:t>service change (CAGR)</w:t>
            </w:r>
          </w:p>
        </w:tc>
      </w:tr>
      <w:tr w:rsidR="00CA7016" w:rsidRPr="00B96BC0" w14:paraId="01B515AF" w14:textId="77777777" w:rsidTr="003C3F6A">
        <w:trPr>
          <w:trHeight w:val="300"/>
        </w:trPr>
        <w:tc>
          <w:tcPr>
            <w:tcW w:w="0" w:type="dxa"/>
            <w:noWrap/>
            <w:hideMark/>
          </w:tcPr>
          <w:p w14:paraId="1B20C60D" w14:textId="77777777" w:rsidR="00CA7016" w:rsidRPr="00A0513E" w:rsidRDefault="00CA7016" w:rsidP="003C3F6A">
            <w:pPr>
              <w:pStyle w:val="02Tabletext"/>
            </w:pPr>
            <w:r w:rsidRPr="00A0513E">
              <w:t>69363</w:t>
            </w:r>
          </w:p>
        </w:tc>
        <w:tc>
          <w:tcPr>
            <w:tcW w:w="0" w:type="dxa"/>
            <w:noWrap/>
            <w:hideMark/>
          </w:tcPr>
          <w:p w14:paraId="535AA5E1" w14:textId="77777777" w:rsidR="00CA7016" w:rsidRPr="00A0513E" w:rsidRDefault="00CA7016" w:rsidP="003C3F6A">
            <w:pPr>
              <w:pStyle w:val="02Tabletext"/>
            </w:pPr>
            <w:r w:rsidRPr="00A0513E">
              <w:t>Detection of Clostridium difficile or Clostridium difficile toxin (except if a service described in item 69345 has been performed) - one or more tests</w:t>
            </w:r>
          </w:p>
        </w:tc>
        <w:tc>
          <w:tcPr>
            <w:tcW w:w="1134" w:type="dxa"/>
            <w:noWrap/>
            <w:hideMark/>
          </w:tcPr>
          <w:p w14:paraId="579A9BAD" w14:textId="77777777" w:rsidR="00CA7016" w:rsidRPr="00A0513E" w:rsidRDefault="00CA7016" w:rsidP="003C3F6A">
            <w:pPr>
              <w:pStyle w:val="02Tabletext"/>
              <w:jc w:val="right"/>
            </w:pPr>
            <w:r w:rsidRPr="00A0513E">
              <w:t>$28.65</w:t>
            </w:r>
          </w:p>
        </w:tc>
        <w:tc>
          <w:tcPr>
            <w:tcW w:w="1276" w:type="dxa"/>
            <w:noWrap/>
            <w:hideMark/>
          </w:tcPr>
          <w:p w14:paraId="61532E1D" w14:textId="77777777" w:rsidR="00CA7016" w:rsidRPr="00A0513E" w:rsidRDefault="00CA7016" w:rsidP="003C3F6A">
            <w:pPr>
              <w:pStyle w:val="02Tabletext"/>
              <w:jc w:val="right"/>
            </w:pPr>
            <w:r w:rsidRPr="00A0513E">
              <w:t>$304,513</w:t>
            </w:r>
          </w:p>
        </w:tc>
        <w:tc>
          <w:tcPr>
            <w:tcW w:w="1276" w:type="dxa"/>
            <w:noWrap/>
            <w:hideMark/>
          </w:tcPr>
          <w:p w14:paraId="4F1CE873" w14:textId="77777777" w:rsidR="00CA7016" w:rsidRPr="00A0513E" w:rsidRDefault="00CA7016" w:rsidP="003C3F6A">
            <w:pPr>
              <w:pStyle w:val="02Tabletext"/>
              <w:jc w:val="right"/>
            </w:pPr>
            <w:r w:rsidRPr="00A0513E">
              <w:t>13</w:t>
            </w:r>
            <w:r>
              <w:t xml:space="preserve"> </w:t>
            </w:r>
            <w:r w:rsidRPr="00A0513E">
              <w:t>372</w:t>
            </w:r>
          </w:p>
        </w:tc>
        <w:tc>
          <w:tcPr>
            <w:tcW w:w="992" w:type="dxa"/>
            <w:noWrap/>
            <w:hideMark/>
          </w:tcPr>
          <w:p w14:paraId="230E5C6B" w14:textId="77777777" w:rsidR="00CA7016" w:rsidRPr="00A0513E" w:rsidRDefault="00CA7016" w:rsidP="003C3F6A">
            <w:pPr>
              <w:pStyle w:val="02Tabletext"/>
              <w:jc w:val="right"/>
            </w:pPr>
            <w:r w:rsidRPr="00A0513E">
              <w:t>11</w:t>
            </w:r>
            <w:r>
              <w:t xml:space="preserve"> </w:t>
            </w:r>
            <w:r w:rsidRPr="00A0513E">
              <w:t>440</w:t>
            </w:r>
          </w:p>
        </w:tc>
        <w:tc>
          <w:tcPr>
            <w:tcW w:w="992" w:type="dxa"/>
            <w:noWrap/>
            <w:hideMark/>
          </w:tcPr>
          <w:p w14:paraId="78FC4A23" w14:textId="77777777" w:rsidR="00CA7016" w:rsidRPr="00A0513E" w:rsidRDefault="00CA7016" w:rsidP="003C3F6A">
            <w:pPr>
              <w:pStyle w:val="02Tabletext"/>
              <w:jc w:val="right"/>
            </w:pPr>
            <w:r w:rsidRPr="00A0513E">
              <w:t>15.0%</w:t>
            </w:r>
          </w:p>
        </w:tc>
      </w:tr>
      <w:tr w:rsidR="00CA7016" w:rsidRPr="00B96BC0" w14:paraId="1FF2B27C" w14:textId="77777777" w:rsidTr="003C3F6A">
        <w:trPr>
          <w:trHeight w:val="300"/>
        </w:trPr>
        <w:tc>
          <w:tcPr>
            <w:tcW w:w="846" w:type="dxa"/>
            <w:noWrap/>
            <w:hideMark/>
          </w:tcPr>
          <w:p w14:paraId="1B0D7C85" w14:textId="77777777" w:rsidR="00CA7016" w:rsidRPr="00A0513E" w:rsidRDefault="00CA7016" w:rsidP="003C3F6A">
            <w:pPr>
              <w:pStyle w:val="02Tabletext"/>
            </w:pPr>
            <w:r w:rsidRPr="00A0513E">
              <w:t>69336</w:t>
            </w:r>
          </w:p>
        </w:tc>
        <w:tc>
          <w:tcPr>
            <w:tcW w:w="3118" w:type="dxa"/>
            <w:noWrap/>
            <w:hideMark/>
          </w:tcPr>
          <w:p w14:paraId="6F6EB8A8" w14:textId="77777777" w:rsidR="00CA7016" w:rsidRPr="00A0513E" w:rsidRDefault="00CA7016" w:rsidP="003C3F6A">
            <w:pPr>
              <w:pStyle w:val="02Tabletext"/>
            </w:pPr>
            <w:r w:rsidRPr="00A0513E">
              <w:t xml:space="preserve">Microscopy of faeces for ova, cysts and parasites that must include a concentration technique, and the use of fixed stains or antigen detection for </w:t>
            </w:r>
            <w:proofErr w:type="spellStart"/>
            <w:r w:rsidRPr="00A0513E">
              <w:t>cryptosporidia</w:t>
            </w:r>
            <w:proofErr w:type="spellEnd"/>
            <w:r w:rsidRPr="00A0513E">
              <w:t xml:space="preserve"> and giardia - including (if performed) a service mentioned in item 69300 - 1 of this item in any 7 day period</w:t>
            </w:r>
          </w:p>
        </w:tc>
        <w:tc>
          <w:tcPr>
            <w:tcW w:w="1134" w:type="dxa"/>
            <w:noWrap/>
            <w:hideMark/>
          </w:tcPr>
          <w:p w14:paraId="05AEFAAC" w14:textId="77777777" w:rsidR="00CA7016" w:rsidRPr="00A0513E" w:rsidRDefault="00CA7016" w:rsidP="003C3F6A">
            <w:pPr>
              <w:pStyle w:val="02Tabletext"/>
              <w:jc w:val="right"/>
            </w:pPr>
            <w:r w:rsidRPr="00A0513E">
              <w:t>$33.45</w:t>
            </w:r>
          </w:p>
        </w:tc>
        <w:tc>
          <w:tcPr>
            <w:tcW w:w="1276" w:type="dxa"/>
            <w:noWrap/>
            <w:hideMark/>
          </w:tcPr>
          <w:p w14:paraId="24D352DB" w14:textId="77777777" w:rsidR="00CA7016" w:rsidRPr="00A0513E" w:rsidRDefault="00CA7016" w:rsidP="003C3F6A">
            <w:pPr>
              <w:pStyle w:val="02Tabletext"/>
              <w:jc w:val="right"/>
            </w:pPr>
            <w:r w:rsidRPr="00A0513E">
              <w:t>$11,995,269</w:t>
            </w:r>
          </w:p>
        </w:tc>
        <w:tc>
          <w:tcPr>
            <w:tcW w:w="1276" w:type="dxa"/>
            <w:noWrap/>
            <w:hideMark/>
          </w:tcPr>
          <w:p w14:paraId="5A1E6224" w14:textId="77777777" w:rsidR="00CA7016" w:rsidRPr="00A0513E" w:rsidRDefault="00CA7016" w:rsidP="003C3F6A">
            <w:pPr>
              <w:pStyle w:val="02Tabletext"/>
              <w:jc w:val="right"/>
            </w:pPr>
            <w:r w:rsidRPr="00A0513E">
              <w:t>419</w:t>
            </w:r>
            <w:r>
              <w:t xml:space="preserve"> </w:t>
            </w:r>
            <w:r w:rsidRPr="00A0513E">
              <w:t>544</w:t>
            </w:r>
          </w:p>
        </w:tc>
        <w:tc>
          <w:tcPr>
            <w:tcW w:w="992" w:type="dxa"/>
            <w:noWrap/>
            <w:hideMark/>
          </w:tcPr>
          <w:p w14:paraId="5AA7DCF6" w14:textId="77777777" w:rsidR="00CA7016" w:rsidRPr="00A0513E" w:rsidRDefault="00CA7016" w:rsidP="003C3F6A">
            <w:pPr>
              <w:pStyle w:val="02Tabletext"/>
              <w:jc w:val="right"/>
            </w:pPr>
            <w:r w:rsidRPr="00A0513E">
              <w:t>376</w:t>
            </w:r>
            <w:r>
              <w:t xml:space="preserve"> </w:t>
            </w:r>
            <w:r w:rsidRPr="00A0513E">
              <w:t>226</w:t>
            </w:r>
          </w:p>
        </w:tc>
        <w:tc>
          <w:tcPr>
            <w:tcW w:w="992" w:type="dxa"/>
            <w:noWrap/>
            <w:hideMark/>
          </w:tcPr>
          <w:p w14:paraId="74D4BA0E" w14:textId="77777777" w:rsidR="00CA7016" w:rsidRPr="00A0513E" w:rsidRDefault="00CA7016" w:rsidP="003C3F6A">
            <w:pPr>
              <w:pStyle w:val="02Tabletext"/>
              <w:jc w:val="right"/>
            </w:pPr>
            <w:r w:rsidRPr="00A0513E">
              <w:t>8.1%</w:t>
            </w:r>
          </w:p>
        </w:tc>
      </w:tr>
      <w:tr w:rsidR="00CA7016" w:rsidRPr="00B96BC0" w14:paraId="36CEC77B" w14:textId="77777777" w:rsidTr="003C3F6A">
        <w:trPr>
          <w:trHeight w:val="300"/>
        </w:trPr>
        <w:tc>
          <w:tcPr>
            <w:tcW w:w="846" w:type="dxa"/>
            <w:noWrap/>
            <w:hideMark/>
          </w:tcPr>
          <w:p w14:paraId="3CB5FB37" w14:textId="77777777" w:rsidR="00CA7016" w:rsidRPr="00A0513E" w:rsidRDefault="00CA7016" w:rsidP="003C3F6A">
            <w:pPr>
              <w:pStyle w:val="02Tabletext"/>
            </w:pPr>
            <w:r w:rsidRPr="00A0513E">
              <w:t>69339</w:t>
            </w:r>
          </w:p>
        </w:tc>
        <w:tc>
          <w:tcPr>
            <w:tcW w:w="3118" w:type="dxa"/>
            <w:noWrap/>
            <w:hideMark/>
          </w:tcPr>
          <w:p w14:paraId="2C73415A" w14:textId="77777777" w:rsidR="00CA7016" w:rsidRPr="00A0513E" w:rsidRDefault="00CA7016" w:rsidP="003C3F6A">
            <w:pPr>
              <w:pStyle w:val="02Tabletext"/>
            </w:pPr>
            <w:r w:rsidRPr="00A0513E">
              <w:t xml:space="preserve">Microscopy of faeces for ova, cysts and parasites using concentration techniques examined subsequent to item 69336 on a separately collected and identified specimen collected within 7 days of the examination described in 69336 - 1 examination in any </w:t>
            </w:r>
            <w:proofErr w:type="gramStart"/>
            <w:r w:rsidRPr="00A0513E">
              <w:t>7 day</w:t>
            </w:r>
            <w:proofErr w:type="gramEnd"/>
            <w:r w:rsidRPr="00A0513E">
              <w:t xml:space="preserve"> period</w:t>
            </w:r>
          </w:p>
        </w:tc>
        <w:tc>
          <w:tcPr>
            <w:tcW w:w="1134" w:type="dxa"/>
            <w:noWrap/>
            <w:hideMark/>
          </w:tcPr>
          <w:p w14:paraId="5C9EE166" w14:textId="77777777" w:rsidR="00CA7016" w:rsidRPr="00A0513E" w:rsidRDefault="00CA7016" w:rsidP="003C3F6A">
            <w:pPr>
              <w:pStyle w:val="02Tabletext"/>
              <w:jc w:val="right"/>
            </w:pPr>
            <w:r w:rsidRPr="00A0513E">
              <w:t>$19.10</w:t>
            </w:r>
          </w:p>
        </w:tc>
        <w:tc>
          <w:tcPr>
            <w:tcW w:w="1276" w:type="dxa"/>
            <w:noWrap/>
            <w:hideMark/>
          </w:tcPr>
          <w:p w14:paraId="5639FFBD" w14:textId="77777777" w:rsidR="00CA7016" w:rsidRPr="00A0513E" w:rsidRDefault="00CA7016" w:rsidP="003C3F6A">
            <w:pPr>
              <w:pStyle w:val="02Tabletext"/>
              <w:jc w:val="right"/>
            </w:pPr>
            <w:r w:rsidRPr="00A0513E">
              <w:t>$519,029</w:t>
            </w:r>
          </w:p>
        </w:tc>
        <w:tc>
          <w:tcPr>
            <w:tcW w:w="1276" w:type="dxa"/>
            <w:noWrap/>
            <w:hideMark/>
          </w:tcPr>
          <w:p w14:paraId="0A14CEE7" w14:textId="77777777" w:rsidR="00CA7016" w:rsidRPr="00A0513E" w:rsidRDefault="00CA7016" w:rsidP="003C3F6A">
            <w:pPr>
              <w:pStyle w:val="02Tabletext"/>
              <w:jc w:val="right"/>
            </w:pPr>
            <w:r w:rsidRPr="00A0513E">
              <w:t>32</w:t>
            </w:r>
            <w:r>
              <w:t xml:space="preserve"> </w:t>
            </w:r>
            <w:r w:rsidRPr="00A0513E">
              <w:t>302</w:t>
            </w:r>
          </w:p>
        </w:tc>
        <w:tc>
          <w:tcPr>
            <w:tcW w:w="992" w:type="dxa"/>
            <w:noWrap/>
            <w:hideMark/>
          </w:tcPr>
          <w:p w14:paraId="5B523435" w14:textId="77777777" w:rsidR="00CA7016" w:rsidRPr="00A0513E" w:rsidRDefault="00CA7016" w:rsidP="003C3F6A">
            <w:pPr>
              <w:pStyle w:val="02Tabletext"/>
              <w:jc w:val="right"/>
            </w:pPr>
            <w:r w:rsidRPr="00A0513E">
              <w:t>30</w:t>
            </w:r>
            <w:r>
              <w:t xml:space="preserve"> </w:t>
            </w:r>
            <w:r w:rsidRPr="00A0513E">
              <w:t>282</w:t>
            </w:r>
          </w:p>
        </w:tc>
        <w:tc>
          <w:tcPr>
            <w:tcW w:w="992" w:type="dxa"/>
            <w:noWrap/>
            <w:hideMark/>
          </w:tcPr>
          <w:p w14:paraId="7BA9A93F" w14:textId="77777777" w:rsidR="00CA7016" w:rsidRPr="00A0513E" w:rsidRDefault="00CA7016" w:rsidP="003C3F6A">
            <w:pPr>
              <w:pStyle w:val="02Tabletext"/>
              <w:jc w:val="right"/>
            </w:pPr>
            <w:r w:rsidRPr="00A0513E">
              <w:t>1.0%</w:t>
            </w:r>
          </w:p>
        </w:tc>
      </w:tr>
      <w:tr w:rsidR="00CA7016" w:rsidRPr="00B96BC0" w14:paraId="14B80280" w14:textId="77777777" w:rsidTr="003C3F6A">
        <w:trPr>
          <w:trHeight w:val="300"/>
        </w:trPr>
        <w:tc>
          <w:tcPr>
            <w:tcW w:w="846" w:type="dxa"/>
            <w:noWrap/>
            <w:hideMark/>
          </w:tcPr>
          <w:p w14:paraId="35C77B3F" w14:textId="77777777" w:rsidR="00CA7016" w:rsidRPr="00A0513E" w:rsidRDefault="00CA7016" w:rsidP="003C3F6A">
            <w:pPr>
              <w:pStyle w:val="02Tabletext"/>
            </w:pPr>
            <w:r w:rsidRPr="00A0513E">
              <w:t>69345</w:t>
            </w:r>
          </w:p>
        </w:tc>
        <w:tc>
          <w:tcPr>
            <w:tcW w:w="3118" w:type="dxa"/>
            <w:noWrap/>
            <w:hideMark/>
          </w:tcPr>
          <w:p w14:paraId="40CFF741" w14:textId="77777777" w:rsidR="00CA7016" w:rsidRPr="00A0513E" w:rsidRDefault="00CA7016" w:rsidP="003C3F6A">
            <w:pPr>
              <w:pStyle w:val="02Tabletext"/>
            </w:pPr>
            <w:r w:rsidRPr="00A0513E">
              <w:t>Culture and (if performed) microscopy without concentration techniques of faeces for faecal pathogens, using at least 2 selective or enrichment media and culture in at least 2 different atmospheres including (if performed): (a) pathogen identification and antibiotic susceptibility testing; and (b) the detection of clostridial toxins; and (c) a service described in item 69300; - 1 examination in any 7 day period</w:t>
            </w:r>
          </w:p>
        </w:tc>
        <w:tc>
          <w:tcPr>
            <w:tcW w:w="1134" w:type="dxa"/>
            <w:noWrap/>
            <w:hideMark/>
          </w:tcPr>
          <w:p w14:paraId="054D4A84" w14:textId="77777777" w:rsidR="00CA7016" w:rsidRPr="00A0513E" w:rsidRDefault="00CA7016" w:rsidP="003C3F6A">
            <w:pPr>
              <w:pStyle w:val="02Tabletext"/>
              <w:jc w:val="right"/>
            </w:pPr>
            <w:r w:rsidRPr="00A0513E">
              <w:t>$52.90</w:t>
            </w:r>
          </w:p>
        </w:tc>
        <w:tc>
          <w:tcPr>
            <w:tcW w:w="1276" w:type="dxa"/>
            <w:noWrap/>
            <w:hideMark/>
          </w:tcPr>
          <w:p w14:paraId="01304B86" w14:textId="77777777" w:rsidR="00CA7016" w:rsidRPr="00A0513E" w:rsidRDefault="00CA7016" w:rsidP="003C3F6A">
            <w:pPr>
              <w:pStyle w:val="02Tabletext"/>
              <w:jc w:val="right"/>
            </w:pPr>
            <w:r w:rsidRPr="00A0513E">
              <w:t>$24,919,729</w:t>
            </w:r>
          </w:p>
        </w:tc>
        <w:tc>
          <w:tcPr>
            <w:tcW w:w="1276" w:type="dxa"/>
            <w:noWrap/>
            <w:hideMark/>
          </w:tcPr>
          <w:p w14:paraId="34CE158B" w14:textId="77777777" w:rsidR="00CA7016" w:rsidRPr="00A0513E" w:rsidRDefault="00CA7016" w:rsidP="003C3F6A">
            <w:pPr>
              <w:pStyle w:val="02Tabletext"/>
              <w:jc w:val="right"/>
            </w:pPr>
            <w:r w:rsidRPr="00A0513E">
              <w:t>550</w:t>
            </w:r>
            <w:r>
              <w:t xml:space="preserve"> </w:t>
            </w:r>
            <w:r w:rsidRPr="00A0513E">
              <w:t>526</w:t>
            </w:r>
          </w:p>
        </w:tc>
        <w:tc>
          <w:tcPr>
            <w:tcW w:w="992" w:type="dxa"/>
            <w:noWrap/>
            <w:hideMark/>
          </w:tcPr>
          <w:p w14:paraId="611D425F" w14:textId="77777777" w:rsidR="00CA7016" w:rsidRPr="00A0513E" w:rsidRDefault="00CA7016" w:rsidP="003C3F6A">
            <w:pPr>
              <w:pStyle w:val="02Tabletext"/>
              <w:jc w:val="right"/>
            </w:pPr>
            <w:r w:rsidRPr="00A0513E">
              <w:t>488</w:t>
            </w:r>
            <w:r>
              <w:t xml:space="preserve"> </w:t>
            </w:r>
            <w:r w:rsidRPr="00A0513E">
              <w:t>348</w:t>
            </w:r>
          </w:p>
        </w:tc>
        <w:tc>
          <w:tcPr>
            <w:tcW w:w="992" w:type="dxa"/>
            <w:noWrap/>
            <w:hideMark/>
          </w:tcPr>
          <w:p w14:paraId="3A8829CA" w14:textId="77777777" w:rsidR="00CA7016" w:rsidRPr="00A0513E" w:rsidRDefault="00CA7016" w:rsidP="003C3F6A">
            <w:pPr>
              <w:pStyle w:val="02Tabletext"/>
              <w:jc w:val="right"/>
            </w:pPr>
            <w:r w:rsidRPr="00A0513E">
              <w:t>7.7%</w:t>
            </w:r>
          </w:p>
        </w:tc>
      </w:tr>
    </w:tbl>
    <w:p w14:paraId="7244B35A" w14:textId="77777777" w:rsidR="00CA7016" w:rsidRPr="00A0513E" w:rsidRDefault="00CA7016" w:rsidP="00CA7016">
      <w:pPr>
        <w:pStyle w:val="Heading3"/>
      </w:pPr>
      <w:bookmarkStart w:id="142" w:name="_Ref487790291"/>
      <w:bookmarkStart w:id="143" w:name="_Toc12886548"/>
      <w:r w:rsidRPr="00A0513E">
        <w:t>Recommendation</w:t>
      </w:r>
      <w:r>
        <w:t xml:space="preserve"> 2</w:t>
      </w:r>
      <w:bookmarkEnd w:id="142"/>
      <w:bookmarkEnd w:id="143"/>
    </w:p>
    <w:p w14:paraId="50A16F24" w14:textId="77777777" w:rsidR="00CA7016" w:rsidRPr="00A0513E" w:rsidRDefault="00CA7016" w:rsidP="00CA7016">
      <w:pPr>
        <w:pStyle w:val="NormalBulleted"/>
        <w:numPr>
          <w:ilvl w:val="0"/>
          <w:numId w:val="17"/>
        </w:numPr>
        <w:spacing w:before="120" w:after="60" w:line="240" w:lineRule="auto"/>
        <w:ind w:right="142"/>
        <w:contextualSpacing w:val="0"/>
      </w:pPr>
      <w:r w:rsidRPr="00A0513E">
        <w:t>Create a new item for faecal PCR</w:t>
      </w:r>
      <w:r>
        <w:t>,</w:t>
      </w:r>
      <w:r w:rsidRPr="00A0513E">
        <w:t xml:space="preserve"> culture and microscopy</w:t>
      </w:r>
      <w:r>
        <w:t>—</w:t>
      </w:r>
      <w:r w:rsidRPr="00A0513E">
        <w:t xml:space="preserve">item 693XA. </w:t>
      </w:r>
    </w:p>
    <w:p w14:paraId="5C31A433" w14:textId="77777777" w:rsidR="00CA7016" w:rsidRPr="00A0513E" w:rsidRDefault="003A5E28" w:rsidP="00CA7016">
      <w:pPr>
        <w:pStyle w:val="NormalBulleted"/>
        <w:numPr>
          <w:ilvl w:val="0"/>
          <w:numId w:val="17"/>
        </w:numPr>
        <w:spacing w:before="120" w:after="60" w:line="240" w:lineRule="auto"/>
        <w:ind w:right="142"/>
        <w:contextualSpacing w:val="0"/>
      </w:pPr>
      <w:r>
        <w:t>M</w:t>
      </w:r>
      <w:r w:rsidR="00CA7016" w:rsidRPr="00A0513E">
        <w:t xml:space="preserve">erge </w:t>
      </w:r>
      <w:r w:rsidRPr="00A0513E">
        <w:t xml:space="preserve">item 69336 </w:t>
      </w:r>
      <w:r w:rsidR="00CA7016" w:rsidRPr="00A0513E">
        <w:t>into new item 693XA</w:t>
      </w:r>
      <w:r>
        <w:t xml:space="preserve"> and delete item 69336</w:t>
      </w:r>
      <w:r w:rsidR="00CA7016" w:rsidRPr="00A0513E">
        <w:t>.</w:t>
      </w:r>
    </w:p>
    <w:p w14:paraId="7775167C" w14:textId="77777777" w:rsidR="00CA7016" w:rsidRPr="00A0513E" w:rsidRDefault="00CA7016" w:rsidP="00CA7016">
      <w:pPr>
        <w:pStyle w:val="NormalBulleted"/>
        <w:numPr>
          <w:ilvl w:val="0"/>
          <w:numId w:val="17"/>
        </w:numPr>
        <w:spacing w:before="120" w:after="60" w:line="240" w:lineRule="auto"/>
        <w:ind w:right="142"/>
        <w:contextualSpacing w:val="0"/>
      </w:pPr>
      <w:r w:rsidRPr="00A0513E">
        <w:lastRenderedPageBreak/>
        <w:t xml:space="preserve">Amend item 69339 (subsequent microscopy within 7 days) to </w:t>
      </w:r>
      <w:proofErr w:type="gramStart"/>
      <w:r w:rsidRPr="00A0513E">
        <w:t>make reference</w:t>
      </w:r>
      <w:proofErr w:type="gramEnd"/>
      <w:r w:rsidRPr="00A0513E">
        <w:t xml:space="preserve"> to new item 693XA. </w:t>
      </w:r>
    </w:p>
    <w:p w14:paraId="61EC8AB5" w14:textId="77777777" w:rsidR="00CA7016" w:rsidRPr="00A0513E" w:rsidRDefault="003A5E28" w:rsidP="00CA7016">
      <w:pPr>
        <w:pStyle w:val="NormalBulleted"/>
        <w:numPr>
          <w:ilvl w:val="0"/>
          <w:numId w:val="17"/>
        </w:numPr>
        <w:spacing w:before="120" w:after="60" w:line="240" w:lineRule="auto"/>
        <w:ind w:right="142"/>
        <w:contextualSpacing w:val="0"/>
      </w:pPr>
      <w:r>
        <w:t>M</w:t>
      </w:r>
      <w:r w:rsidRPr="00A0513E">
        <w:t xml:space="preserve">erge item 69345 </w:t>
      </w:r>
      <w:r w:rsidR="00CA7016" w:rsidRPr="00A0513E">
        <w:t xml:space="preserve">into </w:t>
      </w:r>
      <w:r w:rsidR="00CA7016">
        <w:t xml:space="preserve">the </w:t>
      </w:r>
      <w:r w:rsidR="00CA7016" w:rsidRPr="00A0513E">
        <w:t>new combination item 693XA</w:t>
      </w:r>
      <w:r>
        <w:t xml:space="preserve"> and d</w:t>
      </w:r>
      <w:r w:rsidRPr="00A0513E">
        <w:t>elete</w:t>
      </w:r>
      <w:r>
        <w:t xml:space="preserve"> item 69345</w:t>
      </w:r>
      <w:r w:rsidR="00CA7016" w:rsidRPr="00A0513E">
        <w:t>.</w:t>
      </w:r>
    </w:p>
    <w:p w14:paraId="4A921EBD" w14:textId="77777777" w:rsidR="00CA7016" w:rsidRPr="00A0513E" w:rsidRDefault="00CA7016" w:rsidP="00CA7016">
      <w:pPr>
        <w:pStyle w:val="NormalBulleted"/>
        <w:numPr>
          <w:ilvl w:val="0"/>
          <w:numId w:val="17"/>
        </w:numPr>
        <w:spacing w:before="120" w:after="60" w:line="240" w:lineRule="auto"/>
        <w:ind w:right="142"/>
        <w:contextualSpacing w:val="0"/>
      </w:pPr>
      <w:r w:rsidRPr="00096FD8">
        <w:t xml:space="preserve">Amend </w:t>
      </w:r>
      <w:r w:rsidRPr="00A0513E">
        <w:t xml:space="preserve">item 69363 to include NAAT and add guidance on specimen collection in the explanatory notes. </w:t>
      </w:r>
    </w:p>
    <w:p w14:paraId="62B22275" w14:textId="77777777" w:rsidR="00CA7016" w:rsidRPr="00A0513E" w:rsidRDefault="00CA7016" w:rsidP="00CA7016">
      <w:pPr>
        <w:pStyle w:val="NormalBulleted"/>
        <w:numPr>
          <w:ilvl w:val="0"/>
          <w:numId w:val="17"/>
        </w:numPr>
        <w:spacing w:before="120" w:after="60" w:line="240" w:lineRule="auto"/>
        <w:ind w:right="142"/>
        <w:contextualSpacing w:val="0"/>
      </w:pPr>
      <w:r>
        <w:t xml:space="preserve">Refer to </w:t>
      </w:r>
      <w:r w:rsidRPr="00610E19">
        <w:t>section</w:t>
      </w:r>
      <w:r>
        <w:t xml:space="preserve"> 5.2.2 for recommendation regarding reflex culture for isolates of public health significance.</w:t>
      </w:r>
    </w:p>
    <w:p w14:paraId="66E0CEA0" w14:textId="77777777" w:rsidR="00CA7016" w:rsidRPr="00B96BC0" w:rsidRDefault="00CA7016" w:rsidP="00CA7016">
      <w:pPr>
        <w:pStyle w:val="Caption"/>
      </w:pPr>
      <w:bookmarkStart w:id="144" w:name="_Toc484598343"/>
      <w:bookmarkStart w:id="145" w:name="_Toc486935604"/>
      <w:bookmarkStart w:id="146" w:name="_Toc12953456"/>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7A1648">
        <w:rPr>
          <w:noProof/>
        </w:rPr>
        <w:t>6</w:t>
      </w:r>
      <w:r w:rsidR="00BB490A">
        <w:rPr>
          <w:noProof/>
        </w:rPr>
        <w:fldChar w:fldCharType="end"/>
      </w:r>
      <w:r>
        <w:t xml:space="preserve">: </w:t>
      </w:r>
      <w:r w:rsidRPr="00B96BC0">
        <w:t xml:space="preserve">Proposed changes </w:t>
      </w:r>
      <w:bookmarkEnd w:id="144"/>
      <w:bookmarkEnd w:id="145"/>
      <w:r>
        <w:t>to tests for gastrointestinal pathogens</w:t>
      </w:r>
      <w:bookmarkEnd w:id="146"/>
    </w:p>
    <w:tbl>
      <w:tblPr>
        <w:tblStyle w:val="TableGrid"/>
        <w:tblW w:w="0" w:type="auto"/>
        <w:tblLook w:val="04A0" w:firstRow="1" w:lastRow="0" w:firstColumn="1" w:lastColumn="0" w:noHBand="0" w:noVBand="1"/>
        <w:tblDescription w:val="This table lists Item numbers, Current descriptors, and Proposed changes to descriptors for gastrointestinal items."/>
      </w:tblPr>
      <w:tblGrid>
        <w:gridCol w:w="988"/>
        <w:gridCol w:w="3969"/>
        <w:gridCol w:w="4059"/>
      </w:tblGrid>
      <w:tr w:rsidR="00CA7016" w:rsidRPr="00B96BC0" w14:paraId="51E2C093" w14:textId="77777777" w:rsidTr="00F20089">
        <w:trPr>
          <w:tblHeader/>
        </w:trPr>
        <w:tc>
          <w:tcPr>
            <w:tcW w:w="988" w:type="dxa"/>
            <w:shd w:val="clear" w:color="auto" w:fill="EEECE1" w:themeFill="background2"/>
            <w:vAlign w:val="bottom"/>
          </w:tcPr>
          <w:p w14:paraId="5963AE15" w14:textId="77777777" w:rsidR="00CA7016" w:rsidRPr="00A0513E" w:rsidRDefault="00CA7016" w:rsidP="003C3F6A">
            <w:pPr>
              <w:pStyle w:val="01Tableheaderrow"/>
            </w:pPr>
            <w:r w:rsidRPr="00A0513E">
              <w:t>Item</w:t>
            </w:r>
          </w:p>
        </w:tc>
        <w:tc>
          <w:tcPr>
            <w:tcW w:w="3969" w:type="dxa"/>
            <w:shd w:val="clear" w:color="auto" w:fill="EEECE1" w:themeFill="background2"/>
            <w:vAlign w:val="bottom"/>
          </w:tcPr>
          <w:p w14:paraId="601A534A" w14:textId="77777777" w:rsidR="00CA7016" w:rsidRPr="00A0513E" w:rsidRDefault="00CA7016" w:rsidP="003C3F6A">
            <w:pPr>
              <w:pStyle w:val="01Tableheaderrow"/>
            </w:pPr>
            <w:r w:rsidRPr="00A0513E">
              <w:t>Current descriptor</w:t>
            </w:r>
          </w:p>
        </w:tc>
        <w:tc>
          <w:tcPr>
            <w:tcW w:w="4059" w:type="dxa"/>
            <w:shd w:val="clear" w:color="auto" w:fill="EEECE1" w:themeFill="background2"/>
            <w:vAlign w:val="bottom"/>
          </w:tcPr>
          <w:p w14:paraId="6CFA1ACB" w14:textId="77777777" w:rsidR="00CA7016" w:rsidRPr="00A0513E" w:rsidRDefault="00CA7016" w:rsidP="003C3F6A">
            <w:pPr>
              <w:pStyle w:val="01Tableheaderrow"/>
            </w:pPr>
            <w:r w:rsidRPr="00A0513E">
              <w:t>Proposed change to descriptor</w:t>
            </w:r>
          </w:p>
        </w:tc>
      </w:tr>
      <w:tr w:rsidR="00CA7016" w:rsidRPr="00B96BC0" w14:paraId="0308BF51" w14:textId="77777777" w:rsidTr="003C3F6A">
        <w:tc>
          <w:tcPr>
            <w:tcW w:w="988" w:type="dxa"/>
          </w:tcPr>
          <w:p w14:paraId="0302B7B9" w14:textId="77777777" w:rsidR="00CA7016" w:rsidRPr="00A0513E" w:rsidRDefault="00CA7016" w:rsidP="003C3F6A">
            <w:pPr>
              <w:pStyle w:val="02Tabletext"/>
            </w:pPr>
            <w:r w:rsidRPr="00A0513E">
              <w:t>69363</w:t>
            </w:r>
          </w:p>
        </w:tc>
        <w:tc>
          <w:tcPr>
            <w:tcW w:w="3969" w:type="dxa"/>
          </w:tcPr>
          <w:p w14:paraId="1A4EF266" w14:textId="77777777" w:rsidR="00CA7016" w:rsidRPr="00A0513E" w:rsidRDefault="00CA7016" w:rsidP="003C3F6A">
            <w:pPr>
              <w:pStyle w:val="02Tabletext"/>
            </w:pPr>
            <w:r w:rsidRPr="00A0513E">
              <w:t>Detection of Clostridium difficile or Clostridium difficile toxin (except if a service described in item 69345 has been performed) - one or more tests</w:t>
            </w:r>
            <w:r>
              <w:t>.</w:t>
            </w:r>
          </w:p>
        </w:tc>
        <w:tc>
          <w:tcPr>
            <w:tcW w:w="4059" w:type="dxa"/>
          </w:tcPr>
          <w:p w14:paraId="61B603C1" w14:textId="77777777" w:rsidR="00CA7016" w:rsidRPr="00A0513E" w:rsidRDefault="00CA7016" w:rsidP="003C3F6A">
            <w:pPr>
              <w:pStyle w:val="02Tabletext"/>
            </w:pPr>
            <w:r w:rsidRPr="00A0513E">
              <w:t xml:space="preserve">Any test for the detection of toxigenic </w:t>
            </w:r>
            <w:r w:rsidRPr="00CC6E75">
              <w:rPr>
                <w:i/>
              </w:rPr>
              <w:t>Clostridium difficile</w:t>
            </w:r>
            <w:r w:rsidRPr="00A0513E">
              <w:t xml:space="preserve"> in unformed stool or bowel tissue including a test for toxin protein detection if positive</w:t>
            </w:r>
            <w:r>
              <w:t xml:space="preserve"> </w:t>
            </w:r>
            <w:r w:rsidRPr="00A0513E">
              <w:t>– one or more tests</w:t>
            </w:r>
            <w:r>
              <w:t>.</w:t>
            </w:r>
          </w:p>
          <w:p w14:paraId="1EBAE5A5" w14:textId="77777777" w:rsidR="00CA7016" w:rsidRPr="00A0513E" w:rsidRDefault="00CA7016" w:rsidP="003C3F6A">
            <w:pPr>
              <w:pStyle w:val="02Tabletext"/>
            </w:pPr>
            <w:r w:rsidRPr="00A0513E">
              <w:t>Note / Rule: Test is only to be performed on a</w:t>
            </w:r>
            <w:r>
              <w:t>n unformed stool</w:t>
            </w:r>
            <w:r w:rsidRPr="00A0513E">
              <w:t>. As per guidelines, if negative do not repeat within 7 days.</w:t>
            </w:r>
          </w:p>
        </w:tc>
      </w:tr>
      <w:tr w:rsidR="00CA7016" w:rsidRPr="00B96BC0" w14:paraId="6779C521" w14:textId="77777777" w:rsidTr="003C3F6A">
        <w:tc>
          <w:tcPr>
            <w:tcW w:w="988" w:type="dxa"/>
          </w:tcPr>
          <w:p w14:paraId="01A027C6" w14:textId="77777777" w:rsidR="00CA7016" w:rsidRPr="00A0513E" w:rsidRDefault="00CA7016" w:rsidP="003C3F6A">
            <w:pPr>
              <w:pStyle w:val="02Tabletext"/>
            </w:pPr>
            <w:r w:rsidRPr="00A0513E">
              <w:t>693XA</w:t>
            </w:r>
          </w:p>
        </w:tc>
        <w:tc>
          <w:tcPr>
            <w:tcW w:w="3969" w:type="dxa"/>
          </w:tcPr>
          <w:p w14:paraId="782283E3" w14:textId="77777777" w:rsidR="00CA7016" w:rsidRPr="00A0513E" w:rsidRDefault="00CA7016" w:rsidP="003C3F6A">
            <w:pPr>
              <w:pStyle w:val="02Tabletext"/>
            </w:pPr>
          </w:p>
        </w:tc>
        <w:tc>
          <w:tcPr>
            <w:tcW w:w="4059" w:type="dxa"/>
          </w:tcPr>
          <w:p w14:paraId="5F2A8BB3" w14:textId="77777777" w:rsidR="00CA7016" w:rsidRPr="00A0513E" w:rsidRDefault="00CA7016" w:rsidP="003C3F6A">
            <w:pPr>
              <w:pStyle w:val="02Tabletext"/>
            </w:pPr>
            <w:r w:rsidRPr="00A0513E">
              <w:t>Any combination of tests to detect gastrointestinal pathogen in unformed stool including the detection of bacterial, viral and parasite nucleic acid and/or culture using at least 2 selective or enrichment media in at least 2 different atmospheres including (if performed):</w:t>
            </w:r>
            <w:r>
              <w:t xml:space="preserve"> </w:t>
            </w:r>
          </w:p>
          <w:p w14:paraId="7E3E42F1" w14:textId="77777777" w:rsidR="00CA7016" w:rsidRPr="00A0513E" w:rsidRDefault="00CA7016" w:rsidP="003C3F6A">
            <w:pPr>
              <w:pStyle w:val="02Tabletext"/>
            </w:pPr>
            <w:r w:rsidRPr="00A0513E">
              <w:t xml:space="preserve">(a) pathogen identification and antibiotic susceptibility testing; and </w:t>
            </w:r>
          </w:p>
          <w:p w14:paraId="359B0D7D" w14:textId="77777777" w:rsidR="00CA7016" w:rsidRPr="00A0513E" w:rsidRDefault="00CA7016" w:rsidP="003C3F6A">
            <w:pPr>
              <w:pStyle w:val="02Tabletext"/>
            </w:pPr>
            <w:r w:rsidRPr="00A0513E">
              <w:t xml:space="preserve">(b) a service described in item </w:t>
            </w:r>
            <w:proofErr w:type="gramStart"/>
            <w:r w:rsidRPr="00A0513E">
              <w:t>69300;</w:t>
            </w:r>
            <w:proofErr w:type="gramEnd"/>
            <w:r w:rsidRPr="00A0513E">
              <w:t xml:space="preserve"> </w:t>
            </w:r>
          </w:p>
          <w:p w14:paraId="18614AA8" w14:textId="77777777" w:rsidR="00CA7016" w:rsidRPr="00A0513E" w:rsidRDefault="00CA7016" w:rsidP="003C3F6A">
            <w:pPr>
              <w:pStyle w:val="02Tabletext"/>
            </w:pPr>
            <w:r w:rsidRPr="00A0513E">
              <w:t xml:space="preserve">- 1 examination in any </w:t>
            </w:r>
            <w:proofErr w:type="gramStart"/>
            <w:r w:rsidRPr="00A0513E">
              <w:t>7 day</w:t>
            </w:r>
            <w:proofErr w:type="gramEnd"/>
            <w:r w:rsidRPr="00A0513E">
              <w:t xml:space="preserve"> period</w:t>
            </w:r>
            <w:r>
              <w:t>.</w:t>
            </w:r>
          </w:p>
        </w:tc>
      </w:tr>
      <w:tr w:rsidR="00CA7016" w:rsidRPr="00B96BC0" w14:paraId="413BDABF" w14:textId="77777777" w:rsidTr="003C3F6A">
        <w:tc>
          <w:tcPr>
            <w:tcW w:w="988" w:type="dxa"/>
          </w:tcPr>
          <w:p w14:paraId="458C625F" w14:textId="77777777" w:rsidR="00CA7016" w:rsidRPr="00A0513E" w:rsidRDefault="00CA7016" w:rsidP="003C3F6A">
            <w:pPr>
              <w:pStyle w:val="02Tabletext"/>
            </w:pPr>
            <w:r w:rsidRPr="00A0513E">
              <w:t>69339</w:t>
            </w:r>
          </w:p>
        </w:tc>
        <w:tc>
          <w:tcPr>
            <w:tcW w:w="3969" w:type="dxa"/>
          </w:tcPr>
          <w:p w14:paraId="35A6B91E" w14:textId="77777777" w:rsidR="00CA7016" w:rsidRPr="00A0513E" w:rsidRDefault="00CA7016" w:rsidP="003C3F6A">
            <w:pPr>
              <w:pStyle w:val="02Tabletext"/>
            </w:pPr>
            <w:r w:rsidRPr="00A0513E">
              <w:t xml:space="preserve">Microscopy of faeces for ova, cysts and parasites using concentration techniques examined subsequent to item 69336 on a separately collected and identified specimen collected within 7 days of the examination described in 69336 - 1 examination in any </w:t>
            </w:r>
            <w:proofErr w:type="gramStart"/>
            <w:r w:rsidRPr="00A0513E">
              <w:t>7</w:t>
            </w:r>
            <w:r>
              <w:t xml:space="preserve"> </w:t>
            </w:r>
            <w:r w:rsidRPr="00A0513E">
              <w:t>day</w:t>
            </w:r>
            <w:proofErr w:type="gramEnd"/>
            <w:r w:rsidRPr="00A0513E">
              <w:t xml:space="preserve"> period</w:t>
            </w:r>
            <w:r>
              <w:t>.</w:t>
            </w:r>
          </w:p>
        </w:tc>
        <w:tc>
          <w:tcPr>
            <w:tcW w:w="4059" w:type="dxa"/>
          </w:tcPr>
          <w:p w14:paraId="58188F3C" w14:textId="77777777" w:rsidR="00CA7016" w:rsidRPr="00A0513E" w:rsidRDefault="00CA7016" w:rsidP="003C3F6A">
            <w:pPr>
              <w:pStyle w:val="02Tabletext"/>
            </w:pPr>
            <w:r w:rsidRPr="00A0513E">
              <w:t xml:space="preserve">Microscopy of faeces for ova, cysts and parasites using concentration techniques examined subsequent to item 693XA on a separately collected and identified specimen collected within 7 days of the examination described in 693XA - 1 examination in any </w:t>
            </w:r>
            <w:proofErr w:type="gramStart"/>
            <w:r w:rsidRPr="00A0513E">
              <w:t>7</w:t>
            </w:r>
            <w:r>
              <w:t xml:space="preserve"> </w:t>
            </w:r>
            <w:r w:rsidRPr="00A0513E">
              <w:t>day</w:t>
            </w:r>
            <w:proofErr w:type="gramEnd"/>
            <w:r w:rsidRPr="00A0513E">
              <w:t xml:space="preserve"> period</w:t>
            </w:r>
            <w:r>
              <w:t>.</w:t>
            </w:r>
          </w:p>
        </w:tc>
      </w:tr>
    </w:tbl>
    <w:p w14:paraId="3043A515" w14:textId="77777777" w:rsidR="00CA7016" w:rsidRPr="00A0513E" w:rsidRDefault="00CA7016" w:rsidP="00CA7016">
      <w:pPr>
        <w:pStyle w:val="Heading3"/>
      </w:pPr>
      <w:bookmarkStart w:id="147" w:name="_Toc12886549"/>
      <w:r w:rsidRPr="00A0513E">
        <w:t>Rationale</w:t>
      </w:r>
      <w:r>
        <w:t xml:space="preserve"> 2</w:t>
      </w:r>
      <w:bookmarkEnd w:id="147"/>
    </w:p>
    <w:p w14:paraId="2E20EC59" w14:textId="77777777" w:rsidR="00CA7016" w:rsidRPr="00B96BC0" w:rsidRDefault="00CA7016" w:rsidP="00CA7016">
      <w:r w:rsidRPr="00B96BC0">
        <w:t>These recommendations focus on ensuring best practice and are based on the following observations.</w:t>
      </w:r>
    </w:p>
    <w:p w14:paraId="4017E461" w14:textId="77777777" w:rsidR="00CA7016" w:rsidRPr="0045555C" w:rsidRDefault="00CA7016" w:rsidP="00CA7016">
      <w:pPr>
        <w:pStyle w:val="01squarebullet"/>
      </w:pPr>
      <w:r w:rsidRPr="0045555C">
        <w:t xml:space="preserve">Since 2013, many laboratories in Australia have introduced a more sensitive and time-saving technique (multiplex PCR), which detects </w:t>
      </w:r>
      <w:proofErr w:type="spellStart"/>
      <w:r w:rsidRPr="0045555C">
        <w:rPr>
          <w:i/>
          <w:iCs/>
        </w:rPr>
        <w:t>Entamaoeba</w:t>
      </w:r>
      <w:proofErr w:type="spellEnd"/>
      <w:r w:rsidRPr="0045555C">
        <w:rPr>
          <w:i/>
          <w:iCs/>
        </w:rPr>
        <w:t xml:space="preserve"> histolytica, Giardia lamblia,</w:t>
      </w:r>
      <w:r w:rsidRPr="0045555C">
        <w:t xml:space="preserve"> </w:t>
      </w:r>
      <w:r w:rsidRPr="0045555C">
        <w:rPr>
          <w:i/>
          <w:iCs/>
        </w:rPr>
        <w:t xml:space="preserve">Cryptosporidium spp., Blastocystis </w:t>
      </w:r>
      <w:proofErr w:type="spellStart"/>
      <w:r w:rsidRPr="0045555C">
        <w:rPr>
          <w:iCs/>
        </w:rPr>
        <w:t>spp</w:t>
      </w:r>
      <w:proofErr w:type="spellEnd"/>
      <w:r w:rsidRPr="0045555C">
        <w:rPr>
          <w:i/>
          <w:iCs/>
        </w:rPr>
        <w:t xml:space="preserve"> </w:t>
      </w:r>
      <w:r w:rsidRPr="0045555C">
        <w:t xml:space="preserve">and </w:t>
      </w:r>
      <w:proofErr w:type="spellStart"/>
      <w:r w:rsidRPr="0045555C">
        <w:rPr>
          <w:i/>
          <w:iCs/>
        </w:rPr>
        <w:t>Dientamoeba</w:t>
      </w:r>
      <w:proofErr w:type="spellEnd"/>
      <w:r w:rsidRPr="0045555C">
        <w:rPr>
          <w:i/>
          <w:iCs/>
        </w:rPr>
        <w:t xml:space="preserve"> fragilis</w:t>
      </w:r>
      <w:r w:rsidRPr="0045555C">
        <w:t xml:space="preserve">, to screen for protozoa in </w:t>
      </w:r>
      <w:proofErr w:type="spellStart"/>
      <w:r w:rsidRPr="0045555C">
        <w:t>faeces</w:t>
      </w:r>
      <w:proofErr w:type="spellEnd"/>
      <w:r w:rsidRPr="0045555C">
        <w:t xml:space="preserve">, with potential to replace detection by microscopy, which is both subjective and time consuming. </w:t>
      </w:r>
      <w:r w:rsidR="00180148">
        <w:rPr>
          <w:rFonts w:eastAsiaTheme="minorEastAsia"/>
        </w:rPr>
        <w:t xml:space="preserve">After </w:t>
      </w:r>
      <w:r w:rsidRPr="0045555C">
        <w:rPr>
          <w:rFonts w:eastAsiaTheme="minorEastAsia"/>
        </w:rPr>
        <w:t xml:space="preserve">the introduction of </w:t>
      </w:r>
      <w:proofErr w:type="gramStart"/>
      <w:r w:rsidRPr="0045555C">
        <w:rPr>
          <w:rFonts w:eastAsiaTheme="minorEastAsia"/>
        </w:rPr>
        <w:t>PCR</w:t>
      </w:r>
      <w:proofErr w:type="gramEnd"/>
      <w:r w:rsidRPr="0045555C">
        <w:rPr>
          <w:rFonts w:eastAsiaTheme="minorEastAsia"/>
        </w:rPr>
        <w:t xml:space="preserve"> the number of positives for these parasites</w:t>
      </w:r>
      <w:r w:rsidRPr="0045555C">
        <w:t xml:space="preserve"> </w:t>
      </w:r>
      <w:r w:rsidRPr="0045555C">
        <w:rPr>
          <w:rFonts w:eastAsiaTheme="minorEastAsia"/>
        </w:rPr>
        <w:t>has increased markedly</w:t>
      </w:r>
      <w:r w:rsidR="00180148">
        <w:rPr>
          <w:rFonts w:eastAsiaTheme="minorEastAsia"/>
        </w:rPr>
        <w:t>—</w:t>
      </w:r>
      <w:r w:rsidRPr="0045555C">
        <w:rPr>
          <w:rFonts w:eastAsiaTheme="minorEastAsia"/>
        </w:rPr>
        <w:t xml:space="preserve">up to 20% of all </w:t>
      </w:r>
      <w:proofErr w:type="spellStart"/>
      <w:r w:rsidRPr="0045555C">
        <w:rPr>
          <w:rFonts w:eastAsiaTheme="minorEastAsia"/>
        </w:rPr>
        <w:t>faeces</w:t>
      </w:r>
      <w:proofErr w:type="spellEnd"/>
      <w:r>
        <w:rPr>
          <w:rFonts w:eastAsiaTheme="minorEastAsia"/>
        </w:rPr>
        <w:t xml:space="preserve"> specimens</w:t>
      </w:r>
      <w:r w:rsidRPr="0045555C">
        <w:rPr>
          <w:rFonts w:eastAsiaTheme="minorEastAsia"/>
        </w:rPr>
        <w:t xml:space="preserve"> received in the laboratory. The increase</w:t>
      </w:r>
      <w:r w:rsidRPr="0045555C">
        <w:t xml:space="preserve"> </w:t>
      </w:r>
      <w:r w:rsidRPr="0045555C">
        <w:rPr>
          <w:rFonts w:eastAsiaTheme="minorEastAsia"/>
        </w:rPr>
        <w:t xml:space="preserve">has predominantly (approximately 75% of total) been due to </w:t>
      </w:r>
      <w:r w:rsidRPr="0045555C">
        <w:rPr>
          <w:rFonts w:eastAsiaTheme="minorEastAsia"/>
          <w:i/>
          <w:iCs/>
        </w:rPr>
        <w:t xml:space="preserve">Blastocystis </w:t>
      </w:r>
      <w:proofErr w:type="spellStart"/>
      <w:r w:rsidRPr="0045555C">
        <w:rPr>
          <w:rFonts w:eastAsiaTheme="minorEastAsia"/>
          <w:i/>
          <w:iCs/>
        </w:rPr>
        <w:t>spp</w:t>
      </w:r>
      <w:proofErr w:type="spellEnd"/>
      <w:r w:rsidRPr="0045555C">
        <w:rPr>
          <w:rFonts w:eastAsiaTheme="minorEastAsia"/>
          <w:i/>
          <w:iCs/>
        </w:rPr>
        <w:t xml:space="preserve"> </w:t>
      </w:r>
      <w:r w:rsidRPr="0045555C">
        <w:rPr>
          <w:rFonts w:eastAsiaTheme="minorEastAsia"/>
        </w:rPr>
        <w:t>and</w:t>
      </w:r>
      <w:r w:rsidRPr="0045555C">
        <w:t xml:space="preserve"> </w:t>
      </w:r>
      <w:proofErr w:type="spellStart"/>
      <w:r w:rsidRPr="0045555C">
        <w:rPr>
          <w:rFonts w:eastAsiaTheme="minorEastAsia"/>
          <w:i/>
          <w:iCs/>
        </w:rPr>
        <w:t>Dientamoeba</w:t>
      </w:r>
      <w:proofErr w:type="spellEnd"/>
      <w:r w:rsidRPr="0045555C">
        <w:rPr>
          <w:rFonts w:eastAsiaTheme="minorEastAsia"/>
          <w:i/>
          <w:iCs/>
        </w:rPr>
        <w:t xml:space="preserve"> fragilis</w:t>
      </w:r>
      <w:r w:rsidRPr="0045555C">
        <w:rPr>
          <w:rFonts w:eastAsiaTheme="minorEastAsia"/>
        </w:rPr>
        <w:t xml:space="preserve">. Pathogenicity of </w:t>
      </w:r>
      <w:r w:rsidRPr="0045555C">
        <w:rPr>
          <w:rFonts w:eastAsiaTheme="minorEastAsia"/>
          <w:i/>
        </w:rPr>
        <w:t>Blastocystis</w:t>
      </w:r>
      <w:r w:rsidRPr="0045555C">
        <w:rPr>
          <w:rFonts w:eastAsiaTheme="minorEastAsia"/>
        </w:rPr>
        <w:t xml:space="preserve"> </w:t>
      </w:r>
      <w:proofErr w:type="spellStart"/>
      <w:r w:rsidRPr="0045555C">
        <w:rPr>
          <w:rFonts w:eastAsiaTheme="minorEastAsia"/>
        </w:rPr>
        <w:t>spp</w:t>
      </w:r>
      <w:proofErr w:type="spellEnd"/>
      <w:r w:rsidRPr="0045555C">
        <w:rPr>
          <w:rFonts w:eastAsiaTheme="minorEastAsia"/>
        </w:rPr>
        <w:t xml:space="preserve"> and </w:t>
      </w:r>
      <w:proofErr w:type="spellStart"/>
      <w:r w:rsidRPr="0045555C">
        <w:rPr>
          <w:rFonts w:eastAsiaTheme="minorEastAsia"/>
          <w:i/>
        </w:rPr>
        <w:t>Dientamoeba</w:t>
      </w:r>
      <w:proofErr w:type="spellEnd"/>
      <w:r w:rsidRPr="0045555C">
        <w:rPr>
          <w:rFonts w:eastAsiaTheme="minorEastAsia"/>
          <w:i/>
        </w:rPr>
        <w:t xml:space="preserve"> fragilis</w:t>
      </w:r>
      <w:r w:rsidRPr="0045555C">
        <w:rPr>
          <w:rFonts w:eastAsiaTheme="minorEastAsia"/>
        </w:rPr>
        <w:t xml:space="preserve"> has</w:t>
      </w:r>
      <w:r w:rsidRPr="0045555C">
        <w:t xml:space="preserve"> </w:t>
      </w:r>
      <w:r w:rsidRPr="0045555C">
        <w:rPr>
          <w:rFonts w:eastAsiaTheme="minorEastAsia"/>
        </w:rPr>
        <w:t>not been established in humans. Positive results are predominantly in children and in formed or semi</w:t>
      </w:r>
      <w:r>
        <w:rPr>
          <w:rFonts w:eastAsiaTheme="minorEastAsia"/>
        </w:rPr>
        <w:t>-</w:t>
      </w:r>
      <w:r w:rsidRPr="0045555C">
        <w:rPr>
          <w:rFonts w:eastAsiaTheme="minorEastAsia"/>
        </w:rPr>
        <w:t xml:space="preserve">formed </w:t>
      </w:r>
      <w:proofErr w:type="spellStart"/>
      <w:r w:rsidRPr="0045555C">
        <w:rPr>
          <w:rFonts w:eastAsiaTheme="minorEastAsia"/>
        </w:rPr>
        <w:t>faeces</w:t>
      </w:r>
      <w:proofErr w:type="spellEnd"/>
      <w:r w:rsidRPr="0045555C">
        <w:rPr>
          <w:rFonts w:eastAsiaTheme="minorEastAsia"/>
        </w:rPr>
        <w:t xml:space="preserve"> and rarely in loose </w:t>
      </w:r>
      <w:proofErr w:type="spellStart"/>
      <w:r w:rsidRPr="0045555C">
        <w:rPr>
          <w:rFonts w:eastAsiaTheme="minorEastAsia"/>
        </w:rPr>
        <w:t>faeces</w:t>
      </w:r>
      <w:proofErr w:type="spellEnd"/>
      <w:r w:rsidRPr="0045555C">
        <w:rPr>
          <w:rFonts w:eastAsiaTheme="minorEastAsia"/>
        </w:rPr>
        <w:t>.</w:t>
      </w:r>
      <w:r>
        <w:rPr>
          <w:rFonts w:eastAsiaTheme="minorEastAsia"/>
        </w:rPr>
        <w:fldChar w:fldCharType="begin">
          <w:fldData xml:space="preserve">PEVuZE5vdGU+PENpdGU+PEF1dGhvcj5Cb3dlbjwvQXV0aG9yPjxZZWFyPjIwMTY8L1llYXI+PFJl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</w:fldData>
        </w:fldChar>
      </w:r>
      <w:r w:rsidR="00365487">
        <w:rPr>
          <w:rFonts w:eastAsiaTheme="minorEastAsia"/>
        </w:rPr>
        <w:instrText xml:space="preserve"> ADDIN EN.CITE </w:instrText>
      </w:r>
      <w:r w:rsidR="00365487">
        <w:rPr>
          <w:rFonts w:eastAsiaTheme="minorEastAsia"/>
        </w:rPr>
        <w:fldChar w:fldCharType="begin">
          <w:fldData xml:space="preserve">PEVuZE5vdGU+PENpdGU+PEF1dGhvcj5Cb3dlbjwvQXV0aG9yPjxZZWFyPjIwMTY8L1llYXI+PFJl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</w:fldData>
        </w:fldChar>
      </w:r>
      <w:r w:rsidR="00365487">
        <w:rPr>
          <w:rFonts w:eastAsiaTheme="minorEastAsia"/>
        </w:rPr>
        <w:instrText xml:space="preserve"> ADDIN EN.CITE.DATA </w:instrText>
      </w:r>
      <w:r w:rsidR="00365487">
        <w:rPr>
          <w:rFonts w:eastAsiaTheme="minorEastAsia"/>
        </w:rPr>
      </w:r>
      <w:r w:rsidR="00365487">
        <w:rPr>
          <w:rFonts w:eastAsiaTheme="minorEastAsia"/>
        </w:rPr>
        <w:fldChar w:fldCharType="end"/>
      </w:r>
      <w:r>
        <w:rPr>
          <w:rFonts w:eastAsiaTheme="minorEastAsia"/>
        </w:rPr>
      </w:r>
      <w:r>
        <w:rPr>
          <w:rFonts w:eastAsiaTheme="minorEastAsia"/>
        </w:rPr>
        <w:fldChar w:fldCharType="separate"/>
      </w:r>
      <w:r w:rsidR="00EE147F">
        <w:rPr>
          <w:rFonts w:eastAsiaTheme="minorEastAsia"/>
          <w:noProof/>
        </w:rPr>
        <w:t xml:space="preserve"> [2</w:t>
      </w:r>
      <w:r w:rsidR="00DB6544">
        <w:rPr>
          <w:rFonts w:eastAsiaTheme="minorEastAsia"/>
          <w:noProof/>
        </w:rPr>
        <w:t>]</w:t>
      </w:r>
      <w:r w:rsidR="00EE147F">
        <w:rPr>
          <w:rFonts w:eastAsiaTheme="minorEastAsia"/>
          <w:noProof/>
        </w:rPr>
        <w:t>, [3]</w:t>
      </w:r>
      <w:r>
        <w:rPr>
          <w:rFonts w:eastAsiaTheme="minorEastAsia"/>
        </w:rPr>
        <w:fldChar w:fldCharType="end"/>
      </w:r>
      <w:r w:rsidRPr="0045555C">
        <w:t xml:space="preserve"> This has reportedly resulted in increased medical consultations and unnecessary use of antimicrobials, along with anxiety and uncertainty for families.</w:t>
      </w:r>
      <w:r>
        <w:fldChar w:fldCharType="begin"/>
      </w:r>
      <w:r w:rsidR="00365487">
        <w:instrText xml:space="preserve"> ADDIN EN.CITE &lt;EndNote&gt;&lt;Cite&gt;&lt;Author&gt;Bowen&lt;/Author&gt;&lt;Year&gt;2016&lt;/Year&gt;&lt;RecNum&gt;2&lt;/RecNum&gt;&lt;DisplayText&gt; [2]&lt;/DisplayText&gt;&lt;record&gt;&lt;rec-number&gt;2&lt;/rec-number&gt;&lt;foreign-keys&gt;&lt;key app="EN" db-id="9rerxxddifw5xaewxvlxffw2vsfzrarx0vva" timestamp="1506991271"&gt;2&lt;/key&gt;&lt;/foreign-keys&gt;&lt;ref-type name="Journal Article"&gt;17&lt;/ref-type&gt;&lt;contributors&gt;&lt;authors&gt;&lt;author&gt;Bowen, A. C.&lt;/author&gt;&lt;author&gt;Sheorey, H.&lt;/author&gt;&lt;author&gt;Bryant, P. A.&lt;/author&gt;&lt;author&gt;Robson, J.&lt;/author&gt;&lt;author&gt;Burgner, D. P.&lt;/author&gt;&lt;/authors&gt;&lt;/contributors&gt;&lt;auth-address&gt;Princess Margaret Hospital for Children, Perth, WA asha.bowen@health.wa.gov.au.&amp;#xD;St Vincent&amp;apos;s Pathology, Melbourne, VIC.&amp;#xD;Murdoch Childrens Research Institute, Melbourne, VIC.&amp;#xD;Sullivan Nicolaides Pathology, Brisbane, QLD.&lt;/auth-address&gt;&lt;titles&gt;&lt;title&gt;Polymerase chain reaction testing for faecal parasites: risks and alternatives&lt;/title&gt;&lt;secondary-title&gt;Medical Journal of Australia&lt;/secondary-title&gt;&lt;alt-title&gt;The Medical journal of Australia&lt;/alt-title&gt;&lt;/titles&gt;&lt;alt-periodical&gt;&lt;full-title&gt;Med J Aust&lt;/full-title&gt;&lt;abbr-1&gt;The Medical journal of Australia&lt;/abbr-1&gt;&lt;/alt-periodical&gt;&lt;pages&gt;262&lt;/pages&gt;&lt;volume&gt;204&lt;/volume&gt;&lt;number&gt;7&lt;/number&gt;&lt;edition&gt;2016/04/15&lt;/edition&gt;&lt;keywords&gt;&lt;keyword&gt;Australia&lt;/keyword&gt;&lt;keyword&gt;Blastocystis/isolation &amp;amp; purification&lt;/keyword&gt;&lt;keyword&gt;Dientamoeba/isolation &amp;amp; purification&lt;/keyword&gt;&lt;keyword&gt;Feces/*parasitology&lt;/keyword&gt;&lt;keyword&gt;Humans&lt;/keyword&gt;&lt;keyword&gt;*Polymerase Chain Reaction/methods&lt;/keyword&gt;&lt;/keywords&gt;&lt;dates&gt;&lt;year&gt;2016&lt;/year&gt;&lt;pub-dates&gt;&lt;date&gt;Apr 18&lt;/date&gt;&lt;/pub-dates&gt;&lt;/dates&gt;&lt;isbn&gt;0025-729x&lt;/isbn&gt;&lt;accession-num&gt;27078595&lt;/accession-num&gt;&lt;urls&gt;&lt;related-urls&gt;&lt;url&gt;https://www.mja.com.au/journal/2016/204/7/polymerase-chain-reaction-testing-faecal-parasites-risks-and-alternatives&lt;/url&gt;&lt;/related-urls&gt;&lt;/urls&gt;&lt;remote-database-provider&gt;NLM&lt;/remote-database-provider&gt;&lt;language&gt;eng&lt;/language&gt;&lt;access-date&gt;&amp;lt;Date&amp;gt;&amp;lt;Month&amp;gt;&amp;lt;Year&amp;gt;&lt;/access-date&gt;&lt;/record&gt;&lt;/Cite&gt;&lt;/EndNote&gt;</w:instrText>
      </w:r>
      <w:r>
        <w:fldChar w:fldCharType="separate"/>
      </w:r>
      <w:r w:rsidR="00EE147F">
        <w:rPr>
          <w:noProof/>
        </w:rPr>
        <w:t xml:space="preserve"> [2]</w:t>
      </w:r>
      <w:r>
        <w:fldChar w:fldCharType="end"/>
      </w:r>
      <w:r w:rsidRPr="0045555C">
        <w:t xml:space="preserve"> </w:t>
      </w:r>
    </w:p>
    <w:p w14:paraId="6FA1331B" w14:textId="77777777" w:rsidR="00CA7016" w:rsidRDefault="00CA7016" w:rsidP="00CA7016">
      <w:pPr>
        <w:pStyle w:val="01squarebullet"/>
      </w:pPr>
      <w:r w:rsidRPr="0045555C">
        <w:t xml:space="preserve">Advice from Australia and New Zealand </w:t>
      </w:r>
      <w:proofErr w:type="spellStart"/>
      <w:r w:rsidRPr="0045555C">
        <w:t>Paediatric</w:t>
      </w:r>
      <w:proofErr w:type="spellEnd"/>
      <w:r w:rsidRPr="0045555C">
        <w:t xml:space="preserve"> Infectious Diseases (ANZPID) Group of Australasian Society for Infectious Diseases (ASID)</w:t>
      </w:r>
      <w:r w:rsidRPr="0045555C">
        <w:rPr>
          <w:vertAlign w:val="superscript"/>
        </w:rPr>
        <w:t xml:space="preserve"> </w:t>
      </w:r>
      <w:r w:rsidRPr="0045555C">
        <w:t xml:space="preserve">and RCPA suggests that </w:t>
      </w:r>
      <w:r w:rsidRPr="0045555C">
        <w:rPr>
          <w:i/>
        </w:rPr>
        <w:t xml:space="preserve">Giardia, </w:t>
      </w:r>
      <w:r w:rsidRPr="0045555C">
        <w:rPr>
          <w:i/>
        </w:rPr>
        <w:lastRenderedPageBreak/>
        <w:t xml:space="preserve">Cryptosporidium and E. histolytica </w:t>
      </w:r>
      <w:r w:rsidRPr="0045555C">
        <w:t>should be reported</w:t>
      </w:r>
      <w:r>
        <w:t>, with</w:t>
      </w:r>
      <w:r w:rsidRPr="0045555C">
        <w:t xml:space="preserve"> unnecessary reporting of </w:t>
      </w:r>
      <w:proofErr w:type="spellStart"/>
      <w:r w:rsidRPr="0045555C">
        <w:rPr>
          <w:i/>
        </w:rPr>
        <w:t>Dientamoeba</w:t>
      </w:r>
      <w:proofErr w:type="spellEnd"/>
      <w:r w:rsidRPr="0045555C">
        <w:rPr>
          <w:i/>
        </w:rPr>
        <w:t xml:space="preserve"> fragilis</w:t>
      </w:r>
      <w:r w:rsidRPr="0045555C">
        <w:t xml:space="preserve"> or </w:t>
      </w:r>
      <w:r w:rsidRPr="0045555C">
        <w:rPr>
          <w:i/>
        </w:rPr>
        <w:t xml:space="preserve">Blastocystis hominis </w:t>
      </w:r>
      <w:r w:rsidRPr="0045555C">
        <w:t>avoided</w:t>
      </w:r>
      <w:r w:rsidRPr="0045555C">
        <w:rPr>
          <w:i/>
        </w:rPr>
        <w:t>.</w:t>
      </w:r>
      <w:r w:rsidRPr="00FC298A">
        <w:fldChar w:fldCharType="begin">
          <w:fldData xml:space="preserve">PEVuZE5vdGU+PENpdGU+PEF1dGhvcj5Cb3dlbjwvQXV0aG9yPjxZZWFyPjIwMTY8L1llYXI+PFJl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</w:fldData>
        </w:fldChar>
      </w:r>
      <w:r w:rsidR="00365487">
        <w:instrText xml:space="preserve"> ADDIN EN.CITE </w:instrText>
      </w:r>
      <w:r w:rsidR="00365487">
        <w:fldChar w:fldCharType="begin">
          <w:fldData xml:space="preserve">PEVuZE5vdGU+PENpdGU+PEF1dGhvcj5Cb3dlbjwvQXV0aG9yPjxZZWFyPjIwMTY8L1llYXI+PFJl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</w:fldData>
        </w:fldChar>
      </w:r>
      <w:r w:rsidR="00365487">
        <w:instrText xml:space="preserve"> ADDIN EN.CITE.DATA </w:instrText>
      </w:r>
      <w:r w:rsidR="00365487">
        <w:fldChar w:fldCharType="end"/>
      </w:r>
      <w:r w:rsidRPr="00FC298A">
        <w:fldChar w:fldCharType="separate"/>
      </w:r>
      <w:r w:rsidR="00EE147F">
        <w:rPr>
          <w:noProof/>
        </w:rPr>
        <w:t xml:space="preserve"> [2</w:t>
      </w:r>
      <w:r w:rsidR="00DB6544">
        <w:rPr>
          <w:noProof/>
        </w:rPr>
        <w:t>]</w:t>
      </w:r>
      <w:r w:rsidR="00EE147F">
        <w:rPr>
          <w:noProof/>
        </w:rPr>
        <w:t>, [3]</w:t>
      </w:r>
      <w:r w:rsidRPr="00FC298A">
        <w:fldChar w:fldCharType="end"/>
      </w:r>
      <w:r>
        <w:rPr>
          <w:i/>
        </w:rPr>
        <w:t xml:space="preserve"> </w:t>
      </w:r>
    </w:p>
    <w:p w14:paraId="163272CB"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The increase in notifications for both parasites and bacterial </w:t>
      </w:r>
      <w:proofErr w:type="spellStart"/>
      <w:r w:rsidRPr="00A8360B">
        <w:t>enteropathogens</w:t>
      </w:r>
      <w:proofErr w:type="spellEnd"/>
      <w:r>
        <w:t xml:space="preserve"> to the</w:t>
      </w:r>
      <w:r w:rsidRPr="00A8360B">
        <w:t xml:space="preserve"> </w:t>
      </w:r>
      <w:r w:rsidRPr="00A8360B">
        <w:rPr>
          <w:bCs/>
        </w:rPr>
        <w:t>National Notifiable Diseases Surveillance System</w:t>
      </w:r>
      <w:r w:rsidRPr="00A8360B">
        <w:t> (NNDSS)</w:t>
      </w:r>
      <w:r w:rsidRPr="00A0513E">
        <w:t xml:space="preserve"> is supported by MBS data. Item 69345 faeces culture and item</w:t>
      </w:r>
      <w:r>
        <w:t xml:space="preserve"> 69496 PCR (</w:t>
      </w:r>
      <w:r w:rsidR="00180148">
        <w:t xml:space="preserve">three </w:t>
      </w:r>
      <w:r>
        <w:t>or more tests) have</w:t>
      </w:r>
      <w:r w:rsidRPr="00A0513E">
        <w:t xml:space="preserve"> </w:t>
      </w:r>
      <w:r>
        <w:t>had</w:t>
      </w:r>
      <w:r w:rsidRPr="00A0513E">
        <w:t xml:space="preserve"> an annual growth rate of 200% over 2012</w:t>
      </w:r>
      <w:r>
        <w:t>–</w:t>
      </w:r>
      <w:r w:rsidRPr="00A0513E">
        <w:t>2016.</w:t>
      </w:r>
      <w:r>
        <w:t xml:space="preserve"> </w:t>
      </w:r>
      <w:r w:rsidRPr="00A0513E">
        <w:t xml:space="preserve">Significantly, many notifications for bacterial </w:t>
      </w:r>
      <w:proofErr w:type="spellStart"/>
      <w:r w:rsidRPr="00A0513E">
        <w:t>enteropathogens</w:t>
      </w:r>
      <w:proofErr w:type="spellEnd"/>
      <w:r w:rsidRPr="00A0513E">
        <w:t xml:space="preserve"> are by PCR and not culture. </w:t>
      </w:r>
    </w:p>
    <w:p w14:paraId="286AA373"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The rationale behind combining NAAT, microscopy and culture is to encourage pathologists to perform the most appropriate test in accordance with clinical notes of the request and thus to prevent unnecessary testing. </w:t>
      </w:r>
    </w:p>
    <w:p w14:paraId="1E0D341E" w14:textId="77777777" w:rsidR="00CA7016" w:rsidRPr="00A0513E" w:rsidRDefault="00CA7016" w:rsidP="00CA7016">
      <w:pPr>
        <w:pStyle w:val="NormalBulleted"/>
        <w:numPr>
          <w:ilvl w:val="0"/>
          <w:numId w:val="17"/>
        </w:numPr>
        <w:spacing w:before="120" w:after="60" w:line="240" w:lineRule="auto"/>
        <w:ind w:right="142"/>
        <w:contextualSpacing w:val="0"/>
      </w:pPr>
      <w:r w:rsidRPr="00A0513E">
        <w:t>Whil</w:t>
      </w:r>
      <w:r>
        <w:t>e</w:t>
      </w:r>
      <w:r w:rsidRPr="00A0513E">
        <w:t xml:space="preserve"> NAAT tests may eventually be the first test of choice for many organisms, microscopy and culture still need to be retained within the MBS to allow access to these tests in rural or remote areas where NAAT may not yet be available</w:t>
      </w:r>
      <w:r w:rsidR="00180148">
        <w:t>,</w:t>
      </w:r>
      <w:r w:rsidRPr="00A0513E">
        <w:t xml:space="preserve"> and </w:t>
      </w:r>
      <w:r w:rsidR="00F4766E">
        <w:t xml:space="preserve">for </w:t>
      </w:r>
      <w:r w:rsidR="00180148" w:rsidRPr="00A0513E">
        <w:t>whe</w:t>
      </w:r>
      <w:r w:rsidR="00180148">
        <w:t>n</w:t>
      </w:r>
      <w:r w:rsidR="00180148" w:rsidRPr="00A0513E">
        <w:t xml:space="preserve"> </w:t>
      </w:r>
      <w:r w:rsidR="00F4766E">
        <w:t xml:space="preserve">a </w:t>
      </w:r>
      <w:r w:rsidR="00F4766E" w:rsidRPr="00A0513E">
        <w:t xml:space="preserve">pathogen </w:t>
      </w:r>
      <w:r>
        <w:t>is no</w:t>
      </w:r>
      <w:r w:rsidR="00F4766E">
        <w:t>t</w:t>
      </w:r>
      <w:r>
        <w:t xml:space="preserve"> </w:t>
      </w:r>
      <w:r w:rsidRPr="00A0513E">
        <w:t>inclu</w:t>
      </w:r>
      <w:r w:rsidR="00F4766E">
        <w:t>ded</w:t>
      </w:r>
      <w:r w:rsidRPr="00A0513E">
        <w:t xml:space="preserve"> in </w:t>
      </w:r>
      <w:r w:rsidR="00F4766E">
        <w:t xml:space="preserve">the </w:t>
      </w:r>
      <w:r w:rsidRPr="00A0513E">
        <w:t>NAAT panel</w:t>
      </w:r>
      <w:r w:rsidR="00180148">
        <w:t>,</w:t>
      </w:r>
      <w:r w:rsidR="00180148" w:rsidRPr="00A0513E">
        <w:t xml:space="preserve"> </w:t>
      </w:r>
      <w:r w:rsidR="00180148">
        <w:t>for example,</w:t>
      </w:r>
      <w:r>
        <w:t xml:space="preserve"> </w:t>
      </w:r>
      <w:r w:rsidRPr="00885470">
        <w:rPr>
          <w:i/>
        </w:rPr>
        <w:t>Vibrio cholera.</w:t>
      </w:r>
    </w:p>
    <w:p w14:paraId="7B95255B" w14:textId="77777777" w:rsidR="00CA7016" w:rsidRPr="00A0513E" w:rsidRDefault="00CA7016" w:rsidP="00CA7016">
      <w:pPr>
        <w:pStyle w:val="NormalBulleted"/>
        <w:numPr>
          <w:ilvl w:val="0"/>
          <w:numId w:val="17"/>
        </w:numPr>
        <w:spacing w:before="120" w:after="60" w:line="240" w:lineRule="auto"/>
        <w:ind w:right="142"/>
        <w:contextualSpacing w:val="0"/>
      </w:pPr>
      <w:r>
        <w:t>Maintaining</w:t>
      </w:r>
      <w:r w:rsidRPr="00A0513E">
        <w:t xml:space="preserve"> a specific item for </w:t>
      </w:r>
      <w:r w:rsidRPr="00885470">
        <w:rPr>
          <w:i/>
        </w:rPr>
        <w:t>Clostridium difficile</w:t>
      </w:r>
      <w:r w:rsidRPr="00A0513E">
        <w:t xml:space="preserve"> independent of faeces testing is consistent with 2016 Australian Public Health Laboratory Network laboratory case definition (</w:t>
      </w:r>
      <w:r>
        <w:t xml:space="preserve">PHLN </w:t>
      </w:r>
      <w:r w:rsidRPr="00A0513E">
        <w:t xml:space="preserve">LCD) on </w:t>
      </w:r>
      <w:r w:rsidRPr="00885470">
        <w:rPr>
          <w:i/>
        </w:rPr>
        <w:t>C. difficile</w:t>
      </w:r>
      <w:r w:rsidRPr="00A0513E">
        <w:t xml:space="preserve"> testing</w:t>
      </w:r>
      <w:r>
        <w:t>,</w:t>
      </w:r>
      <w:r w:rsidRPr="00A0513E">
        <w:t xml:space="preserve"> which aims to discriminate between clinical disease and colonisation.</w:t>
      </w:r>
      <w:r>
        <w:fldChar w:fldCharType="begin"/>
      </w:r>
      <w:r w:rsidR="00AB00BA">
        <w:instrText xml:space="preserve"> ADDIN EN.CITE &lt;EndNote&gt;&lt;Cite&gt;&lt;Author&gt;Gilbert&lt;/Author&gt;&lt;Year&gt;2016&lt;/Year&gt;&lt;RecNum&gt;4&lt;/RecNum&gt;&lt;DisplayText&gt; [4]&lt;/DisplayText&gt;&lt;record&gt;&lt;rec-number&gt;4&lt;/rec-number&gt;&lt;foreign-keys&gt;&lt;key app="EN" db-id="9rerxxddifw5xaewxvlxffw2vsfzrarx0vva" timestamp="1506991274"&gt;4&lt;/key&gt;&lt;/foreign-keys&gt;&lt;ref-type name="Report"&gt;27&lt;/ref-type&gt;&lt;contributors&gt;&lt;authors&gt;&lt;author&gt;Gilbert, L &lt;/author&gt;&lt;/authors&gt;&lt;/contributors&gt;&lt;titles&gt;&lt;title&gt;Clostridium difficile infection laboratory case definition&lt;/title&gt;&lt;/titles&gt;&lt;dates&gt;&lt;year&gt;2016&lt;/year&gt;&lt;/dates&gt;&lt;pub-location&gt;Canberra&lt;/pub-location&gt;&lt;publisher&gt;Public Health Laboratory Network&lt;/publisher&gt;&lt;urls&gt;&lt;related-urls&gt;&lt;url&gt;http://www.health.gov.au/internet/main/publishing.nsf/Content/cda-phlncd-clostridium-difficile-infection-(CDI).htm&lt;/url&gt;&lt;/related-urls&gt;&lt;/urls&gt;&lt;access-date&gt;29 June 2017&lt;/access-date&gt;&lt;/record&gt;&lt;/Cite&gt;&lt;/EndNote&gt;</w:instrText>
      </w:r>
      <w:r>
        <w:fldChar w:fldCharType="separate"/>
      </w:r>
      <w:r w:rsidR="00EE147F">
        <w:rPr>
          <w:noProof/>
        </w:rPr>
        <w:t xml:space="preserve"> [4]</w:t>
      </w:r>
      <w:r>
        <w:fldChar w:fldCharType="end"/>
      </w:r>
      <w:r>
        <w:t xml:space="preserve"> </w:t>
      </w:r>
      <w:r w:rsidRPr="00A0513E">
        <w:t xml:space="preserve">Testing criteria define the patient groups </w:t>
      </w:r>
      <w:r>
        <w:t xml:space="preserve">for which </w:t>
      </w:r>
      <w:r w:rsidRPr="00A0513E">
        <w:t>testing is appropriate and outline protocols for repeat testing. The LCD states:</w:t>
      </w:r>
    </w:p>
    <w:p w14:paraId="23C718AF" w14:textId="77777777" w:rsidR="00CA7016" w:rsidRPr="008956DD" w:rsidRDefault="00CA7016" w:rsidP="00CA7016">
      <w:pPr>
        <w:pStyle w:val="02dash"/>
        <w:numPr>
          <w:ilvl w:val="1"/>
          <w:numId w:val="28"/>
        </w:numPr>
        <w:tabs>
          <w:tab w:val="clear" w:pos="427"/>
          <w:tab w:val="num" w:pos="567"/>
        </w:tabs>
        <w:ind w:left="567" w:hanging="142"/>
      </w:pPr>
      <w:r w:rsidRPr="008956DD">
        <w:t xml:space="preserve">Tests for toxigenic </w:t>
      </w:r>
      <w:r w:rsidRPr="00885470">
        <w:rPr>
          <w:i/>
        </w:rPr>
        <w:t>C. difficile</w:t>
      </w:r>
      <w:r w:rsidRPr="008956DD">
        <w:t xml:space="preserve"> should only be performed on unformed stool specimens (or gut contents from patients with </w:t>
      </w:r>
      <w:proofErr w:type="spellStart"/>
      <w:r w:rsidRPr="008956DD">
        <w:t>diarrhoea</w:t>
      </w:r>
      <w:proofErr w:type="spellEnd"/>
      <w:r w:rsidRPr="008956DD">
        <w:t>), unless ileus is suspected.</w:t>
      </w:r>
    </w:p>
    <w:p w14:paraId="280AB888" w14:textId="77777777" w:rsidR="00CA7016" w:rsidRPr="008956DD" w:rsidRDefault="00CA7016" w:rsidP="00CA7016">
      <w:pPr>
        <w:pStyle w:val="02dash"/>
        <w:numPr>
          <w:ilvl w:val="1"/>
          <w:numId w:val="28"/>
        </w:numPr>
        <w:tabs>
          <w:tab w:val="clear" w:pos="427"/>
          <w:tab w:val="num" w:pos="567"/>
        </w:tabs>
        <w:ind w:left="567" w:hanging="142"/>
      </w:pPr>
      <w:r w:rsidRPr="008956DD">
        <w:t xml:space="preserve">All adults and children </w:t>
      </w:r>
      <w:r w:rsidR="00F90820">
        <w:t xml:space="preserve">aged </w:t>
      </w:r>
      <w:r w:rsidRPr="008956DD">
        <w:t xml:space="preserve">over </w:t>
      </w:r>
      <w:r w:rsidR="00542D80">
        <w:t>two</w:t>
      </w:r>
      <w:r w:rsidR="00542D80" w:rsidRPr="008956DD">
        <w:t xml:space="preserve"> </w:t>
      </w:r>
      <w:r w:rsidRPr="008956DD">
        <w:t xml:space="preserve">years who have been </w:t>
      </w:r>
      <w:proofErr w:type="spellStart"/>
      <w:r w:rsidRPr="008956DD">
        <w:t>hospitalised</w:t>
      </w:r>
      <w:proofErr w:type="spellEnd"/>
      <w:r w:rsidRPr="008956DD">
        <w:t xml:space="preserve"> for </w:t>
      </w:r>
      <w:r w:rsidR="00542D80">
        <w:t xml:space="preserve">more than </w:t>
      </w:r>
      <w:r w:rsidR="00F90820" w:rsidRPr="008956DD">
        <w:t>48</w:t>
      </w:r>
      <w:r w:rsidR="00F90820">
        <w:t> </w:t>
      </w:r>
      <w:r w:rsidRPr="008956DD">
        <w:t xml:space="preserve">hours and develop </w:t>
      </w:r>
      <w:proofErr w:type="spellStart"/>
      <w:r w:rsidRPr="008956DD">
        <w:t>diarrhoea</w:t>
      </w:r>
      <w:proofErr w:type="spellEnd"/>
      <w:r w:rsidRPr="008956DD">
        <w:t xml:space="preserve"> </w:t>
      </w:r>
      <w:r w:rsidR="00542D80" w:rsidRPr="008956DD">
        <w:t>(</w:t>
      </w:r>
      <w:r w:rsidR="00542D80">
        <w:t xml:space="preserve">more than </w:t>
      </w:r>
      <w:r w:rsidR="00F90820">
        <w:t>three</w:t>
      </w:r>
      <w:r w:rsidR="00F90820" w:rsidRPr="008956DD">
        <w:t xml:space="preserve"> </w:t>
      </w:r>
      <w:r w:rsidRPr="008956DD">
        <w:t xml:space="preserve">unformed stools </w:t>
      </w:r>
      <w:r>
        <w:t>i</w:t>
      </w:r>
      <w:r w:rsidRPr="008956DD">
        <w:t xml:space="preserve">n a 24-hour period) should be tested for </w:t>
      </w:r>
      <w:r w:rsidRPr="003754C8">
        <w:rPr>
          <w:i/>
        </w:rPr>
        <w:t>C. difficile</w:t>
      </w:r>
      <w:r w:rsidRPr="00A0513E">
        <w:t xml:space="preserve"> </w:t>
      </w:r>
      <w:r>
        <w:t>infection</w:t>
      </w:r>
      <w:r w:rsidRPr="008956DD">
        <w:t>.</w:t>
      </w:r>
    </w:p>
    <w:p w14:paraId="3E5613C5" w14:textId="77777777" w:rsidR="00CA7016" w:rsidRPr="008956DD" w:rsidRDefault="00CA7016" w:rsidP="00CA7016">
      <w:pPr>
        <w:pStyle w:val="02dash"/>
        <w:numPr>
          <w:ilvl w:val="1"/>
          <w:numId w:val="28"/>
        </w:numPr>
        <w:tabs>
          <w:tab w:val="clear" w:pos="427"/>
          <w:tab w:val="num" w:pos="567"/>
        </w:tabs>
        <w:ind w:left="567" w:hanging="142"/>
      </w:pPr>
      <w:r w:rsidRPr="008956DD">
        <w:t xml:space="preserve">All adults and children </w:t>
      </w:r>
      <w:r w:rsidR="00F90820">
        <w:t xml:space="preserve">aged </w:t>
      </w:r>
      <w:r w:rsidRPr="008956DD">
        <w:t xml:space="preserve">over </w:t>
      </w:r>
      <w:r w:rsidR="00F90820">
        <w:t>two</w:t>
      </w:r>
      <w:r w:rsidR="00F90820" w:rsidRPr="008956DD">
        <w:t xml:space="preserve"> </w:t>
      </w:r>
      <w:r w:rsidRPr="008956DD">
        <w:t xml:space="preserve">years in whom </w:t>
      </w:r>
      <w:proofErr w:type="spellStart"/>
      <w:r w:rsidRPr="008956DD">
        <w:t>diarrhoea</w:t>
      </w:r>
      <w:proofErr w:type="spellEnd"/>
      <w:r w:rsidRPr="008956DD">
        <w:t xml:space="preserve"> has persisted for </w:t>
      </w:r>
      <w:r w:rsidR="00F90820">
        <w:t xml:space="preserve">more than </w:t>
      </w:r>
      <w:r w:rsidRPr="008956DD">
        <w:t xml:space="preserve">48 hours and no other enteric pathogen has been identified should be tested for </w:t>
      </w:r>
      <w:r w:rsidRPr="003754C8">
        <w:rPr>
          <w:i/>
        </w:rPr>
        <w:t>C. difficile</w:t>
      </w:r>
      <w:r w:rsidRPr="00A0513E">
        <w:t xml:space="preserve"> </w:t>
      </w:r>
      <w:r>
        <w:t>infection</w:t>
      </w:r>
      <w:r w:rsidRPr="008956DD">
        <w:t>.</w:t>
      </w:r>
    </w:p>
    <w:p w14:paraId="074148A8" w14:textId="77777777" w:rsidR="00CA7016" w:rsidRPr="008956DD" w:rsidRDefault="00CA7016" w:rsidP="00CA7016">
      <w:pPr>
        <w:pStyle w:val="02dash"/>
        <w:numPr>
          <w:ilvl w:val="1"/>
          <w:numId w:val="28"/>
        </w:numPr>
        <w:tabs>
          <w:tab w:val="clear" w:pos="427"/>
          <w:tab w:val="num" w:pos="567"/>
        </w:tabs>
        <w:ind w:left="567" w:hanging="142"/>
      </w:pPr>
      <w:r w:rsidRPr="008956DD">
        <w:t xml:space="preserve">Repeat testing of </w:t>
      </w:r>
      <w:proofErr w:type="spellStart"/>
      <w:r w:rsidRPr="008956DD">
        <w:t>faecal</w:t>
      </w:r>
      <w:proofErr w:type="spellEnd"/>
      <w:r w:rsidRPr="008956DD">
        <w:t xml:space="preserve"> specimens during the same episode of </w:t>
      </w:r>
      <w:proofErr w:type="spellStart"/>
      <w:r w:rsidRPr="008956DD">
        <w:t>diarrhoea</w:t>
      </w:r>
      <w:proofErr w:type="spellEnd"/>
      <w:r w:rsidRPr="008956DD">
        <w:t xml:space="preserve"> is not recommended a) within 4 weeks of a positive test (response to treatment is determined by clinical criteria) or b) </w:t>
      </w:r>
      <w:r>
        <w:t>after</w:t>
      </w:r>
      <w:r w:rsidRPr="008956DD">
        <w:t xml:space="preserve"> a negative test – unless </w:t>
      </w:r>
      <w:r w:rsidRPr="003754C8">
        <w:rPr>
          <w:i/>
        </w:rPr>
        <w:t>C. difficile</w:t>
      </w:r>
      <w:r w:rsidRPr="00A0513E">
        <w:t xml:space="preserve"> </w:t>
      </w:r>
      <w:r>
        <w:t>infection</w:t>
      </w:r>
      <w:r w:rsidRPr="008956DD">
        <w:t xml:space="preserve"> is strongly suspected and a more sensitive method (e.g. NAAT) is used after a negative immunoassay.</w:t>
      </w:r>
    </w:p>
    <w:p w14:paraId="6E8D1192" w14:textId="77777777" w:rsidR="00CA7016" w:rsidRPr="008956DD" w:rsidRDefault="00CA7016" w:rsidP="00FE2566">
      <w:pPr>
        <w:pStyle w:val="02dash"/>
        <w:numPr>
          <w:ilvl w:val="1"/>
          <w:numId w:val="28"/>
        </w:numPr>
        <w:tabs>
          <w:tab w:val="clear" w:pos="427"/>
          <w:tab w:val="num" w:pos="567"/>
        </w:tabs>
        <w:ind w:left="567" w:hanging="142"/>
      </w:pPr>
      <w:r w:rsidRPr="008956DD">
        <w:t xml:space="preserve">Tests for </w:t>
      </w:r>
      <w:r w:rsidRPr="00A94912">
        <w:rPr>
          <w:i/>
        </w:rPr>
        <w:t>C. difficile</w:t>
      </w:r>
      <w:r w:rsidRPr="008956DD">
        <w:t xml:space="preserve"> </w:t>
      </w:r>
      <w:r>
        <w:t xml:space="preserve">infection </w:t>
      </w:r>
      <w:r w:rsidRPr="008956DD">
        <w:t xml:space="preserve">in children </w:t>
      </w:r>
      <w:r w:rsidR="00F90820">
        <w:t>less than two</w:t>
      </w:r>
      <w:r w:rsidR="00F90820" w:rsidRPr="008956DD">
        <w:t xml:space="preserve"> </w:t>
      </w:r>
      <w:r w:rsidRPr="008956DD">
        <w:t xml:space="preserve">years old should be performed in consultation with a </w:t>
      </w:r>
      <w:proofErr w:type="spellStart"/>
      <w:r w:rsidRPr="008956DD">
        <w:t>paediatrician</w:t>
      </w:r>
      <w:proofErr w:type="spellEnd"/>
      <w:r w:rsidRPr="008956DD">
        <w:t xml:space="preserve">, specialist microbiologist or </w:t>
      </w:r>
      <w:r>
        <w:t>approved pathology p</w:t>
      </w:r>
      <w:r w:rsidRPr="00A94912">
        <w:t xml:space="preserve">ractitioner </w:t>
      </w:r>
      <w:r>
        <w:t>(</w:t>
      </w:r>
      <w:r w:rsidRPr="008956DD">
        <w:t>APP</w:t>
      </w:r>
      <w:r>
        <w:t>)</w:t>
      </w:r>
      <w:r w:rsidRPr="008956DD">
        <w:t>.</w:t>
      </w:r>
    </w:p>
    <w:p w14:paraId="34E80540"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The addition of ‘unformed stools’ in the descriptor </w:t>
      </w:r>
      <w:r>
        <w:t xml:space="preserve">of item 69363 </w:t>
      </w:r>
      <w:r w:rsidRPr="00A0513E">
        <w:t>is in line with the PHLN LCD and will assist in highlighting that this test is only appropriate if diarrhoea is persisting.</w:t>
      </w:r>
    </w:p>
    <w:p w14:paraId="441E41CA" w14:textId="77777777" w:rsidR="00CA7016" w:rsidRDefault="00CA7016" w:rsidP="00CA7016">
      <w:pPr>
        <w:pStyle w:val="NormalBulleted"/>
        <w:numPr>
          <w:ilvl w:val="0"/>
          <w:numId w:val="17"/>
        </w:numPr>
        <w:spacing w:before="120" w:after="60" w:line="240" w:lineRule="auto"/>
        <w:ind w:right="142"/>
        <w:contextualSpacing w:val="0"/>
      </w:pPr>
      <w:r w:rsidRPr="00A0513E">
        <w:t xml:space="preserve">The Committee acknowledged that the current MBS structure does not limit testing combinations for faeces, but it is expected that the combination of the use of NAAT together with culture and microscopy for many </w:t>
      </w:r>
      <w:proofErr w:type="gramStart"/>
      <w:r w:rsidRPr="00A0513E">
        <w:t>faeces</w:t>
      </w:r>
      <w:proofErr w:type="gramEnd"/>
      <w:r w:rsidRPr="00A0513E">
        <w:t xml:space="preserve"> specimens will reduce with the proposed changes. The choice of which tests are most appropriate will be made by the provider.</w:t>
      </w:r>
    </w:p>
    <w:p w14:paraId="57CEBE8B" w14:textId="77777777" w:rsidR="00CA7016" w:rsidRPr="00A94912" w:rsidRDefault="00CA7016" w:rsidP="00CA7016">
      <w:pPr>
        <w:pStyle w:val="01squarebullet"/>
      </w:pPr>
      <w:r w:rsidRPr="00A94912">
        <w:t>MBS item</w:t>
      </w:r>
      <w:r>
        <w:t xml:space="preserve">s to facilitate </w:t>
      </w:r>
      <w:r w:rsidRPr="00A94912">
        <w:t xml:space="preserve">referral of isolates of public health significance were recommended in a Health Consult review </w:t>
      </w:r>
      <w:proofErr w:type="spellStart"/>
      <w:r w:rsidRPr="00FE2566">
        <w:rPr>
          <w:i/>
        </w:rPr>
        <w:t>Review</w:t>
      </w:r>
      <w:proofErr w:type="spellEnd"/>
      <w:r w:rsidRPr="00FE2566">
        <w:rPr>
          <w:i/>
        </w:rPr>
        <w:t xml:space="preserve"> of culture-independent diagnostic testing</w:t>
      </w:r>
      <w:r w:rsidR="0075325F">
        <w:t>,</w:t>
      </w:r>
      <w:r w:rsidRPr="00A94912">
        <w:t xml:space="preserve"> undertaken at the request of the Department of Health.</w:t>
      </w:r>
      <w:r>
        <w:fldChar w:fldCharType="begin"/>
      </w:r>
      <w:r w:rsidR="008A116E">
        <w:instrText xml:space="preserve"> ADDIN EN.CITE &lt;EndNote&gt;&lt;Cite&gt;&lt;Author&gt;Health Consult for the Department of Health Pathology Services Advisory Committee&lt;/Author&gt;&lt;Year&gt;2016&lt;/Year&gt;&lt;RecNum&gt;5&lt;/RecNum&gt;&lt;DisplayText&gt; [5]&lt;/DisplayText&gt;&lt;record&gt;&lt;rec-number&gt;5&lt;/rec-number&gt;&lt;foreign-keys&gt;&lt;key app="EN" db-id="9rerxxddifw5xaewxvlxffw2vsfzrarx0vva" timestamp="1506991275"&gt;5&lt;/key&gt;&lt;/foreign-keys&gt;&lt;ref-type name="Unpublished Work"&gt;34&lt;/ref-type&gt;&lt;contributors&gt;&lt;authors&gt;&lt;author&gt;Health Consult for the Department of Health Pathology Services Advisory Committee,&lt;/author&gt;&lt;/authors&gt;&lt;/contributors&gt;&lt;titles&gt;&lt;title&gt;Review of culture-independent diagnostic testing. Report for Department of Health - Pathology Services Advisory Committee&lt;/title&gt;&lt;/titles&gt;&lt;dates&gt;&lt;year&gt;2016&lt;/year&gt;&lt;/dates&gt;&lt;pub-location&gt;Sydney&lt;/pub-location&gt;&lt;publisher&gt;Department of Health&lt;/publisher&gt;&lt;urls&gt;&lt;/urls&gt;&lt;/record&gt;&lt;/Cite&gt;&lt;/EndNote&gt;</w:instrText>
      </w:r>
      <w:r>
        <w:fldChar w:fldCharType="separate"/>
      </w:r>
      <w:r w:rsidR="00EE147F">
        <w:rPr>
          <w:noProof/>
        </w:rPr>
        <w:t xml:space="preserve"> [5]</w:t>
      </w:r>
      <w:r>
        <w:fldChar w:fldCharType="end"/>
      </w:r>
      <w:r w:rsidR="002B3184">
        <w:t xml:space="preserve"> </w:t>
      </w:r>
      <w:r w:rsidRPr="00A94912">
        <w:t xml:space="preserve">(See recommendation in </w:t>
      </w:r>
      <w:r w:rsidRPr="00610E19">
        <w:t>Section</w:t>
      </w:r>
      <w:r w:rsidRPr="00A94912">
        <w:t xml:space="preserve"> 5.)</w:t>
      </w:r>
    </w:p>
    <w:p w14:paraId="3170C45F" w14:textId="77777777" w:rsidR="00CA7016" w:rsidRPr="00A0513E" w:rsidRDefault="00CA7016" w:rsidP="00CA7016">
      <w:pPr>
        <w:pStyle w:val="Heading2"/>
      </w:pPr>
      <w:bookmarkStart w:id="148" w:name="_Toc483989367"/>
      <w:bookmarkStart w:id="149" w:name="_Toc486939185"/>
      <w:bookmarkStart w:id="150" w:name="_Ref487641963"/>
      <w:bookmarkStart w:id="151" w:name="_Toc12886550"/>
      <w:r w:rsidRPr="00A0513E">
        <w:lastRenderedPageBreak/>
        <w:t>Urogenital</w:t>
      </w:r>
      <w:bookmarkEnd w:id="148"/>
      <w:bookmarkEnd w:id="149"/>
      <w:bookmarkEnd w:id="150"/>
      <w:bookmarkEnd w:id="151"/>
    </w:p>
    <w:p w14:paraId="4E2A3D3D" w14:textId="77777777" w:rsidR="00CA7016" w:rsidRPr="00B96BC0" w:rsidRDefault="00CA7016" w:rsidP="00CA7016">
      <w:pPr>
        <w:pStyle w:val="Caption"/>
      </w:pPr>
      <w:bookmarkStart w:id="152" w:name="_Toc484598344"/>
      <w:bookmarkStart w:id="153" w:name="_Toc486935605"/>
      <w:bookmarkStart w:id="154" w:name="_Toc12953457"/>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7A1648">
        <w:rPr>
          <w:noProof/>
        </w:rPr>
        <w:t>7</w:t>
      </w:r>
      <w:r w:rsidR="00BB490A">
        <w:rPr>
          <w:noProof/>
        </w:rPr>
        <w:fldChar w:fldCharType="end"/>
      </w:r>
      <w:r>
        <w:t xml:space="preserve">: </w:t>
      </w:r>
      <w:r w:rsidRPr="00B96BC0">
        <w:t>Item introduction table for items 69312</w:t>
      </w:r>
      <w:r>
        <w:t>, 69316, 69317 and 69319</w:t>
      </w:r>
      <w:bookmarkEnd w:id="152"/>
      <w:bookmarkEnd w:id="153"/>
      <w:bookmarkEnd w:id="154"/>
    </w:p>
    <w:tbl>
      <w:tblPr>
        <w:tblStyle w:val="TableGrid2"/>
        <w:tblW w:w="0" w:type="auto"/>
        <w:tblLayout w:type="fixed"/>
        <w:tblLook w:val="04A0" w:firstRow="1" w:lastRow="0" w:firstColumn="1" w:lastColumn="0" w:noHBand="0" w:noVBand="1"/>
        <w:tblDescription w:val="This table lists Item numbers, Long item descriptors, Schedule fees, Benefits for FY 2014–15, Services for FY 2014–15, Patient count 2014–15, and 5-year service change (CAGR) for urogenital  items 69312, 69316, 69317 and 69319.&#10;"/>
      </w:tblPr>
      <w:tblGrid>
        <w:gridCol w:w="765"/>
        <w:gridCol w:w="2786"/>
        <w:gridCol w:w="1023"/>
        <w:gridCol w:w="1254"/>
        <w:gridCol w:w="1225"/>
        <w:gridCol w:w="1007"/>
        <w:gridCol w:w="956"/>
      </w:tblGrid>
      <w:tr w:rsidR="00CA7016" w:rsidRPr="00B96BC0" w14:paraId="5D286068" w14:textId="77777777" w:rsidTr="00F20089">
        <w:trPr>
          <w:trHeight w:val="729"/>
          <w:tblHeader/>
        </w:trPr>
        <w:tc>
          <w:tcPr>
            <w:tcW w:w="765" w:type="dxa"/>
            <w:shd w:val="clear" w:color="auto" w:fill="EEECE1" w:themeFill="background2"/>
            <w:vAlign w:val="bottom"/>
            <w:hideMark/>
          </w:tcPr>
          <w:p w14:paraId="457C2700" w14:textId="77777777" w:rsidR="00CA7016" w:rsidRPr="00A0513E" w:rsidRDefault="00CA7016" w:rsidP="003C3F6A">
            <w:pPr>
              <w:pStyle w:val="01Tableheaderrow"/>
            </w:pPr>
            <w:bookmarkStart w:id="155" w:name="_Hlk484552549"/>
            <w:r w:rsidRPr="00A0513E">
              <w:t>Item</w:t>
            </w:r>
          </w:p>
        </w:tc>
        <w:tc>
          <w:tcPr>
            <w:tcW w:w="2786" w:type="dxa"/>
            <w:shd w:val="clear" w:color="auto" w:fill="EEECE1" w:themeFill="background2"/>
            <w:vAlign w:val="bottom"/>
            <w:hideMark/>
          </w:tcPr>
          <w:p w14:paraId="46F0FCAC" w14:textId="77777777" w:rsidR="00CA7016" w:rsidRPr="00A0513E" w:rsidRDefault="00CA7016" w:rsidP="003C3F6A">
            <w:pPr>
              <w:pStyle w:val="01Tableheaderrow"/>
            </w:pPr>
            <w:r w:rsidRPr="00A0513E">
              <w:t>Long item descriptor</w:t>
            </w:r>
          </w:p>
        </w:tc>
        <w:tc>
          <w:tcPr>
            <w:tcW w:w="1023" w:type="dxa"/>
            <w:shd w:val="clear" w:color="auto" w:fill="EEECE1" w:themeFill="background2"/>
            <w:vAlign w:val="bottom"/>
            <w:hideMark/>
          </w:tcPr>
          <w:p w14:paraId="261A2BE0" w14:textId="77777777" w:rsidR="00CA7016" w:rsidRPr="00A67521" w:rsidRDefault="00CA7016" w:rsidP="003C3F6A">
            <w:pPr>
              <w:pStyle w:val="01Tableheaderrow"/>
            </w:pPr>
            <w:r w:rsidRPr="00940AFD">
              <w:t>Schedule fee</w:t>
            </w:r>
          </w:p>
        </w:tc>
        <w:tc>
          <w:tcPr>
            <w:tcW w:w="1254" w:type="dxa"/>
            <w:shd w:val="clear" w:color="auto" w:fill="EEECE1" w:themeFill="background2"/>
            <w:vAlign w:val="bottom"/>
            <w:hideMark/>
          </w:tcPr>
          <w:p w14:paraId="5511FE99" w14:textId="77777777" w:rsidR="00CA7016" w:rsidRPr="00A67521" w:rsidRDefault="00CA7016" w:rsidP="003C3F6A">
            <w:pPr>
              <w:pStyle w:val="01Tableheaderrow"/>
            </w:pPr>
            <w:r w:rsidRPr="00E86846">
              <w:t>Benefits</w:t>
            </w:r>
            <w:r>
              <w:br/>
            </w:r>
            <w:r w:rsidRPr="00E86846">
              <w:t>FY 2014–15</w:t>
            </w:r>
          </w:p>
        </w:tc>
        <w:tc>
          <w:tcPr>
            <w:tcW w:w="1225" w:type="dxa"/>
            <w:shd w:val="clear" w:color="auto" w:fill="EEECE1" w:themeFill="background2"/>
            <w:vAlign w:val="bottom"/>
            <w:hideMark/>
          </w:tcPr>
          <w:p w14:paraId="2E6125B3" w14:textId="77777777" w:rsidR="00CA7016" w:rsidRPr="00A67521" w:rsidRDefault="00CA7016" w:rsidP="003C3F6A">
            <w:pPr>
              <w:pStyle w:val="01Tableheaderrow"/>
            </w:pPr>
            <w:r w:rsidRPr="00E86846">
              <w:t>Services</w:t>
            </w:r>
            <w:r>
              <w:br/>
            </w:r>
            <w:r w:rsidRPr="00E86846">
              <w:t>FY 2014–15</w:t>
            </w:r>
          </w:p>
        </w:tc>
        <w:tc>
          <w:tcPr>
            <w:tcW w:w="1007" w:type="dxa"/>
            <w:shd w:val="clear" w:color="auto" w:fill="EEECE1" w:themeFill="background2"/>
            <w:vAlign w:val="bottom"/>
            <w:hideMark/>
          </w:tcPr>
          <w:p w14:paraId="5FF01001" w14:textId="77777777" w:rsidR="00CA7016" w:rsidRPr="00A67521" w:rsidRDefault="00CA7016" w:rsidP="003C3F6A">
            <w:pPr>
              <w:pStyle w:val="01Tableheaderrow"/>
            </w:pPr>
            <w:r w:rsidRPr="00E86846">
              <w:t>Patient count 2014–15</w:t>
            </w:r>
          </w:p>
        </w:tc>
        <w:tc>
          <w:tcPr>
            <w:tcW w:w="956" w:type="dxa"/>
            <w:shd w:val="clear" w:color="auto" w:fill="EEECE1" w:themeFill="background2"/>
            <w:vAlign w:val="bottom"/>
            <w:hideMark/>
          </w:tcPr>
          <w:p w14:paraId="17A2D740" w14:textId="77777777" w:rsidR="00CA7016" w:rsidRPr="00A67521" w:rsidRDefault="00CA7016" w:rsidP="003C3F6A">
            <w:pPr>
              <w:pStyle w:val="01Tableheaderrow"/>
            </w:pPr>
            <w:r w:rsidRPr="00E86846">
              <w:t xml:space="preserve">5-year </w:t>
            </w:r>
            <w:r>
              <w:t>service change (CAGR)</w:t>
            </w:r>
          </w:p>
        </w:tc>
      </w:tr>
      <w:tr w:rsidR="00CA7016" w:rsidRPr="00B96BC0" w14:paraId="4CFA7891" w14:textId="77777777" w:rsidTr="003C3F6A">
        <w:trPr>
          <w:trHeight w:val="300"/>
        </w:trPr>
        <w:tc>
          <w:tcPr>
            <w:tcW w:w="765" w:type="dxa"/>
            <w:noWrap/>
            <w:hideMark/>
          </w:tcPr>
          <w:p w14:paraId="71074B6C" w14:textId="77777777" w:rsidR="00CA7016" w:rsidRPr="00A0513E" w:rsidRDefault="00CA7016" w:rsidP="003C3F6A">
            <w:pPr>
              <w:pStyle w:val="02Tabletext"/>
            </w:pPr>
            <w:r w:rsidRPr="00A0513E">
              <w:t>69312</w:t>
            </w:r>
          </w:p>
        </w:tc>
        <w:tc>
          <w:tcPr>
            <w:tcW w:w="2786" w:type="dxa"/>
            <w:noWrap/>
            <w:hideMark/>
          </w:tcPr>
          <w:p w14:paraId="3FE55FAD" w14:textId="77777777" w:rsidR="00CA7016" w:rsidRPr="00A0513E" w:rsidRDefault="00CA7016" w:rsidP="003C3F6A">
            <w:pPr>
              <w:pStyle w:val="02Tabletext"/>
            </w:pPr>
            <w:r w:rsidRPr="00A0513E">
              <w:t>Microscopy and culture to detect pathogenic microorganisms from urethra, vagina, cervix or rectum (except for faecal pathogens), including (if performed): (a) pathogen identification and antibiotic susceptibility testing; or (b) a service described in items 69300, 69303, 69306 and 69318; 1 or more tests on 1 or more specimens</w:t>
            </w:r>
          </w:p>
        </w:tc>
        <w:tc>
          <w:tcPr>
            <w:tcW w:w="1023" w:type="dxa"/>
            <w:noWrap/>
            <w:hideMark/>
          </w:tcPr>
          <w:p w14:paraId="5D9449FC" w14:textId="77777777" w:rsidR="00CA7016" w:rsidRPr="00A0513E" w:rsidRDefault="00CA7016" w:rsidP="003C3F6A">
            <w:pPr>
              <w:pStyle w:val="02Tabletext"/>
              <w:jc w:val="right"/>
            </w:pPr>
            <w:r w:rsidRPr="00A0513E">
              <w:t xml:space="preserve">$33.75 </w:t>
            </w:r>
          </w:p>
        </w:tc>
        <w:tc>
          <w:tcPr>
            <w:tcW w:w="1254" w:type="dxa"/>
            <w:noWrap/>
            <w:hideMark/>
          </w:tcPr>
          <w:p w14:paraId="1CE73618" w14:textId="77777777" w:rsidR="00CA7016" w:rsidRPr="00A0513E" w:rsidRDefault="00CA7016" w:rsidP="003C3F6A">
            <w:pPr>
              <w:pStyle w:val="02Tabletext"/>
              <w:jc w:val="right"/>
            </w:pPr>
            <w:r w:rsidRPr="00A0513E">
              <w:t>$23,145,700</w:t>
            </w:r>
          </w:p>
        </w:tc>
        <w:tc>
          <w:tcPr>
            <w:tcW w:w="1225" w:type="dxa"/>
            <w:noWrap/>
            <w:hideMark/>
          </w:tcPr>
          <w:p w14:paraId="6D12FF9F" w14:textId="77777777" w:rsidR="00CA7016" w:rsidRPr="00A0513E" w:rsidRDefault="00CA7016" w:rsidP="003C3F6A">
            <w:pPr>
              <w:pStyle w:val="02Tabletext"/>
              <w:jc w:val="right"/>
            </w:pPr>
            <w:r w:rsidRPr="00A0513E">
              <w:t>800,961</w:t>
            </w:r>
          </w:p>
        </w:tc>
        <w:tc>
          <w:tcPr>
            <w:tcW w:w="1007" w:type="dxa"/>
            <w:noWrap/>
            <w:hideMark/>
          </w:tcPr>
          <w:p w14:paraId="0CE56CDA" w14:textId="77777777" w:rsidR="00CA7016" w:rsidRPr="00A0513E" w:rsidRDefault="00CA7016" w:rsidP="003C3F6A">
            <w:pPr>
              <w:pStyle w:val="02Tabletext"/>
              <w:jc w:val="right"/>
            </w:pPr>
            <w:r w:rsidRPr="00A0513E">
              <w:t>683,298</w:t>
            </w:r>
          </w:p>
        </w:tc>
        <w:tc>
          <w:tcPr>
            <w:tcW w:w="956" w:type="dxa"/>
            <w:noWrap/>
            <w:hideMark/>
          </w:tcPr>
          <w:p w14:paraId="588DA4DC" w14:textId="77777777" w:rsidR="00CA7016" w:rsidRPr="00A0513E" w:rsidRDefault="00CA7016" w:rsidP="003C3F6A">
            <w:pPr>
              <w:pStyle w:val="02Tabletext"/>
              <w:jc w:val="right"/>
            </w:pPr>
            <w:r w:rsidRPr="00A0513E">
              <w:t>4.8%</w:t>
            </w:r>
          </w:p>
        </w:tc>
      </w:tr>
      <w:tr w:rsidR="00CA7016" w:rsidRPr="00B96BC0" w14:paraId="04E272B1" w14:textId="77777777" w:rsidTr="003C3F6A">
        <w:trPr>
          <w:trHeight w:val="300"/>
        </w:trPr>
        <w:tc>
          <w:tcPr>
            <w:tcW w:w="765" w:type="dxa"/>
            <w:noWrap/>
          </w:tcPr>
          <w:p w14:paraId="3FF03B0D" w14:textId="77777777" w:rsidR="00CA7016" w:rsidRPr="00A0513E" w:rsidRDefault="00CA7016" w:rsidP="003C3F6A">
            <w:pPr>
              <w:pStyle w:val="02Tabletext"/>
            </w:pPr>
            <w:r w:rsidRPr="00A0513E">
              <w:t>69316</w:t>
            </w:r>
          </w:p>
        </w:tc>
        <w:tc>
          <w:tcPr>
            <w:tcW w:w="2786" w:type="dxa"/>
            <w:noWrap/>
          </w:tcPr>
          <w:p w14:paraId="7E163C88" w14:textId="77777777" w:rsidR="00CA7016" w:rsidRPr="00A0513E" w:rsidRDefault="00CA7016" w:rsidP="003C3F6A">
            <w:pPr>
              <w:pStyle w:val="02Tabletext"/>
            </w:pPr>
            <w:r w:rsidRPr="00A0513E">
              <w:t>Detection of chlamydia trachomatis by any method - 1 test (Item is subject to rule 26)</w:t>
            </w:r>
          </w:p>
        </w:tc>
        <w:tc>
          <w:tcPr>
            <w:tcW w:w="1023" w:type="dxa"/>
            <w:noWrap/>
          </w:tcPr>
          <w:p w14:paraId="361D334E" w14:textId="77777777" w:rsidR="00CA7016" w:rsidRPr="00A0513E" w:rsidRDefault="00CA7016" w:rsidP="003C3F6A">
            <w:pPr>
              <w:pStyle w:val="02Tabletext"/>
              <w:jc w:val="right"/>
            </w:pPr>
            <w:r w:rsidRPr="00A0513E">
              <w:t>$28.65</w:t>
            </w:r>
          </w:p>
        </w:tc>
        <w:tc>
          <w:tcPr>
            <w:tcW w:w="1254" w:type="dxa"/>
            <w:noWrap/>
          </w:tcPr>
          <w:p w14:paraId="19460198" w14:textId="77777777" w:rsidR="00CA7016" w:rsidRPr="00A0513E" w:rsidRDefault="00CA7016" w:rsidP="003C3F6A">
            <w:pPr>
              <w:pStyle w:val="02Tabletext"/>
              <w:jc w:val="right"/>
            </w:pPr>
            <w:r w:rsidRPr="00A0513E">
              <w:t>$4,287,428</w:t>
            </w:r>
          </w:p>
        </w:tc>
        <w:tc>
          <w:tcPr>
            <w:tcW w:w="1225" w:type="dxa"/>
            <w:noWrap/>
          </w:tcPr>
          <w:p w14:paraId="2DB7D7EC" w14:textId="77777777" w:rsidR="00CA7016" w:rsidRPr="00A0513E" w:rsidRDefault="00CA7016" w:rsidP="003C3F6A">
            <w:pPr>
              <w:pStyle w:val="02Tabletext"/>
              <w:jc w:val="right"/>
            </w:pPr>
            <w:r w:rsidRPr="00A0513E">
              <w:t>175,172</w:t>
            </w:r>
          </w:p>
        </w:tc>
        <w:tc>
          <w:tcPr>
            <w:tcW w:w="1007" w:type="dxa"/>
            <w:noWrap/>
          </w:tcPr>
          <w:p w14:paraId="00E338F4" w14:textId="77777777" w:rsidR="00CA7016" w:rsidRPr="00A0513E" w:rsidRDefault="00CA7016" w:rsidP="003C3F6A">
            <w:pPr>
              <w:pStyle w:val="02Tabletext"/>
              <w:jc w:val="right"/>
            </w:pPr>
            <w:r w:rsidRPr="00A0513E">
              <w:t>162,785</w:t>
            </w:r>
          </w:p>
        </w:tc>
        <w:tc>
          <w:tcPr>
            <w:tcW w:w="956" w:type="dxa"/>
            <w:noWrap/>
          </w:tcPr>
          <w:p w14:paraId="280C8F4E" w14:textId="77777777" w:rsidR="00CA7016" w:rsidRPr="00A0513E" w:rsidRDefault="00CA7016" w:rsidP="003C3F6A">
            <w:pPr>
              <w:pStyle w:val="02Tabletext"/>
              <w:jc w:val="right"/>
            </w:pPr>
            <w:r>
              <w:t>–</w:t>
            </w:r>
            <w:r w:rsidRPr="00A0513E">
              <w:t>9.8%</w:t>
            </w:r>
          </w:p>
        </w:tc>
      </w:tr>
      <w:tr w:rsidR="00CA7016" w:rsidRPr="00B96BC0" w14:paraId="7408FE90" w14:textId="77777777" w:rsidTr="003C3F6A">
        <w:trPr>
          <w:trHeight w:val="300"/>
        </w:trPr>
        <w:tc>
          <w:tcPr>
            <w:tcW w:w="765" w:type="dxa"/>
            <w:noWrap/>
          </w:tcPr>
          <w:p w14:paraId="7E5696A0" w14:textId="77777777" w:rsidR="00CA7016" w:rsidRPr="00A0513E" w:rsidRDefault="00CA7016" w:rsidP="003C3F6A">
            <w:pPr>
              <w:pStyle w:val="02Tabletext"/>
            </w:pPr>
            <w:r w:rsidRPr="00A0513E">
              <w:t>69317</w:t>
            </w:r>
          </w:p>
        </w:tc>
        <w:tc>
          <w:tcPr>
            <w:tcW w:w="2786" w:type="dxa"/>
            <w:noWrap/>
          </w:tcPr>
          <w:p w14:paraId="5ADD61A9" w14:textId="77777777" w:rsidR="00CA7016" w:rsidRPr="00A0513E" w:rsidRDefault="00CA7016" w:rsidP="003C3F6A">
            <w:pPr>
              <w:pStyle w:val="02Tabletext"/>
            </w:pPr>
            <w:r w:rsidRPr="00A0513E">
              <w:t>1 test described in item 69494 and a test described in 69316.</w:t>
            </w:r>
            <w:r>
              <w:t xml:space="preserve"> </w:t>
            </w:r>
            <w:r w:rsidRPr="00A0513E">
              <w:t>(Item is subject to rule 26)</w:t>
            </w:r>
          </w:p>
        </w:tc>
        <w:tc>
          <w:tcPr>
            <w:tcW w:w="1023" w:type="dxa"/>
            <w:noWrap/>
          </w:tcPr>
          <w:p w14:paraId="79F8776B" w14:textId="77777777" w:rsidR="00CA7016" w:rsidRPr="00A0513E" w:rsidRDefault="00CA7016" w:rsidP="003C3F6A">
            <w:pPr>
              <w:pStyle w:val="02Tabletext"/>
              <w:jc w:val="right"/>
            </w:pPr>
            <w:r w:rsidRPr="00A0513E">
              <w:t>$35.85</w:t>
            </w:r>
          </w:p>
        </w:tc>
        <w:tc>
          <w:tcPr>
            <w:tcW w:w="1254" w:type="dxa"/>
            <w:noWrap/>
          </w:tcPr>
          <w:p w14:paraId="4C0A3AB5" w14:textId="77777777" w:rsidR="00CA7016" w:rsidRPr="00A0513E" w:rsidRDefault="00CA7016" w:rsidP="003C3F6A">
            <w:pPr>
              <w:pStyle w:val="02Tabletext"/>
              <w:jc w:val="right"/>
            </w:pPr>
            <w:r w:rsidRPr="00A0513E">
              <w:t>$22,175,424</w:t>
            </w:r>
          </w:p>
        </w:tc>
        <w:tc>
          <w:tcPr>
            <w:tcW w:w="1225" w:type="dxa"/>
            <w:noWrap/>
          </w:tcPr>
          <w:p w14:paraId="3F7B0EE4" w14:textId="77777777" w:rsidR="00CA7016" w:rsidRPr="00A0513E" w:rsidRDefault="00CA7016" w:rsidP="003C3F6A">
            <w:pPr>
              <w:pStyle w:val="02Tabletext"/>
              <w:jc w:val="right"/>
            </w:pPr>
            <w:r w:rsidRPr="00A0513E">
              <w:t>723,841</w:t>
            </w:r>
          </w:p>
        </w:tc>
        <w:tc>
          <w:tcPr>
            <w:tcW w:w="1007" w:type="dxa"/>
            <w:noWrap/>
          </w:tcPr>
          <w:p w14:paraId="6EF71233" w14:textId="77777777" w:rsidR="00CA7016" w:rsidRPr="00A0513E" w:rsidRDefault="00CA7016" w:rsidP="003C3F6A">
            <w:pPr>
              <w:pStyle w:val="02Tabletext"/>
              <w:jc w:val="right"/>
            </w:pPr>
            <w:r w:rsidRPr="00A0513E">
              <w:t>629,963</w:t>
            </w:r>
          </w:p>
        </w:tc>
        <w:tc>
          <w:tcPr>
            <w:tcW w:w="956" w:type="dxa"/>
            <w:noWrap/>
          </w:tcPr>
          <w:p w14:paraId="17821269" w14:textId="77777777" w:rsidR="00CA7016" w:rsidRPr="00A0513E" w:rsidRDefault="00CA7016" w:rsidP="003C3F6A">
            <w:pPr>
              <w:pStyle w:val="02Tabletext"/>
              <w:jc w:val="right"/>
            </w:pPr>
            <w:r w:rsidRPr="00A0513E">
              <w:t>12.8%</w:t>
            </w:r>
          </w:p>
        </w:tc>
      </w:tr>
      <w:tr w:rsidR="00CA7016" w:rsidRPr="00B96BC0" w14:paraId="4B882814" w14:textId="77777777" w:rsidTr="003C3F6A">
        <w:trPr>
          <w:trHeight w:val="300"/>
        </w:trPr>
        <w:tc>
          <w:tcPr>
            <w:tcW w:w="765" w:type="dxa"/>
            <w:noWrap/>
          </w:tcPr>
          <w:p w14:paraId="181AD1E7" w14:textId="77777777" w:rsidR="00CA7016" w:rsidRPr="00A0513E" w:rsidRDefault="00CA7016" w:rsidP="003C3F6A">
            <w:pPr>
              <w:pStyle w:val="02Tabletext"/>
            </w:pPr>
            <w:r w:rsidRPr="00A0513E">
              <w:t>69319</w:t>
            </w:r>
          </w:p>
        </w:tc>
        <w:tc>
          <w:tcPr>
            <w:tcW w:w="2786" w:type="dxa"/>
            <w:noWrap/>
          </w:tcPr>
          <w:p w14:paraId="57F33A7F" w14:textId="77777777" w:rsidR="00CA7016" w:rsidRPr="00A0513E" w:rsidRDefault="00CA7016" w:rsidP="003C3F6A">
            <w:pPr>
              <w:pStyle w:val="02Tabletext"/>
            </w:pPr>
            <w:r w:rsidRPr="00A0513E">
              <w:t>2 tests described in item 69494 and a test described in 69316. (Item is subject to rule 26)</w:t>
            </w:r>
          </w:p>
        </w:tc>
        <w:tc>
          <w:tcPr>
            <w:tcW w:w="1023" w:type="dxa"/>
            <w:noWrap/>
          </w:tcPr>
          <w:p w14:paraId="29180117" w14:textId="77777777" w:rsidR="00CA7016" w:rsidRPr="00A0513E" w:rsidRDefault="00CA7016" w:rsidP="003C3F6A">
            <w:pPr>
              <w:pStyle w:val="02Tabletext"/>
              <w:jc w:val="right"/>
            </w:pPr>
            <w:r w:rsidRPr="00A0513E">
              <w:t>$42.95</w:t>
            </w:r>
          </w:p>
        </w:tc>
        <w:tc>
          <w:tcPr>
            <w:tcW w:w="1254" w:type="dxa"/>
            <w:noWrap/>
          </w:tcPr>
          <w:p w14:paraId="18EE98DD" w14:textId="77777777" w:rsidR="00CA7016" w:rsidRPr="00A0513E" w:rsidRDefault="00CA7016" w:rsidP="003C3F6A">
            <w:pPr>
              <w:pStyle w:val="02Tabletext"/>
              <w:jc w:val="right"/>
            </w:pPr>
            <w:r w:rsidRPr="00A0513E">
              <w:t>$11,525,384</w:t>
            </w:r>
          </w:p>
        </w:tc>
        <w:tc>
          <w:tcPr>
            <w:tcW w:w="1225" w:type="dxa"/>
            <w:noWrap/>
          </w:tcPr>
          <w:p w14:paraId="146B1108" w14:textId="77777777" w:rsidR="00CA7016" w:rsidRPr="00A0513E" w:rsidRDefault="00CA7016" w:rsidP="003C3F6A">
            <w:pPr>
              <w:pStyle w:val="02Tabletext"/>
              <w:jc w:val="right"/>
            </w:pPr>
            <w:r w:rsidRPr="00A0513E">
              <w:t>314,080</w:t>
            </w:r>
          </w:p>
        </w:tc>
        <w:tc>
          <w:tcPr>
            <w:tcW w:w="1007" w:type="dxa"/>
            <w:noWrap/>
          </w:tcPr>
          <w:p w14:paraId="6A7922F7" w14:textId="77777777" w:rsidR="00CA7016" w:rsidRPr="00A0513E" w:rsidRDefault="00CA7016" w:rsidP="003C3F6A">
            <w:pPr>
              <w:pStyle w:val="02Tabletext"/>
              <w:jc w:val="right"/>
            </w:pPr>
            <w:r w:rsidRPr="00A0513E">
              <w:t>269,568</w:t>
            </w:r>
          </w:p>
        </w:tc>
        <w:tc>
          <w:tcPr>
            <w:tcW w:w="956" w:type="dxa"/>
            <w:noWrap/>
          </w:tcPr>
          <w:p w14:paraId="443F4D60" w14:textId="77777777" w:rsidR="00CA7016" w:rsidRPr="00A0513E" w:rsidRDefault="00CA7016" w:rsidP="003C3F6A">
            <w:pPr>
              <w:pStyle w:val="02Tabletext"/>
              <w:jc w:val="right"/>
            </w:pPr>
            <w:r w:rsidRPr="00A0513E">
              <w:t>37.4%</w:t>
            </w:r>
          </w:p>
        </w:tc>
      </w:tr>
    </w:tbl>
    <w:p w14:paraId="417656B1" w14:textId="77777777" w:rsidR="00CA7016" w:rsidRPr="00A0513E" w:rsidRDefault="00CA7016" w:rsidP="00CA7016">
      <w:pPr>
        <w:pStyle w:val="Heading3"/>
      </w:pPr>
      <w:bookmarkStart w:id="156" w:name="_Toc487621039"/>
      <w:bookmarkStart w:id="157" w:name="_Ref487790323"/>
      <w:bookmarkStart w:id="158" w:name="_Ref487790340"/>
      <w:bookmarkStart w:id="159" w:name="_Ref487790353"/>
      <w:bookmarkStart w:id="160" w:name="_Ref487790369"/>
      <w:bookmarkStart w:id="161" w:name="_Ref487790382"/>
      <w:bookmarkStart w:id="162" w:name="_Ref487790399"/>
      <w:bookmarkStart w:id="163" w:name="_Toc12886551"/>
      <w:bookmarkEnd w:id="155"/>
      <w:bookmarkEnd w:id="156"/>
      <w:r w:rsidRPr="00A0513E">
        <w:t>Recommendation</w:t>
      </w:r>
      <w:r>
        <w:t xml:space="preserve"> 3</w:t>
      </w:r>
      <w:bookmarkEnd w:id="157"/>
      <w:bookmarkEnd w:id="158"/>
      <w:bookmarkEnd w:id="159"/>
      <w:bookmarkEnd w:id="160"/>
      <w:bookmarkEnd w:id="161"/>
      <w:bookmarkEnd w:id="162"/>
      <w:bookmarkEnd w:id="163"/>
    </w:p>
    <w:p w14:paraId="73E88C74"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Retain </w:t>
      </w:r>
      <w:r>
        <w:t xml:space="preserve">microscopy and culture item </w:t>
      </w:r>
      <w:r w:rsidRPr="00A0513E">
        <w:t xml:space="preserve">69312 with a change to descriptor to include throat </w:t>
      </w:r>
      <w:proofErr w:type="gramStart"/>
      <w:r w:rsidRPr="00A0513E">
        <w:t>swab, and</w:t>
      </w:r>
      <w:proofErr w:type="gramEnd"/>
      <w:r w:rsidRPr="00A0513E">
        <w:t xml:space="preserve"> </w:t>
      </w:r>
      <w:r>
        <w:t>create</w:t>
      </w:r>
      <w:r w:rsidRPr="00A0513E">
        <w:t xml:space="preserve"> another duplicate item (693X</w:t>
      </w:r>
      <w:r>
        <w:t>B</w:t>
      </w:r>
      <w:r w:rsidRPr="00A0513E">
        <w:t>)</w:t>
      </w:r>
      <w:r>
        <w:t xml:space="preserve"> </w:t>
      </w:r>
      <w:r w:rsidRPr="00A0513E">
        <w:t>for ‘2 or more specimens</w:t>
      </w:r>
      <w:r>
        <w:t>’</w:t>
      </w:r>
      <w:r w:rsidRPr="00A0513E">
        <w:t xml:space="preserve">, as multiple sites for testing for </w:t>
      </w:r>
      <w:r w:rsidRPr="00E86846">
        <w:rPr>
          <w:i/>
        </w:rPr>
        <w:t>Chlamydia trachomatis</w:t>
      </w:r>
      <w:r w:rsidRPr="00A0513E">
        <w:t xml:space="preserve"> and </w:t>
      </w:r>
      <w:r w:rsidRPr="00E86846">
        <w:rPr>
          <w:i/>
        </w:rPr>
        <w:t>Neisseria gonorrhoeae</w:t>
      </w:r>
      <w:r w:rsidRPr="00A0513E">
        <w:t xml:space="preserve"> are recommended in the high-risk groups.</w:t>
      </w:r>
    </w:p>
    <w:p w14:paraId="3B613B46" w14:textId="77777777" w:rsidR="00CA7016" w:rsidRPr="00A0513E" w:rsidRDefault="00CA7016" w:rsidP="00CA7016">
      <w:pPr>
        <w:pStyle w:val="NormalBulleted"/>
        <w:numPr>
          <w:ilvl w:val="0"/>
          <w:numId w:val="17"/>
        </w:numPr>
        <w:spacing w:before="120" w:after="60" w:line="240" w:lineRule="auto"/>
        <w:ind w:right="142"/>
        <w:contextualSpacing w:val="0"/>
      </w:pPr>
      <w:r w:rsidRPr="00A0513E">
        <w:t>Create new item</w:t>
      </w:r>
      <w:r>
        <w:t xml:space="preserve">s, with testing methods not specified, </w:t>
      </w:r>
      <w:r w:rsidRPr="00A0513E">
        <w:t>for the detection of pathogenic microorganism</w:t>
      </w:r>
      <w:r>
        <w:t>s, other than</w:t>
      </w:r>
      <w:r w:rsidRPr="00A0513E">
        <w:t xml:space="preserve"> </w:t>
      </w:r>
      <w:r w:rsidRPr="00D15302">
        <w:rPr>
          <w:i/>
        </w:rPr>
        <w:t>Chlamydia trachomatis</w:t>
      </w:r>
      <w:r w:rsidRPr="00A0513E">
        <w:t xml:space="preserve"> and </w:t>
      </w:r>
      <w:r w:rsidRPr="00D15302">
        <w:rPr>
          <w:i/>
        </w:rPr>
        <w:t>Neisseria gonorrhoeae</w:t>
      </w:r>
      <w:r>
        <w:t xml:space="preserve">, </w:t>
      </w:r>
      <w:r w:rsidRPr="00A0513E">
        <w:t>associated with urogenital</w:t>
      </w:r>
      <w:r>
        <w:t xml:space="preserve"> or</w:t>
      </w:r>
      <w:r w:rsidRPr="00A0513E">
        <w:t xml:space="preserve"> sexually transmissible infections (STI</w:t>
      </w:r>
      <w:r w:rsidR="006540D3">
        <w:t>s</w:t>
      </w:r>
      <w:r w:rsidRPr="00A0513E">
        <w:t xml:space="preserve">) from urogenital specimens. </w:t>
      </w:r>
      <w:r>
        <w:t>One</w:t>
      </w:r>
      <w:r w:rsidRPr="00A0513E">
        <w:t xml:space="preserve"> specimen</w:t>
      </w:r>
      <w:r>
        <w:t xml:space="preserve"> (item 693XC),</w:t>
      </w:r>
      <w:r w:rsidRPr="00A0513E">
        <w:t xml:space="preserve"> and 2 or more specimens</w:t>
      </w:r>
      <w:r>
        <w:t xml:space="preserve"> (item 693XD)</w:t>
      </w:r>
      <w:r w:rsidRPr="00A0513E">
        <w:t xml:space="preserve">. </w:t>
      </w:r>
    </w:p>
    <w:p w14:paraId="1C2BAD18"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Create </w:t>
      </w:r>
      <w:r>
        <w:t>new items</w:t>
      </w:r>
      <w:r w:rsidRPr="00A0513E">
        <w:t xml:space="preserve"> for NAAT of </w:t>
      </w:r>
      <w:r w:rsidRPr="00E86846">
        <w:rPr>
          <w:i/>
        </w:rPr>
        <w:t>Chlamydia trachomatis</w:t>
      </w:r>
      <w:r w:rsidRPr="00A0513E">
        <w:t xml:space="preserve"> and </w:t>
      </w:r>
      <w:r w:rsidRPr="00E86846">
        <w:rPr>
          <w:i/>
        </w:rPr>
        <w:t>Neisseria gonorrhoeae</w:t>
      </w:r>
      <w:r w:rsidRPr="00A0513E">
        <w:t xml:space="preserve"> for </w:t>
      </w:r>
      <w:r w:rsidR="006540D3">
        <w:t xml:space="preserve">two </w:t>
      </w:r>
      <w:r w:rsidRPr="00A0513E">
        <w:t>or more tests.</w:t>
      </w:r>
      <w:r>
        <w:t xml:space="preserve"> </w:t>
      </w:r>
      <w:r w:rsidRPr="00A0513E">
        <w:t>One specimen</w:t>
      </w:r>
      <w:r>
        <w:t xml:space="preserve"> (item 693XE)</w:t>
      </w:r>
      <w:r w:rsidRPr="00A0513E">
        <w:t xml:space="preserve">, </w:t>
      </w:r>
      <w:r>
        <w:t xml:space="preserve">and </w:t>
      </w:r>
      <w:r w:rsidR="006540D3">
        <w:t>two</w:t>
      </w:r>
      <w:r w:rsidR="006540D3" w:rsidRPr="00A0513E">
        <w:t xml:space="preserve"> </w:t>
      </w:r>
      <w:r w:rsidRPr="00A0513E">
        <w:t>or more specimens</w:t>
      </w:r>
      <w:r>
        <w:t xml:space="preserve"> (item 693XF)</w:t>
      </w:r>
      <w:r w:rsidRPr="00A0513E">
        <w:t>.</w:t>
      </w:r>
    </w:p>
    <w:p w14:paraId="529C4231" w14:textId="77777777" w:rsidR="00CA7016" w:rsidRPr="00A0513E" w:rsidRDefault="00CA7016" w:rsidP="00CA7016">
      <w:pPr>
        <w:pStyle w:val="NormalBulleted"/>
        <w:numPr>
          <w:ilvl w:val="0"/>
          <w:numId w:val="17"/>
        </w:numPr>
        <w:spacing w:before="120" w:after="60" w:line="240" w:lineRule="auto"/>
        <w:ind w:right="142"/>
        <w:contextualSpacing w:val="0"/>
      </w:pPr>
      <w:r w:rsidRPr="00A0513E">
        <w:t>Delete items 69316, 69317 and 69319.</w:t>
      </w:r>
    </w:p>
    <w:p w14:paraId="4FA42EC9" w14:textId="77777777" w:rsidR="00CA7016" w:rsidRPr="00A0513E" w:rsidRDefault="00CA7016" w:rsidP="00CA7016">
      <w:pPr>
        <w:pStyle w:val="NormalBulleted"/>
        <w:numPr>
          <w:ilvl w:val="0"/>
          <w:numId w:val="17"/>
        </w:numPr>
        <w:spacing w:before="120" w:after="60" w:line="240" w:lineRule="auto"/>
        <w:ind w:right="142"/>
        <w:contextualSpacing w:val="0"/>
      </w:pPr>
      <w:r w:rsidRPr="007C3CAA">
        <w:t xml:space="preserve">Create a new item for screening for carriage of </w:t>
      </w:r>
      <w:r w:rsidRPr="007C3CAA">
        <w:rPr>
          <w:i/>
        </w:rPr>
        <w:t>Streptococcus agalactiae</w:t>
      </w:r>
      <w:r w:rsidRPr="007C3CAA">
        <w:t xml:space="preserve"> (group B streptococcus, GBS) from pregnant women at 35–37 weeks</w:t>
      </w:r>
      <w:r w:rsidR="006540D3">
        <w:t>’</w:t>
      </w:r>
      <w:r w:rsidRPr="007C3CAA">
        <w:t xml:space="preserve"> gestation</w:t>
      </w:r>
      <w:r>
        <w:t>,</w:t>
      </w:r>
      <w:r w:rsidRPr="007C3CAA">
        <w:t xml:space="preserve"> with NAAT testing at delivery if maternal GBS</w:t>
      </w:r>
      <w:r w:rsidRPr="007C3CAA">
        <w:rPr>
          <w:i/>
        </w:rPr>
        <w:t xml:space="preserve"> </w:t>
      </w:r>
      <w:r w:rsidRPr="007C3CAA">
        <w:t>carriage status is unknown/not known, as per RANZCOG guidelines</w:t>
      </w:r>
      <w:r>
        <w:t xml:space="preserve"> (item 693XG)</w:t>
      </w:r>
      <w:r w:rsidRPr="00A0513E">
        <w:t>.</w:t>
      </w:r>
      <w:r w:rsidRPr="00A0513E">
        <w:fldChar w:fldCharType="begin"/>
      </w:r>
      <w:r w:rsidR="008A116E">
        <w:instrText xml:space="preserve"> ADDIN EN.CITE &lt;EndNote&gt;&lt;Cite&gt;&lt;Author&gt;The Royal Australian and New Zealand College of Obstetricians and Gynaecologists&lt;/Author&gt;&lt;Year&gt;2016&lt;/Year&gt;&lt;RecNum&gt;6&lt;/RecNum&gt;&lt;DisplayText&gt; [6]&lt;/DisplayText&gt;&lt;record&gt;&lt;rec-number&gt;6&lt;/rec-number&gt;&lt;foreign-keys&gt;&lt;key app="EN" db-id="9rerxxddifw5xaewxvlxffw2vsfzrarx0vva" timestamp="1506991277"&gt;6&lt;/key&gt;&lt;/foreign-keys&gt;&lt;ref-type name="Report"&gt;27&lt;/ref-type&gt;&lt;contributors&gt;&lt;authors&gt;&lt;author&gt;The Royal Australian and New Zealand College of Obstetricians and Gynaecologists,&lt;/author&gt;&lt;/authors&gt;&lt;/contributors&gt;&lt;titles&gt;&lt;title&gt;Maternal Group B Streptococcus in pregnancy: screening and management&lt;/title&gt;&lt;/titles&gt;&lt;dates&gt;&lt;year&gt;2016&lt;/year&gt;&lt;pub-dates&gt;&lt;date&gt;March 2016&lt;/date&gt;&lt;/pub-dates&gt;&lt;/dates&gt;&lt;pub-location&gt;Sydney&lt;/pub-location&gt;&lt;publisher&gt;RANZCOG&lt;/publisher&gt;&lt;urls&gt;&lt;related-urls&gt;&lt;url&gt;https://www.ranzcog.edu.au/RANZCOG_SITE/media/RANZCOG-MEDIA/Women%27s%20Health/Statement%20and%20guidelines/Clinical-Obstetrics/Maternal-Group-B-Streptococcus-in-pregnancy-screening-and-management-(C-Obs-19)-Review-March-2016.pdf?ext=.pdf&lt;/url&gt;&lt;/related-urls&gt;&lt;/urls&gt;&lt;access-date&gt;15 June 2017&lt;/access-date&gt;&lt;/record&gt;&lt;/Cite&gt;&lt;/EndNote&gt;</w:instrText>
      </w:r>
      <w:r w:rsidRPr="00A0513E">
        <w:fldChar w:fldCharType="separate"/>
      </w:r>
      <w:r w:rsidR="00EE147F">
        <w:rPr>
          <w:noProof/>
        </w:rPr>
        <w:t xml:space="preserve"> [6]</w:t>
      </w:r>
      <w:r w:rsidRPr="00A0513E">
        <w:fldChar w:fldCharType="end"/>
      </w:r>
    </w:p>
    <w:p w14:paraId="68A3BED1" w14:textId="77777777" w:rsidR="00CA7016" w:rsidRPr="00A0513E" w:rsidRDefault="00CA7016" w:rsidP="00CA7016">
      <w:pPr>
        <w:pStyle w:val="NormalBulleted"/>
        <w:numPr>
          <w:ilvl w:val="0"/>
          <w:numId w:val="17"/>
        </w:numPr>
        <w:spacing w:before="120" w:after="60" w:line="240" w:lineRule="auto"/>
        <w:ind w:right="142"/>
        <w:contextualSpacing w:val="0"/>
      </w:pPr>
      <w:r w:rsidRPr="00A0513E">
        <w:t>R</w:t>
      </w:r>
      <w:r>
        <w:t>efer to section 4.12</w:t>
      </w:r>
      <w:r w:rsidRPr="00A0513E">
        <w:t xml:space="preserve"> for recommendation on rule 3 exemption to HIV/STI testing.</w:t>
      </w:r>
    </w:p>
    <w:p w14:paraId="6CDC440B" w14:textId="77777777" w:rsidR="00CA7016" w:rsidRPr="00A0513E" w:rsidRDefault="00CA7016" w:rsidP="00CA7016">
      <w:pPr>
        <w:pStyle w:val="NormalBulleted"/>
        <w:numPr>
          <w:ilvl w:val="0"/>
          <w:numId w:val="17"/>
        </w:numPr>
        <w:spacing w:before="120" w:after="60" w:line="240" w:lineRule="auto"/>
        <w:ind w:right="142"/>
        <w:contextualSpacing w:val="0"/>
      </w:pPr>
      <w:r>
        <w:t>Refer to section 4.11</w:t>
      </w:r>
      <w:r w:rsidRPr="00A0513E">
        <w:t xml:space="preserve"> for recommendation to remove the inclusion of microscopy and culture on specimens from other sites for item 69312.</w:t>
      </w:r>
      <w:r>
        <w:t xml:space="preserve"> </w:t>
      </w:r>
    </w:p>
    <w:p w14:paraId="592B5E51" w14:textId="77777777" w:rsidR="00CA7016" w:rsidRPr="00A0513E" w:rsidRDefault="00CA7016" w:rsidP="00FE2566">
      <w:pPr>
        <w:pStyle w:val="NormalBulleted"/>
        <w:numPr>
          <w:ilvl w:val="0"/>
          <w:numId w:val="0"/>
        </w:numPr>
        <w:spacing w:before="120" w:after="60" w:line="240" w:lineRule="auto"/>
        <w:ind w:left="360" w:right="142"/>
        <w:contextualSpacing w:val="0"/>
      </w:pPr>
      <w:r w:rsidRPr="00A0513E">
        <w:t>Refer to section 5.2.2 for recommendation regarding reflex culture for isolates of public health significance</w:t>
      </w:r>
    </w:p>
    <w:p w14:paraId="6FCE413C" w14:textId="77777777" w:rsidR="00CA7016" w:rsidRPr="00A0513E" w:rsidRDefault="00CA7016" w:rsidP="00CA7016">
      <w:pPr>
        <w:pStyle w:val="Caption"/>
      </w:pPr>
      <w:bookmarkStart w:id="164" w:name="_Toc484598345"/>
      <w:bookmarkStart w:id="165" w:name="_Toc486935606"/>
      <w:bookmarkStart w:id="166" w:name="_Toc12953458"/>
      <w:r>
        <w:lastRenderedPageBreak/>
        <w:t xml:space="preserve">Table </w:t>
      </w:r>
      <w:r w:rsidR="00BB490A">
        <w:rPr>
          <w:noProof/>
        </w:rPr>
        <w:fldChar w:fldCharType="begin"/>
      </w:r>
      <w:r w:rsidR="00BB490A">
        <w:rPr>
          <w:noProof/>
        </w:rPr>
        <w:instrText xml:space="preserve"> SEQ Table \* ARABIC </w:instrText>
      </w:r>
      <w:r w:rsidR="00BB490A">
        <w:rPr>
          <w:noProof/>
        </w:rPr>
        <w:fldChar w:fldCharType="separate"/>
      </w:r>
      <w:r w:rsidR="007A1648">
        <w:rPr>
          <w:noProof/>
        </w:rPr>
        <w:t>8</w:t>
      </w:r>
      <w:r w:rsidR="00BB490A">
        <w:rPr>
          <w:noProof/>
        </w:rPr>
        <w:fldChar w:fldCharType="end"/>
      </w:r>
      <w:r>
        <w:t xml:space="preserve">: </w:t>
      </w:r>
      <w:r w:rsidRPr="00B96BC0">
        <w:t xml:space="preserve">Proposed changes to </w:t>
      </w:r>
      <w:bookmarkEnd w:id="164"/>
      <w:bookmarkEnd w:id="165"/>
      <w:r>
        <w:t>tests for urogenital pathogens</w:t>
      </w:r>
      <w:bookmarkEnd w:id="166"/>
      <w:r w:rsidRPr="00A0513E">
        <w:t xml:space="preserve"> </w:t>
      </w:r>
    </w:p>
    <w:tbl>
      <w:tblPr>
        <w:tblStyle w:val="TableGrid"/>
        <w:tblW w:w="0" w:type="auto"/>
        <w:tblLook w:val="04A0" w:firstRow="1" w:lastRow="0" w:firstColumn="1" w:lastColumn="0" w:noHBand="0" w:noVBand="1"/>
        <w:tblDescription w:val="This table lists Item numbers, Current descriptors, and Proposed changes to descriptors for urogenital items."/>
      </w:tblPr>
      <w:tblGrid>
        <w:gridCol w:w="988"/>
        <w:gridCol w:w="3969"/>
        <w:gridCol w:w="4059"/>
      </w:tblGrid>
      <w:tr w:rsidR="00CA7016" w:rsidRPr="00B34299" w14:paraId="7A2CCC97" w14:textId="77777777" w:rsidTr="00F20089">
        <w:trPr>
          <w:tblHeader/>
        </w:trPr>
        <w:tc>
          <w:tcPr>
            <w:tcW w:w="988" w:type="dxa"/>
            <w:shd w:val="clear" w:color="auto" w:fill="EEECE1"/>
            <w:vAlign w:val="bottom"/>
          </w:tcPr>
          <w:p w14:paraId="56A985A5" w14:textId="77777777" w:rsidR="00CA7016" w:rsidRPr="00A0513E" w:rsidRDefault="00CA7016" w:rsidP="00FE2566">
            <w:pPr>
              <w:pStyle w:val="01Tableheaderrow"/>
              <w:keepNext/>
            </w:pPr>
            <w:r w:rsidRPr="00A0513E">
              <w:t>Item</w:t>
            </w:r>
          </w:p>
        </w:tc>
        <w:tc>
          <w:tcPr>
            <w:tcW w:w="3969" w:type="dxa"/>
            <w:shd w:val="clear" w:color="auto" w:fill="EEECE1"/>
            <w:vAlign w:val="bottom"/>
          </w:tcPr>
          <w:p w14:paraId="4078E5AE" w14:textId="77777777" w:rsidR="00CA7016" w:rsidRPr="00A0513E" w:rsidRDefault="00CA7016" w:rsidP="00FE2566">
            <w:pPr>
              <w:pStyle w:val="01Tableheaderrow"/>
              <w:keepNext/>
            </w:pPr>
            <w:r w:rsidRPr="00A0513E">
              <w:t>Current descriptor</w:t>
            </w:r>
          </w:p>
        </w:tc>
        <w:tc>
          <w:tcPr>
            <w:tcW w:w="4059" w:type="dxa"/>
            <w:shd w:val="clear" w:color="auto" w:fill="EEECE1"/>
            <w:vAlign w:val="bottom"/>
          </w:tcPr>
          <w:p w14:paraId="79101CC6" w14:textId="77777777" w:rsidR="00CA7016" w:rsidRPr="00A0513E" w:rsidRDefault="00CA7016" w:rsidP="00FE2566">
            <w:pPr>
              <w:pStyle w:val="01Tableheaderrow"/>
              <w:keepNext/>
            </w:pPr>
            <w:r w:rsidRPr="00A0513E">
              <w:t>Proposed change to descriptor</w:t>
            </w:r>
          </w:p>
        </w:tc>
      </w:tr>
      <w:tr w:rsidR="00CA7016" w:rsidRPr="00B34299" w14:paraId="23F79BBA" w14:textId="77777777" w:rsidTr="003C3F6A">
        <w:tc>
          <w:tcPr>
            <w:tcW w:w="988" w:type="dxa"/>
          </w:tcPr>
          <w:p w14:paraId="23B1B604" w14:textId="77777777" w:rsidR="00CA7016" w:rsidRPr="00A0513E" w:rsidRDefault="00CA7016" w:rsidP="003C3F6A">
            <w:pPr>
              <w:pStyle w:val="02Tabletext"/>
            </w:pPr>
            <w:r w:rsidRPr="00A0513E">
              <w:t>69312</w:t>
            </w:r>
          </w:p>
        </w:tc>
        <w:tc>
          <w:tcPr>
            <w:tcW w:w="3969" w:type="dxa"/>
          </w:tcPr>
          <w:p w14:paraId="73A0865A" w14:textId="77777777" w:rsidR="00CA7016" w:rsidRPr="00A0513E" w:rsidRDefault="00CA7016" w:rsidP="003C3F6A">
            <w:pPr>
              <w:pStyle w:val="02Tabletext"/>
            </w:pPr>
            <w:r w:rsidRPr="00A0513E">
              <w:t>Microscopy and culture to detect pathogenic microorganisms from urethra, vagina, cervix or rectum (except for faecal pathogens), including (if performed): (a) pathogen identification and antibiotic susceptibility testing; or (b) a service described in items 69300, 69303, 69306 and 69318; 1 or more tests on 1 or more specimens</w:t>
            </w:r>
          </w:p>
        </w:tc>
        <w:tc>
          <w:tcPr>
            <w:tcW w:w="4059" w:type="dxa"/>
          </w:tcPr>
          <w:p w14:paraId="704F0ECC" w14:textId="77777777" w:rsidR="00CA7016" w:rsidRPr="00A0513E" w:rsidRDefault="00CA7016" w:rsidP="003C3F6A">
            <w:pPr>
              <w:pStyle w:val="02Tabletext"/>
            </w:pPr>
            <w:r w:rsidRPr="00A0513E">
              <w:t>Microscopy and culture to detect pathogenic microorganisms from throat (except for respiratory pathogens)</w:t>
            </w:r>
            <w:r>
              <w:t xml:space="preserve">, </w:t>
            </w:r>
            <w:r w:rsidRPr="00A0513E">
              <w:t>urethra, vagina, cervix or rectum (except for faecal pathogens), including (if performed): (a) pathogen identification and antibiotic susceptibility testing; or (b) a service described in item 69300; 1 or more tests on 1 or more specimens</w:t>
            </w:r>
            <w:r>
              <w:t>.</w:t>
            </w:r>
          </w:p>
        </w:tc>
      </w:tr>
      <w:tr w:rsidR="00CA7016" w:rsidRPr="00B34299" w14:paraId="1FAF49F0" w14:textId="77777777" w:rsidTr="003C3F6A">
        <w:tc>
          <w:tcPr>
            <w:tcW w:w="988" w:type="dxa"/>
          </w:tcPr>
          <w:p w14:paraId="6D1DEC89" w14:textId="77777777" w:rsidR="00CA7016" w:rsidRPr="00A0513E" w:rsidRDefault="00CA7016" w:rsidP="003C3F6A">
            <w:pPr>
              <w:pStyle w:val="02Tabletext"/>
            </w:pPr>
            <w:r w:rsidRPr="00A0513E">
              <w:t>New item</w:t>
            </w:r>
          </w:p>
          <w:p w14:paraId="300825ED" w14:textId="77777777" w:rsidR="00CA7016" w:rsidRPr="00A0513E" w:rsidRDefault="00CA7016" w:rsidP="003C3F6A">
            <w:pPr>
              <w:pStyle w:val="02Tabletext"/>
            </w:pPr>
            <w:r>
              <w:t>693XB</w:t>
            </w:r>
          </w:p>
        </w:tc>
        <w:tc>
          <w:tcPr>
            <w:tcW w:w="3969" w:type="dxa"/>
          </w:tcPr>
          <w:p w14:paraId="43A3CD23" w14:textId="77777777" w:rsidR="00CA7016" w:rsidRPr="00A0513E" w:rsidRDefault="00CA7016" w:rsidP="003C3F6A">
            <w:pPr>
              <w:pStyle w:val="02Tabletext"/>
            </w:pPr>
          </w:p>
        </w:tc>
        <w:tc>
          <w:tcPr>
            <w:tcW w:w="4059" w:type="dxa"/>
          </w:tcPr>
          <w:p w14:paraId="7E01A1F6" w14:textId="77777777" w:rsidR="00CA7016" w:rsidRPr="00A0513E" w:rsidRDefault="00CA7016" w:rsidP="003C3F6A">
            <w:pPr>
              <w:pStyle w:val="02Tabletext"/>
            </w:pPr>
            <w:r w:rsidRPr="00A0513E">
              <w:t>Microscopy and culture to detect pathogenic microorganisms from throat (except for respiratory pathogens), urethra, vagina, cervix, or rectum (except for faecal pathog</w:t>
            </w:r>
            <w:r>
              <w:t xml:space="preserve">ens), including (if performed): </w:t>
            </w:r>
            <w:r w:rsidRPr="00A0513E">
              <w:t>a) pathogen identification and ant</w:t>
            </w:r>
            <w:r>
              <w:t xml:space="preserve">ibiotic susceptibility testing; </w:t>
            </w:r>
            <w:r w:rsidRPr="00A0513E">
              <w:t>b) a service described in item 69300 or 69312</w:t>
            </w:r>
            <w:r>
              <w:t xml:space="preserve">; </w:t>
            </w:r>
            <w:r w:rsidRPr="00A0513E">
              <w:t>1 or more tests on 2 or more specimens</w:t>
            </w:r>
            <w:r>
              <w:t>.</w:t>
            </w:r>
          </w:p>
        </w:tc>
      </w:tr>
      <w:tr w:rsidR="00CA7016" w:rsidRPr="00B34299" w14:paraId="5867B82D" w14:textId="77777777" w:rsidTr="003C3F6A">
        <w:trPr>
          <w:trHeight w:val="1174"/>
        </w:trPr>
        <w:tc>
          <w:tcPr>
            <w:tcW w:w="988" w:type="dxa"/>
          </w:tcPr>
          <w:p w14:paraId="22B44180" w14:textId="77777777" w:rsidR="00CA7016" w:rsidRPr="00A0513E" w:rsidRDefault="00CA7016" w:rsidP="003C3F6A">
            <w:pPr>
              <w:pStyle w:val="02Tabletext"/>
            </w:pPr>
            <w:r w:rsidRPr="00A0513E">
              <w:t>New item</w:t>
            </w:r>
          </w:p>
          <w:p w14:paraId="78417FA6" w14:textId="77777777" w:rsidR="00CA7016" w:rsidRPr="00A0513E" w:rsidRDefault="00CA7016" w:rsidP="003C3F6A">
            <w:pPr>
              <w:pStyle w:val="02Tabletext"/>
            </w:pPr>
            <w:r>
              <w:t>693XC</w:t>
            </w:r>
          </w:p>
        </w:tc>
        <w:tc>
          <w:tcPr>
            <w:tcW w:w="3969" w:type="dxa"/>
          </w:tcPr>
          <w:p w14:paraId="03CAED55" w14:textId="77777777" w:rsidR="00CA7016" w:rsidRPr="00A0513E" w:rsidRDefault="00CA7016" w:rsidP="003C3F6A">
            <w:pPr>
              <w:pStyle w:val="02Tabletext"/>
            </w:pPr>
          </w:p>
        </w:tc>
        <w:tc>
          <w:tcPr>
            <w:tcW w:w="4059" w:type="dxa"/>
          </w:tcPr>
          <w:p w14:paraId="1AFF8A42" w14:textId="77777777" w:rsidR="00CA7016" w:rsidRPr="00A0513E" w:rsidRDefault="00CA7016" w:rsidP="003C3F6A">
            <w:pPr>
              <w:pStyle w:val="02Tabletext"/>
            </w:pPr>
            <w:r w:rsidRPr="00A0513E">
              <w:t xml:space="preserve">Detection of pathogenic microorganisms other than </w:t>
            </w:r>
            <w:r w:rsidRPr="00D15302">
              <w:rPr>
                <w:i/>
              </w:rPr>
              <w:t>Chlamydia trachomatis</w:t>
            </w:r>
            <w:r w:rsidRPr="00A0513E">
              <w:t xml:space="preserve"> and </w:t>
            </w:r>
            <w:r w:rsidRPr="00D15302">
              <w:rPr>
                <w:i/>
              </w:rPr>
              <w:t>Neisseria gonorrhoeae</w:t>
            </w:r>
            <w:r w:rsidRPr="00A0513E">
              <w:t xml:space="preserve"> by any method from urogenital specimens, including (if performed) a service described in 69312. 1 specimen</w:t>
            </w:r>
            <w:r>
              <w:t>.</w:t>
            </w:r>
          </w:p>
        </w:tc>
      </w:tr>
      <w:tr w:rsidR="00CA7016" w:rsidRPr="00B34299" w14:paraId="13A163FD" w14:textId="77777777" w:rsidTr="003C3F6A">
        <w:tc>
          <w:tcPr>
            <w:tcW w:w="988" w:type="dxa"/>
          </w:tcPr>
          <w:p w14:paraId="1E118B03" w14:textId="77777777" w:rsidR="00CA7016" w:rsidRPr="00A0513E" w:rsidRDefault="00CA7016" w:rsidP="003C3F6A">
            <w:pPr>
              <w:pStyle w:val="02Tabletext"/>
            </w:pPr>
            <w:r w:rsidRPr="00A0513E">
              <w:t>New item</w:t>
            </w:r>
          </w:p>
          <w:p w14:paraId="220EC4D0" w14:textId="77777777" w:rsidR="00CA7016" w:rsidRPr="00A0513E" w:rsidRDefault="00CA7016" w:rsidP="003C3F6A">
            <w:pPr>
              <w:pStyle w:val="02Tabletext"/>
            </w:pPr>
            <w:r>
              <w:t>693XD</w:t>
            </w:r>
          </w:p>
        </w:tc>
        <w:tc>
          <w:tcPr>
            <w:tcW w:w="3969" w:type="dxa"/>
          </w:tcPr>
          <w:p w14:paraId="2BA1276C" w14:textId="77777777" w:rsidR="00CA7016" w:rsidRPr="00A0513E" w:rsidRDefault="00CA7016" w:rsidP="003C3F6A">
            <w:pPr>
              <w:pStyle w:val="02Tabletext"/>
            </w:pPr>
          </w:p>
        </w:tc>
        <w:tc>
          <w:tcPr>
            <w:tcW w:w="4059" w:type="dxa"/>
          </w:tcPr>
          <w:p w14:paraId="60721520" w14:textId="77777777" w:rsidR="00CA7016" w:rsidRPr="00A0513E" w:rsidRDefault="00CA7016" w:rsidP="003C3F6A">
            <w:pPr>
              <w:pStyle w:val="02Tabletext"/>
            </w:pPr>
            <w:r w:rsidRPr="00A0513E">
              <w:t xml:space="preserve">Detection of pathogenic microorganisms other than </w:t>
            </w:r>
            <w:r w:rsidRPr="00D15302">
              <w:rPr>
                <w:i/>
              </w:rPr>
              <w:t>Chlamydia trachomatis</w:t>
            </w:r>
            <w:r w:rsidRPr="00A0513E">
              <w:t xml:space="preserve"> and </w:t>
            </w:r>
            <w:r w:rsidRPr="00D15302">
              <w:rPr>
                <w:i/>
              </w:rPr>
              <w:t>Neisseria gonorrhoeae</w:t>
            </w:r>
            <w:r w:rsidRPr="00A0513E">
              <w:t xml:space="preserve"> by any method from urogenital specimens, including (if performed) a service described in 69312. 2 or more specimens</w:t>
            </w:r>
            <w:r>
              <w:t>.</w:t>
            </w:r>
          </w:p>
        </w:tc>
      </w:tr>
      <w:tr w:rsidR="00CA7016" w:rsidRPr="00B34299" w14:paraId="5A260A73" w14:textId="77777777" w:rsidTr="003C3F6A">
        <w:tc>
          <w:tcPr>
            <w:tcW w:w="988" w:type="dxa"/>
          </w:tcPr>
          <w:p w14:paraId="3185A1F3" w14:textId="77777777" w:rsidR="00CA7016" w:rsidRPr="00A0513E" w:rsidRDefault="00CA7016" w:rsidP="003C3F6A">
            <w:pPr>
              <w:pStyle w:val="02Tabletext"/>
            </w:pPr>
            <w:r w:rsidRPr="00A0513E">
              <w:t>New item</w:t>
            </w:r>
          </w:p>
          <w:p w14:paraId="6EA2B43A" w14:textId="77777777" w:rsidR="00CA7016" w:rsidRPr="00A0513E" w:rsidRDefault="00CA7016" w:rsidP="003C3F6A">
            <w:pPr>
              <w:pStyle w:val="02Tabletext"/>
            </w:pPr>
            <w:r>
              <w:t>693XE</w:t>
            </w:r>
          </w:p>
          <w:p w14:paraId="72E903D0" w14:textId="77777777" w:rsidR="00CA7016" w:rsidRPr="00A0513E" w:rsidRDefault="00CA7016" w:rsidP="003C3F6A">
            <w:pPr>
              <w:pStyle w:val="02Tabletext"/>
            </w:pPr>
          </w:p>
        </w:tc>
        <w:tc>
          <w:tcPr>
            <w:tcW w:w="3969" w:type="dxa"/>
          </w:tcPr>
          <w:p w14:paraId="70442E62" w14:textId="77777777" w:rsidR="00CA7016" w:rsidRPr="00A0513E" w:rsidRDefault="00CA7016" w:rsidP="003C3F6A">
            <w:pPr>
              <w:pStyle w:val="02Tabletext"/>
            </w:pPr>
          </w:p>
        </w:tc>
        <w:tc>
          <w:tcPr>
            <w:tcW w:w="4059" w:type="dxa"/>
          </w:tcPr>
          <w:p w14:paraId="02B44E21" w14:textId="77777777" w:rsidR="00CA7016" w:rsidRPr="00A0513E" w:rsidRDefault="00CA7016" w:rsidP="003C3F6A">
            <w:pPr>
              <w:pStyle w:val="02Tabletext"/>
            </w:pPr>
            <w:r w:rsidRPr="00A0513E">
              <w:t xml:space="preserve">Detection of </w:t>
            </w:r>
            <w:r w:rsidRPr="00D15302">
              <w:rPr>
                <w:i/>
              </w:rPr>
              <w:t>Chlamydia trachomatis</w:t>
            </w:r>
            <w:r w:rsidRPr="00A0513E">
              <w:t xml:space="preserve"> and </w:t>
            </w:r>
            <w:r w:rsidRPr="00D15302">
              <w:rPr>
                <w:i/>
              </w:rPr>
              <w:t>Neisseria gonorrhoeae</w:t>
            </w:r>
            <w:r w:rsidRPr="00A0513E">
              <w:t xml:space="preserve"> by NAAT. 2 </w:t>
            </w:r>
            <w:r>
              <w:t xml:space="preserve">or more </w:t>
            </w:r>
            <w:r w:rsidRPr="00A0513E">
              <w:t>tests (Item is subject to rule 26)</w:t>
            </w:r>
            <w:r>
              <w:t>. 1 specimen</w:t>
            </w:r>
          </w:p>
        </w:tc>
      </w:tr>
      <w:tr w:rsidR="00CA7016" w:rsidRPr="00B34299" w14:paraId="51D9F54F" w14:textId="77777777" w:rsidTr="003C3F6A">
        <w:tc>
          <w:tcPr>
            <w:tcW w:w="988" w:type="dxa"/>
          </w:tcPr>
          <w:p w14:paraId="006BBC0B" w14:textId="77777777" w:rsidR="00CA7016" w:rsidRPr="00A0513E" w:rsidRDefault="00CA7016" w:rsidP="003C3F6A">
            <w:pPr>
              <w:pStyle w:val="02Tabletext"/>
            </w:pPr>
            <w:r w:rsidRPr="00A0513E">
              <w:t>New item</w:t>
            </w:r>
          </w:p>
          <w:p w14:paraId="4019A971" w14:textId="77777777" w:rsidR="00CA7016" w:rsidRPr="00A0513E" w:rsidRDefault="00CA7016" w:rsidP="003C3F6A">
            <w:pPr>
              <w:pStyle w:val="02Tabletext"/>
            </w:pPr>
            <w:r>
              <w:t>693XF</w:t>
            </w:r>
          </w:p>
          <w:p w14:paraId="33863DC7" w14:textId="77777777" w:rsidR="00CA7016" w:rsidRPr="00A0513E" w:rsidRDefault="00CA7016" w:rsidP="003C3F6A">
            <w:pPr>
              <w:pStyle w:val="02Tabletext"/>
            </w:pPr>
          </w:p>
        </w:tc>
        <w:tc>
          <w:tcPr>
            <w:tcW w:w="3969" w:type="dxa"/>
          </w:tcPr>
          <w:p w14:paraId="3FFCC58C" w14:textId="77777777" w:rsidR="00CA7016" w:rsidRPr="00A0513E" w:rsidRDefault="00CA7016" w:rsidP="003C3F6A">
            <w:pPr>
              <w:pStyle w:val="02Tabletext"/>
            </w:pPr>
          </w:p>
        </w:tc>
        <w:tc>
          <w:tcPr>
            <w:tcW w:w="4059" w:type="dxa"/>
          </w:tcPr>
          <w:p w14:paraId="5F3365EC" w14:textId="77777777" w:rsidR="00CA7016" w:rsidRPr="00A0513E" w:rsidRDefault="00CA7016" w:rsidP="003C3F6A">
            <w:pPr>
              <w:pStyle w:val="02Tabletext"/>
            </w:pPr>
            <w:r w:rsidRPr="00A0513E">
              <w:t xml:space="preserve">Detection of </w:t>
            </w:r>
            <w:r w:rsidRPr="00D15302">
              <w:rPr>
                <w:i/>
              </w:rPr>
              <w:t>Chlamydia trachomatis</w:t>
            </w:r>
            <w:r w:rsidRPr="00A0513E">
              <w:t xml:space="preserve"> and </w:t>
            </w:r>
            <w:r w:rsidRPr="00D15302">
              <w:rPr>
                <w:i/>
              </w:rPr>
              <w:t>Neisseria gonorrhoeae</w:t>
            </w:r>
            <w:r w:rsidRPr="00A0513E">
              <w:t xml:space="preserve"> by NAAT. 2 </w:t>
            </w:r>
            <w:r>
              <w:t xml:space="preserve">or more </w:t>
            </w:r>
            <w:r w:rsidRPr="00A0513E">
              <w:t>tests (Item is subject to rule 26). 2 or more specimens</w:t>
            </w:r>
            <w:r>
              <w:t>.</w:t>
            </w:r>
          </w:p>
        </w:tc>
      </w:tr>
      <w:tr w:rsidR="00CA7016" w:rsidRPr="00B34299" w14:paraId="25B6A744" w14:textId="77777777" w:rsidTr="003C3F6A">
        <w:tc>
          <w:tcPr>
            <w:tcW w:w="988" w:type="dxa"/>
          </w:tcPr>
          <w:p w14:paraId="31A4CB17" w14:textId="77777777" w:rsidR="00CA7016" w:rsidRPr="00A0513E" w:rsidRDefault="00CA7016" w:rsidP="003C3F6A">
            <w:pPr>
              <w:pStyle w:val="02Tabletext"/>
            </w:pPr>
            <w:r w:rsidRPr="00A0513E">
              <w:t>New item</w:t>
            </w:r>
          </w:p>
          <w:p w14:paraId="1A1000B5" w14:textId="77777777" w:rsidR="00CA7016" w:rsidRPr="00A0513E" w:rsidRDefault="00CA7016" w:rsidP="003C3F6A">
            <w:pPr>
              <w:pStyle w:val="02Tabletext"/>
            </w:pPr>
            <w:r>
              <w:t>693XG</w:t>
            </w:r>
          </w:p>
        </w:tc>
        <w:tc>
          <w:tcPr>
            <w:tcW w:w="3969" w:type="dxa"/>
          </w:tcPr>
          <w:p w14:paraId="72F7E0F0" w14:textId="77777777" w:rsidR="00CA7016" w:rsidRPr="00A0513E" w:rsidRDefault="00CA7016" w:rsidP="003C3F6A">
            <w:pPr>
              <w:pStyle w:val="02Tabletext"/>
            </w:pPr>
          </w:p>
        </w:tc>
        <w:tc>
          <w:tcPr>
            <w:tcW w:w="4059" w:type="dxa"/>
          </w:tcPr>
          <w:p w14:paraId="2A7D5871" w14:textId="77777777" w:rsidR="00CA7016" w:rsidRPr="00A0513E" w:rsidRDefault="00CA7016" w:rsidP="003C3F6A">
            <w:pPr>
              <w:pStyle w:val="02Tabletext"/>
            </w:pPr>
            <w:r w:rsidRPr="00A0513E">
              <w:t xml:space="preserve">Culture for </w:t>
            </w:r>
            <w:r w:rsidRPr="00D15302">
              <w:rPr>
                <w:i/>
              </w:rPr>
              <w:t>Streptococcus agalactiae</w:t>
            </w:r>
            <w:r w:rsidRPr="00A0513E">
              <w:t xml:space="preserve"> (GBS) from combined low vaginal swab plus or minus anorectal swab at 35</w:t>
            </w:r>
            <w:r w:rsidR="006540D3">
              <w:t>–</w:t>
            </w:r>
            <w:r w:rsidRPr="00A0513E">
              <w:t>37 weeks</w:t>
            </w:r>
            <w:r>
              <w:t>’</w:t>
            </w:r>
            <w:r w:rsidRPr="00A0513E">
              <w:t xml:space="preserve"> gestation, or NAAT with reflex culture</w:t>
            </w:r>
            <w:r>
              <w:t xml:space="preserve"> </w:t>
            </w:r>
            <w:r w:rsidRPr="00A0513E">
              <w:t>at delivery and susceptibility testing if performed in women allergic to penicillin</w:t>
            </w:r>
            <w:r>
              <w:t>.</w:t>
            </w:r>
          </w:p>
        </w:tc>
      </w:tr>
    </w:tbl>
    <w:p w14:paraId="6B3BA8BA" w14:textId="77777777" w:rsidR="00CA7016" w:rsidRPr="00A0513E" w:rsidRDefault="00CA7016" w:rsidP="00CA7016">
      <w:pPr>
        <w:pStyle w:val="Heading3"/>
      </w:pPr>
      <w:bookmarkStart w:id="167" w:name="_Toc12886552"/>
      <w:r w:rsidRPr="00A0513E">
        <w:t>Rationale</w:t>
      </w:r>
      <w:r>
        <w:t xml:space="preserve"> 3</w:t>
      </w:r>
      <w:bookmarkEnd w:id="167"/>
    </w:p>
    <w:p w14:paraId="6AC4DD48" w14:textId="77777777" w:rsidR="00CA7016" w:rsidRPr="00B96BC0" w:rsidRDefault="00CA7016" w:rsidP="00CA7016">
      <w:r w:rsidRPr="00B96BC0">
        <w:t>The recommendations focus on ensuring best practice and are based on the following observations.</w:t>
      </w:r>
    </w:p>
    <w:p w14:paraId="1D69FAC9"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The </w:t>
      </w:r>
      <w:r w:rsidRPr="00FE2566">
        <w:rPr>
          <w:i/>
        </w:rPr>
        <w:t>Australian STI Management Guidelines</w:t>
      </w:r>
      <w:r w:rsidRPr="00A0513E">
        <w:t xml:space="preserve"> recommend that specimens are taken from more than one site in certain circumstances for the detection of chlamydia and gonorrhoea, particularly in </w:t>
      </w:r>
      <w:r>
        <w:t xml:space="preserve">men </w:t>
      </w:r>
      <w:r w:rsidRPr="00A0513E">
        <w:t>or patients in high-risk groups.</w:t>
      </w:r>
      <w:r w:rsidRPr="00A0513E">
        <w:fldChar w:fldCharType="begin"/>
      </w:r>
      <w:r w:rsidR="00AB00BA">
        <w:instrText xml:space="preserve"> ADDIN EN.CITE &lt;EndNote&gt;&lt;Cite&gt;&lt;Author&gt;Australian Sexual Health Alliance&lt;/Author&gt;&lt;Year&gt;2016&lt;/Year&gt;&lt;RecNum&gt;7&lt;/RecNum&gt;&lt;DisplayText&gt; [7]&lt;/DisplayText&gt;&lt;record&gt;&lt;rec-number&gt;7&lt;/rec-number&gt;&lt;foreign-keys&gt;&lt;key app="EN" db-id="9rerxxddifw5xaewxvlxffw2vsfzrarx0vva" timestamp="1506991278"&gt;7&lt;/key&gt;&lt;/foreign-keys&gt;&lt;ref-type name="Web Page"&gt;12&lt;/ref-type&gt;&lt;contributors&gt;&lt;authors&gt;&lt;author&gt;Australian Sexual Health Alliance,&lt;/author&gt;&lt;/authors&gt;&lt;/contributors&gt;&lt;titles&gt;&lt;title&gt;Australian STI management guidelines for use in primary care: Gonorrhoea &lt;/title&gt;&lt;/titles&gt;&lt;number&gt;3 July 2017&lt;/number&gt;&lt;dates&gt;&lt;year&gt;2016&lt;/year&gt;&lt;/dates&gt;&lt;pub-location&gt;Darlinghurst, NSW&lt;/pub-location&gt;&lt;publisher&gt;Australian Sexual Health Alliance&lt;/publisher&gt;&lt;urls&gt;&lt;related-urls&gt;&lt;url&gt;http://www.sti.guidelines.org.au/sexually-transmissible-infections/gonorrhoea&lt;/url&gt;&lt;/related-urls&gt;&lt;/urls&gt;&lt;/record&gt;&lt;/Cite&gt;&lt;/EndNote&gt;</w:instrText>
      </w:r>
      <w:r w:rsidRPr="00A0513E">
        <w:fldChar w:fldCharType="separate"/>
      </w:r>
      <w:r w:rsidR="00EE147F">
        <w:rPr>
          <w:noProof/>
        </w:rPr>
        <w:t xml:space="preserve"> [7]</w:t>
      </w:r>
      <w:r w:rsidRPr="00A0513E">
        <w:fldChar w:fldCharType="end"/>
      </w:r>
      <w:r w:rsidRPr="00A0513E">
        <w:t xml:space="preserve"> As such, the Committee recommended to add a new item so pathologists are able to perform microscopy and culture tests on specimens from more than one site through item 693X</w:t>
      </w:r>
      <w:r>
        <w:t>B</w:t>
      </w:r>
      <w:r w:rsidRPr="00A0513E">
        <w:t xml:space="preserve">. </w:t>
      </w:r>
    </w:p>
    <w:p w14:paraId="05C6AC97" w14:textId="77777777" w:rsidR="00CA7016" w:rsidRPr="00A0513E" w:rsidRDefault="00CA7016" w:rsidP="00CA7016">
      <w:pPr>
        <w:pStyle w:val="NormalBulleted"/>
        <w:numPr>
          <w:ilvl w:val="0"/>
          <w:numId w:val="17"/>
        </w:numPr>
        <w:spacing w:before="120" w:after="60" w:line="240" w:lineRule="auto"/>
        <w:ind w:right="142"/>
        <w:contextualSpacing w:val="0"/>
      </w:pPr>
      <w:r>
        <w:t>C</w:t>
      </w:r>
      <w:r w:rsidRPr="00A0513E">
        <w:t>ombination item</w:t>
      </w:r>
      <w:r>
        <w:t>s</w:t>
      </w:r>
      <w:r w:rsidRPr="00A0513E">
        <w:t xml:space="preserve"> to cover NAAT and microscopy and culture tests for organisms other than</w:t>
      </w:r>
      <w:r w:rsidRPr="006B1463">
        <w:t xml:space="preserve"> </w:t>
      </w:r>
      <w:r w:rsidRPr="00A0513E">
        <w:t>chlamydia and gonorrhoea</w:t>
      </w:r>
      <w:r>
        <w:t xml:space="preserve"> —</w:t>
      </w:r>
      <w:r w:rsidRPr="00A0513E">
        <w:t xml:space="preserve">one </w:t>
      </w:r>
      <w:r>
        <w:t>specimen (item 693XC),</w:t>
      </w:r>
      <w:r w:rsidRPr="00A0513E">
        <w:t xml:space="preserve"> and more than one </w:t>
      </w:r>
      <w:r>
        <w:t>specimen (item 693XD),</w:t>
      </w:r>
      <w:r w:rsidRPr="00A0513E">
        <w:t xml:space="preserve"> </w:t>
      </w:r>
      <w:r>
        <w:t>are</w:t>
      </w:r>
      <w:r w:rsidRPr="00A0513E">
        <w:t xml:space="preserve"> proposed. The descriptor </w:t>
      </w:r>
      <w:r>
        <w:t>for these does not specify a method</w:t>
      </w:r>
      <w:r w:rsidRPr="00A0513E">
        <w:t xml:space="preserve"> and pathologists will determine the most appropriate tests. It is recognised that over time NAAT testing will replace microscopy and culture for many organisms. In the interim, however, the schedule fee for this new item should reflect the current need to use both NAAT and microscopy and culture in a proportion of requests.</w:t>
      </w:r>
    </w:p>
    <w:p w14:paraId="31D7DFD8" w14:textId="77777777" w:rsidR="00CA7016" w:rsidRDefault="00CA7016" w:rsidP="00CA7016">
      <w:pPr>
        <w:pStyle w:val="NormalBulleted"/>
        <w:numPr>
          <w:ilvl w:val="0"/>
          <w:numId w:val="17"/>
        </w:numPr>
        <w:spacing w:before="120" w:after="60" w:line="240" w:lineRule="auto"/>
        <w:ind w:right="142"/>
        <w:contextualSpacing w:val="0"/>
      </w:pPr>
      <w:r w:rsidRPr="00A0513E">
        <w:lastRenderedPageBreak/>
        <w:t xml:space="preserve">The incidence of gonorrhoea and chlamydia have both increased over the </w:t>
      </w:r>
      <w:r w:rsidR="006540D3">
        <w:t>l</w:t>
      </w:r>
      <w:r w:rsidR="006540D3" w:rsidRPr="00A0513E">
        <w:t xml:space="preserve">ast </w:t>
      </w:r>
      <w:r w:rsidRPr="00A0513E">
        <w:t xml:space="preserve">decade. The requirement for testing for gonorrhoea with chlamydia will help improve the testing rates of gonorrhoea and identify cases earlier. MBS data for items 69316, 69317, and 69319 </w:t>
      </w:r>
      <w:r w:rsidRPr="00472860">
        <w:t xml:space="preserve">suggest that </w:t>
      </w:r>
      <w:r>
        <w:t xml:space="preserve">fewer </w:t>
      </w:r>
      <w:r w:rsidRPr="00472860">
        <w:t>than 15% of patients only have chlamydia testing. MBS data do not indicate the current rate of gonorrhoea testing, so it is difficult to estimate how many tests are currently being performed unde</w:t>
      </w:r>
      <w:r>
        <w:t>r 69319. Given current concerns regarding</w:t>
      </w:r>
      <w:r w:rsidRPr="00472860">
        <w:t xml:space="preserve"> the need for widespread testing for gonorrhoea, it </w:t>
      </w:r>
      <w:r>
        <w:t>was debated whether</w:t>
      </w:r>
      <w:r w:rsidRPr="00472860">
        <w:t xml:space="preserve"> there should be a new item for combination testing of both gonorrhoea and chlamydia </w:t>
      </w:r>
      <w:r>
        <w:t xml:space="preserve">instead </w:t>
      </w:r>
      <w:r w:rsidR="006540D3">
        <w:t xml:space="preserve">of, </w:t>
      </w:r>
      <w:r>
        <w:t>or as well as</w:t>
      </w:r>
      <w:r w:rsidR="006540D3">
        <w:t>,</w:t>
      </w:r>
      <w:r>
        <w:t xml:space="preserve"> a single test for just</w:t>
      </w:r>
      <w:r w:rsidRPr="00472860">
        <w:t xml:space="preserve"> chlamydi</w:t>
      </w:r>
      <w:r>
        <w:t>a.</w:t>
      </w:r>
    </w:p>
    <w:p w14:paraId="41B323C8" w14:textId="77777777" w:rsidR="00CA7016" w:rsidRPr="00A0513E" w:rsidRDefault="00CA7016" w:rsidP="00CA7016">
      <w:pPr>
        <w:pStyle w:val="01squarebullet"/>
      </w:pPr>
      <w:r>
        <w:t>Advice</w:t>
      </w:r>
      <w:r w:rsidRPr="00472860">
        <w:t xml:space="preserve"> sought from </w:t>
      </w:r>
      <w:r>
        <w:t>the Australasian Society for HIV, Viral Hepatitis and Sexual Health Medicine (</w:t>
      </w:r>
      <w:r w:rsidRPr="00472860">
        <w:t>ASHM</w:t>
      </w:r>
      <w:r>
        <w:t>)</w:t>
      </w:r>
      <w:r w:rsidRPr="00472860">
        <w:t xml:space="preserve"> suggested that chlamydia testing should remain a discrete item, as</w:t>
      </w:r>
      <w:r w:rsidRPr="00A0513E">
        <w:t xml:space="preserve"> NAAT for </w:t>
      </w:r>
      <w:proofErr w:type="spellStart"/>
      <w:r w:rsidRPr="00A0513E">
        <w:t>gonorrhoea</w:t>
      </w:r>
      <w:proofErr w:type="spellEnd"/>
      <w:r w:rsidRPr="00A0513E">
        <w:t xml:space="preserve"> screening in low</w:t>
      </w:r>
      <w:r>
        <w:t>-</w:t>
      </w:r>
      <w:r w:rsidRPr="00A0513E">
        <w:t>prevalence populations may lead to many false</w:t>
      </w:r>
      <w:r>
        <w:t>-</w:t>
      </w:r>
      <w:r w:rsidRPr="00A0513E">
        <w:t>positive results.</w:t>
      </w:r>
      <w:r>
        <w:t xml:space="preserve"> </w:t>
      </w:r>
      <w:r w:rsidRPr="00A0513E">
        <w:t>The Committee considered this advice but ha</w:t>
      </w:r>
      <w:r>
        <w:t>s</w:t>
      </w:r>
      <w:r w:rsidRPr="00A0513E">
        <w:t xml:space="preserve"> recommended that testing for both organisms should be encouraged. Concerns regarding false</w:t>
      </w:r>
      <w:r>
        <w:t>-</w:t>
      </w:r>
      <w:r w:rsidRPr="00A0513E">
        <w:t xml:space="preserve">positive </w:t>
      </w:r>
      <w:r w:rsidRPr="002404C3">
        <w:rPr>
          <w:i/>
        </w:rPr>
        <w:t>N. gonorrhoeae</w:t>
      </w:r>
      <w:r w:rsidRPr="00A0513E">
        <w:t xml:space="preserve"> results in low</w:t>
      </w:r>
      <w:r>
        <w:t>-</w:t>
      </w:r>
      <w:r w:rsidRPr="00A0513E">
        <w:t>prevalence populations are less likely</w:t>
      </w:r>
      <w:r>
        <w:t>,</w:t>
      </w:r>
      <w:r w:rsidRPr="00A0513E">
        <w:t xml:space="preserve"> as laboratories adhere to the PHLN guidelines requiring confirmatory testing using an alternative method.</w:t>
      </w:r>
      <w:r w:rsidRPr="00A0513E">
        <w:fldChar w:fldCharType="begin"/>
      </w:r>
      <w:r w:rsidR="00861FFC">
        <w:instrText xml:space="preserve"> ADDIN EN.CITE &lt;EndNote&gt;&lt;Cite&gt;&lt;Author&gt;Smith&lt;/Author&gt;&lt;Year&gt;2005&lt;/Year&gt;&lt;RecNum&gt;8&lt;/RecNum&gt;&lt;DisplayText&gt; [8]&lt;/DisplayText&gt;&lt;record&gt;&lt;rec-number&gt;8&lt;/rec-number&gt;&lt;foreign-keys&gt;&lt;key app="EN" db-id="9rerxxddifw5xaewxvlxffw2vsfzrarx0vva" timestamp="1506991279"&gt;8&lt;/key&gt;&lt;/foreign-keys&gt;&lt;ref-type name="Journal article - no URL"&gt;40&lt;/ref-type&gt;&lt;contributors&gt;&lt;authors&gt;&lt;author&gt;Smith, D. W.&lt;/author&gt;&lt;author&gt;Tapsall, J. W.&lt;/author&gt;&lt;author&gt;Lum, G.&lt;/author&gt;&lt;/authors&gt;&lt;/contributors&gt;&lt;auth-address&gt;Clinical Director, Microbiology and Infectious Diseases, PathWest Laboratory Medicine WA, Nedlands, Western Australia. david.smith@health.wa.gov.au&lt;/auth-address&gt;&lt;titles&gt;&lt;title&gt;Guidelines for the use and interpretation of nucleic acid detection tests for Neisseria gonorrhoeae in Australia: a position paper on behalf of the Public Health Laboratory Network&lt;/title&gt;&lt;alt-title&gt;Communicable diseases intelligence quarterly report&lt;/alt-title&gt;&lt;/titles&gt;&lt;alt-periodical&gt;&lt;full-title&gt;Commun Dis Intell Q Rep&lt;/full-title&gt;&lt;abbr-1&gt;Communicable diseases intelligence quarterly report&lt;/abbr-1&gt;&lt;/alt-periodical&gt;&lt;pages&gt;358-65&lt;/pages&gt;&lt;volume&gt;29&lt;/volume&gt;&lt;number&gt;4&lt;/number&gt;&lt;edition&gt;2006/02/10&lt;/edition&gt;&lt;keywords&gt;&lt;keyword&gt;Anti-Bacterial Agents/pharmacology&lt;/keyword&gt;&lt;keyword&gt;Australia/epidemiology&lt;/keyword&gt;&lt;keyword&gt;Diagnostic Tests, Routine/*methods&lt;/keyword&gt;&lt;keyword&gt;Drug Resistance, Bacterial&lt;/keyword&gt;&lt;keyword&gt;Gonorrhea/*diagnosis/epidemiology/*microbiology&lt;/keyword&gt;&lt;keyword&gt;Humans&lt;/keyword&gt;&lt;keyword&gt;Neisseria gonorrhoeae/drug effects/*genetics/*isolation &amp;amp; purification&lt;/keyword&gt;&lt;keyword&gt;Public Health&lt;/keyword&gt;&lt;keyword&gt;Quality Assurance, Health Care&lt;/keyword&gt;&lt;/keywords&gt;&lt;dates&gt;&lt;year&gt;2005&lt;/year&gt;&lt;/dates&gt;&lt;publisher&gt;Communicable Diseases Intelligence Quarterly Report&lt;/publisher&gt;&lt;isbn&gt;1447-4514 (Print)&amp;#xD;1447-4514&lt;/isbn&gt;&lt;accession-num&gt;16465924&lt;/accession-num&gt;&lt;urls&gt;&lt;/urls&gt;&lt;remote-database-provider&gt;NLM&lt;/remote-database-provider&gt;&lt;language&gt;eng&lt;/language&gt;&lt;/record&gt;&lt;/Cite&gt;&lt;/EndNote&gt;</w:instrText>
      </w:r>
      <w:r w:rsidRPr="00A0513E">
        <w:fldChar w:fldCharType="separate"/>
      </w:r>
      <w:r w:rsidR="00EE147F">
        <w:rPr>
          <w:noProof/>
        </w:rPr>
        <w:t xml:space="preserve"> [8]</w:t>
      </w:r>
      <w:r w:rsidRPr="00A0513E">
        <w:fldChar w:fldCharType="end"/>
      </w:r>
      <w:r w:rsidRPr="00A0513E">
        <w:t xml:space="preserve"> </w:t>
      </w:r>
    </w:p>
    <w:p w14:paraId="10707FFC" w14:textId="77777777" w:rsidR="00CA7016" w:rsidRPr="00A0513E" w:rsidRDefault="00CA7016" w:rsidP="00CA7016">
      <w:pPr>
        <w:pStyle w:val="NormalBulleted"/>
        <w:numPr>
          <w:ilvl w:val="0"/>
          <w:numId w:val="17"/>
        </w:numPr>
        <w:spacing w:before="120" w:after="60" w:line="240" w:lineRule="auto"/>
        <w:ind w:right="142"/>
        <w:contextualSpacing w:val="0"/>
      </w:pPr>
      <w:r w:rsidRPr="00A0513E">
        <w:t>The items for the detection of chlamydia (items 69316, 69317 and 69319) can be merged to the new item</w:t>
      </w:r>
      <w:r>
        <w:t>s</w:t>
      </w:r>
      <w:r w:rsidRPr="00A0513E">
        <w:t xml:space="preserve"> 693X</w:t>
      </w:r>
      <w:r>
        <w:t>E and 693XF</w:t>
      </w:r>
      <w:r w:rsidRPr="00A0513E">
        <w:t xml:space="preserve">. </w:t>
      </w:r>
    </w:p>
    <w:p w14:paraId="46EA8F3C"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The RANZCOG recommends maternal screening for </w:t>
      </w:r>
      <w:r w:rsidRPr="002404C3">
        <w:rPr>
          <w:i/>
        </w:rPr>
        <w:t>Streptococcus agalactiae</w:t>
      </w:r>
      <w:r w:rsidRPr="00A0513E">
        <w:t xml:space="preserve"> at 35</w:t>
      </w:r>
      <w:r>
        <w:t>–</w:t>
      </w:r>
      <w:r w:rsidRPr="00A0513E">
        <w:t>37 weeks</w:t>
      </w:r>
      <w:r>
        <w:t>’</w:t>
      </w:r>
      <w:r w:rsidRPr="00A0513E">
        <w:t xml:space="preserve"> gestation. NAAT testing at delivery has been included in the descriptor, to provide </w:t>
      </w:r>
      <w:r>
        <w:t xml:space="preserve">a </w:t>
      </w:r>
      <w:r w:rsidRPr="00A0513E">
        <w:t>rapid test for women who have not had screening performed at 35</w:t>
      </w:r>
      <w:r>
        <w:t>–</w:t>
      </w:r>
      <w:r w:rsidRPr="00A0513E">
        <w:t>37 weeks.</w:t>
      </w:r>
      <w:r w:rsidRPr="00A0513E">
        <w:fldChar w:fldCharType="begin">
          <w:fldData xml:space="preserve">PEVuZE5vdGU+PENpdGU+PEF1dGhvcj5BdXN0cmFsYXNpYW4gU29jaWV0eSBmb3IgSW5mZWN0aW91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</w:fldData>
        </w:fldChar>
      </w:r>
      <w:r w:rsidR="00C10F95">
        <w:instrText xml:space="preserve"> ADDIN EN.CITE </w:instrText>
      </w:r>
      <w:r w:rsidR="00C10F95">
        <w:fldChar w:fldCharType="begin">
          <w:fldData xml:space="preserve">PEVuZE5vdGU+PENpdGU+PEF1dGhvcj5BdXN0cmFsYXNpYW4gU29jaWV0eSBmb3IgSW5mZWN0aW91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</w:fldData>
        </w:fldChar>
      </w:r>
      <w:r w:rsidR="00C10F95">
        <w:instrText xml:space="preserve"> ADDIN EN.CITE.DATA </w:instrText>
      </w:r>
      <w:r w:rsidR="00C10F95">
        <w:fldChar w:fldCharType="end"/>
      </w:r>
      <w:r w:rsidRPr="00A0513E">
        <w:fldChar w:fldCharType="separate"/>
      </w:r>
      <w:r w:rsidR="00EE147F">
        <w:rPr>
          <w:noProof/>
        </w:rPr>
        <w:t xml:space="preserve"> [9</w:t>
      </w:r>
      <w:r w:rsidR="00DB6544">
        <w:rPr>
          <w:noProof/>
        </w:rPr>
        <w:t>]</w:t>
      </w:r>
      <w:r w:rsidR="00EE147F">
        <w:rPr>
          <w:noProof/>
        </w:rPr>
        <w:t>, [10]</w:t>
      </w:r>
      <w:r w:rsidRPr="00A0513E">
        <w:fldChar w:fldCharType="end"/>
      </w:r>
      <w:r w:rsidRPr="00A0513E">
        <w:t xml:space="preserve"> </w:t>
      </w:r>
    </w:p>
    <w:p w14:paraId="2F85BC7A" w14:textId="77777777" w:rsidR="00CA7016" w:rsidRPr="00A0513E" w:rsidRDefault="00CA7016" w:rsidP="00CA7016">
      <w:pPr>
        <w:pStyle w:val="NormalBulleted"/>
        <w:numPr>
          <w:ilvl w:val="0"/>
          <w:numId w:val="17"/>
        </w:numPr>
        <w:spacing w:before="120" w:after="60" w:line="240" w:lineRule="auto"/>
        <w:ind w:right="142"/>
        <w:contextualSpacing w:val="0"/>
      </w:pPr>
      <w:r w:rsidRPr="00A0513E">
        <w:t>While the Australian Chlamydia Control Effectiveness Pilot (</w:t>
      </w:r>
      <w:proofErr w:type="spellStart"/>
      <w:r w:rsidRPr="00A0513E">
        <w:t>ACCEPt</w:t>
      </w:r>
      <w:proofErr w:type="spellEnd"/>
      <w:r w:rsidRPr="00A0513E">
        <w:t>)</w:t>
      </w:r>
      <w:r>
        <w:t xml:space="preserve"> </w:t>
      </w:r>
      <w:r w:rsidRPr="00A0513E">
        <w:t>screening program has been completed, retaining item 69316 was discussed</w:t>
      </w:r>
      <w:r>
        <w:t>,</w:t>
      </w:r>
      <w:r w:rsidRPr="00A0513E">
        <w:t xml:space="preserve"> as there are </w:t>
      </w:r>
      <w:r>
        <w:t xml:space="preserve">several </w:t>
      </w:r>
      <w:r w:rsidRPr="00A0513E">
        <w:t>platforms that perform single chlamydia test.</w:t>
      </w:r>
      <w:r>
        <w:t xml:space="preserve"> </w:t>
      </w:r>
      <w:r w:rsidRPr="00A0513E">
        <w:t>The Committee decided against this, in preference to encouraging dual testing for both chlamydia and gonorrhoea.</w:t>
      </w:r>
    </w:p>
    <w:p w14:paraId="389C5954" w14:textId="77777777" w:rsidR="00CA7016" w:rsidRPr="00A0513E" w:rsidRDefault="00CA7016" w:rsidP="00CA7016">
      <w:pPr>
        <w:pStyle w:val="NormalBulleted"/>
        <w:numPr>
          <w:ilvl w:val="0"/>
          <w:numId w:val="17"/>
        </w:numPr>
        <w:spacing w:before="120" w:after="60" w:line="240" w:lineRule="auto"/>
        <w:ind w:right="142"/>
        <w:contextualSpacing w:val="0"/>
      </w:pPr>
      <w:r w:rsidRPr="00107ABC">
        <w:t>Chlamydia was the most frequently reported notifiable condition in Australia in 2014</w:t>
      </w:r>
      <w:r>
        <w:t>,</w:t>
      </w:r>
      <w:r w:rsidRPr="00107ABC">
        <w:t xml:space="preserve"> with 86,136 diagnoses; </w:t>
      </w:r>
      <w:r>
        <w:t xml:space="preserve">most </w:t>
      </w:r>
      <w:r w:rsidRPr="00107ABC">
        <w:t>(78%) of diagnoses were among 15</w:t>
      </w:r>
      <w:r>
        <w:t>–</w:t>
      </w:r>
      <w:r w:rsidRPr="00107ABC">
        <w:t>29</w:t>
      </w:r>
      <w:r>
        <w:t>-</w:t>
      </w:r>
      <w:r w:rsidRPr="00107ABC">
        <w:t>year</w:t>
      </w:r>
      <w:r>
        <w:t>-</w:t>
      </w:r>
      <w:r w:rsidRPr="00107ABC">
        <w:t>olds</w:t>
      </w:r>
      <w:r w:rsidRPr="00A0513E">
        <w:t>.</w:t>
      </w:r>
      <w:r w:rsidRPr="00A0513E">
        <w:fldChar w:fldCharType="begin"/>
      </w:r>
      <w:r w:rsidR="00EE147F">
        <w:instrText xml:space="preserve"> ADDIN EN.CITE &lt;EndNote&gt;&lt;Cite&gt;&lt;Author&gt;Department of Health&lt;/Author&gt;&lt;Year&gt;2015&lt;/Year&gt;&lt;RecNum&gt;11&lt;/RecNum&gt;&lt;DisplayText&gt; [11]&lt;/DisplayText&gt;&lt;record&gt;&lt;rec-number&gt;11&lt;/rec-number&gt;&lt;foreign-keys&gt;&lt;key app="EN" db-id="9rerxxddifw5xaewxvlxffw2vsfzrarx0vva" timestamp="1506991284"&gt;11&lt;/key&gt;&lt;/foreign-keys&gt;&lt;ref-type name="Web Page"&gt;12&lt;/ref-type&gt;&lt;contributors&gt;&lt;authors&gt;&lt;author&gt;Department of Health,&lt;/author&gt;&lt;/authors&gt;&lt;/contributors&gt;&lt;titles&gt;&lt;title&gt;Data on Blood Borne Viruses and Sexually Transmissible Infections&lt;/title&gt;&lt;/titles&gt;&lt;number&gt;3 July 2017&lt;/number&gt;&lt;dates&gt;&lt;year&gt;2015&lt;/year&gt;&lt;/dates&gt;&lt;pub-location&gt;Canberra&lt;/pub-location&gt;&lt;publisher&gt;Australian Government&lt;/publisher&gt;&lt;urls&gt;&lt;related-urls&gt;&lt;url&gt;http://www.health.gov.au/internet/main/publishing.nsf/content/ohp-bbvs-data&lt;/url&gt;&lt;/related-urls&gt;&lt;/urls&gt;&lt;/record&gt;&lt;/Cite&gt;&lt;/EndNote&gt;</w:instrText>
      </w:r>
      <w:r w:rsidRPr="00A0513E">
        <w:fldChar w:fldCharType="separate"/>
      </w:r>
      <w:r w:rsidR="00EE147F">
        <w:rPr>
          <w:noProof/>
        </w:rPr>
        <w:t xml:space="preserve"> [11]</w:t>
      </w:r>
      <w:r w:rsidRPr="00A0513E">
        <w:fldChar w:fldCharType="end"/>
      </w:r>
      <w:r w:rsidRPr="00A0513E">
        <w:t xml:space="preserve"> </w:t>
      </w:r>
    </w:p>
    <w:p w14:paraId="611BD084" w14:textId="77777777" w:rsidR="00CA7016" w:rsidRPr="00A0513E" w:rsidRDefault="00CA7016" w:rsidP="00CA7016">
      <w:pPr>
        <w:pStyle w:val="NormalBulleted"/>
        <w:numPr>
          <w:ilvl w:val="0"/>
          <w:numId w:val="17"/>
        </w:numPr>
        <w:spacing w:before="120" w:after="60" w:line="240" w:lineRule="auto"/>
        <w:ind w:right="142"/>
        <w:contextualSpacing w:val="0"/>
      </w:pPr>
      <w:r w:rsidRPr="00107ABC">
        <w:t xml:space="preserve">There were 15,786 cases of gonorrhoea notified in 2014, representing an increased rate in both </w:t>
      </w:r>
      <w:r>
        <w:t xml:space="preserve">men </w:t>
      </w:r>
      <w:r w:rsidRPr="00107ABC">
        <w:t xml:space="preserve">(from 62 per 100,000 in 2010 to 99 per 100,000 in 2014) and </w:t>
      </w:r>
      <w:r>
        <w:t xml:space="preserve">women </w:t>
      </w:r>
      <w:r w:rsidRPr="00107ABC">
        <w:t>(from 30 per 100,000 in 2010 to 38 per 100,000 in 2014)</w:t>
      </w:r>
      <w:r w:rsidRPr="00A0513E">
        <w:t>.</w:t>
      </w:r>
      <w:r w:rsidRPr="00A0513E">
        <w:fldChar w:fldCharType="begin"/>
      </w:r>
      <w:r w:rsidR="00EE147F">
        <w:instrText xml:space="preserve"> ADDIN EN.CITE &lt;EndNote&gt;&lt;Cite&gt;&lt;Author&gt;Department of Health&lt;/Author&gt;&lt;Year&gt;2015&lt;/Year&gt;&lt;RecNum&gt;11&lt;/RecNum&gt;&lt;DisplayText&gt; [11]&lt;/DisplayText&gt;&lt;record&gt;&lt;rec-number&gt;11&lt;/rec-number&gt;&lt;foreign-keys&gt;&lt;key app="EN" db-id="9rerxxddifw5xaewxvlxffw2vsfzrarx0vva" timestamp="1506991284"&gt;11&lt;/key&gt;&lt;/foreign-keys&gt;&lt;ref-type name="Web Page"&gt;12&lt;/ref-type&gt;&lt;contributors&gt;&lt;authors&gt;&lt;author&gt;Department of Health,&lt;/author&gt;&lt;/authors&gt;&lt;/contributors&gt;&lt;titles&gt;&lt;title&gt;Data on Blood Borne Viruses and Sexually Transmissible Infections&lt;/title&gt;&lt;/titles&gt;&lt;number&gt;3 July 2017&lt;/number&gt;&lt;dates&gt;&lt;year&gt;2015&lt;/year&gt;&lt;/dates&gt;&lt;pub-location&gt;Canberra&lt;/pub-location&gt;&lt;publisher&gt;Australian Government&lt;/publisher&gt;&lt;urls&gt;&lt;related-urls&gt;&lt;url&gt;http://www.health.gov.au/internet/main/publishing.nsf/content/ohp-bbvs-data&lt;/url&gt;&lt;/related-urls&gt;&lt;/urls&gt;&lt;/record&gt;&lt;/Cite&gt;&lt;/EndNote&gt;</w:instrText>
      </w:r>
      <w:r w:rsidRPr="00A0513E">
        <w:fldChar w:fldCharType="separate"/>
      </w:r>
      <w:r w:rsidR="00EE147F">
        <w:rPr>
          <w:noProof/>
        </w:rPr>
        <w:t xml:space="preserve"> [11]</w:t>
      </w:r>
      <w:r w:rsidRPr="00A0513E">
        <w:fldChar w:fldCharType="end"/>
      </w:r>
      <w:r w:rsidRPr="00A0513E" w:rsidDel="008909CB">
        <w:t xml:space="preserve"> </w:t>
      </w:r>
    </w:p>
    <w:p w14:paraId="031B5277" w14:textId="77777777" w:rsidR="00CA7016" w:rsidRPr="00A0513E" w:rsidRDefault="00CA7016" w:rsidP="00CA7016">
      <w:pPr>
        <w:pStyle w:val="NormalBulleted"/>
        <w:numPr>
          <w:ilvl w:val="0"/>
          <w:numId w:val="17"/>
        </w:numPr>
        <w:spacing w:before="120" w:after="60" w:line="240" w:lineRule="auto"/>
        <w:ind w:right="142"/>
        <w:contextualSpacing w:val="0"/>
      </w:pPr>
      <w:r w:rsidRPr="00107ABC">
        <w:t>Data from NSW show</w:t>
      </w:r>
      <w:r w:rsidRPr="00A0513E">
        <w:t xml:space="preserve"> that crude rates of both chlamydia and gonorrhoea have continued to increase steadily since 2014; </w:t>
      </w:r>
      <w:r>
        <w:t>t</w:t>
      </w:r>
      <w:r w:rsidRPr="00A0513E">
        <w:t>he number of gonorrhoea notifications was 2608 cases (2166 men, 431 women) in the first quarter of 2017, 58% higher than in the same period in 2015 (1649). The number of chlamydia notifications has also continued to increase in 2017, with 7931 cases (4191 men and 3732 women) in the first quarter, 23% higher than in the same period in 2015 (6455).</w:t>
      </w:r>
      <w:r w:rsidRPr="00A0513E">
        <w:fldChar w:fldCharType="begin"/>
      </w:r>
      <w:r w:rsidR="00EE147F">
        <w:instrText xml:space="preserve"> ADDIN EN.CITE &lt;EndNote&gt;&lt;Cite&gt;&lt;Author&gt;Ministry of Health&lt;/Author&gt;&lt;Year&gt;2017&lt;/Year&gt;&lt;RecNum&gt;12&lt;/RecNum&gt;&lt;DisplayText&gt; [12]&lt;/DisplayText&gt;&lt;record&gt;&lt;rec-number&gt;12&lt;/rec-number&gt;&lt;foreign-keys&gt;&lt;key app="EN" db-id="9rerxxddifw5xaewxvlxffw2vsfzrarx0vva" timestamp="1506991286"&gt;12&lt;/key&gt;&lt;/foreign-keys&gt;&lt;ref-type name="Report"&gt;27&lt;/ref-type&gt;&lt;contributors&gt;&lt;authors&gt;&lt;author&gt;Ministry of Health, &lt;/author&gt;&lt;/authors&gt;&lt;/contributors&gt;&lt;titles&gt;&lt;title&gt;Communicable Diseases Weekly Report: Week 15, 9 to 15 April &lt;/title&gt;&lt;/titles&gt;&lt;dates&gt;&lt;year&gt;2017&lt;/year&gt;&lt;/dates&gt;&lt;pub-location&gt;Sydney&lt;/pub-location&gt;&lt;publisher&gt;NSW Government&lt;/publisher&gt;&lt;urls&gt;&lt;related-urls&gt;&lt;url&gt;http://www.health.nsw.gov.au/Infectious/CDWR/2017/CDWR-Week15-2017.pdf&lt;/url&gt;&lt;/related-urls&gt;&lt;/urls&gt;&lt;access-date&gt;3 July 2017&lt;/access-date&gt;&lt;/record&gt;&lt;/Cite&gt;&lt;/EndNote&gt;</w:instrText>
      </w:r>
      <w:r w:rsidRPr="00A0513E">
        <w:fldChar w:fldCharType="separate"/>
      </w:r>
      <w:r w:rsidR="00EE147F">
        <w:rPr>
          <w:noProof/>
        </w:rPr>
        <w:t xml:space="preserve"> [12]</w:t>
      </w:r>
      <w:r w:rsidRPr="00A0513E">
        <w:fldChar w:fldCharType="end"/>
      </w:r>
      <w:r w:rsidRPr="00A0513E">
        <w:t xml:space="preserve"> </w:t>
      </w:r>
    </w:p>
    <w:p w14:paraId="4A375208" w14:textId="77777777" w:rsidR="00CA7016" w:rsidRPr="00A0513E" w:rsidRDefault="00CA7016" w:rsidP="00CA7016">
      <w:pPr>
        <w:pStyle w:val="NormalBulleted"/>
        <w:numPr>
          <w:ilvl w:val="0"/>
          <w:numId w:val="17"/>
        </w:numPr>
        <w:spacing w:before="120" w:after="60" w:line="240" w:lineRule="auto"/>
        <w:ind w:right="142"/>
        <w:contextualSpacing w:val="0"/>
      </w:pPr>
      <w:r>
        <w:t>Asymptomatic urethral gonorrhoea in</w:t>
      </w:r>
      <w:r w:rsidRPr="00A0513E">
        <w:t xml:space="preserve"> men who have sex with men (MSM) has been reported in a publication from Melbourne Sexual Health.</w:t>
      </w:r>
      <w:r>
        <w:t xml:space="preserve"> </w:t>
      </w:r>
      <w:r w:rsidRPr="00A0513E">
        <w:t>Among men with urethral gonorrhoea (228/5497) the proportion</w:t>
      </w:r>
      <w:r>
        <w:t>s</w:t>
      </w:r>
      <w:r w:rsidRPr="00A0513E">
        <w:t xml:space="preserve"> with concurrent pharyngeal or rectal gonorrhoea were 64% (134/210) and 32% (74/235), respectively.</w:t>
      </w:r>
      <w:r w:rsidRPr="00A0513E">
        <w:fldChar w:fldCharType="begin">
          <w:fldData xml:space="preserve">PEVuZE5vdGU+PENpdGU+PEF1dGhvcj5Pbmc8L0F1dGhvcj48WWVhcj4yMDE3PC9ZZWFyPjxSZWNO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</w:fldData>
        </w:fldChar>
      </w:r>
      <w:r w:rsidR="00365487">
        <w:instrText xml:space="preserve"> ADDIN EN.CITE </w:instrText>
      </w:r>
      <w:r w:rsidR="00365487">
        <w:fldChar w:fldCharType="begin">
          <w:fldData xml:space="preserve">PEVuZE5vdGU+PENpdGU+PEF1dGhvcj5Pbmc8L0F1dGhvcj48WWVhcj4yMDE3PC9ZZWFyPjxSZWNO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</w:fldData>
        </w:fldChar>
      </w:r>
      <w:r w:rsidR="00365487">
        <w:instrText xml:space="preserve"> ADDIN EN.CITE.DATA </w:instrText>
      </w:r>
      <w:r w:rsidR="00365487">
        <w:fldChar w:fldCharType="end"/>
      </w:r>
      <w:r w:rsidRPr="00A0513E">
        <w:fldChar w:fldCharType="separate"/>
      </w:r>
      <w:r w:rsidR="00EE147F">
        <w:rPr>
          <w:noProof/>
        </w:rPr>
        <w:t xml:space="preserve"> [13]</w:t>
      </w:r>
      <w:r w:rsidRPr="00A0513E">
        <w:fldChar w:fldCharType="end"/>
      </w:r>
    </w:p>
    <w:p w14:paraId="4752DC98" w14:textId="77777777" w:rsidR="00CA7016" w:rsidRPr="00A0513E" w:rsidRDefault="00CA7016" w:rsidP="00CA7016">
      <w:pPr>
        <w:pStyle w:val="NormalBulleted"/>
        <w:numPr>
          <w:ilvl w:val="0"/>
          <w:numId w:val="17"/>
        </w:numPr>
        <w:spacing w:before="120" w:after="60" w:line="240" w:lineRule="auto"/>
        <w:ind w:right="142"/>
        <w:contextualSpacing w:val="0"/>
      </w:pPr>
      <w:r w:rsidRPr="00A0513E">
        <w:t>MBS items to facilitate</w:t>
      </w:r>
      <w:r>
        <w:t xml:space="preserve"> </w:t>
      </w:r>
      <w:r w:rsidRPr="00A0513E">
        <w:t xml:space="preserve">referral of isolates of public health significance were recommended in a Health Consult review </w:t>
      </w:r>
      <w:proofErr w:type="spellStart"/>
      <w:r w:rsidRPr="002404C3">
        <w:rPr>
          <w:i/>
        </w:rPr>
        <w:t>Review</w:t>
      </w:r>
      <w:proofErr w:type="spellEnd"/>
      <w:r w:rsidRPr="002404C3">
        <w:rPr>
          <w:i/>
        </w:rPr>
        <w:t xml:space="preserve"> of culture-independent diagnostic testing</w:t>
      </w:r>
      <w:r>
        <w:rPr>
          <w:i/>
        </w:rPr>
        <w:t>,</w:t>
      </w:r>
      <w:r w:rsidRPr="00A0513E">
        <w:t xml:space="preserve"> undertaken at the request of the Department of Health.</w:t>
      </w:r>
      <w:r w:rsidRPr="00A0513E">
        <w:fldChar w:fldCharType="begin"/>
      </w:r>
      <w:r w:rsidR="008A116E">
        <w:instrText xml:space="preserve"> ADDIN EN.CITE &lt;EndNote&gt;&lt;Cite&gt;&lt;Author&gt;Health Consult for the Department of Health Pathology Services Advisory Committee&lt;/Author&gt;&lt;Year&gt;2016&lt;/Year&gt;&lt;RecNum&gt;5&lt;/RecNum&gt;&lt;DisplayText&gt; [5]&lt;/DisplayText&gt;&lt;record&gt;&lt;rec-number&gt;5&lt;/rec-number&gt;&lt;foreign-keys&gt;&lt;key app="EN" db-id="9rerxxddifw5xaewxvlxffw2vsfzrarx0vva" timestamp="1506991275"&gt;5&lt;/key&gt;&lt;/foreign-keys&gt;&lt;ref-type name="Unpublished Work"&gt;34&lt;/ref-type&gt;&lt;contributors&gt;&lt;authors&gt;&lt;author&gt;Health Consult for the Department of Health Pathology Services Advisory Committee,&lt;/author&gt;&lt;/authors&gt;&lt;/contributors&gt;&lt;titles&gt;&lt;title&gt;Review of culture-independent diagnostic testing. Report for Department of Health - Pathology Services Advisory Committee&lt;/title&gt;&lt;/titles&gt;&lt;dates&gt;&lt;year&gt;2016&lt;/year&gt;&lt;/dates&gt;&lt;pub-location&gt;Sydney&lt;/pub-location&gt;&lt;publisher&gt;Department of Health&lt;/publisher&gt;&lt;urls&gt;&lt;/urls&gt;&lt;/record&gt;&lt;/Cite&gt;&lt;/EndNote&gt;</w:instrText>
      </w:r>
      <w:r w:rsidRPr="00A0513E">
        <w:fldChar w:fldCharType="separate"/>
      </w:r>
      <w:r w:rsidR="00EE147F">
        <w:rPr>
          <w:noProof/>
        </w:rPr>
        <w:t xml:space="preserve"> [5]</w:t>
      </w:r>
      <w:r w:rsidRPr="00A0513E">
        <w:fldChar w:fldCharType="end"/>
      </w:r>
      <w:r w:rsidRPr="00A0513E">
        <w:t xml:space="preserve"> (See recommendation in Section 5.)</w:t>
      </w:r>
    </w:p>
    <w:p w14:paraId="50E57BF9" w14:textId="77777777" w:rsidR="00CA7016" w:rsidRPr="00A0513E" w:rsidRDefault="00CA7016" w:rsidP="00CA7016">
      <w:pPr>
        <w:pStyle w:val="Heading2"/>
      </w:pPr>
      <w:bookmarkStart w:id="168" w:name="_Toc483989368"/>
      <w:bookmarkStart w:id="169" w:name="_Toc486939186"/>
      <w:bookmarkStart w:id="170" w:name="_Toc12886553"/>
      <w:r w:rsidRPr="00A0513E">
        <w:lastRenderedPageBreak/>
        <w:t>Respiratory</w:t>
      </w:r>
      <w:bookmarkEnd w:id="168"/>
      <w:bookmarkEnd w:id="169"/>
      <w:bookmarkEnd w:id="170"/>
    </w:p>
    <w:p w14:paraId="0ED1E79C" w14:textId="77777777" w:rsidR="00CA7016" w:rsidRPr="00096FD8" w:rsidRDefault="00CA7016" w:rsidP="00CA7016">
      <w:pPr>
        <w:pStyle w:val="Heading3"/>
      </w:pPr>
      <w:bookmarkStart w:id="171" w:name="_Ref487790415"/>
      <w:bookmarkStart w:id="172" w:name="_Toc12886554"/>
      <w:r>
        <w:t>Recommendation 4</w:t>
      </w:r>
      <w:bookmarkEnd w:id="171"/>
      <w:bookmarkEnd w:id="172"/>
    </w:p>
    <w:p w14:paraId="25AF1195"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Create a new NAAT item for molecular testing of viral, atypical pneumonia pathogens and </w:t>
      </w:r>
      <w:r w:rsidRPr="00DF14D5">
        <w:rPr>
          <w:i/>
        </w:rPr>
        <w:t>Bordetella</w:t>
      </w:r>
      <w:r w:rsidRPr="00A0513E">
        <w:t xml:space="preserve"> species from swabs and lower respiratory tract samples. </w:t>
      </w:r>
    </w:p>
    <w:p w14:paraId="484246AA" w14:textId="77777777" w:rsidR="00CA7016" w:rsidRPr="00B96BC0" w:rsidRDefault="00CA7016" w:rsidP="00CA7016">
      <w:pPr>
        <w:pStyle w:val="Caption"/>
      </w:pPr>
      <w:bookmarkStart w:id="173" w:name="_Toc484598346"/>
      <w:bookmarkStart w:id="174" w:name="_Toc486935607"/>
      <w:bookmarkStart w:id="175" w:name="_Toc12953459"/>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7A1648">
        <w:rPr>
          <w:noProof/>
        </w:rPr>
        <w:t>9</w:t>
      </w:r>
      <w:r w:rsidR="00BB490A">
        <w:rPr>
          <w:noProof/>
        </w:rPr>
        <w:fldChar w:fldCharType="end"/>
      </w:r>
      <w:r>
        <w:t xml:space="preserve">: </w:t>
      </w:r>
      <w:r w:rsidRPr="00B96BC0">
        <w:t xml:space="preserve">Proposed changes to </w:t>
      </w:r>
      <w:bookmarkEnd w:id="173"/>
      <w:bookmarkEnd w:id="174"/>
      <w:r>
        <w:t>tests for respiratory pathogens</w:t>
      </w:r>
      <w:bookmarkEnd w:id="175"/>
    </w:p>
    <w:tbl>
      <w:tblPr>
        <w:tblStyle w:val="TableGrid"/>
        <w:tblW w:w="0" w:type="auto"/>
        <w:tblLook w:val="04A0" w:firstRow="1" w:lastRow="0" w:firstColumn="1" w:lastColumn="0" w:noHBand="0" w:noVBand="1"/>
        <w:tblDescription w:val="This table lists Item numbers, Current descriptors, and Proposed changes to descriptors for respiratory items."/>
      </w:tblPr>
      <w:tblGrid>
        <w:gridCol w:w="988"/>
        <w:gridCol w:w="3969"/>
        <w:gridCol w:w="4059"/>
      </w:tblGrid>
      <w:tr w:rsidR="00CA7016" w:rsidRPr="00B96BC0" w14:paraId="67D65E2B" w14:textId="77777777" w:rsidTr="00F20089">
        <w:trPr>
          <w:tblHeader/>
        </w:trPr>
        <w:tc>
          <w:tcPr>
            <w:tcW w:w="988" w:type="dxa"/>
            <w:shd w:val="clear" w:color="auto" w:fill="EEECE1" w:themeFill="background2"/>
            <w:vAlign w:val="bottom"/>
          </w:tcPr>
          <w:p w14:paraId="319DB0D0" w14:textId="77777777" w:rsidR="00CA7016" w:rsidRPr="00A0513E" w:rsidRDefault="00CA7016" w:rsidP="003C3F6A">
            <w:pPr>
              <w:pStyle w:val="01Tableheaderrow"/>
            </w:pPr>
            <w:r w:rsidRPr="00A0513E">
              <w:t>Item</w:t>
            </w:r>
          </w:p>
        </w:tc>
        <w:tc>
          <w:tcPr>
            <w:tcW w:w="3969" w:type="dxa"/>
            <w:shd w:val="clear" w:color="auto" w:fill="EEECE1" w:themeFill="background2"/>
            <w:vAlign w:val="bottom"/>
          </w:tcPr>
          <w:p w14:paraId="0994F93A" w14:textId="77777777" w:rsidR="00CA7016" w:rsidRPr="00A0513E" w:rsidRDefault="00CA7016" w:rsidP="003C3F6A">
            <w:pPr>
              <w:pStyle w:val="01Tableheaderrow"/>
            </w:pPr>
            <w:r w:rsidRPr="00A0513E">
              <w:t>Current descriptor</w:t>
            </w:r>
          </w:p>
        </w:tc>
        <w:tc>
          <w:tcPr>
            <w:tcW w:w="4059" w:type="dxa"/>
            <w:shd w:val="clear" w:color="auto" w:fill="EEECE1" w:themeFill="background2"/>
            <w:vAlign w:val="bottom"/>
          </w:tcPr>
          <w:p w14:paraId="3329DB7F" w14:textId="77777777" w:rsidR="00CA7016" w:rsidRPr="00A0513E" w:rsidRDefault="00CA7016" w:rsidP="003C3F6A">
            <w:pPr>
              <w:pStyle w:val="01Tableheaderrow"/>
            </w:pPr>
            <w:r w:rsidRPr="00A0513E">
              <w:t>Proposed change to descriptor</w:t>
            </w:r>
          </w:p>
        </w:tc>
      </w:tr>
      <w:tr w:rsidR="00CA7016" w:rsidRPr="00B96BC0" w14:paraId="41828AEF" w14:textId="77777777" w:rsidTr="003C3F6A">
        <w:tc>
          <w:tcPr>
            <w:tcW w:w="988" w:type="dxa"/>
          </w:tcPr>
          <w:p w14:paraId="25E778F4" w14:textId="77777777" w:rsidR="00CA7016" w:rsidRPr="00A0513E" w:rsidRDefault="00CA7016" w:rsidP="003C3F6A">
            <w:pPr>
              <w:pStyle w:val="02Tabletext"/>
            </w:pPr>
            <w:r w:rsidRPr="00A0513E">
              <w:t xml:space="preserve">New item </w:t>
            </w:r>
          </w:p>
          <w:p w14:paraId="3C18009B" w14:textId="77777777" w:rsidR="00CA7016" w:rsidRPr="00A0513E" w:rsidRDefault="00CA7016" w:rsidP="003C3F6A">
            <w:pPr>
              <w:pStyle w:val="02Tabletext"/>
            </w:pPr>
            <w:r w:rsidRPr="00A0513E">
              <w:t>693X</w:t>
            </w:r>
            <w:r>
              <w:t>H</w:t>
            </w:r>
          </w:p>
        </w:tc>
        <w:tc>
          <w:tcPr>
            <w:tcW w:w="3969" w:type="dxa"/>
          </w:tcPr>
          <w:p w14:paraId="7FDC1D96" w14:textId="77777777" w:rsidR="00CA7016" w:rsidRPr="00A0513E" w:rsidRDefault="00CA7016" w:rsidP="003C3F6A">
            <w:pPr>
              <w:pStyle w:val="02Tabletext"/>
            </w:pPr>
          </w:p>
        </w:tc>
        <w:tc>
          <w:tcPr>
            <w:tcW w:w="4059" w:type="dxa"/>
          </w:tcPr>
          <w:p w14:paraId="3A67F72F" w14:textId="77777777" w:rsidR="00CA7016" w:rsidRPr="00A0513E" w:rsidRDefault="00CA7016" w:rsidP="003C3F6A">
            <w:pPr>
              <w:pStyle w:val="02Tabletext"/>
            </w:pPr>
            <w:r w:rsidRPr="00A0513E">
              <w:t xml:space="preserve">Detection of viral, atypical pneumonia pathogens and </w:t>
            </w:r>
            <w:r w:rsidRPr="00DF14D5">
              <w:rPr>
                <w:i/>
              </w:rPr>
              <w:t>Bordetella</w:t>
            </w:r>
            <w:r w:rsidRPr="00A0513E">
              <w:t xml:space="preserve"> sp</w:t>
            </w:r>
            <w:r>
              <w:t>p</w:t>
            </w:r>
            <w:r w:rsidRPr="00A0513E">
              <w:t>. nucleic acid from nasal swabs, throat swabs,</w:t>
            </w:r>
            <w:r w:rsidR="007C7F60">
              <w:t xml:space="preserve"> nasopharyngeal swabs,</w:t>
            </w:r>
            <w:r w:rsidRPr="00A0513E">
              <w:t xml:space="preserve"> nasopharyngeal aspirates and lower respiratory tract samples. Specimens from 1 or more sites. 3 tests or more</w:t>
            </w:r>
            <w:r>
              <w:t>.</w:t>
            </w:r>
          </w:p>
        </w:tc>
      </w:tr>
    </w:tbl>
    <w:p w14:paraId="4818C9E4" w14:textId="77777777" w:rsidR="00CA7016" w:rsidRPr="00A0513E" w:rsidRDefault="00CA7016" w:rsidP="00CA7016">
      <w:pPr>
        <w:pStyle w:val="Heading3"/>
      </w:pPr>
      <w:bookmarkStart w:id="176" w:name="_Toc12886555"/>
      <w:r w:rsidRPr="00A0513E">
        <w:t>Rationale</w:t>
      </w:r>
      <w:r>
        <w:t xml:space="preserve"> 4</w:t>
      </w:r>
      <w:bookmarkEnd w:id="176"/>
    </w:p>
    <w:p w14:paraId="7A060C36" w14:textId="77777777" w:rsidR="00CA7016" w:rsidRPr="00B96BC0" w:rsidRDefault="00CA7016" w:rsidP="00CA7016">
      <w:r w:rsidRPr="00B96BC0">
        <w:t>The recommendations focus on modernising the MBS and are based on the following observations.</w:t>
      </w:r>
    </w:p>
    <w:p w14:paraId="550F7265"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The aim is to create a new NAAT item for relevant respiratory tests </w:t>
      </w:r>
      <w:r>
        <w:t xml:space="preserve">that </w:t>
      </w:r>
      <w:r w:rsidRPr="00A0513E">
        <w:t>ha</w:t>
      </w:r>
      <w:r>
        <w:t>ve</w:t>
      </w:r>
      <w:r w:rsidRPr="00A0513E">
        <w:t xml:space="preserve"> clinical utility</w:t>
      </w:r>
      <w:r w:rsidRPr="00A0513E">
        <w:rPr>
          <w:rFonts w:eastAsiaTheme="minorHAnsi"/>
        </w:rPr>
        <w:t xml:space="preserve"> and impact on </w:t>
      </w:r>
      <w:r w:rsidRPr="00A0513E">
        <w:t xml:space="preserve">patient management and outcome. </w:t>
      </w:r>
    </w:p>
    <w:p w14:paraId="4CA4736B"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Due to improved accuracy and speed of NAAT in confirming the diagnosis of specific respiratory tract infections such as atypical pneumonia, clinicians </w:t>
      </w:r>
      <w:proofErr w:type="gramStart"/>
      <w:r w:rsidRPr="00A0513E">
        <w:t>are able to</w:t>
      </w:r>
      <w:proofErr w:type="gramEnd"/>
      <w:r w:rsidRPr="00A0513E">
        <w:t xml:space="preserve"> instigate earlier targeted treatment of viral or bacterial infections</w:t>
      </w:r>
      <w:r w:rsidR="00113503">
        <w:t>,</w:t>
      </w:r>
      <w:r w:rsidRPr="00A0513E">
        <w:t xml:space="preserve"> avoiding inappropriate antibiotic therapy. </w:t>
      </w:r>
    </w:p>
    <w:p w14:paraId="5BECAAD5" w14:textId="77777777" w:rsidR="00CA7016" w:rsidRPr="00A0513E" w:rsidRDefault="00CA7016" w:rsidP="00CA7016">
      <w:pPr>
        <w:pStyle w:val="NormalBulleted"/>
        <w:numPr>
          <w:ilvl w:val="0"/>
          <w:numId w:val="17"/>
        </w:numPr>
        <w:spacing w:before="120" w:after="60" w:line="240" w:lineRule="auto"/>
        <w:ind w:right="142"/>
        <w:contextualSpacing w:val="0"/>
      </w:pPr>
      <w:r w:rsidRPr="00A0513E">
        <w:t>Pathogens tested for might include</w:t>
      </w:r>
      <w:r>
        <w:t>,</w:t>
      </w:r>
      <w:r w:rsidRPr="00A0513E">
        <w:t xml:space="preserve"> but not be limited to</w:t>
      </w:r>
      <w:r>
        <w:t>,</w:t>
      </w:r>
      <w:r w:rsidRPr="00A0513E">
        <w:t xml:space="preserve"> </w:t>
      </w:r>
      <w:r>
        <w:t>i</w:t>
      </w:r>
      <w:r w:rsidRPr="00A0513E">
        <w:t xml:space="preserve">nfluenza </w:t>
      </w:r>
      <w:r>
        <w:t xml:space="preserve">viruses </w:t>
      </w:r>
      <w:r w:rsidRPr="00A0513E">
        <w:t xml:space="preserve">A and B, </w:t>
      </w:r>
      <w:r>
        <w:t>respiratory syncytial virus (</w:t>
      </w:r>
      <w:r w:rsidRPr="00A0513E">
        <w:t>RSV</w:t>
      </w:r>
      <w:r>
        <w:t>)</w:t>
      </w:r>
      <w:r w:rsidRPr="00A0513E">
        <w:t xml:space="preserve"> and </w:t>
      </w:r>
      <w:r>
        <w:t>p</w:t>
      </w:r>
      <w:r w:rsidRPr="00A0513E">
        <w:t xml:space="preserve">arainfluenza </w:t>
      </w:r>
      <w:r>
        <w:t xml:space="preserve">viruses </w:t>
      </w:r>
      <w:r w:rsidRPr="00A0513E">
        <w:t xml:space="preserve">1, 2, 3, 4, </w:t>
      </w:r>
      <w:r>
        <w:t>human metapneumovirus (</w:t>
      </w:r>
      <w:r w:rsidRPr="00A0513E">
        <w:t>HMPV</w:t>
      </w:r>
      <w:r>
        <w:t>)</w:t>
      </w:r>
      <w:r w:rsidRPr="00A0513E">
        <w:t xml:space="preserve">, </w:t>
      </w:r>
      <w:r>
        <w:t>r</w:t>
      </w:r>
      <w:r w:rsidRPr="00A0513E">
        <w:t xml:space="preserve">hinovirus, </w:t>
      </w:r>
      <w:r>
        <w:t>a</w:t>
      </w:r>
      <w:r w:rsidRPr="00A0513E">
        <w:t xml:space="preserve">denovirus, </w:t>
      </w:r>
      <w:r w:rsidRPr="002B55CD">
        <w:rPr>
          <w:i/>
        </w:rPr>
        <w:t xml:space="preserve">B. pertussis, </w:t>
      </w:r>
      <w:r w:rsidR="007C7F60">
        <w:rPr>
          <w:i/>
        </w:rPr>
        <w:t xml:space="preserve"> Mycoplasma </w:t>
      </w:r>
      <w:r w:rsidRPr="002B55CD">
        <w:rPr>
          <w:i/>
        </w:rPr>
        <w:t>pneumoniae, Chlamydia pneumoniae, C. </w:t>
      </w:r>
      <w:proofErr w:type="spellStart"/>
      <w:r w:rsidRPr="002B55CD">
        <w:rPr>
          <w:i/>
        </w:rPr>
        <w:t>psittaci</w:t>
      </w:r>
      <w:proofErr w:type="spellEnd"/>
      <w:r>
        <w:t xml:space="preserve"> and</w:t>
      </w:r>
      <w:r w:rsidRPr="00A0513E">
        <w:t xml:space="preserve"> </w:t>
      </w:r>
      <w:r w:rsidRPr="002B55CD">
        <w:rPr>
          <w:i/>
        </w:rPr>
        <w:t>Legionella</w:t>
      </w:r>
      <w:r w:rsidRPr="00A0513E">
        <w:t>.</w:t>
      </w:r>
    </w:p>
    <w:p w14:paraId="21629ADA"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Separating and creating a specific item number for respiratory specimens will allow ongoing monitoring of respiratory PCR. </w:t>
      </w:r>
    </w:p>
    <w:p w14:paraId="5EDB5F21" w14:textId="77777777" w:rsidR="00CA7016" w:rsidRPr="00A0513E" w:rsidRDefault="00CA7016" w:rsidP="00CA7016">
      <w:pPr>
        <w:pStyle w:val="NormalBulleted"/>
        <w:numPr>
          <w:ilvl w:val="0"/>
          <w:numId w:val="17"/>
        </w:numPr>
        <w:spacing w:before="120" w:after="60" w:line="240" w:lineRule="auto"/>
        <w:ind w:right="142"/>
        <w:contextualSpacing w:val="0"/>
      </w:pPr>
      <w:r w:rsidRPr="00A0513E">
        <w:t>The Committee acknowledged that cost modelling will be required to estimate the impact of these changes and that changes across the MBS should be cost-neutral. Over time there should be a shift away from respiratory pathogen serology testing to molecular testing on respiratory specimens. This is already occurring</w:t>
      </w:r>
      <w:r w:rsidR="00113503">
        <w:t>,</w:t>
      </w:r>
      <w:r w:rsidRPr="00A0513E">
        <w:t xml:space="preserve"> with some laboratories promoting more specific and sensitive NAAT for certain respiratory viruses in place of serology testing.</w:t>
      </w:r>
    </w:p>
    <w:p w14:paraId="20DD6F33" w14:textId="77777777" w:rsidR="00CA7016" w:rsidRPr="00A0513E" w:rsidRDefault="00CA7016" w:rsidP="00CA7016">
      <w:pPr>
        <w:pStyle w:val="Heading2"/>
      </w:pPr>
      <w:bookmarkStart w:id="177" w:name="_Toc483989369"/>
      <w:bookmarkStart w:id="178" w:name="_Toc486939187"/>
      <w:bookmarkStart w:id="179" w:name="_Toc12886556"/>
      <w:r w:rsidRPr="00A0513E">
        <w:t>Mycobacteria</w:t>
      </w:r>
      <w:bookmarkEnd w:id="177"/>
      <w:bookmarkEnd w:id="178"/>
      <w:bookmarkEnd w:id="179"/>
    </w:p>
    <w:p w14:paraId="69FFB4D1" w14:textId="77777777" w:rsidR="00CA7016" w:rsidRPr="00A0513E" w:rsidRDefault="00CA7016" w:rsidP="00CA7016">
      <w:pPr>
        <w:pStyle w:val="Heading3"/>
      </w:pPr>
      <w:bookmarkStart w:id="180" w:name="_Ref487790437"/>
      <w:bookmarkStart w:id="181" w:name="_Toc12886557"/>
      <w:r w:rsidRPr="00A0513E">
        <w:t>Recommendation</w:t>
      </w:r>
      <w:r>
        <w:t xml:space="preserve"> 5</w:t>
      </w:r>
      <w:bookmarkEnd w:id="180"/>
      <w:bookmarkEnd w:id="181"/>
    </w:p>
    <w:p w14:paraId="11C8A619" w14:textId="77777777" w:rsidR="00CA7016" w:rsidRPr="00A0513E" w:rsidRDefault="00CA7016" w:rsidP="00CA7016">
      <w:pPr>
        <w:pStyle w:val="NormalBulleted"/>
        <w:numPr>
          <w:ilvl w:val="0"/>
          <w:numId w:val="17"/>
        </w:numPr>
        <w:spacing w:before="120" w:after="60" w:line="240" w:lineRule="auto"/>
        <w:ind w:right="142"/>
        <w:contextualSpacing w:val="0"/>
      </w:pPr>
      <w:r w:rsidRPr="00B96BC0">
        <w:t xml:space="preserve">Create a </w:t>
      </w:r>
      <w:r w:rsidRPr="00A0513E">
        <w:t xml:space="preserve">new NAAT item for the detection of </w:t>
      </w:r>
      <w:r w:rsidRPr="002B55CD">
        <w:rPr>
          <w:i/>
        </w:rPr>
        <w:t>M. tuberculosis</w:t>
      </w:r>
      <w:r w:rsidRPr="00A0513E">
        <w:t xml:space="preserve"> (MTB) and antimicrobial molecular resistance markers using </w:t>
      </w:r>
      <w:r>
        <w:t>NAAT</w:t>
      </w:r>
      <w:r w:rsidRPr="00A0513E">
        <w:t xml:space="preserve"> from respiratory or non-pulmonary specimens. This will require an MSAC submission. </w:t>
      </w:r>
    </w:p>
    <w:p w14:paraId="5998BD56" w14:textId="77777777" w:rsidR="00CA7016" w:rsidRPr="00B96BC0" w:rsidRDefault="00CA7016" w:rsidP="00CA7016">
      <w:pPr>
        <w:pStyle w:val="Caption"/>
      </w:pPr>
      <w:bookmarkStart w:id="182" w:name="_Toc484598347"/>
      <w:bookmarkStart w:id="183" w:name="_Toc486935608"/>
      <w:bookmarkStart w:id="184" w:name="_Toc12953460"/>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7A1648">
        <w:rPr>
          <w:noProof/>
        </w:rPr>
        <w:t>10</w:t>
      </w:r>
      <w:r w:rsidR="00BB490A">
        <w:rPr>
          <w:noProof/>
        </w:rPr>
        <w:fldChar w:fldCharType="end"/>
      </w:r>
      <w:r>
        <w:t xml:space="preserve">: </w:t>
      </w:r>
      <w:r w:rsidRPr="00B96BC0">
        <w:t xml:space="preserve">Proposed changes to </w:t>
      </w:r>
      <w:bookmarkEnd w:id="182"/>
      <w:bookmarkEnd w:id="183"/>
      <w:r>
        <w:t xml:space="preserve">tests for </w:t>
      </w:r>
      <w:r w:rsidRPr="004656BC">
        <w:rPr>
          <w:i/>
        </w:rPr>
        <w:t>M. tuberculosis</w:t>
      </w:r>
      <w:bookmarkEnd w:id="184"/>
    </w:p>
    <w:tbl>
      <w:tblPr>
        <w:tblStyle w:val="TableGrid"/>
        <w:tblW w:w="0" w:type="auto"/>
        <w:tblLook w:val="04A0" w:firstRow="1" w:lastRow="0" w:firstColumn="1" w:lastColumn="0" w:noHBand="0" w:noVBand="1"/>
        <w:tblDescription w:val="This table lists a new Item number, and Proposed new descriptor for a new NAAT item for detecting Mycobacterium tuberculosis."/>
      </w:tblPr>
      <w:tblGrid>
        <w:gridCol w:w="863"/>
        <w:gridCol w:w="2785"/>
        <w:gridCol w:w="2891"/>
      </w:tblGrid>
      <w:tr w:rsidR="00F20089" w:rsidRPr="00B96BC0" w14:paraId="5FDEDF93" w14:textId="77777777" w:rsidTr="00F20089">
        <w:trPr>
          <w:tblHeader/>
        </w:trPr>
        <w:tc>
          <w:tcPr>
            <w:tcW w:w="863" w:type="dxa"/>
            <w:shd w:val="clear" w:color="auto" w:fill="EEECE1" w:themeFill="background2"/>
            <w:vAlign w:val="bottom"/>
          </w:tcPr>
          <w:p w14:paraId="53A4652E" w14:textId="77777777" w:rsidR="00F20089" w:rsidRPr="00A0513E" w:rsidRDefault="00F20089" w:rsidP="003C3F6A">
            <w:pPr>
              <w:pStyle w:val="01Tableheaderrow"/>
            </w:pPr>
            <w:r w:rsidRPr="00A0513E">
              <w:t>Item</w:t>
            </w:r>
          </w:p>
        </w:tc>
        <w:tc>
          <w:tcPr>
            <w:tcW w:w="2785" w:type="dxa"/>
            <w:shd w:val="clear" w:color="auto" w:fill="EEECE1" w:themeFill="background2"/>
            <w:vAlign w:val="bottom"/>
          </w:tcPr>
          <w:p w14:paraId="64CA86DA" w14:textId="77777777" w:rsidR="00F20089" w:rsidRPr="00A0513E" w:rsidRDefault="00F20089" w:rsidP="003C3F6A">
            <w:pPr>
              <w:pStyle w:val="01Tableheaderrow"/>
            </w:pPr>
            <w:r w:rsidRPr="00A0513E">
              <w:t>Current descriptor</w:t>
            </w:r>
          </w:p>
        </w:tc>
        <w:tc>
          <w:tcPr>
            <w:tcW w:w="2891" w:type="dxa"/>
            <w:shd w:val="clear" w:color="auto" w:fill="EEECE1" w:themeFill="background2"/>
            <w:vAlign w:val="bottom"/>
          </w:tcPr>
          <w:p w14:paraId="48A43DAD" w14:textId="77777777" w:rsidR="00F20089" w:rsidRPr="00A0513E" w:rsidRDefault="00F20089" w:rsidP="003C3F6A">
            <w:pPr>
              <w:pStyle w:val="01Tableheaderrow"/>
            </w:pPr>
            <w:r w:rsidRPr="00A0513E">
              <w:t xml:space="preserve">Proposed </w:t>
            </w:r>
            <w:r>
              <w:t xml:space="preserve">new </w:t>
            </w:r>
            <w:r w:rsidRPr="00A0513E">
              <w:t>descriptor</w:t>
            </w:r>
          </w:p>
        </w:tc>
      </w:tr>
      <w:tr w:rsidR="00F20089" w:rsidRPr="00B96BC0" w14:paraId="2282EA0F" w14:textId="77777777" w:rsidTr="003C3F6A">
        <w:tc>
          <w:tcPr>
            <w:tcW w:w="863" w:type="dxa"/>
          </w:tcPr>
          <w:p w14:paraId="0434006B" w14:textId="77777777" w:rsidR="00F20089" w:rsidRPr="00A0513E" w:rsidRDefault="00F20089" w:rsidP="003C3F6A">
            <w:pPr>
              <w:pStyle w:val="02Tabletext"/>
            </w:pPr>
            <w:r w:rsidRPr="00A0513E">
              <w:t>New item</w:t>
            </w:r>
          </w:p>
          <w:p w14:paraId="5A00BF91" w14:textId="77777777" w:rsidR="00F20089" w:rsidRPr="00A0513E" w:rsidRDefault="00F20089" w:rsidP="003C3F6A">
            <w:pPr>
              <w:pStyle w:val="02Tabletext"/>
            </w:pPr>
            <w:r>
              <w:t>693XI</w:t>
            </w:r>
            <w:r w:rsidRPr="00A0513E">
              <w:t xml:space="preserve"> </w:t>
            </w:r>
          </w:p>
        </w:tc>
        <w:tc>
          <w:tcPr>
            <w:tcW w:w="2785" w:type="dxa"/>
          </w:tcPr>
          <w:p w14:paraId="69C20E71" w14:textId="77777777" w:rsidR="00F20089" w:rsidRPr="00CB015E" w:rsidRDefault="00F20089" w:rsidP="003C3F6A"/>
        </w:tc>
        <w:tc>
          <w:tcPr>
            <w:tcW w:w="2891" w:type="dxa"/>
          </w:tcPr>
          <w:p w14:paraId="54B0ED0D" w14:textId="77777777" w:rsidR="00F20089" w:rsidRPr="00A0513E" w:rsidRDefault="00F20089" w:rsidP="003C3F6A">
            <w:pPr>
              <w:pStyle w:val="02Tabletext"/>
            </w:pPr>
            <w:r w:rsidRPr="00A0513E">
              <w:t xml:space="preserve">Detection of </w:t>
            </w:r>
            <w:r w:rsidRPr="002B55CD">
              <w:rPr>
                <w:i/>
              </w:rPr>
              <w:t>M. tuberculosis</w:t>
            </w:r>
            <w:r w:rsidRPr="00A0513E">
              <w:t xml:space="preserve"> and antimicrobial resistance markers using nucleic acid amplification techniques from respiratory or non-pulmonary specimens where there is high clinical suspicion. </w:t>
            </w:r>
          </w:p>
        </w:tc>
      </w:tr>
    </w:tbl>
    <w:p w14:paraId="135A0F3A" w14:textId="77777777" w:rsidR="00CA7016" w:rsidRPr="00A0513E" w:rsidRDefault="00CA7016" w:rsidP="00CA7016">
      <w:pPr>
        <w:pStyle w:val="Heading3"/>
      </w:pPr>
      <w:bookmarkStart w:id="185" w:name="_Toc12886558"/>
      <w:r w:rsidRPr="00A0513E">
        <w:lastRenderedPageBreak/>
        <w:t>Rationale</w:t>
      </w:r>
      <w:r>
        <w:t xml:space="preserve"> 5</w:t>
      </w:r>
      <w:bookmarkEnd w:id="185"/>
    </w:p>
    <w:p w14:paraId="0106EC61" w14:textId="77777777" w:rsidR="00CA7016" w:rsidRPr="00A0513E" w:rsidRDefault="00CA7016" w:rsidP="00CA7016">
      <w:pPr>
        <w:pStyle w:val="NormalBulleted"/>
        <w:numPr>
          <w:ilvl w:val="0"/>
          <w:numId w:val="0"/>
        </w:numPr>
        <w:ind w:left="360" w:hanging="360"/>
      </w:pPr>
      <w:r w:rsidRPr="00A0513E">
        <w:t>The recommendation focuses on ensuring best practice and is based on the following observations.</w:t>
      </w:r>
    </w:p>
    <w:p w14:paraId="01A70395" w14:textId="77777777" w:rsidR="00CA7016" w:rsidRPr="00A0513E" w:rsidRDefault="00CA7016" w:rsidP="00CA7016">
      <w:pPr>
        <w:pStyle w:val="NormalBulleted"/>
        <w:numPr>
          <w:ilvl w:val="0"/>
          <w:numId w:val="17"/>
        </w:numPr>
        <w:spacing w:before="120" w:after="60" w:line="240" w:lineRule="auto"/>
        <w:ind w:right="142"/>
        <w:contextualSpacing w:val="0"/>
      </w:pPr>
      <w:r w:rsidRPr="009D1A6A">
        <w:t xml:space="preserve">The Committee identified the clinical need to </w:t>
      </w:r>
      <w:r w:rsidRPr="00A0513E">
        <w:t xml:space="preserve">rapidly confirm the presence of </w:t>
      </w:r>
      <w:r w:rsidRPr="002B55CD">
        <w:rPr>
          <w:i/>
        </w:rPr>
        <w:t>M. tuberculosis,</w:t>
      </w:r>
      <w:r w:rsidRPr="00A0513E">
        <w:t xml:space="preserve"> as well as rifampicin resistance, as this will alter patient management. The accuracy of NAAT compared with </w:t>
      </w:r>
      <w:r w:rsidR="00113503">
        <w:t xml:space="preserve">that of </w:t>
      </w:r>
      <w:r w:rsidRPr="00A0513E">
        <w:t xml:space="preserve">culture-based drug susceptibility testing indicates that NAAT can accurately identify patients with rifampicin-resistant </w:t>
      </w:r>
      <w:r w:rsidRPr="002B55CD">
        <w:rPr>
          <w:i/>
        </w:rPr>
        <w:t>M. tuberculosis</w:t>
      </w:r>
      <w:r w:rsidR="00113503">
        <w:rPr>
          <w:i/>
        </w:rPr>
        <w:t xml:space="preserve"> </w:t>
      </w:r>
      <w:r w:rsidR="00113503">
        <w:t>infection</w:t>
      </w:r>
      <w:r w:rsidRPr="002B55CD">
        <w:rPr>
          <w:i/>
        </w:rPr>
        <w:t>.</w:t>
      </w:r>
      <w:r w:rsidRPr="00A0513E">
        <w:t xml:space="preserve"> Determining resistance through NAAT could inform the type of antibacterial treatment offered to </w:t>
      </w:r>
      <w:r>
        <w:t xml:space="preserve">patients with </w:t>
      </w:r>
      <w:r w:rsidRPr="00A0513E">
        <w:t>tuberculosis (TB), thereby avoiding potential side effects such as hepatitis from inappropriate use of rifampicin. Early identification of rifampicin-resistance can influence treatment decisions, ensuring that appropriate anti-TB drugs are given immediately, thus reducing the likelihood of a patient developing multi-drug</w:t>
      </w:r>
      <w:r>
        <w:t>-</w:t>
      </w:r>
      <w:r w:rsidRPr="00A0513E">
        <w:t>resistant</w:t>
      </w:r>
      <w:r>
        <w:t xml:space="preserve"> </w:t>
      </w:r>
      <w:r w:rsidRPr="00A0513E">
        <w:t>TB.</w:t>
      </w:r>
      <w:r w:rsidRPr="00A0513E">
        <w:fldChar w:fldCharType="begin"/>
      </w:r>
      <w:r w:rsidR="00AB00BA">
        <w:instrText xml:space="preserve"> ADDIN EN.CITE &lt;EndNote&gt;&lt;Cite&gt;&lt;Author&gt;Medical Services Advisory Committee (MSAC)&lt;/Author&gt;&lt;Year&gt;2015&lt;/Year&gt;&lt;RecNum&gt;14&lt;/RecNum&gt;&lt;DisplayText&gt; [14]&lt;/DisplayText&gt;&lt;record&gt;&lt;rec-number&gt;14&lt;/rec-number&gt;&lt;foreign-keys&gt;&lt;key app="EN" db-id="9rerxxddifw5xaewxvlxffw2vsfzrarx0vva" timestamp="1506991288"&gt;14&lt;/key&gt;&lt;/foreign-keys&gt;&lt;ref-type name="Report"&gt;27&lt;/ref-type&gt;&lt;contributors&gt;&lt;authors&gt;&lt;author&gt;Medical Services Advisory Committee (MSAC), &lt;/author&gt;&lt;/authors&gt;&lt;/contributors&gt;&lt;titles&gt;&lt;title&gt;Application 1234 - Pathology tests for active mycobacterial infection&lt;/title&gt;&lt;/titles&gt;&lt;dates&gt;&lt;year&gt;2015&lt;/year&gt;&lt;/dates&gt;&lt;pub-location&gt;Canberra&lt;/pub-location&gt;&lt;publisher&gt;Australian Government&lt;/publisher&gt;&lt;work-type&gt;Public summary document&lt;/work-type&gt;&lt;urls&gt;&lt;related-urls&gt;&lt;url&gt;http://www.msac.gov.au/internet/msac/publishing.nsf/Content/1234-public&lt;/url&gt;&lt;/related-urls&gt;&lt;/urls&gt;&lt;access-date&gt;20 June 2017&lt;/access-date&gt;&lt;/record&gt;&lt;/Cite&gt;&lt;/EndNote&gt;</w:instrText>
      </w:r>
      <w:r w:rsidRPr="00A0513E">
        <w:fldChar w:fldCharType="separate"/>
      </w:r>
      <w:r w:rsidR="00EE147F">
        <w:rPr>
          <w:noProof/>
        </w:rPr>
        <w:t xml:space="preserve"> [14]</w:t>
      </w:r>
      <w:r w:rsidRPr="00A0513E">
        <w:fldChar w:fldCharType="end"/>
      </w:r>
    </w:p>
    <w:p w14:paraId="7F412366" w14:textId="77777777" w:rsidR="00CA7016" w:rsidRPr="00A0513E" w:rsidRDefault="00CA7016" w:rsidP="00CA7016">
      <w:pPr>
        <w:pStyle w:val="NormalBulleted"/>
        <w:numPr>
          <w:ilvl w:val="0"/>
          <w:numId w:val="17"/>
        </w:numPr>
        <w:spacing w:before="120" w:after="60" w:line="240" w:lineRule="auto"/>
        <w:ind w:right="142"/>
        <w:contextualSpacing w:val="0"/>
      </w:pPr>
      <w:r w:rsidRPr="00A0513E">
        <w:t>Current Australian National Tuberculosis Advisory Committee (NTAC) guidelines date from 2006.</w:t>
      </w:r>
      <w:r>
        <w:t xml:space="preserve"> </w:t>
      </w:r>
      <w:r w:rsidRPr="00A0513E">
        <w:t xml:space="preserve">These state that NAAT is only indicated in particular circumstances (e.g. </w:t>
      </w:r>
      <w:r w:rsidR="00113503" w:rsidRPr="00A0513E">
        <w:t xml:space="preserve">patients </w:t>
      </w:r>
      <w:r w:rsidR="00EC7A68">
        <w:t xml:space="preserve">with </w:t>
      </w:r>
      <w:r w:rsidRPr="00A0513E">
        <w:t xml:space="preserve">negative </w:t>
      </w:r>
      <w:r w:rsidR="00EC7A68" w:rsidRPr="00A0513E">
        <w:t>smear</w:t>
      </w:r>
      <w:r w:rsidR="00EC7A68">
        <w:t>s,</w:t>
      </w:r>
      <w:r w:rsidR="00EC7A68" w:rsidRPr="00A0513E" w:rsidDel="00113503">
        <w:t xml:space="preserve"> </w:t>
      </w:r>
      <w:r w:rsidRPr="00A0513E">
        <w:t xml:space="preserve">considered at high risk of TB), that these circumstances are the exact instances </w:t>
      </w:r>
      <w:r>
        <w:t xml:space="preserve">in which </w:t>
      </w:r>
      <w:r w:rsidRPr="00A0513E">
        <w:t>NAAT performance is imperfect (e.g. NAAT detects only one-half to two-thirds of TB patients</w:t>
      </w:r>
      <w:r w:rsidR="00EC7A68">
        <w:t xml:space="preserve"> with </w:t>
      </w:r>
      <w:r w:rsidR="00EC7A68" w:rsidRPr="00A0513E">
        <w:t>negative smear</w:t>
      </w:r>
      <w:r w:rsidR="00EC7A68">
        <w:t>s</w:t>
      </w:r>
      <w:r w:rsidRPr="00A0513E">
        <w:t>), and that further clinical, public health, and economic research is required to determine the proper indications for TB NAAT testing.</w:t>
      </w:r>
      <w:r w:rsidRPr="00A0513E">
        <w:fldChar w:fldCharType="begin"/>
      </w:r>
      <w:r w:rsidR="00E34DB9">
        <w:instrText xml:space="preserve"> ADDIN EN.CITE &lt;EndNote&gt;&lt;Cite&gt;&lt;Year&gt;2006&lt;/Year&gt;&lt;RecNum&gt;15&lt;/RecNum&gt;&lt;DisplayText&gt; [15]&lt;/DisplayText&gt;&lt;record&gt;&lt;rec-number&gt;15&lt;/rec-number&gt;&lt;foreign-keys&gt;&lt;key app="EN" db-id="9rerxxddifw5xaewxvlxffw2vsfzrarx0vva" timestamp="1506991290"&gt;15&lt;/key&gt;&lt;/foreign-keys&gt;&lt;ref-type name="Journal Article"&gt;17&lt;/ref-type&gt;&lt;contributors&gt;&lt;authors&gt;&lt;author&gt; National Tuberculosis Advisory Committee, &lt;/author&gt;&lt;/authors&gt;&lt;/contributors&gt;&lt;titles&gt;&lt;title&gt;Guidelines for Australian mycobacteriology laboratories&lt;/title&gt;&lt;secondary-title&gt;Communicable Diseases Intelligence  Quarterly  Report&lt;/secondary-title&gt;&lt;alt-title&gt;Communicable Diseases Intelligence Quarterly Report&lt;/alt-title&gt;&lt;/titles&gt;&lt;alt-periodical&gt;&lt;full-title&gt;Commun Dis Intell Q Rep&lt;/full-title&gt;&lt;abbr-1&gt;Communicable diseases intelligence quarterly report&lt;/abbr-1&gt;&lt;/alt-periodical&gt;&lt;pages&gt;116-28&lt;/pages&gt;&lt;volume&gt;30&lt;/volume&gt;&lt;number&gt;1&lt;/number&gt;&lt;edition&gt;2006/04/28&lt;/edition&gt;&lt;keywords&gt;&lt;keyword&gt;Australia/epidemiology&lt;/keyword&gt;&lt;keyword&gt;Clinical Laboratory Techniques/standards&lt;/keyword&gt;&lt;keyword&gt;Communicable Disease Control&lt;/keyword&gt;&lt;keyword&gt;Humans&lt;/keyword&gt;&lt;keyword&gt;Laboratories/*standards&lt;/keyword&gt;&lt;keyword&gt;Mycobacterium tuberculosis/classification/*isolation &amp;amp; purification&lt;/keyword&gt;&lt;keyword&gt;Quality Control&lt;/keyword&gt;&lt;keyword&gt;Safety Management&lt;/keyword&gt;&lt;keyword&gt;Tuberculosis/epidemiology/*microbiology/*prevention &amp;amp; control&lt;/keyword&gt;&lt;/keywords&gt;&lt;dates&gt;&lt;year&gt;2006&lt;/year&gt;&lt;/dates&gt;&lt;isbn&gt;1447-4514 (Print)&amp;#xD;1447-4514&lt;/isbn&gt;&lt;accession-num&gt;16637240&lt;/accession-num&gt;&lt;urls&gt;&lt;related-urls&gt;&lt;url&gt;https://www.ncbi.nlm.nih.gov/pubmed/16637240&lt;/url&gt;&lt;/related-urls&gt;&lt;/urls&gt;&lt;remote-database-provider&gt;NLM&lt;/remote-database-provider&gt;&lt;language&gt;eng&lt;/language&gt;&lt;access-date&gt;30 June 2017&lt;/access-date&gt;&lt;/record&gt;&lt;/Cite&gt;&lt;/EndNote&gt;</w:instrText>
      </w:r>
      <w:r w:rsidRPr="00A0513E">
        <w:fldChar w:fldCharType="separate"/>
      </w:r>
      <w:r w:rsidR="00EE147F">
        <w:rPr>
          <w:noProof/>
        </w:rPr>
        <w:t xml:space="preserve"> [15]</w:t>
      </w:r>
      <w:r w:rsidRPr="00A0513E">
        <w:fldChar w:fldCharType="end"/>
      </w:r>
      <w:r>
        <w:t xml:space="preserve"> </w:t>
      </w:r>
      <w:r w:rsidRPr="00A0513E">
        <w:t xml:space="preserve">As such, a specific MBS item for the detection of </w:t>
      </w:r>
      <w:r w:rsidRPr="002B55CD">
        <w:rPr>
          <w:i/>
        </w:rPr>
        <w:t>M. tuberculosis</w:t>
      </w:r>
      <w:r w:rsidRPr="00A0513E">
        <w:t xml:space="preserve"> by NAAT was rejected by MSAC in 2015.</w:t>
      </w:r>
      <w:r w:rsidRPr="00A0513E">
        <w:fldChar w:fldCharType="begin"/>
      </w:r>
      <w:r w:rsidR="00AB00BA">
        <w:instrText xml:space="preserve"> ADDIN EN.CITE &lt;EndNote&gt;&lt;Cite&gt;&lt;Author&gt;Medical Services Advisory Committee (MSAC)&lt;/Author&gt;&lt;Year&gt;2015&lt;/Year&gt;&lt;RecNum&gt;14&lt;/RecNum&gt;&lt;DisplayText&gt; [14]&lt;/DisplayText&gt;&lt;record&gt;&lt;rec-number&gt;14&lt;/rec-number&gt;&lt;foreign-keys&gt;&lt;key app="EN" db-id="9rerxxddifw5xaewxvlxffw2vsfzrarx0vva" timestamp="1506991288"&gt;14&lt;/key&gt;&lt;/foreign-keys&gt;&lt;ref-type name="Report"&gt;27&lt;/ref-type&gt;&lt;contributors&gt;&lt;authors&gt;&lt;author&gt;Medical Services Advisory Committee (MSAC), &lt;/author&gt;&lt;/authors&gt;&lt;/contributors&gt;&lt;titles&gt;&lt;title&gt;Application 1234 - Pathology tests for active mycobacterial infection&lt;/title&gt;&lt;/titles&gt;&lt;dates&gt;&lt;year&gt;2015&lt;/year&gt;&lt;/dates&gt;&lt;pub-location&gt;Canberra&lt;/pub-location&gt;&lt;publisher&gt;Australian Government&lt;/publisher&gt;&lt;work-type&gt;Public summary document&lt;/work-type&gt;&lt;urls&gt;&lt;related-urls&gt;&lt;url&gt;http://www.msac.gov.au/internet/msac/publishing.nsf/Content/1234-public&lt;/url&gt;&lt;/related-urls&gt;&lt;/urls&gt;&lt;access-date&gt;20 June 2017&lt;/access-date&gt;&lt;/record&gt;&lt;/Cite&gt;&lt;/EndNote&gt;</w:instrText>
      </w:r>
      <w:r w:rsidRPr="00A0513E">
        <w:fldChar w:fldCharType="separate"/>
      </w:r>
      <w:r w:rsidR="00EE147F">
        <w:rPr>
          <w:noProof/>
        </w:rPr>
        <w:t xml:space="preserve"> [14]</w:t>
      </w:r>
      <w:r w:rsidRPr="00A0513E">
        <w:fldChar w:fldCharType="end"/>
      </w:r>
    </w:p>
    <w:p w14:paraId="00F7F535" w14:textId="77777777" w:rsidR="00CA7016" w:rsidRPr="00A0513E" w:rsidRDefault="00CA7016" w:rsidP="00CA7016">
      <w:pPr>
        <w:pStyle w:val="NormalBulleted"/>
        <w:numPr>
          <w:ilvl w:val="0"/>
          <w:numId w:val="17"/>
        </w:numPr>
        <w:spacing w:before="120" w:after="60" w:line="240" w:lineRule="auto"/>
        <w:ind w:right="142"/>
        <w:contextualSpacing w:val="0"/>
      </w:pPr>
      <w:r w:rsidRPr="00A0513E">
        <w:t>However, the NTAC guidelines are currently being updated and are in draft stage. The new guidelines are likely to provide the most recent evidence update on NAAT testing, which may warrant changes to the MBS.</w:t>
      </w:r>
      <w:r>
        <w:t xml:space="preserve"> </w:t>
      </w:r>
    </w:p>
    <w:p w14:paraId="4386A1D5" w14:textId="77777777" w:rsidR="006807C7" w:rsidRPr="00A0513E" w:rsidRDefault="00CA7016" w:rsidP="006807C7">
      <w:pPr>
        <w:pStyle w:val="NormalBulleted"/>
        <w:numPr>
          <w:ilvl w:val="0"/>
          <w:numId w:val="17"/>
        </w:numPr>
        <w:spacing w:before="120" w:after="60" w:line="240" w:lineRule="auto"/>
        <w:ind w:right="142"/>
        <w:contextualSpacing w:val="0"/>
      </w:pPr>
      <w:r w:rsidRPr="00A0513E">
        <w:t xml:space="preserve">In addition, a new </w:t>
      </w:r>
      <w:proofErr w:type="spellStart"/>
      <w:r w:rsidRPr="00A0513E">
        <w:t>Xpert</w:t>
      </w:r>
      <w:proofErr w:type="spellEnd"/>
      <w:r w:rsidRPr="00A0513E">
        <w:t>® MTB/RIF Ultra assay with sensitivity to liquid</w:t>
      </w:r>
      <w:r>
        <w:t>-</w:t>
      </w:r>
      <w:r w:rsidRPr="00A0513E">
        <w:t xml:space="preserve">based culture has become available. The Ultra assay should significantly increase TB detection in patients </w:t>
      </w:r>
      <w:r w:rsidR="00D02812">
        <w:t xml:space="preserve">with </w:t>
      </w:r>
      <w:r w:rsidR="00D02812" w:rsidRPr="00A0513E">
        <w:t>negative</w:t>
      </w:r>
      <w:r w:rsidR="00D02812">
        <w:t xml:space="preserve"> smears</w:t>
      </w:r>
      <w:r w:rsidR="00D02812" w:rsidRPr="00A0513E">
        <w:t xml:space="preserve"> </w:t>
      </w:r>
      <w:r w:rsidRPr="00A0513E">
        <w:t>and provide more reliable rifampicin-resistance detection.</w:t>
      </w:r>
    </w:p>
    <w:p w14:paraId="1EFB4F55" w14:textId="77777777" w:rsidR="006807C7" w:rsidRDefault="006807C7" w:rsidP="00727EF1">
      <w:pPr>
        <w:pStyle w:val="Heading3"/>
      </w:pPr>
      <w:bookmarkStart w:id="186" w:name="_Toc12886559"/>
      <w:bookmarkStart w:id="187" w:name="_Toc483989370"/>
      <w:bookmarkStart w:id="188" w:name="_Toc486939188"/>
      <w:r>
        <w:t>Recommendation 5A (amendment)</w:t>
      </w:r>
      <w:r w:rsidR="00F200E5">
        <w:t xml:space="preserve"> IGRA tests for latent tuberculosis</w:t>
      </w:r>
      <w:bookmarkEnd w:id="186"/>
    </w:p>
    <w:p w14:paraId="2A1F44D9" w14:textId="77777777" w:rsidR="006807C7" w:rsidRDefault="006807C7" w:rsidP="00727EF1">
      <w:pPr>
        <w:pStyle w:val="ListParagraph"/>
        <w:numPr>
          <w:ilvl w:val="0"/>
          <w:numId w:val="35"/>
        </w:numPr>
      </w:pPr>
      <w:r>
        <w:rPr>
          <w:lang w:val="en-AU" w:eastAsia="en-US"/>
        </w:rPr>
        <w:t>In response to a submission</w:t>
      </w:r>
      <w:r w:rsidR="00E27E7D">
        <w:rPr>
          <w:lang w:val="en-AU" w:eastAsia="en-US"/>
        </w:rPr>
        <w:t xml:space="preserve"> from</w:t>
      </w:r>
      <w:r w:rsidR="00F200E5">
        <w:rPr>
          <w:lang w:val="en-AU" w:eastAsia="en-US"/>
        </w:rPr>
        <w:t xml:space="preserve"> the consultation process</w:t>
      </w:r>
      <w:r>
        <w:rPr>
          <w:lang w:val="en-AU" w:eastAsia="en-US"/>
        </w:rPr>
        <w:t xml:space="preserve">, in keeping with contemporary clinical practice and World Health Organization guidance, that interferon gamma release assay (IGRA) tests are valid for the diagnosis of latent tuberculosis and can benefit individual patients. As such, item 69471 </w:t>
      </w:r>
      <w:r w:rsidR="00E27E7D">
        <w:rPr>
          <w:lang w:val="en-AU" w:eastAsia="en-US"/>
        </w:rPr>
        <w:t>has been</w:t>
      </w:r>
      <w:r>
        <w:rPr>
          <w:lang w:val="en-AU" w:eastAsia="en-US"/>
        </w:rPr>
        <w:t xml:space="preserve"> amended to ensure IGRA tests are</w:t>
      </w:r>
      <w:r w:rsidR="00A76F00">
        <w:rPr>
          <w:lang w:val="en-AU" w:eastAsia="en-US"/>
        </w:rPr>
        <w:t xml:space="preserve"> </w:t>
      </w:r>
      <w:r w:rsidR="007F4942">
        <w:rPr>
          <w:lang w:val="en-AU" w:eastAsia="en-US"/>
        </w:rPr>
        <w:t>MBS funded</w:t>
      </w:r>
      <w:r w:rsidR="00A76F00">
        <w:rPr>
          <w:lang w:val="en-AU" w:eastAsia="en-US"/>
        </w:rPr>
        <w:t xml:space="preserve"> for latent tuberculosis in all circumstances where such a diagnostic test is clinically isolated.</w:t>
      </w:r>
    </w:p>
    <w:p w14:paraId="0CA111ED" w14:textId="77777777" w:rsidR="00A76F00" w:rsidRPr="00B96BC0" w:rsidRDefault="00A76F00" w:rsidP="00D45EA8">
      <w:pPr>
        <w:pStyle w:val="Caption"/>
      </w:pPr>
      <w:bookmarkStart w:id="189" w:name="_Toc12953461"/>
      <w:r>
        <w:t>Table</w:t>
      </w:r>
      <w:r w:rsidR="00D45EA8">
        <w:rPr>
          <w:noProof/>
        </w:rPr>
        <w:t xml:space="preserve"> </w:t>
      </w:r>
      <w:r w:rsidR="00D45EA8" w:rsidRPr="00D45EA8">
        <w:rPr>
          <w:noProof/>
          <w:lang w:val="en-GB"/>
        </w:rPr>
        <w:fldChar w:fldCharType="begin"/>
      </w:r>
      <w:r w:rsidR="00D45EA8" w:rsidRPr="00D45EA8">
        <w:rPr>
          <w:noProof/>
          <w:lang w:val="en-GB"/>
        </w:rPr>
        <w:instrText xml:space="preserve"> SEQ Table \* ARABIC </w:instrText>
      </w:r>
      <w:r w:rsidR="00D45EA8" w:rsidRPr="00D45EA8">
        <w:rPr>
          <w:noProof/>
          <w:lang w:val="en-GB"/>
        </w:rPr>
        <w:fldChar w:fldCharType="separate"/>
      </w:r>
      <w:r w:rsidR="00D45EA8">
        <w:rPr>
          <w:noProof/>
          <w:lang w:val="en-GB"/>
        </w:rPr>
        <w:t>11</w:t>
      </w:r>
      <w:r w:rsidR="00D45EA8" w:rsidRPr="00D45EA8">
        <w:rPr>
          <w:noProof/>
        </w:rPr>
        <w:fldChar w:fldCharType="end"/>
      </w:r>
      <w:r>
        <w:t xml:space="preserve">: </w:t>
      </w:r>
      <w:r w:rsidRPr="00B96BC0">
        <w:t xml:space="preserve">Proposed changes </w:t>
      </w:r>
      <w:r>
        <w:t>IGRA tests for latent tuberculosis</w:t>
      </w:r>
      <w:bookmarkEnd w:id="189"/>
    </w:p>
    <w:tbl>
      <w:tblPr>
        <w:tblStyle w:val="TableGrid"/>
        <w:tblW w:w="0" w:type="auto"/>
        <w:tblLook w:val="04A0" w:firstRow="1" w:lastRow="0" w:firstColumn="1" w:lastColumn="0" w:noHBand="0" w:noVBand="1"/>
        <w:tblDescription w:val="This table lists new Item number, and Proposed new descriptor for testing skin and superficial sites."/>
      </w:tblPr>
      <w:tblGrid>
        <w:gridCol w:w="988"/>
        <w:gridCol w:w="3969"/>
        <w:gridCol w:w="4059"/>
      </w:tblGrid>
      <w:tr w:rsidR="00A76F00" w:rsidRPr="00B96BC0" w14:paraId="478F576E" w14:textId="77777777" w:rsidTr="00D45EA8">
        <w:trPr>
          <w:tblHeader/>
        </w:trPr>
        <w:tc>
          <w:tcPr>
            <w:tcW w:w="988" w:type="dxa"/>
            <w:shd w:val="clear" w:color="auto" w:fill="EEECE1" w:themeFill="background2"/>
            <w:vAlign w:val="bottom"/>
          </w:tcPr>
          <w:p w14:paraId="1A396374" w14:textId="77777777" w:rsidR="00A76F00" w:rsidRPr="00A0513E" w:rsidRDefault="00A76F00" w:rsidP="00D45EA8">
            <w:pPr>
              <w:pStyle w:val="01Tableheaderrow"/>
            </w:pPr>
            <w:r w:rsidRPr="00A0513E">
              <w:t>Item</w:t>
            </w:r>
          </w:p>
        </w:tc>
        <w:tc>
          <w:tcPr>
            <w:tcW w:w="3969" w:type="dxa"/>
            <w:shd w:val="clear" w:color="auto" w:fill="EEECE1" w:themeFill="background2"/>
            <w:vAlign w:val="bottom"/>
          </w:tcPr>
          <w:p w14:paraId="26A90F04" w14:textId="77777777" w:rsidR="00A76F00" w:rsidRPr="00A0513E" w:rsidRDefault="00A76F00" w:rsidP="00D45EA8">
            <w:pPr>
              <w:pStyle w:val="01Tableheaderrow"/>
            </w:pPr>
            <w:r w:rsidRPr="00A0513E">
              <w:t>Current descriptor</w:t>
            </w:r>
          </w:p>
        </w:tc>
        <w:tc>
          <w:tcPr>
            <w:tcW w:w="4059" w:type="dxa"/>
            <w:shd w:val="clear" w:color="auto" w:fill="EEECE1" w:themeFill="background2"/>
            <w:vAlign w:val="bottom"/>
          </w:tcPr>
          <w:p w14:paraId="3EB1D6EF" w14:textId="77777777" w:rsidR="00A76F00" w:rsidRPr="00A0513E" w:rsidRDefault="00A76F00" w:rsidP="00D45EA8">
            <w:pPr>
              <w:pStyle w:val="01Tableheaderrow"/>
            </w:pPr>
            <w:r w:rsidRPr="00A0513E">
              <w:t xml:space="preserve">Proposed </w:t>
            </w:r>
            <w:r>
              <w:t xml:space="preserve">new </w:t>
            </w:r>
            <w:r w:rsidRPr="00A0513E">
              <w:t>descriptor</w:t>
            </w:r>
          </w:p>
        </w:tc>
      </w:tr>
      <w:tr w:rsidR="00A76F00" w:rsidRPr="00B96BC0" w14:paraId="1F2B035B" w14:textId="77777777" w:rsidTr="00727EF1">
        <w:tc>
          <w:tcPr>
            <w:tcW w:w="988" w:type="dxa"/>
          </w:tcPr>
          <w:p w14:paraId="6119F12C" w14:textId="77777777" w:rsidR="00A76F00" w:rsidRPr="00A0513E" w:rsidRDefault="00A76F00" w:rsidP="00A76F00">
            <w:pPr>
              <w:pStyle w:val="02Tabletext"/>
            </w:pPr>
            <w:r>
              <w:t>69471</w:t>
            </w:r>
            <w:r w:rsidRPr="00A0513E">
              <w:t xml:space="preserve"> </w:t>
            </w:r>
          </w:p>
        </w:tc>
        <w:tc>
          <w:tcPr>
            <w:tcW w:w="3969" w:type="dxa"/>
            <w:tcBorders>
              <w:top w:val="single" w:sz="8" w:space="0" w:color="auto"/>
              <w:left w:val="nil"/>
              <w:bottom w:val="single" w:sz="8" w:space="0" w:color="auto"/>
              <w:right w:val="single" w:sz="8" w:space="0" w:color="auto"/>
            </w:tcBorders>
          </w:tcPr>
          <w:p w14:paraId="3B461980" w14:textId="77777777" w:rsidR="00A76F00" w:rsidRDefault="00A76F00" w:rsidP="00727EF1">
            <w:pPr>
              <w:spacing w:before="0" w:after="0"/>
              <w:rPr>
                <w:rFonts w:ascii="Times New Roman" w:hAnsi="Times New Roman"/>
                <w:sz w:val="20"/>
                <w:szCs w:val="20"/>
                <w:lang w:val="en-AU"/>
              </w:rPr>
            </w:pPr>
            <w:r>
              <w:rPr>
                <w:rFonts w:ascii="Times New Roman" w:hAnsi="Times New Roman"/>
                <w:sz w:val="20"/>
                <w:szCs w:val="20"/>
              </w:rPr>
              <w:t>Test of cell</w:t>
            </w:r>
            <w:r>
              <w:rPr>
                <w:rFonts w:ascii="Times New Roman" w:hAnsi="Times New Roman"/>
                <w:sz w:val="20"/>
                <w:szCs w:val="20"/>
              </w:rPr>
              <w:noBreakHyphen/>
              <w:t>mediated immune response in blood for the detection of latent tuberculosis by interferon gamma release assay (IGRA) in the following people:</w:t>
            </w:r>
          </w:p>
          <w:p w14:paraId="0B4D084A" w14:textId="77777777" w:rsidR="00A76F00" w:rsidRDefault="00A76F00" w:rsidP="00727EF1">
            <w:pPr>
              <w:spacing w:before="0" w:after="0"/>
              <w:rPr>
                <w:rFonts w:ascii="Times New Roman" w:hAnsi="Times New Roman"/>
                <w:sz w:val="20"/>
                <w:szCs w:val="20"/>
              </w:rPr>
            </w:pPr>
            <w:r>
              <w:rPr>
                <w:rFonts w:ascii="Times New Roman" w:hAnsi="Times New Roman"/>
                <w:sz w:val="20"/>
                <w:szCs w:val="20"/>
              </w:rPr>
              <w:t xml:space="preserve">(a) a person who has been exposed to a confirmed case of active </w:t>
            </w:r>
            <w:proofErr w:type="gramStart"/>
            <w:r>
              <w:rPr>
                <w:rFonts w:ascii="Times New Roman" w:hAnsi="Times New Roman"/>
                <w:sz w:val="20"/>
                <w:szCs w:val="20"/>
              </w:rPr>
              <w:t>tuberculosis;</w:t>
            </w:r>
            <w:proofErr w:type="gramEnd"/>
          </w:p>
          <w:p w14:paraId="2543A89F" w14:textId="77777777" w:rsidR="00A76F00" w:rsidRDefault="00A76F00" w:rsidP="00727EF1">
            <w:pPr>
              <w:spacing w:before="0" w:after="0"/>
              <w:rPr>
                <w:rFonts w:ascii="Times New Roman" w:hAnsi="Times New Roman"/>
                <w:sz w:val="20"/>
                <w:szCs w:val="20"/>
              </w:rPr>
            </w:pPr>
            <w:r>
              <w:rPr>
                <w:rFonts w:ascii="Times New Roman" w:hAnsi="Times New Roman"/>
                <w:sz w:val="20"/>
                <w:szCs w:val="20"/>
              </w:rPr>
              <w:t xml:space="preserve">(b) a person who is infected with human immunodeficiency </w:t>
            </w:r>
            <w:proofErr w:type="gramStart"/>
            <w:r>
              <w:rPr>
                <w:rFonts w:ascii="Times New Roman" w:hAnsi="Times New Roman"/>
                <w:sz w:val="20"/>
                <w:szCs w:val="20"/>
              </w:rPr>
              <w:t>virus;</w:t>
            </w:r>
            <w:proofErr w:type="gramEnd"/>
          </w:p>
          <w:p w14:paraId="2FA895E8" w14:textId="77777777" w:rsidR="00A76F00" w:rsidRDefault="00A76F00" w:rsidP="00727EF1">
            <w:pPr>
              <w:spacing w:before="0" w:after="0"/>
              <w:rPr>
                <w:rFonts w:ascii="Times New Roman" w:hAnsi="Times New Roman"/>
                <w:sz w:val="20"/>
                <w:szCs w:val="20"/>
              </w:rPr>
            </w:pPr>
            <w:r>
              <w:rPr>
                <w:rFonts w:ascii="Times New Roman" w:hAnsi="Times New Roman"/>
                <w:sz w:val="20"/>
                <w:szCs w:val="20"/>
              </w:rPr>
              <w:t xml:space="preserve">(c) a person who is to commence, or has commenced, tumour necrosis factor (TNF) inhibitor </w:t>
            </w:r>
            <w:proofErr w:type="gramStart"/>
            <w:r>
              <w:rPr>
                <w:rFonts w:ascii="Times New Roman" w:hAnsi="Times New Roman"/>
                <w:sz w:val="20"/>
                <w:szCs w:val="20"/>
              </w:rPr>
              <w:t>therapy;</w:t>
            </w:r>
            <w:proofErr w:type="gramEnd"/>
          </w:p>
          <w:p w14:paraId="718BBD52" w14:textId="77777777" w:rsidR="00A76F00" w:rsidRDefault="00A76F00" w:rsidP="00727EF1">
            <w:pPr>
              <w:spacing w:before="0" w:after="0"/>
              <w:rPr>
                <w:rFonts w:ascii="Times New Roman" w:hAnsi="Times New Roman"/>
                <w:sz w:val="20"/>
                <w:szCs w:val="20"/>
              </w:rPr>
            </w:pPr>
            <w:r>
              <w:rPr>
                <w:rFonts w:ascii="Times New Roman" w:hAnsi="Times New Roman"/>
                <w:sz w:val="20"/>
                <w:szCs w:val="20"/>
              </w:rPr>
              <w:t xml:space="preserve">(d) a person who is to commence, or has commenced, renal </w:t>
            </w:r>
            <w:proofErr w:type="gramStart"/>
            <w:r>
              <w:rPr>
                <w:rFonts w:ascii="Times New Roman" w:hAnsi="Times New Roman"/>
                <w:sz w:val="20"/>
                <w:szCs w:val="20"/>
              </w:rPr>
              <w:t>dialysis;</w:t>
            </w:r>
            <w:proofErr w:type="gramEnd"/>
          </w:p>
          <w:p w14:paraId="18EADD0A" w14:textId="77777777" w:rsidR="00A76F00" w:rsidRDefault="00A76F00" w:rsidP="00727EF1">
            <w:pPr>
              <w:spacing w:before="0" w:after="0"/>
              <w:rPr>
                <w:rFonts w:ascii="Times New Roman" w:hAnsi="Times New Roman"/>
                <w:sz w:val="20"/>
                <w:szCs w:val="20"/>
              </w:rPr>
            </w:pPr>
            <w:r>
              <w:rPr>
                <w:rFonts w:ascii="Times New Roman" w:hAnsi="Times New Roman"/>
                <w:sz w:val="20"/>
                <w:szCs w:val="20"/>
              </w:rPr>
              <w:t xml:space="preserve">(e) a person with </w:t>
            </w:r>
            <w:proofErr w:type="gramStart"/>
            <w:r>
              <w:rPr>
                <w:rFonts w:ascii="Times New Roman" w:hAnsi="Times New Roman"/>
                <w:sz w:val="20"/>
                <w:szCs w:val="20"/>
              </w:rPr>
              <w:t>silicosis;</w:t>
            </w:r>
            <w:proofErr w:type="gramEnd"/>
          </w:p>
          <w:p w14:paraId="052E91FE" w14:textId="77777777" w:rsidR="00A76F00" w:rsidRPr="00727EF1" w:rsidRDefault="00A76F00" w:rsidP="00727EF1">
            <w:pPr>
              <w:spacing w:before="0" w:after="0"/>
              <w:rPr>
                <w:rFonts w:ascii="Times New Roman" w:hAnsi="Times New Roman"/>
                <w:sz w:val="20"/>
                <w:szCs w:val="20"/>
              </w:rPr>
            </w:pPr>
            <w:r>
              <w:rPr>
                <w:rFonts w:ascii="Times New Roman" w:hAnsi="Times New Roman"/>
                <w:sz w:val="20"/>
                <w:szCs w:val="20"/>
              </w:rPr>
              <w:t xml:space="preserve">(f) a person who is, or is about to become, immunosuppressed because of a disease, or a </w:t>
            </w:r>
            <w:r>
              <w:rPr>
                <w:rFonts w:ascii="Times New Roman" w:hAnsi="Times New Roman"/>
                <w:sz w:val="20"/>
                <w:szCs w:val="20"/>
              </w:rPr>
              <w:lastRenderedPageBreak/>
              <w:t>medical treatment, not mentioned in paragraphs (a) to (e)</w:t>
            </w:r>
          </w:p>
        </w:tc>
        <w:tc>
          <w:tcPr>
            <w:tcW w:w="4059" w:type="dxa"/>
            <w:tcBorders>
              <w:top w:val="single" w:sz="8" w:space="0" w:color="auto"/>
              <w:left w:val="nil"/>
              <w:bottom w:val="single" w:sz="8" w:space="0" w:color="auto"/>
              <w:right w:val="single" w:sz="8" w:space="0" w:color="auto"/>
            </w:tcBorders>
          </w:tcPr>
          <w:p w14:paraId="66A36A14" w14:textId="77777777" w:rsidR="00A76F00" w:rsidRDefault="00A76F00" w:rsidP="00727EF1">
            <w:pPr>
              <w:spacing w:before="0"/>
              <w:rPr>
                <w:rFonts w:ascii="Times New Roman" w:hAnsi="Times New Roman"/>
                <w:sz w:val="20"/>
                <w:szCs w:val="20"/>
              </w:rPr>
            </w:pPr>
            <w:r w:rsidRPr="00727EF1">
              <w:rPr>
                <w:rFonts w:ascii="Times New Roman" w:hAnsi="Times New Roman"/>
                <w:sz w:val="20"/>
                <w:szCs w:val="20"/>
              </w:rPr>
              <w:lastRenderedPageBreak/>
              <w:t>Test of cell</w:t>
            </w:r>
            <w:r w:rsidRPr="00727EF1">
              <w:rPr>
                <w:rFonts w:ascii="Times New Roman" w:hAnsi="Times New Roman"/>
                <w:sz w:val="20"/>
                <w:szCs w:val="20"/>
              </w:rPr>
              <w:noBreakHyphen/>
              <w:t>mediated immune response in blood for the detection of latent tuberculosis by interferon gamma release assay (IGRA), where clinically indicated.</w:t>
            </w:r>
            <w:r>
              <w:rPr>
                <w:rFonts w:ascii="Times New Roman" w:hAnsi="Times New Roman"/>
                <w:sz w:val="20"/>
                <w:szCs w:val="20"/>
              </w:rPr>
              <w:t xml:space="preserve">  </w:t>
            </w:r>
          </w:p>
          <w:p w14:paraId="262972EF" w14:textId="77777777" w:rsidR="00A76F00" w:rsidRPr="00A0513E" w:rsidRDefault="00A76F00" w:rsidP="00A76F00">
            <w:pPr>
              <w:pStyle w:val="02Tabletext"/>
            </w:pPr>
          </w:p>
        </w:tc>
      </w:tr>
    </w:tbl>
    <w:p w14:paraId="502C8D4E" w14:textId="77777777" w:rsidR="00A76F00" w:rsidRPr="00FB0EF2" w:rsidRDefault="00A76F00" w:rsidP="00727EF1"/>
    <w:p w14:paraId="5835BB9B" w14:textId="77777777" w:rsidR="00CA7016" w:rsidRPr="00A0513E" w:rsidRDefault="00CA7016" w:rsidP="00CA7016">
      <w:pPr>
        <w:pStyle w:val="Heading2"/>
      </w:pPr>
      <w:bookmarkStart w:id="190" w:name="_Toc12886560"/>
      <w:r w:rsidRPr="00A0513E">
        <w:t>Skin and superficial sites</w:t>
      </w:r>
      <w:bookmarkEnd w:id="187"/>
      <w:bookmarkEnd w:id="188"/>
      <w:bookmarkEnd w:id="190"/>
      <w:r w:rsidRPr="00A0513E">
        <w:t xml:space="preserve"> </w:t>
      </w:r>
    </w:p>
    <w:p w14:paraId="206B1415" w14:textId="77777777" w:rsidR="00CA7016" w:rsidRPr="00A0513E" w:rsidRDefault="00CA7016" w:rsidP="00CA7016">
      <w:pPr>
        <w:pStyle w:val="Heading3"/>
      </w:pPr>
      <w:bookmarkStart w:id="191" w:name="_Ref487790455"/>
      <w:bookmarkStart w:id="192" w:name="_Toc12886561"/>
      <w:r w:rsidRPr="00A0513E">
        <w:t>Recommendation</w:t>
      </w:r>
      <w:r>
        <w:t xml:space="preserve"> 6</w:t>
      </w:r>
      <w:bookmarkEnd w:id="191"/>
      <w:bookmarkEnd w:id="192"/>
    </w:p>
    <w:p w14:paraId="46EE3D40" w14:textId="77777777" w:rsidR="00CA7016" w:rsidRPr="00A0513E" w:rsidRDefault="00CA7016" w:rsidP="00CA7016">
      <w:pPr>
        <w:pStyle w:val="NormalBulleted"/>
        <w:numPr>
          <w:ilvl w:val="0"/>
          <w:numId w:val="17"/>
        </w:numPr>
        <w:spacing w:before="120" w:after="60" w:line="240" w:lineRule="auto"/>
        <w:ind w:right="142"/>
        <w:contextualSpacing w:val="0"/>
      </w:pPr>
      <w:r w:rsidRPr="00A0513E">
        <w:t>Create a new NAAT item for the detection of pathogenic organisms from skin or superficial site specimens.</w:t>
      </w:r>
    </w:p>
    <w:p w14:paraId="3CB08F00" w14:textId="77777777" w:rsidR="00CA7016" w:rsidRPr="00B96BC0" w:rsidRDefault="00CA7016" w:rsidP="00CA7016">
      <w:pPr>
        <w:pStyle w:val="Caption"/>
      </w:pPr>
      <w:bookmarkStart w:id="193" w:name="_Toc484598348"/>
      <w:bookmarkStart w:id="194" w:name="_Toc486935609"/>
      <w:bookmarkStart w:id="195" w:name="_Toc12953462"/>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D45EA8">
        <w:rPr>
          <w:noProof/>
        </w:rPr>
        <w:t>12</w:t>
      </w:r>
      <w:r w:rsidR="00BB490A">
        <w:rPr>
          <w:noProof/>
        </w:rPr>
        <w:fldChar w:fldCharType="end"/>
      </w:r>
      <w:r>
        <w:t xml:space="preserve">: </w:t>
      </w:r>
      <w:r w:rsidRPr="00B96BC0">
        <w:t xml:space="preserve">Proposed changes to </w:t>
      </w:r>
      <w:bookmarkEnd w:id="193"/>
      <w:bookmarkEnd w:id="194"/>
      <w:r>
        <w:t>tests for skin and superficial site pathogens</w:t>
      </w:r>
      <w:bookmarkEnd w:id="195"/>
    </w:p>
    <w:tbl>
      <w:tblPr>
        <w:tblStyle w:val="TableGrid"/>
        <w:tblW w:w="0" w:type="auto"/>
        <w:tblLook w:val="04A0" w:firstRow="1" w:lastRow="0" w:firstColumn="1" w:lastColumn="0" w:noHBand="0" w:noVBand="1"/>
        <w:tblDescription w:val="This table lists new Item number, and Proposed new descriptor for testing skin and superficial sites."/>
      </w:tblPr>
      <w:tblGrid>
        <w:gridCol w:w="988"/>
        <w:gridCol w:w="3969"/>
        <w:gridCol w:w="4059"/>
      </w:tblGrid>
      <w:tr w:rsidR="00CA7016" w:rsidRPr="00B96BC0" w14:paraId="5BE4D9DD" w14:textId="77777777" w:rsidTr="00F20089">
        <w:trPr>
          <w:tblHeader/>
        </w:trPr>
        <w:tc>
          <w:tcPr>
            <w:tcW w:w="988" w:type="dxa"/>
            <w:shd w:val="clear" w:color="auto" w:fill="EEECE1" w:themeFill="background2"/>
            <w:vAlign w:val="bottom"/>
          </w:tcPr>
          <w:p w14:paraId="5C6AC92B" w14:textId="77777777" w:rsidR="00CA7016" w:rsidRPr="00A0513E" w:rsidRDefault="00CA7016" w:rsidP="003C3F6A">
            <w:pPr>
              <w:pStyle w:val="01Tableheaderrow"/>
            </w:pPr>
            <w:r w:rsidRPr="00A0513E">
              <w:t>Item</w:t>
            </w:r>
          </w:p>
        </w:tc>
        <w:tc>
          <w:tcPr>
            <w:tcW w:w="3969" w:type="dxa"/>
            <w:shd w:val="clear" w:color="auto" w:fill="EEECE1" w:themeFill="background2"/>
            <w:vAlign w:val="bottom"/>
          </w:tcPr>
          <w:p w14:paraId="07B44C1E" w14:textId="77777777" w:rsidR="00CA7016" w:rsidRPr="00A0513E" w:rsidRDefault="00CA7016" w:rsidP="003C3F6A">
            <w:pPr>
              <w:pStyle w:val="01Tableheaderrow"/>
            </w:pPr>
            <w:r w:rsidRPr="00A0513E">
              <w:t>Current descriptor</w:t>
            </w:r>
          </w:p>
        </w:tc>
        <w:tc>
          <w:tcPr>
            <w:tcW w:w="4059" w:type="dxa"/>
            <w:shd w:val="clear" w:color="auto" w:fill="EEECE1" w:themeFill="background2"/>
            <w:vAlign w:val="bottom"/>
          </w:tcPr>
          <w:p w14:paraId="2AD8D80B" w14:textId="77777777" w:rsidR="00CA7016" w:rsidRPr="00A0513E" w:rsidRDefault="00CA7016" w:rsidP="003C3F6A">
            <w:pPr>
              <w:pStyle w:val="01Tableheaderrow"/>
            </w:pPr>
            <w:r w:rsidRPr="00A0513E">
              <w:t xml:space="preserve">Proposed </w:t>
            </w:r>
            <w:r>
              <w:t xml:space="preserve">new </w:t>
            </w:r>
            <w:r w:rsidRPr="00A0513E">
              <w:t>descriptor</w:t>
            </w:r>
          </w:p>
        </w:tc>
      </w:tr>
      <w:tr w:rsidR="00CA7016" w:rsidRPr="00B96BC0" w14:paraId="2E486D70" w14:textId="77777777" w:rsidTr="003C3F6A">
        <w:tc>
          <w:tcPr>
            <w:tcW w:w="988" w:type="dxa"/>
          </w:tcPr>
          <w:p w14:paraId="7586D224" w14:textId="77777777" w:rsidR="00CA7016" w:rsidRPr="00A0513E" w:rsidRDefault="00CA7016" w:rsidP="003C3F6A">
            <w:pPr>
              <w:pStyle w:val="02Tabletext"/>
            </w:pPr>
            <w:r w:rsidRPr="00A0513E">
              <w:t>New item</w:t>
            </w:r>
          </w:p>
          <w:p w14:paraId="5038ADA2" w14:textId="77777777" w:rsidR="00CA7016" w:rsidRPr="00A0513E" w:rsidRDefault="00CA7016" w:rsidP="003C3F6A">
            <w:pPr>
              <w:pStyle w:val="02Tabletext"/>
            </w:pPr>
            <w:r>
              <w:t>693XJ</w:t>
            </w:r>
            <w:r w:rsidRPr="00A0513E">
              <w:t xml:space="preserve"> </w:t>
            </w:r>
          </w:p>
        </w:tc>
        <w:tc>
          <w:tcPr>
            <w:tcW w:w="3969" w:type="dxa"/>
          </w:tcPr>
          <w:p w14:paraId="2969F1C0" w14:textId="77777777" w:rsidR="00CA7016" w:rsidRPr="00A0513E" w:rsidRDefault="00CA7016" w:rsidP="003C3F6A">
            <w:pPr>
              <w:pStyle w:val="02Tabletext"/>
            </w:pPr>
          </w:p>
        </w:tc>
        <w:tc>
          <w:tcPr>
            <w:tcW w:w="4059" w:type="dxa"/>
          </w:tcPr>
          <w:p w14:paraId="606C1AAE" w14:textId="77777777" w:rsidR="00CA7016" w:rsidRPr="00A0513E" w:rsidRDefault="00CA7016" w:rsidP="00AC70DA">
            <w:pPr>
              <w:pStyle w:val="02Tabletext"/>
            </w:pPr>
            <w:r w:rsidRPr="00A0513E">
              <w:t xml:space="preserve">Detection of pathogenic organisms </w:t>
            </w:r>
            <w:r w:rsidR="00AC70DA">
              <w:t>including dermatophyte detection</w:t>
            </w:r>
            <w:r w:rsidR="00AC70DA" w:rsidRPr="00A0513E">
              <w:t xml:space="preserve"> </w:t>
            </w:r>
            <w:r w:rsidRPr="00A0513E">
              <w:t>from skin or superficial site specimens using nucleic acid amplification techniques (NAAT)</w:t>
            </w:r>
            <w:r w:rsidR="007C7F60">
              <w:t>.</w:t>
            </w:r>
            <w:r w:rsidRPr="00A0513E">
              <w:t xml:space="preserve"> </w:t>
            </w:r>
          </w:p>
        </w:tc>
      </w:tr>
    </w:tbl>
    <w:p w14:paraId="2B9B2E91" w14:textId="77777777" w:rsidR="00CA7016" w:rsidRPr="00A0513E" w:rsidRDefault="00CA7016" w:rsidP="00CA7016">
      <w:pPr>
        <w:pStyle w:val="Heading3"/>
      </w:pPr>
      <w:bookmarkStart w:id="196" w:name="_Toc12886562"/>
      <w:r w:rsidRPr="00A0513E">
        <w:t>Rationale</w:t>
      </w:r>
      <w:r>
        <w:t xml:space="preserve"> 6</w:t>
      </w:r>
      <w:bookmarkEnd w:id="196"/>
    </w:p>
    <w:p w14:paraId="7B563216" w14:textId="77777777" w:rsidR="00CA7016" w:rsidRPr="00B96BC0" w:rsidRDefault="00CA7016" w:rsidP="00CA7016">
      <w:r w:rsidRPr="00B96BC0">
        <w:t>The recommendation focuses on modernising</w:t>
      </w:r>
      <w:r>
        <w:t xml:space="preserve"> and simplifying the MBS and is</w:t>
      </w:r>
      <w:r w:rsidRPr="00B96BC0">
        <w:t xml:space="preserve"> based on the following observations.</w:t>
      </w:r>
    </w:p>
    <w:p w14:paraId="34CC65C9"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Guidelines recommend culture and microscopy for most skin infections; however, some </w:t>
      </w:r>
      <w:r>
        <w:t>a</w:t>
      </w:r>
      <w:r w:rsidRPr="00A0513E">
        <w:t>etiologic</w:t>
      </w:r>
      <w:r>
        <w:t>al</w:t>
      </w:r>
      <w:r w:rsidRPr="00A0513E">
        <w:t xml:space="preserve"> agents may require NAAT, including</w:t>
      </w:r>
      <w:r>
        <w:t>,</w:t>
      </w:r>
      <w:r w:rsidRPr="00A0513E">
        <w:t xml:space="preserve"> but not limited to</w:t>
      </w:r>
      <w:r>
        <w:t>,</w:t>
      </w:r>
      <w:r w:rsidRPr="00A0513E">
        <w:t xml:space="preserve"> </w:t>
      </w:r>
      <w:r>
        <w:t>herpes simplex virus (</w:t>
      </w:r>
      <w:r w:rsidRPr="00A0513E">
        <w:t>HSV</w:t>
      </w:r>
      <w:r>
        <w:t>)</w:t>
      </w:r>
      <w:r w:rsidRPr="00A0513E">
        <w:t xml:space="preserve"> 1 and 2, varicella zoster virus (VZV), enterovirus (hand foot and mouth disease), pox viruses, molluscum contagiosum and </w:t>
      </w:r>
      <w:proofErr w:type="spellStart"/>
      <w:r w:rsidRPr="00A0513E">
        <w:t>rickettsial</w:t>
      </w:r>
      <w:proofErr w:type="spellEnd"/>
      <w:r w:rsidRPr="00A0513E">
        <w:t xml:space="preserve"> infection.</w:t>
      </w:r>
      <w:r w:rsidRPr="00A0513E">
        <w:fldChar w:fldCharType="begin">
          <w:fldData xml:space="preserve">PEVuZE5vdGU+PENpdGU+PEF1dGhvcj5CYXJvbjwvQXV0aG9yPjxZZWFyPjIwMTM8L1llYXI+PFJl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IEFtZXJpY2E8L2FiYnItMT48L2FsdC1wZXJpb2RpY2FsPjxwYWdlcz5lMjItZTEyMTwvcGFnZXM+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</w:fldData>
        </w:fldChar>
      </w:r>
      <w:r w:rsidR="00861FFC">
        <w:instrText xml:space="preserve"> ADDIN EN.CITE </w:instrText>
      </w:r>
      <w:r w:rsidR="00861FFC">
        <w:fldChar w:fldCharType="begin">
          <w:fldData xml:space="preserve">PEVuZE5vdGU+PENpdGU+PEF1dGhvcj5CYXJvbjwvQXV0aG9yPjxZZWFyPjIwMTM8L1llYXI+PFJl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IEFtZXJpY2E8L2FiYnItMT48L2FsdC1wZXJpb2RpY2FsPjxwYWdlcz5lMjItZTEyMTwvcGFnZXM+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</w:fldData>
        </w:fldChar>
      </w:r>
      <w:r w:rsidR="00861FFC">
        <w:instrText xml:space="preserve"> ADDIN EN.CITE.DATA </w:instrText>
      </w:r>
      <w:r w:rsidR="00861FFC">
        <w:fldChar w:fldCharType="end"/>
      </w:r>
      <w:r w:rsidRPr="00A0513E">
        <w:fldChar w:fldCharType="separate"/>
      </w:r>
      <w:r w:rsidR="00EE147F">
        <w:rPr>
          <w:noProof/>
        </w:rPr>
        <w:t xml:space="preserve"> [16]</w:t>
      </w:r>
      <w:r w:rsidRPr="00A0513E">
        <w:fldChar w:fldCharType="end"/>
      </w:r>
    </w:p>
    <w:p w14:paraId="2069AA29"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Currently molecular testing utilises item numbers </w:t>
      </w:r>
      <w:r w:rsidR="007C7F60">
        <w:t>69</w:t>
      </w:r>
      <w:r w:rsidR="007C7F60" w:rsidRPr="00A0513E">
        <w:t>494</w:t>
      </w:r>
      <w:r w:rsidRPr="00A0513E">
        <w:t xml:space="preserve">, 69495 and 69496. Separating and creating a specific PCR item number for skin and superficial sites will allow ongoing monitoring of skin and superficial site PCR. </w:t>
      </w:r>
    </w:p>
    <w:p w14:paraId="10B1AE14" w14:textId="77777777" w:rsidR="00CA7016" w:rsidRPr="00A0513E" w:rsidRDefault="00CA7016" w:rsidP="00CA7016">
      <w:pPr>
        <w:pStyle w:val="NormalBulleted"/>
        <w:numPr>
          <w:ilvl w:val="0"/>
          <w:numId w:val="17"/>
        </w:numPr>
        <w:spacing w:before="120" w:after="60" w:line="240" w:lineRule="auto"/>
        <w:ind w:right="142"/>
        <w:contextualSpacing w:val="0"/>
      </w:pPr>
      <w:r>
        <w:t>I</w:t>
      </w:r>
      <w:r w:rsidRPr="00A0513E">
        <w:t xml:space="preserve">t is important </w:t>
      </w:r>
      <w:r>
        <w:t>f</w:t>
      </w:r>
      <w:r w:rsidRPr="00A0513E">
        <w:t xml:space="preserve">or patients to know </w:t>
      </w:r>
      <w:r w:rsidR="00DD192E">
        <w:t xml:space="preserve">the </w:t>
      </w:r>
      <w:r w:rsidRPr="00A0513E">
        <w:t>status of their skin lesions</w:t>
      </w:r>
      <w:r>
        <w:t>,</w:t>
      </w:r>
      <w:r w:rsidRPr="00A0513E">
        <w:t xml:space="preserve"> as the implications for HSV1 and 2 infection will be different to </w:t>
      </w:r>
      <w:r>
        <w:t xml:space="preserve">those </w:t>
      </w:r>
      <w:r w:rsidRPr="00A0513E">
        <w:t>of VZV.</w:t>
      </w:r>
      <w:r>
        <w:t xml:space="preserve"> </w:t>
      </w:r>
      <w:r w:rsidRPr="00A0513E">
        <w:t>This also has public health implications. The same may be said for enteroviral infection</w:t>
      </w:r>
      <w:r>
        <w:t>,</w:t>
      </w:r>
      <w:r w:rsidRPr="00A0513E">
        <w:t xml:space="preserve"> </w:t>
      </w:r>
      <w:r>
        <w:t xml:space="preserve">as </w:t>
      </w:r>
      <w:r w:rsidRPr="00A0513E">
        <w:t>some types may be harbingers for epidemics associated with neurological manifestations, such as acute flaccid paralysis or meningoencephalitis.</w:t>
      </w:r>
    </w:p>
    <w:p w14:paraId="0B6FFE2D" w14:textId="77777777" w:rsidR="00CA7016" w:rsidRPr="00A0513E" w:rsidRDefault="00CA7016" w:rsidP="00CA7016">
      <w:pPr>
        <w:pStyle w:val="Heading2"/>
      </w:pPr>
      <w:bookmarkStart w:id="197" w:name="_Toc483989371"/>
      <w:bookmarkStart w:id="198" w:name="_Toc486939189"/>
      <w:bookmarkStart w:id="199" w:name="_Toc12886563"/>
      <w:r w:rsidRPr="00A0513E">
        <w:t>NAAT for complicated hospital specimens or sterile sites</w:t>
      </w:r>
      <w:bookmarkEnd w:id="197"/>
      <w:bookmarkEnd w:id="198"/>
      <w:bookmarkEnd w:id="199"/>
    </w:p>
    <w:p w14:paraId="6276ADB5" w14:textId="77777777" w:rsidR="00CA7016" w:rsidRPr="00A0513E" w:rsidRDefault="00CA7016" w:rsidP="00CA7016">
      <w:pPr>
        <w:pStyle w:val="Heading3"/>
      </w:pPr>
      <w:bookmarkStart w:id="200" w:name="_Ref487790469"/>
      <w:bookmarkStart w:id="201" w:name="_Toc12886564"/>
      <w:r w:rsidRPr="00A0513E">
        <w:t>Recommendation</w:t>
      </w:r>
      <w:r>
        <w:t xml:space="preserve"> 7</w:t>
      </w:r>
      <w:bookmarkEnd w:id="200"/>
      <w:bookmarkEnd w:id="201"/>
    </w:p>
    <w:p w14:paraId="7DF2DCC8"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Create a new NAAT item for the detection of pathogenic organisms from sterile sites such as the </w:t>
      </w:r>
      <w:r>
        <w:t>c</w:t>
      </w:r>
      <w:r w:rsidRPr="00A0513E">
        <w:t xml:space="preserve">entral </w:t>
      </w:r>
      <w:r>
        <w:t>n</w:t>
      </w:r>
      <w:r w:rsidRPr="00A0513E">
        <w:t xml:space="preserve">ervous </w:t>
      </w:r>
      <w:r>
        <w:t>s</w:t>
      </w:r>
      <w:r w:rsidRPr="00A0513E">
        <w:t xml:space="preserve">ystem (CNS) and ocular specimens. </w:t>
      </w:r>
    </w:p>
    <w:p w14:paraId="690CD14D" w14:textId="77777777" w:rsidR="00CA7016" w:rsidRPr="00B96BC0" w:rsidRDefault="00CA7016" w:rsidP="00CA7016">
      <w:pPr>
        <w:pStyle w:val="Caption"/>
      </w:pPr>
      <w:bookmarkStart w:id="202" w:name="_Toc484598349"/>
      <w:bookmarkStart w:id="203" w:name="_Toc486935610"/>
      <w:bookmarkStart w:id="204" w:name="_Toc12953463"/>
      <w:bookmarkStart w:id="205" w:name="_Hlk484547483"/>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D45EA8">
        <w:rPr>
          <w:noProof/>
        </w:rPr>
        <w:t>13</w:t>
      </w:r>
      <w:r w:rsidR="00BB490A">
        <w:rPr>
          <w:noProof/>
        </w:rPr>
        <w:fldChar w:fldCharType="end"/>
      </w:r>
      <w:r>
        <w:t xml:space="preserve">: </w:t>
      </w:r>
      <w:r w:rsidRPr="00B96BC0">
        <w:t xml:space="preserve">Proposed changes to </w:t>
      </w:r>
      <w:bookmarkEnd w:id="202"/>
      <w:bookmarkEnd w:id="203"/>
      <w:r>
        <w:t>tests for sterile site pathogens</w:t>
      </w:r>
      <w:bookmarkEnd w:id="204"/>
    </w:p>
    <w:tbl>
      <w:tblPr>
        <w:tblStyle w:val="TableGrid"/>
        <w:tblW w:w="0" w:type="auto"/>
        <w:tblLook w:val="04A0" w:firstRow="1" w:lastRow="0" w:firstColumn="1" w:lastColumn="0" w:noHBand="0" w:noVBand="1"/>
        <w:tblDescription w:val="This table lists new Item number, and Proposed new descriptor for NAAT for complicated hospital specimens or sterile sites."/>
      </w:tblPr>
      <w:tblGrid>
        <w:gridCol w:w="988"/>
        <w:gridCol w:w="3969"/>
        <w:gridCol w:w="4059"/>
      </w:tblGrid>
      <w:tr w:rsidR="00CA7016" w:rsidRPr="00B96BC0" w14:paraId="020CB77C" w14:textId="77777777" w:rsidTr="00F20089">
        <w:trPr>
          <w:tblHeader/>
        </w:trPr>
        <w:tc>
          <w:tcPr>
            <w:tcW w:w="988" w:type="dxa"/>
            <w:shd w:val="clear" w:color="auto" w:fill="EEECE1" w:themeFill="background2"/>
            <w:vAlign w:val="bottom"/>
          </w:tcPr>
          <w:p w14:paraId="2BC65F80" w14:textId="77777777" w:rsidR="00CA7016" w:rsidRPr="00A0513E" w:rsidRDefault="00CA7016" w:rsidP="003C3F6A">
            <w:pPr>
              <w:pStyle w:val="01Tableheaderrow"/>
            </w:pPr>
            <w:r w:rsidRPr="00A0513E">
              <w:t>Item</w:t>
            </w:r>
          </w:p>
        </w:tc>
        <w:tc>
          <w:tcPr>
            <w:tcW w:w="3969" w:type="dxa"/>
            <w:shd w:val="clear" w:color="auto" w:fill="EEECE1" w:themeFill="background2"/>
            <w:vAlign w:val="bottom"/>
          </w:tcPr>
          <w:p w14:paraId="744A73E2" w14:textId="77777777" w:rsidR="00CA7016" w:rsidRPr="00A0513E" w:rsidRDefault="00CA7016" w:rsidP="003C3F6A">
            <w:pPr>
              <w:pStyle w:val="01Tableheaderrow"/>
            </w:pPr>
            <w:r w:rsidRPr="00A0513E">
              <w:t>Current descriptor</w:t>
            </w:r>
          </w:p>
        </w:tc>
        <w:tc>
          <w:tcPr>
            <w:tcW w:w="4059" w:type="dxa"/>
            <w:shd w:val="clear" w:color="auto" w:fill="EEECE1" w:themeFill="background2"/>
            <w:vAlign w:val="bottom"/>
          </w:tcPr>
          <w:p w14:paraId="674CA2C1" w14:textId="77777777" w:rsidR="00CA7016" w:rsidRPr="00A0513E" w:rsidRDefault="00CA7016" w:rsidP="003C3F6A">
            <w:pPr>
              <w:pStyle w:val="01Tableheaderrow"/>
            </w:pPr>
            <w:r w:rsidRPr="00A0513E">
              <w:t xml:space="preserve">Proposed </w:t>
            </w:r>
            <w:r>
              <w:t xml:space="preserve">new </w:t>
            </w:r>
            <w:r w:rsidRPr="00A0513E">
              <w:t>descriptor</w:t>
            </w:r>
          </w:p>
        </w:tc>
      </w:tr>
      <w:tr w:rsidR="00CA7016" w:rsidRPr="00B96BC0" w14:paraId="403A46F4" w14:textId="77777777" w:rsidTr="003C3F6A">
        <w:tc>
          <w:tcPr>
            <w:tcW w:w="988" w:type="dxa"/>
          </w:tcPr>
          <w:p w14:paraId="3CE7BCB4" w14:textId="77777777" w:rsidR="00CA7016" w:rsidRPr="00A0513E" w:rsidRDefault="00CA7016" w:rsidP="003C3F6A">
            <w:pPr>
              <w:pStyle w:val="02Tabletext"/>
            </w:pPr>
            <w:r w:rsidRPr="00A0513E">
              <w:t>New item</w:t>
            </w:r>
          </w:p>
          <w:p w14:paraId="213F2920" w14:textId="77777777" w:rsidR="00CA7016" w:rsidRPr="00A0513E" w:rsidRDefault="00CA7016" w:rsidP="003C3F6A">
            <w:pPr>
              <w:pStyle w:val="02Tabletext"/>
            </w:pPr>
            <w:r>
              <w:t>693XK</w:t>
            </w:r>
            <w:r w:rsidRPr="00A0513E">
              <w:t xml:space="preserve"> </w:t>
            </w:r>
          </w:p>
        </w:tc>
        <w:tc>
          <w:tcPr>
            <w:tcW w:w="3969" w:type="dxa"/>
          </w:tcPr>
          <w:p w14:paraId="0F19720A" w14:textId="77777777" w:rsidR="00CA7016" w:rsidRPr="00A0513E" w:rsidRDefault="00CA7016" w:rsidP="003C3F6A">
            <w:pPr>
              <w:pStyle w:val="02Tabletext"/>
            </w:pPr>
          </w:p>
        </w:tc>
        <w:tc>
          <w:tcPr>
            <w:tcW w:w="4059" w:type="dxa"/>
            <w:shd w:val="clear" w:color="auto" w:fill="auto"/>
            <w:vAlign w:val="bottom"/>
          </w:tcPr>
          <w:p w14:paraId="5E38B310" w14:textId="77777777" w:rsidR="00CA7016" w:rsidRPr="00A0513E" w:rsidRDefault="00CA7016" w:rsidP="003C3F6A">
            <w:pPr>
              <w:pStyle w:val="02Tabletext"/>
            </w:pPr>
            <w:r w:rsidRPr="00A0513E">
              <w:t>Detection of pathogenic organisms from sterile sites, CNS and ocular specimens using nucleic acid amplification techniques (NAAT).</w:t>
            </w:r>
            <w:r>
              <w:t xml:space="preserve"> </w:t>
            </w:r>
          </w:p>
        </w:tc>
      </w:tr>
    </w:tbl>
    <w:p w14:paraId="16C0C5D3" w14:textId="77777777" w:rsidR="00CA7016" w:rsidRPr="00A0513E" w:rsidRDefault="00CA7016" w:rsidP="00CA7016">
      <w:pPr>
        <w:pStyle w:val="Heading3"/>
      </w:pPr>
      <w:bookmarkStart w:id="206" w:name="_Toc12886565"/>
      <w:bookmarkEnd w:id="205"/>
      <w:r w:rsidRPr="00A0513E">
        <w:t>Rationale</w:t>
      </w:r>
      <w:r>
        <w:t xml:space="preserve"> 7</w:t>
      </w:r>
      <w:bookmarkEnd w:id="206"/>
    </w:p>
    <w:p w14:paraId="7C71F88E" w14:textId="77777777" w:rsidR="00CA7016" w:rsidRPr="00B96BC0" w:rsidRDefault="00CA7016" w:rsidP="00CA7016">
      <w:r>
        <w:t>The recommendation</w:t>
      </w:r>
      <w:r w:rsidRPr="00B96BC0">
        <w:t xml:space="preserve"> focus</w:t>
      </w:r>
      <w:r>
        <w:t>es on modernising the MBS and is</w:t>
      </w:r>
      <w:r w:rsidRPr="00B96BC0">
        <w:t xml:space="preserve"> based on the following observations.</w:t>
      </w:r>
    </w:p>
    <w:p w14:paraId="3B5955AC" w14:textId="77777777" w:rsidR="00CA7016" w:rsidRPr="00A0513E" w:rsidRDefault="00CA7016" w:rsidP="00CA7016">
      <w:pPr>
        <w:pStyle w:val="01squarebullet"/>
      </w:pPr>
      <w:r w:rsidRPr="00600FD8">
        <w:lastRenderedPageBreak/>
        <w:t xml:space="preserve">There is a clinical need to perform NAAT on complex sterile fluids such as </w:t>
      </w:r>
      <w:r w:rsidRPr="00A0513E">
        <w:t>CNS and ocular specimens. The management of viral meningitis and encephalitis differs significantly to that of bacterial meningitis. Rapid detection of viral encephalitis may permit appropriate antiviral therapy, while diagnosis of viral meningitis may limit the use of unnecessary antibiotics.</w:t>
      </w:r>
      <w:r>
        <w:t xml:space="preserve"> </w:t>
      </w:r>
      <w:r w:rsidRPr="00A0513E">
        <w:t>Similar situations apply to ocular infections.</w:t>
      </w:r>
    </w:p>
    <w:p w14:paraId="6D388B83" w14:textId="77777777" w:rsidR="00CA7016" w:rsidRDefault="00CA7016" w:rsidP="00CA7016">
      <w:pPr>
        <w:pStyle w:val="Heading2"/>
      </w:pPr>
      <w:bookmarkStart w:id="207" w:name="_Toc486939190"/>
      <w:bookmarkStart w:id="208" w:name="_Ref487789935"/>
      <w:bookmarkStart w:id="209" w:name="_Toc12886566"/>
      <w:r w:rsidRPr="00A0513E">
        <w:t>Miscellaneous NAAT testing for organisms not specified elsewhere</w:t>
      </w:r>
      <w:bookmarkEnd w:id="207"/>
      <w:bookmarkEnd w:id="208"/>
      <w:bookmarkEnd w:id="209"/>
    </w:p>
    <w:p w14:paraId="2D4D0D3D" w14:textId="77777777" w:rsidR="00CA7016" w:rsidRPr="00B96BC0" w:rsidRDefault="00CA7016" w:rsidP="00CA7016">
      <w:pPr>
        <w:pStyle w:val="Caption"/>
      </w:pPr>
      <w:bookmarkStart w:id="210" w:name="_Toc484598350"/>
      <w:bookmarkStart w:id="211" w:name="_Toc486935611"/>
      <w:bookmarkStart w:id="212" w:name="_Toc12953464"/>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D45EA8">
        <w:rPr>
          <w:noProof/>
        </w:rPr>
        <w:t>14</w:t>
      </w:r>
      <w:r w:rsidR="00BB490A">
        <w:rPr>
          <w:noProof/>
        </w:rPr>
        <w:fldChar w:fldCharType="end"/>
      </w:r>
      <w:r>
        <w:t xml:space="preserve">: </w:t>
      </w:r>
      <w:r w:rsidRPr="00B96BC0">
        <w:t xml:space="preserve">Proposed changes to </w:t>
      </w:r>
      <w:r>
        <w:t>NAAT testing for organisms not elsewhere specified</w:t>
      </w:r>
      <w:bookmarkEnd w:id="210"/>
      <w:bookmarkEnd w:id="211"/>
      <w:bookmarkEnd w:id="212"/>
    </w:p>
    <w:tbl>
      <w:tblPr>
        <w:tblStyle w:val="TableGrid"/>
        <w:tblW w:w="0" w:type="auto"/>
        <w:tblLook w:val="04A0" w:firstRow="1" w:lastRow="0" w:firstColumn="1" w:lastColumn="0" w:noHBand="0" w:noVBand="1"/>
        <w:tblDescription w:val="This table lists Item numbers, Current descriptors, and Proposed changes to descriptors for miscellaneous NAAT testing for organisms not specified elsewhere."/>
      </w:tblPr>
      <w:tblGrid>
        <w:gridCol w:w="988"/>
        <w:gridCol w:w="3969"/>
        <w:gridCol w:w="4059"/>
      </w:tblGrid>
      <w:tr w:rsidR="00CA7016" w:rsidRPr="00B96BC0" w14:paraId="6FFADC63" w14:textId="77777777" w:rsidTr="00F20089">
        <w:trPr>
          <w:tblHeader/>
        </w:trPr>
        <w:tc>
          <w:tcPr>
            <w:tcW w:w="988" w:type="dxa"/>
            <w:shd w:val="clear" w:color="auto" w:fill="EEECE1" w:themeFill="background2"/>
            <w:vAlign w:val="bottom"/>
          </w:tcPr>
          <w:p w14:paraId="00019F53" w14:textId="77777777" w:rsidR="00CA7016" w:rsidRPr="00A0513E" w:rsidRDefault="00CA7016" w:rsidP="003C3F6A">
            <w:pPr>
              <w:pStyle w:val="01Tableheaderrow"/>
            </w:pPr>
            <w:r w:rsidRPr="00A0513E">
              <w:t>Item</w:t>
            </w:r>
          </w:p>
        </w:tc>
        <w:tc>
          <w:tcPr>
            <w:tcW w:w="3969" w:type="dxa"/>
            <w:shd w:val="clear" w:color="auto" w:fill="EEECE1" w:themeFill="background2"/>
            <w:vAlign w:val="bottom"/>
          </w:tcPr>
          <w:p w14:paraId="5949F58A" w14:textId="77777777" w:rsidR="00CA7016" w:rsidRPr="00A0513E" w:rsidRDefault="00CA7016" w:rsidP="003C3F6A">
            <w:pPr>
              <w:pStyle w:val="01Tableheaderrow"/>
            </w:pPr>
            <w:r w:rsidRPr="00A0513E">
              <w:t>Current descriptor</w:t>
            </w:r>
          </w:p>
        </w:tc>
        <w:tc>
          <w:tcPr>
            <w:tcW w:w="4059" w:type="dxa"/>
            <w:shd w:val="clear" w:color="auto" w:fill="EEECE1" w:themeFill="background2"/>
            <w:vAlign w:val="bottom"/>
          </w:tcPr>
          <w:p w14:paraId="055D866E" w14:textId="77777777" w:rsidR="00CA7016" w:rsidRPr="00A0513E" w:rsidRDefault="00CA7016" w:rsidP="003C3F6A">
            <w:pPr>
              <w:pStyle w:val="01Tableheaderrow"/>
            </w:pPr>
            <w:r w:rsidRPr="00A0513E">
              <w:t>Proposed change to descriptor</w:t>
            </w:r>
          </w:p>
        </w:tc>
      </w:tr>
      <w:tr w:rsidR="00CA7016" w:rsidRPr="00B96BC0" w14:paraId="046F5FF9" w14:textId="77777777" w:rsidTr="003C3F6A">
        <w:tc>
          <w:tcPr>
            <w:tcW w:w="988" w:type="dxa"/>
          </w:tcPr>
          <w:p w14:paraId="05E5A52C" w14:textId="77777777" w:rsidR="00CA7016" w:rsidRPr="00A0513E" w:rsidRDefault="00CA7016" w:rsidP="003C3F6A">
            <w:pPr>
              <w:pStyle w:val="02Tabletext"/>
            </w:pPr>
            <w:r w:rsidRPr="00A0513E">
              <w:t xml:space="preserve">69494 </w:t>
            </w:r>
          </w:p>
        </w:tc>
        <w:tc>
          <w:tcPr>
            <w:tcW w:w="3969" w:type="dxa"/>
          </w:tcPr>
          <w:p w14:paraId="55FE4F57" w14:textId="77777777" w:rsidR="00CA7016" w:rsidRPr="00A0513E" w:rsidRDefault="00CA7016" w:rsidP="003C3F6A">
            <w:pPr>
              <w:pStyle w:val="02Tabletext"/>
            </w:pPr>
            <w:r w:rsidRPr="00A0513E">
              <w:t>Detection of a virus or microbial antigen or microbial nucleic acid (not elsewhere specified) 1 test (Item is subject to rule 6 and 26)</w:t>
            </w:r>
          </w:p>
        </w:tc>
        <w:tc>
          <w:tcPr>
            <w:tcW w:w="4059" w:type="dxa"/>
            <w:shd w:val="clear" w:color="auto" w:fill="auto"/>
          </w:tcPr>
          <w:p w14:paraId="1836ABF4" w14:textId="77777777" w:rsidR="00CA7016" w:rsidRPr="00A0513E" w:rsidRDefault="00CA7016" w:rsidP="003C3F6A">
            <w:pPr>
              <w:pStyle w:val="02Tabletext"/>
            </w:pPr>
            <w:r w:rsidRPr="00A0513E">
              <w:t>Detection of a virus or microbial antigen or microbial nucleic acid (not elsewhere specified) 1 or more tests (Item is subject to rule 6 and 26)</w:t>
            </w:r>
          </w:p>
        </w:tc>
      </w:tr>
      <w:tr w:rsidR="00CA7016" w:rsidRPr="00B96BC0" w14:paraId="3C81F6D8" w14:textId="77777777" w:rsidTr="003C3F6A">
        <w:tc>
          <w:tcPr>
            <w:tcW w:w="988" w:type="dxa"/>
          </w:tcPr>
          <w:p w14:paraId="3FC18D01" w14:textId="77777777" w:rsidR="00CA7016" w:rsidRPr="00A0513E" w:rsidRDefault="00CA7016" w:rsidP="003C3F6A">
            <w:pPr>
              <w:pStyle w:val="02Tabletext"/>
            </w:pPr>
            <w:r w:rsidRPr="00A0513E">
              <w:t xml:space="preserve">69495 </w:t>
            </w:r>
          </w:p>
        </w:tc>
        <w:tc>
          <w:tcPr>
            <w:tcW w:w="3969" w:type="dxa"/>
          </w:tcPr>
          <w:p w14:paraId="7F4B2604" w14:textId="77777777" w:rsidR="00CA7016" w:rsidRPr="00A0513E" w:rsidRDefault="00CA7016" w:rsidP="003C3F6A">
            <w:pPr>
              <w:pStyle w:val="02Tabletext"/>
            </w:pPr>
            <w:r w:rsidRPr="00A0513E">
              <w:t xml:space="preserve">2 tests described in 69494 (Item is subject to rule 6 and 26) </w:t>
            </w:r>
          </w:p>
        </w:tc>
        <w:tc>
          <w:tcPr>
            <w:tcW w:w="4059" w:type="dxa"/>
            <w:shd w:val="clear" w:color="auto" w:fill="auto"/>
          </w:tcPr>
          <w:p w14:paraId="00FE72AD" w14:textId="77777777" w:rsidR="00CA7016" w:rsidRPr="00A0513E" w:rsidRDefault="00CA7016" w:rsidP="003C3F6A">
            <w:pPr>
              <w:pStyle w:val="02Tabletext"/>
            </w:pPr>
            <w:r w:rsidRPr="00A0513E">
              <w:t>Delete</w:t>
            </w:r>
          </w:p>
        </w:tc>
      </w:tr>
      <w:tr w:rsidR="00CA7016" w:rsidRPr="00B96BC0" w14:paraId="4140AECB" w14:textId="77777777" w:rsidTr="003C3F6A">
        <w:tc>
          <w:tcPr>
            <w:tcW w:w="988" w:type="dxa"/>
          </w:tcPr>
          <w:p w14:paraId="60E78573" w14:textId="77777777" w:rsidR="00CA7016" w:rsidRPr="00A0513E" w:rsidRDefault="00CA7016" w:rsidP="003C3F6A">
            <w:pPr>
              <w:pStyle w:val="02Tabletext"/>
            </w:pPr>
            <w:r w:rsidRPr="00A0513E">
              <w:t xml:space="preserve">69496 </w:t>
            </w:r>
          </w:p>
        </w:tc>
        <w:tc>
          <w:tcPr>
            <w:tcW w:w="3969" w:type="dxa"/>
          </w:tcPr>
          <w:p w14:paraId="2CF76EEF" w14:textId="77777777" w:rsidR="00CA7016" w:rsidRPr="00A0513E" w:rsidRDefault="00CA7016" w:rsidP="003C3F6A">
            <w:pPr>
              <w:pStyle w:val="02Tabletext"/>
            </w:pPr>
            <w:r w:rsidRPr="00A0513E">
              <w:t xml:space="preserve">3 or more tests described in 69494 (Item is subject to rule 6 and 26) </w:t>
            </w:r>
          </w:p>
        </w:tc>
        <w:tc>
          <w:tcPr>
            <w:tcW w:w="4059" w:type="dxa"/>
            <w:shd w:val="clear" w:color="auto" w:fill="auto"/>
          </w:tcPr>
          <w:p w14:paraId="2B679EB7" w14:textId="77777777" w:rsidR="00CA7016" w:rsidRPr="00A0513E" w:rsidRDefault="00CA7016" w:rsidP="003C3F6A">
            <w:pPr>
              <w:pStyle w:val="02Tabletext"/>
            </w:pPr>
            <w:r w:rsidRPr="00A0513E">
              <w:t>Delete</w:t>
            </w:r>
          </w:p>
        </w:tc>
      </w:tr>
      <w:tr w:rsidR="00CA7016" w:rsidRPr="00B96BC0" w14:paraId="2971BED2" w14:textId="77777777" w:rsidTr="003C3F6A">
        <w:tc>
          <w:tcPr>
            <w:tcW w:w="988" w:type="dxa"/>
          </w:tcPr>
          <w:p w14:paraId="697E7331" w14:textId="77777777" w:rsidR="00CA7016" w:rsidRPr="00A0513E" w:rsidRDefault="00CA7016" w:rsidP="003C3F6A">
            <w:pPr>
              <w:pStyle w:val="02Tabletext"/>
            </w:pPr>
            <w:r w:rsidRPr="00A0513E">
              <w:t xml:space="preserve">69497 </w:t>
            </w:r>
          </w:p>
        </w:tc>
        <w:tc>
          <w:tcPr>
            <w:tcW w:w="3969" w:type="dxa"/>
          </w:tcPr>
          <w:p w14:paraId="331609A6" w14:textId="77777777" w:rsidR="00CA7016" w:rsidRPr="00A0513E" w:rsidRDefault="00CA7016" w:rsidP="003C3F6A">
            <w:pPr>
              <w:pStyle w:val="02Tabletext"/>
            </w:pPr>
            <w:r w:rsidRPr="00A0513E">
              <w:t xml:space="preserve">A test described in item 69494, if rendered by a receiving APP, where no tests in the item have been rendered by the referring APP - 1 test (Item is subject to rule 6, 18 and 26) </w:t>
            </w:r>
          </w:p>
        </w:tc>
        <w:tc>
          <w:tcPr>
            <w:tcW w:w="4059" w:type="dxa"/>
            <w:shd w:val="clear" w:color="auto" w:fill="auto"/>
          </w:tcPr>
          <w:p w14:paraId="6F7CFFE4" w14:textId="77777777" w:rsidR="00CA7016" w:rsidRPr="00A0513E" w:rsidRDefault="00CA7016" w:rsidP="003C3F6A">
            <w:pPr>
              <w:pStyle w:val="02Tabletext"/>
            </w:pPr>
            <w:r w:rsidRPr="00A0513E">
              <w:t>A test described in item 69494, if rendered by a receiving APP, where no tests in the item have been rendered by the referring APP - 1 or more tests (Item is subject to rule 6, 18 and 26)</w:t>
            </w:r>
          </w:p>
        </w:tc>
      </w:tr>
      <w:tr w:rsidR="00CA7016" w:rsidRPr="00B96BC0" w14:paraId="0397F354" w14:textId="77777777" w:rsidTr="003C3F6A">
        <w:tc>
          <w:tcPr>
            <w:tcW w:w="988" w:type="dxa"/>
          </w:tcPr>
          <w:p w14:paraId="0BB254D6" w14:textId="77777777" w:rsidR="00CA7016" w:rsidRPr="00A0513E" w:rsidRDefault="00CA7016" w:rsidP="003C3F6A">
            <w:pPr>
              <w:pStyle w:val="02Tabletext"/>
            </w:pPr>
            <w:r w:rsidRPr="00A0513E">
              <w:t xml:space="preserve">69498 </w:t>
            </w:r>
          </w:p>
        </w:tc>
        <w:tc>
          <w:tcPr>
            <w:tcW w:w="3969" w:type="dxa"/>
          </w:tcPr>
          <w:p w14:paraId="536D4159" w14:textId="77777777" w:rsidR="00CA7016" w:rsidRPr="00A0513E" w:rsidRDefault="00CA7016" w:rsidP="003C3F6A">
            <w:pPr>
              <w:pStyle w:val="02Tabletext"/>
            </w:pPr>
            <w:r w:rsidRPr="00A0513E">
              <w:t xml:space="preserve">A test described in item 69494, other than that described in 69497, if rendered by a receiving APP - each test to a maximum of 2 tests (Item is subject to rule 6, 18 and 26) </w:t>
            </w:r>
          </w:p>
        </w:tc>
        <w:tc>
          <w:tcPr>
            <w:tcW w:w="4059" w:type="dxa"/>
            <w:shd w:val="clear" w:color="auto" w:fill="auto"/>
          </w:tcPr>
          <w:p w14:paraId="2170E899" w14:textId="77777777" w:rsidR="00CA7016" w:rsidRPr="00A0513E" w:rsidRDefault="00CA7016" w:rsidP="003C3F6A">
            <w:pPr>
              <w:pStyle w:val="02Tabletext"/>
            </w:pPr>
            <w:r w:rsidRPr="00A0513E">
              <w:t>Delete</w:t>
            </w:r>
          </w:p>
        </w:tc>
      </w:tr>
    </w:tbl>
    <w:p w14:paraId="775E8466" w14:textId="77777777" w:rsidR="00CA7016" w:rsidRPr="00BC21BF" w:rsidRDefault="00CA7016" w:rsidP="00CA7016">
      <w:pPr>
        <w:rPr>
          <w:lang w:val="en-US" w:eastAsia="en-US"/>
        </w:rPr>
      </w:pPr>
    </w:p>
    <w:p w14:paraId="000A47AD" w14:textId="77777777" w:rsidR="00CA7016" w:rsidRDefault="00CA7016" w:rsidP="00CA7016">
      <w:pPr>
        <w:pStyle w:val="Heading3"/>
      </w:pPr>
      <w:bookmarkStart w:id="213" w:name="_Toc12886567"/>
      <w:r>
        <w:t>Recommendation 8</w:t>
      </w:r>
      <w:bookmarkEnd w:id="213"/>
    </w:p>
    <w:p w14:paraId="256C6CD3" w14:textId="77777777" w:rsidR="00CA7016" w:rsidRPr="00A0513E" w:rsidRDefault="00CA7016" w:rsidP="00CA7016">
      <w:pPr>
        <w:pStyle w:val="NormalBulleted"/>
        <w:numPr>
          <w:ilvl w:val="0"/>
          <w:numId w:val="17"/>
        </w:numPr>
        <w:spacing w:before="120" w:after="60" w:line="240" w:lineRule="auto"/>
        <w:ind w:right="142"/>
        <w:contextualSpacing w:val="0"/>
      </w:pPr>
      <w:r>
        <w:t xml:space="preserve">Amend the current item 69494 to cover the testing for </w:t>
      </w:r>
      <w:r w:rsidRPr="00A0513E">
        <w:t>bacterial, fungal, viral and parasite organisms not elsewhere specified within the restructured schedule for molecular testing.</w:t>
      </w:r>
    </w:p>
    <w:p w14:paraId="4B979E3D" w14:textId="77777777" w:rsidR="00CA7016" w:rsidRPr="00A0513E" w:rsidRDefault="00CA7016" w:rsidP="00CA7016">
      <w:pPr>
        <w:pStyle w:val="NormalBulleted"/>
        <w:numPr>
          <w:ilvl w:val="0"/>
          <w:numId w:val="17"/>
        </w:numPr>
        <w:spacing w:before="120" w:after="60" w:line="240" w:lineRule="auto"/>
        <w:ind w:right="142"/>
        <w:contextualSpacing w:val="0"/>
      </w:pPr>
      <w:r>
        <w:t>Delete items 69495</w:t>
      </w:r>
      <w:r w:rsidRPr="00A0513E">
        <w:t>, 69496 and 69498</w:t>
      </w:r>
      <w:r>
        <w:t>.</w:t>
      </w:r>
    </w:p>
    <w:p w14:paraId="129E6B7F" w14:textId="77777777" w:rsidR="00CA7016" w:rsidRDefault="00CA7016" w:rsidP="00CA7016">
      <w:pPr>
        <w:pStyle w:val="Heading3"/>
      </w:pPr>
      <w:bookmarkStart w:id="214" w:name="_Toc12886568"/>
      <w:r>
        <w:t>Rationale 8</w:t>
      </w:r>
      <w:bookmarkEnd w:id="214"/>
    </w:p>
    <w:p w14:paraId="628E98BD" w14:textId="77777777" w:rsidR="00CA7016" w:rsidRPr="00A0513E" w:rsidRDefault="00CA7016" w:rsidP="00CA7016">
      <w:pPr>
        <w:pStyle w:val="NormalBulleted"/>
        <w:numPr>
          <w:ilvl w:val="0"/>
          <w:numId w:val="17"/>
        </w:numPr>
        <w:spacing w:before="120" w:after="60" w:line="240" w:lineRule="auto"/>
        <w:ind w:right="142"/>
        <w:contextualSpacing w:val="0"/>
      </w:pPr>
      <w:r>
        <w:t xml:space="preserve">The restructure of the </w:t>
      </w:r>
      <w:r w:rsidRPr="00A0513E">
        <w:t xml:space="preserve">current generic molecular items (69494, 69495 and 69496) into system-specific MBS items will accommodate </w:t>
      </w:r>
      <w:r>
        <w:t xml:space="preserve">most </w:t>
      </w:r>
      <w:r w:rsidRPr="00A0513E">
        <w:t xml:space="preserve">clinical tests required in most clinical situations. There are, however, testing requirements where tests fall outside the currently proposed system structure and so a generic item will be required, at least in the interim or until the Schedule is further refined. </w:t>
      </w:r>
    </w:p>
    <w:p w14:paraId="13866DF1" w14:textId="77777777" w:rsidR="00CA7016" w:rsidRPr="00A0513E" w:rsidRDefault="00CA7016" w:rsidP="00CA7016">
      <w:pPr>
        <w:pStyle w:val="NormalBulleted"/>
        <w:numPr>
          <w:ilvl w:val="0"/>
          <w:numId w:val="17"/>
        </w:numPr>
        <w:spacing w:before="120" w:after="60" w:line="240" w:lineRule="auto"/>
        <w:ind w:right="142"/>
        <w:contextualSpacing w:val="0"/>
      </w:pPr>
      <w:r>
        <w:t>The Committee agreed that this should be a restricted item</w:t>
      </w:r>
      <w:r w:rsidRPr="00A0513E">
        <w:t>. It is expected that use would be minimal and only in circumstances whe</w:t>
      </w:r>
      <w:r>
        <w:t>n</w:t>
      </w:r>
      <w:r w:rsidRPr="00A0513E">
        <w:t xml:space="preserve"> the test required is not specified elsewhere in the Schedule. Close monitoring of the use of this item will be required to ensure the appropriate use of the Schedule.</w:t>
      </w:r>
    </w:p>
    <w:p w14:paraId="273483E1" w14:textId="77777777" w:rsidR="00CA7016" w:rsidRDefault="00CA7016" w:rsidP="00CA7016">
      <w:pPr>
        <w:pStyle w:val="NormalBulleted"/>
        <w:numPr>
          <w:ilvl w:val="0"/>
          <w:numId w:val="17"/>
        </w:numPr>
        <w:spacing w:before="120" w:after="60" w:line="240" w:lineRule="auto"/>
        <w:ind w:right="142"/>
        <w:contextualSpacing w:val="0"/>
      </w:pPr>
      <w:r>
        <w:t xml:space="preserve">Such an item could be used for the testing of BK virus in the urine of </w:t>
      </w:r>
      <w:r w:rsidRPr="00A0513E">
        <w:t xml:space="preserve">patients with nephritis </w:t>
      </w:r>
      <w:r>
        <w:t xml:space="preserve">after </w:t>
      </w:r>
      <w:r w:rsidRPr="00A0513E">
        <w:t>renal transplant and in accessing gastrointestinal biopsies for Whipple’s disease (</w:t>
      </w:r>
      <w:proofErr w:type="spellStart"/>
      <w:r w:rsidRPr="00A0513E">
        <w:rPr>
          <w:rStyle w:val="Emphasis"/>
        </w:rPr>
        <w:t>Tropheryma</w:t>
      </w:r>
      <w:proofErr w:type="spellEnd"/>
      <w:r w:rsidRPr="00A0513E">
        <w:rPr>
          <w:rStyle w:val="Emphasis"/>
        </w:rPr>
        <w:t xml:space="preserve"> </w:t>
      </w:r>
      <w:proofErr w:type="spellStart"/>
      <w:r w:rsidRPr="00A0513E">
        <w:rPr>
          <w:rStyle w:val="Emphasis"/>
        </w:rPr>
        <w:t>whipplei</w:t>
      </w:r>
      <w:proofErr w:type="spellEnd"/>
      <w:r>
        <w:rPr>
          <w:rStyle w:val="Emphasis"/>
        </w:rPr>
        <w:t xml:space="preserve"> </w:t>
      </w:r>
      <w:r w:rsidRPr="00CB015E">
        <w:rPr>
          <w:rStyle w:val="Emphasis"/>
          <w:i w:val="0"/>
        </w:rPr>
        <w:t>infection</w:t>
      </w:r>
      <w:r w:rsidRPr="00A0513E">
        <w:t>) and cytomegalovirus (CMV)</w:t>
      </w:r>
      <w:r>
        <w:t xml:space="preserve"> infection</w:t>
      </w:r>
      <w:r w:rsidRPr="00A0513E">
        <w:t>.</w:t>
      </w:r>
    </w:p>
    <w:p w14:paraId="24B41399" w14:textId="77777777" w:rsidR="00CA7016" w:rsidRPr="00A0513E" w:rsidRDefault="00CA7016" w:rsidP="001D0A5A">
      <w:pPr>
        <w:pStyle w:val="NormalBulleted"/>
        <w:numPr>
          <w:ilvl w:val="0"/>
          <w:numId w:val="17"/>
        </w:numPr>
        <w:spacing w:before="120" w:after="60" w:line="240" w:lineRule="auto"/>
        <w:ind w:right="142"/>
        <w:contextualSpacing w:val="0"/>
      </w:pPr>
      <w:r w:rsidRPr="008F1F4E">
        <w:t>This may involve low test numbers with high complexity, which would warrant review of the schedule fee for the item.</w:t>
      </w:r>
    </w:p>
    <w:p w14:paraId="2B60ABA6" w14:textId="77777777" w:rsidR="00CA7016" w:rsidRPr="00A0513E" w:rsidRDefault="00CA7016" w:rsidP="00CA7016">
      <w:pPr>
        <w:pStyle w:val="Heading2"/>
      </w:pPr>
      <w:bookmarkStart w:id="215" w:name="_Toc483989372"/>
      <w:bookmarkStart w:id="216" w:name="_Toc486939191"/>
      <w:bookmarkStart w:id="217" w:name="_Ref487790523"/>
      <w:bookmarkStart w:id="218" w:name="_Ref487790538"/>
      <w:bookmarkStart w:id="219" w:name="_Toc12886569"/>
      <w:r w:rsidRPr="00A0513E">
        <w:lastRenderedPageBreak/>
        <w:t>Hepatitis serology</w:t>
      </w:r>
      <w:bookmarkEnd w:id="215"/>
      <w:bookmarkEnd w:id="216"/>
      <w:bookmarkEnd w:id="217"/>
      <w:bookmarkEnd w:id="218"/>
      <w:bookmarkEnd w:id="219"/>
    </w:p>
    <w:p w14:paraId="36A5DBB1" w14:textId="77777777" w:rsidR="00CA7016" w:rsidRPr="00A0513E" w:rsidRDefault="00CA7016" w:rsidP="00CA7016">
      <w:pPr>
        <w:pStyle w:val="Caption"/>
      </w:pPr>
      <w:bookmarkStart w:id="220" w:name="_Toc484598351"/>
      <w:bookmarkStart w:id="221" w:name="_Toc486935612"/>
      <w:bookmarkStart w:id="222" w:name="_Toc12953465"/>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D45EA8">
        <w:rPr>
          <w:noProof/>
        </w:rPr>
        <w:t>15</w:t>
      </w:r>
      <w:r w:rsidR="00BB490A">
        <w:rPr>
          <w:noProof/>
        </w:rPr>
        <w:fldChar w:fldCharType="end"/>
      </w:r>
      <w:r>
        <w:t xml:space="preserve">: </w:t>
      </w:r>
      <w:r w:rsidRPr="00B96BC0">
        <w:t>Item introduction table for items 69475-69484</w:t>
      </w:r>
      <w:bookmarkEnd w:id="220"/>
      <w:bookmarkEnd w:id="221"/>
      <w:bookmarkEnd w:id="222"/>
    </w:p>
    <w:tbl>
      <w:tblPr>
        <w:tblStyle w:val="TableGrid1"/>
        <w:tblW w:w="0" w:type="auto"/>
        <w:tblLayout w:type="fixed"/>
        <w:tblLook w:val="04A0" w:firstRow="1" w:lastRow="0" w:firstColumn="1" w:lastColumn="0" w:noHBand="0" w:noVBand="1"/>
        <w:tblDescription w:val="This table lists Item numbers, Long item descriptors, Schedule fees, Benefits for FY 2014–15, Services for FY 2014–15, Patient count 2014–15, and 5-year service change (CAGR) for hepatitis serology items."/>
      </w:tblPr>
      <w:tblGrid>
        <w:gridCol w:w="737"/>
        <w:gridCol w:w="2802"/>
        <w:gridCol w:w="1134"/>
        <w:gridCol w:w="1229"/>
        <w:gridCol w:w="1204"/>
        <w:gridCol w:w="966"/>
        <w:gridCol w:w="944"/>
      </w:tblGrid>
      <w:tr w:rsidR="00CA7016" w:rsidRPr="00B96BC0" w14:paraId="70C311D1" w14:textId="77777777" w:rsidTr="001D0A5A">
        <w:trPr>
          <w:trHeight w:val="729"/>
          <w:tblHeader/>
        </w:trPr>
        <w:tc>
          <w:tcPr>
            <w:tcW w:w="737" w:type="dxa"/>
            <w:shd w:val="clear" w:color="auto" w:fill="EEECE1" w:themeFill="background2"/>
            <w:vAlign w:val="bottom"/>
            <w:hideMark/>
          </w:tcPr>
          <w:p w14:paraId="13E9EDB8" w14:textId="77777777" w:rsidR="00CA7016" w:rsidRPr="00A0513E" w:rsidRDefault="00CA7016" w:rsidP="003C3F6A">
            <w:pPr>
              <w:pStyle w:val="01Tableheaderrow"/>
            </w:pPr>
            <w:r w:rsidRPr="00A0513E">
              <w:t>Item</w:t>
            </w:r>
          </w:p>
        </w:tc>
        <w:tc>
          <w:tcPr>
            <w:tcW w:w="2802" w:type="dxa"/>
            <w:shd w:val="clear" w:color="auto" w:fill="EEECE1" w:themeFill="background2"/>
            <w:vAlign w:val="bottom"/>
            <w:hideMark/>
          </w:tcPr>
          <w:p w14:paraId="10516C36" w14:textId="77777777" w:rsidR="00CA7016" w:rsidRPr="00A0513E" w:rsidRDefault="00CA7016" w:rsidP="003C3F6A">
            <w:pPr>
              <w:pStyle w:val="01Tableheaderrow"/>
            </w:pPr>
            <w:r w:rsidRPr="00A0513E">
              <w:t>Long item descriptor</w:t>
            </w:r>
          </w:p>
        </w:tc>
        <w:tc>
          <w:tcPr>
            <w:tcW w:w="1134" w:type="dxa"/>
            <w:shd w:val="clear" w:color="auto" w:fill="EEECE1" w:themeFill="background2"/>
            <w:vAlign w:val="bottom"/>
            <w:hideMark/>
          </w:tcPr>
          <w:p w14:paraId="1EB10838" w14:textId="77777777" w:rsidR="00CA7016" w:rsidRPr="00A67521" w:rsidRDefault="00CA7016" w:rsidP="003C3F6A">
            <w:pPr>
              <w:pStyle w:val="01Tableheaderrow"/>
            </w:pPr>
            <w:r w:rsidRPr="00940AFD">
              <w:t xml:space="preserve">Schedule </w:t>
            </w:r>
            <w:r>
              <w:br/>
            </w:r>
            <w:r w:rsidRPr="00940AFD">
              <w:t>fee</w:t>
            </w:r>
          </w:p>
        </w:tc>
        <w:tc>
          <w:tcPr>
            <w:tcW w:w="1229" w:type="dxa"/>
            <w:shd w:val="clear" w:color="auto" w:fill="EEECE1" w:themeFill="background2"/>
            <w:vAlign w:val="bottom"/>
            <w:hideMark/>
          </w:tcPr>
          <w:p w14:paraId="08951374" w14:textId="77777777" w:rsidR="00CA7016" w:rsidRPr="00A67521" w:rsidRDefault="00CA7016" w:rsidP="003C3F6A">
            <w:pPr>
              <w:pStyle w:val="01Tableheaderrow"/>
            </w:pPr>
            <w:r w:rsidRPr="008862A3">
              <w:t xml:space="preserve">Benefits </w:t>
            </w:r>
            <w:r>
              <w:br/>
            </w:r>
            <w:r w:rsidRPr="008862A3">
              <w:t>FY 2014–15</w:t>
            </w:r>
          </w:p>
        </w:tc>
        <w:tc>
          <w:tcPr>
            <w:tcW w:w="1204" w:type="dxa"/>
            <w:shd w:val="clear" w:color="auto" w:fill="EEECE1" w:themeFill="background2"/>
            <w:vAlign w:val="bottom"/>
          </w:tcPr>
          <w:p w14:paraId="5A180B14" w14:textId="77777777" w:rsidR="00CA7016" w:rsidRPr="00A67521" w:rsidRDefault="00CA7016" w:rsidP="003C3F6A">
            <w:pPr>
              <w:pStyle w:val="01Tableheaderrow"/>
            </w:pPr>
            <w:r w:rsidRPr="008862A3">
              <w:t xml:space="preserve">Services </w:t>
            </w:r>
            <w:r>
              <w:br/>
            </w:r>
            <w:r w:rsidRPr="008862A3">
              <w:t>FY 2014–15</w:t>
            </w:r>
          </w:p>
        </w:tc>
        <w:tc>
          <w:tcPr>
            <w:tcW w:w="966" w:type="dxa"/>
            <w:shd w:val="clear" w:color="auto" w:fill="EEECE1" w:themeFill="background2"/>
            <w:vAlign w:val="bottom"/>
            <w:hideMark/>
          </w:tcPr>
          <w:p w14:paraId="676DD21C" w14:textId="77777777" w:rsidR="00CA7016" w:rsidRPr="00A67521" w:rsidRDefault="00CA7016" w:rsidP="003C3F6A">
            <w:pPr>
              <w:pStyle w:val="01Tableheaderrow"/>
            </w:pPr>
            <w:r w:rsidRPr="008862A3">
              <w:t>Patient count</w:t>
            </w:r>
            <w:r>
              <w:br/>
            </w:r>
            <w:r w:rsidRPr="008862A3">
              <w:t>2014–15</w:t>
            </w:r>
          </w:p>
        </w:tc>
        <w:tc>
          <w:tcPr>
            <w:tcW w:w="944" w:type="dxa"/>
            <w:shd w:val="clear" w:color="auto" w:fill="EEECE1" w:themeFill="background2"/>
            <w:vAlign w:val="bottom"/>
            <w:hideMark/>
          </w:tcPr>
          <w:p w14:paraId="7B225FD3" w14:textId="77777777" w:rsidR="00CA7016" w:rsidRPr="00A67521" w:rsidRDefault="00CA7016" w:rsidP="003C3F6A">
            <w:pPr>
              <w:pStyle w:val="01Tableheaderrow"/>
            </w:pPr>
            <w:r w:rsidRPr="008862A3">
              <w:t xml:space="preserve">5-year </w:t>
            </w:r>
            <w:r>
              <w:t>service change (CAGR)</w:t>
            </w:r>
          </w:p>
        </w:tc>
      </w:tr>
      <w:tr w:rsidR="00CA7016" w:rsidRPr="00B96BC0" w14:paraId="2FF32B80" w14:textId="77777777" w:rsidTr="001D0A5A">
        <w:trPr>
          <w:trHeight w:val="300"/>
        </w:trPr>
        <w:tc>
          <w:tcPr>
            <w:tcW w:w="737" w:type="dxa"/>
            <w:noWrap/>
            <w:hideMark/>
          </w:tcPr>
          <w:p w14:paraId="068F7BFC" w14:textId="77777777" w:rsidR="00CA7016" w:rsidRPr="00A0513E" w:rsidRDefault="00CA7016" w:rsidP="003C3F6A">
            <w:pPr>
              <w:pStyle w:val="02Tabletext"/>
            </w:pPr>
            <w:r w:rsidRPr="00A0513E">
              <w:t>69475</w:t>
            </w:r>
          </w:p>
        </w:tc>
        <w:tc>
          <w:tcPr>
            <w:tcW w:w="2802" w:type="dxa"/>
            <w:noWrap/>
            <w:hideMark/>
          </w:tcPr>
          <w:p w14:paraId="49942C2B" w14:textId="77777777" w:rsidR="00CA7016" w:rsidRPr="00A0513E" w:rsidRDefault="00CA7016" w:rsidP="003C3F6A">
            <w:pPr>
              <w:pStyle w:val="02Tabletext"/>
            </w:pPr>
            <w:r w:rsidRPr="00A0513E">
              <w:t xml:space="preserve">One test for hepatitis antigen or antibodies to determine immune status or viral carriage following exposure or vaccination to hepatitis A, hepatitis B, hepatitis C or hepatitis D </w:t>
            </w:r>
            <w:r w:rsidRPr="00A0513E">
              <w:br/>
              <w:t>(item subject to rule 11)</w:t>
            </w:r>
          </w:p>
        </w:tc>
        <w:tc>
          <w:tcPr>
            <w:tcW w:w="1134" w:type="dxa"/>
            <w:noWrap/>
            <w:hideMark/>
          </w:tcPr>
          <w:p w14:paraId="546F3B3F" w14:textId="77777777" w:rsidR="00CA7016" w:rsidRPr="00A0513E" w:rsidRDefault="00CA7016" w:rsidP="003C3F6A">
            <w:pPr>
              <w:pStyle w:val="02Tabletext"/>
              <w:jc w:val="right"/>
            </w:pPr>
            <w:r w:rsidRPr="00A0513E">
              <w:t xml:space="preserve">$15.65 </w:t>
            </w:r>
          </w:p>
        </w:tc>
        <w:tc>
          <w:tcPr>
            <w:tcW w:w="1229" w:type="dxa"/>
            <w:noWrap/>
            <w:hideMark/>
          </w:tcPr>
          <w:p w14:paraId="4A40C09E" w14:textId="77777777" w:rsidR="00CA7016" w:rsidRPr="00A0513E" w:rsidRDefault="00CA7016" w:rsidP="003C3F6A">
            <w:pPr>
              <w:pStyle w:val="02Tabletext"/>
              <w:jc w:val="right"/>
            </w:pPr>
            <w:r w:rsidRPr="00A0513E">
              <w:t>$1,822,622</w:t>
            </w:r>
          </w:p>
        </w:tc>
        <w:tc>
          <w:tcPr>
            <w:tcW w:w="1204" w:type="dxa"/>
            <w:noWrap/>
            <w:hideMark/>
          </w:tcPr>
          <w:p w14:paraId="312A5A58" w14:textId="77777777" w:rsidR="00CA7016" w:rsidRPr="00A0513E" w:rsidRDefault="00CA7016" w:rsidP="003C3F6A">
            <w:pPr>
              <w:pStyle w:val="02Tabletext"/>
              <w:jc w:val="right"/>
            </w:pPr>
            <w:r w:rsidRPr="00A0513E">
              <w:t>136</w:t>
            </w:r>
            <w:r>
              <w:t xml:space="preserve"> </w:t>
            </w:r>
            <w:r w:rsidRPr="00A0513E">
              <w:t>688</w:t>
            </w:r>
          </w:p>
        </w:tc>
        <w:tc>
          <w:tcPr>
            <w:tcW w:w="966" w:type="dxa"/>
            <w:noWrap/>
            <w:hideMark/>
          </w:tcPr>
          <w:p w14:paraId="40D8BFDB" w14:textId="77777777" w:rsidR="00CA7016" w:rsidRPr="00A0513E" w:rsidRDefault="00CA7016" w:rsidP="003C3F6A">
            <w:pPr>
              <w:pStyle w:val="02Tabletext"/>
              <w:jc w:val="right"/>
            </w:pPr>
            <w:r w:rsidRPr="00A0513E">
              <w:t>128</w:t>
            </w:r>
            <w:r>
              <w:t xml:space="preserve"> </w:t>
            </w:r>
            <w:r w:rsidRPr="00A0513E">
              <w:t>406</w:t>
            </w:r>
          </w:p>
        </w:tc>
        <w:tc>
          <w:tcPr>
            <w:tcW w:w="944" w:type="dxa"/>
            <w:noWrap/>
            <w:hideMark/>
          </w:tcPr>
          <w:p w14:paraId="5644FEE3" w14:textId="77777777" w:rsidR="00CA7016" w:rsidRPr="00A0513E" w:rsidRDefault="00CA7016" w:rsidP="003C3F6A">
            <w:pPr>
              <w:pStyle w:val="02Tabletext"/>
              <w:jc w:val="right"/>
            </w:pPr>
            <w:r w:rsidRPr="00A0513E">
              <w:t>4.8%</w:t>
            </w:r>
          </w:p>
        </w:tc>
      </w:tr>
      <w:tr w:rsidR="00CA7016" w:rsidRPr="00B96BC0" w14:paraId="708D75F0" w14:textId="77777777" w:rsidTr="001D0A5A">
        <w:trPr>
          <w:trHeight w:val="300"/>
        </w:trPr>
        <w:tc>
          <w:tcPr>
            <w:tcW w:w="737" w:type="dxa"/>
            <w:noWrap/>
            <w:hideMark/>
          </w:tcPr>
          <w:p w14:paraId="1ED88998" w14:textId="77777777" w:rsidR="00CA7016" w:rsidRPr="00A0513E" w:rsidRDefault="00CA7016" w:rsidP="003C3F6A">
            <w:pPr>
              <w:pStyle w:val="02Tabletext"/>
            </w:pPr>
            <w:r w:rsidRPr="00A0513E">
              <w:t>69478</w:t>
            </w:r>
          </w:p>
        </w:tc>
        <w:tc>
          <w:tcPr>
            <w:tcW w:w="2802" w:type="dxa"/>
            <w:noWrap/>
            <w:hideMark/>
          </w:tcPr>
          <w:p w14:paraId="7423599E" w14:textId="77777777" w:rsidR="00CA7016" w:rsidRPr="00A0513E" w:rsidRDefault="00CA7016" w:rsidP="003C3F6A">
            <w:pPr>
              <w:pStyle w:val="02Tabletext"/>
            </w:pPr>
            <w:r w:rsidRPr="00A0513E">
              <w:t>2 tests described in 69475</w:t>
            </w:r>
            <w:r w:rsidRPr="00A0513E">
              <w:br/>
              <w:t>(item subject to rule 11)</w:t>
            </w:r>
          </w:p>
        </w:tc>
        <w:tc>
          <w:tcPr>
            <w:tcW w:w="1134" w:type="dxa"/>
            <w:noWrap/>
            <w:hideMark/>
          </w:tcPr>
          <w:p w14:paraId="0B31F498" w14:textId="77777777" w:rsidR="00CA7016" w:rsidRPr="00A0513E" w:rsidRDefault="00CA7016" w:rsidP="003C3F6A">
            <w:pPr>
              <w:pStyle w:val="02Tabletext"/>
              <w:jc w:val="right"/>
            </w:pPr>
            <w:r w:rsidRPr="00A0513E">
              <w:t xml:space="preserve">$29.25 </w:t>
            </w:r>
          </w:p>
        </w:tc>
        <w:tc>
          <w:tcPr>
            <w:tcW w:w="1229" w:type="dxa"/>
            <w:noWrap/>
            <w:hideMark/>
          </w:tcPr>
          <w:p w14:paraId="168117CE" w14:textId="77777777" w:rsidR="00CA7016" w:rsidRPr="00A0513E" w:rsidRDefault="00CA7016" w:rsidP="003C3F6A">
            <w:pPr>
              <w:pStyle w:val="02Tabletext"/>
              <w:jc w:val="right"/>
            </w:pPr>
            <w:r w:rsidRPr="00A0513E">
              <w:t>$14,841,389</w:t>
            </w:r>
          </w:p>
        </w:tc>
        <w:tc>
          <w:tcPr>
            <w:tcW w:w="1204" w:type="dxa"/>
            <w:noWrap/>
            <w:hideMark/>
          </w:tcPr>
          <w:p w14:paraId="717AF03B" w14:textId="77777777" w:rsidR="00CA7016" w:rsidRPr="00A0513E" w:rsidRDefault="00CA7016" w:rsidP="003C3F6A">
            <w:pPr>
              <w:pStyle w:val="02Tabletext"/>
              <w:jc w:val="right"/>
            </w:pPr>
            <w:r w:rsidRPr="00A0513E">
              <w:t>595</w:t>
            </w:r>
            <w:r>
              <w:t xml:space="preserve"> </w:t>
            </w:r>
            <w:r w:rsidRPr="00A0513E">
              <w:t>057</w:t>
            </w:r>
          </w:p>
        </w:tc>
        <w:tc>
          <w:tcPr>
            <w:tcW w:w="966" w:type="dxa"/>
            <w:noWrap/>
            <w:hideMark/>
          </w:tcPr>
          <w:p w14:paraId="145F02B2" w14:textId="77777777" w:rsidR="00CA7016" w:rsidRPr="00A0513E" w:rsidRDefault="00CA7016" w:rsidP="003C3F6A">
            <w:pPr>
              <w:pStyle w:val="02Tabletext"/>
              <w:jc w:val="right"/>
            </w:pPr>
            <w:r w:rsidRPr="00A0513E">
              <w:t>555</w:t>
            </w:r>
            <w:r>
              <w:t xml:space="preserve"> </w:t>
            </w:r>
            <w:r w:rsidRPr="00A0513E">
              <w:t>945</w:t>
            </w:r>
          </w:p>
        </w:tc>
        <w:tc>
          <w:tcPr>
            <w:tcW w:w="944" w:type="dxa"/>
            <w:noWrap/>
            <w:hideMark/>
          </w:tcPr>
          <w:p w14:paraId="1BF71280" w14:textId="77777777" w:rsidR="00CA7016" w:rsidRPr="00A0513E" w:rsidRDefault="00CA7016" w:rsidP="003C3F6A">
            <w:pPr>
              <w:pStyle w:val="02Tabletext"/>
              <w:jc w:val="right"/>
            </w:pPr>
            <w:r w:rsidRPr="00A0513E">
              <w:t>1.6%</w:t>
            </w:r>
          </w:p>
        </w:tc>
      </w:tr>
      <w:tr w:rsidR="00CA7016" w:rsidRPr="00B96BC0" w14:paraId="4C57A33A" w14:textId="77777777" w:rsidTr="001D0A5A">
        <w:trPr>
          <w:trHeight w:val="300"/>
        </w:trPr>
        <w:tc>
          <w:tcPr>
            <w:tcW w:w="737" w:type="dxa"/>
            <w:noWrap/>
            <w:hideMark/>
          </w:tcPr>
          <w:p w14:paraId="7DF2764A" w14:textId="77777777" w:rsidR="00CA7016" w:rsidRPr="00A0513E" w:rsidRDefault="00CA7016" w:rsidP="003C3F6A">
            <w:pPr>
              <w:pStyle w:val="02Tabletext"/>
            </w:pPr>
            <w:r w:rsidRPr="00A0513E">
              <w:t>69481</w:t>
            </w:r>
          </w:p>
        </w:tc>
        <w:tc>
          <w:tcPr>
            <w:tcW w:w="2802" w:type="dxa"/>
            <w:noWrap/>
            <w:hideMark/>
          </w:tcPr>
          <w:p w14:paraId="59B0E9B2" w14:textId="77777777" w:rsidR="00CA7016" w:rsidRPr="00A0513E" w:rsidRDefault="00CA7016" w:rsidP="003C3F6A">
            <w:pPr>
              <w:pStyle w:val="02Tabletext"/>
            </w:pPr>
            <w:r w:rsidRPr="00A0513E">
              <w:t>Investigation of infectious causes of acute or chronic hepatitis-3 tests for hepatitis antibodies or antigens, (item subject to rule 11)</w:t>
            </w:r>
          </w:p>
        </w:tc>
        <w:tc>
          <w:tcPr>
            <w:tcW w:w="1134" w:type="dxa"/>
            <w:noWrap/>
            <w:hideMark/>
          </w:tcPr>
          <w:p w14:paraId="73023265" w14:textId="77777777" w:rsidR="00CA7016" w:rsidRPr="00A0513E" w:rsidRDefault="00CA7016" w:rsidP="003C3F6A">
            <w:pPr>
              <w:pStyle w:val="02Tabletext"/>
              <w:jc w:val="right"/>
            </w:pPr>
            <w:r w:rsidRPr="00A0513E">
              <w:t xml:space="preserve">$40.55 </w:t>
            </w:r>
          </w:p>
        </w:tc>
        <w:tc>
          <w:tcPr>
            <w:tcW w:w="1229" w:type="dxa"/>
            <w:noWrap/>
            <w:hideMark/>
          </w:tcPr>
          <w:p w14:paraId="365439A3" w14:textId="77777777" w:rsidR="00CA7016" w:rsidRPr="00A0513E" w:rsidRDefault="00CA7016" w:rsidP="003C3F6A">
            <w:pPr>
              <w:pStyle w:val="02Tabletext"/>
              <w:jc w:val="right"/>
            </w:pPr>
            <w:r w:rsidRPr="00A0513E">
              <w:t>$18,786,763</w:t>
            </w:r>
          </w:p>
        </w:tc>
        <w:tc>
          <w:tcPr>
            <w:tcW w:w="1204" w:type="dxa"/>
            <w:noWrap/>
            <w:hideMark/>
          </w:tcPr>
          <w:p w14:paraId="58340040" w14:textId="77777777" w:rsidR="00CA7016" w:rsidRPr="00A0513E" w:rsidRDefault="00CA7016" w:rsidP="003C3F6A">
            <w:pPr>
              <w:pStyle w:val="02Tabletext"/>
              <w:jc w:val="right"/>
            </w:pPr>
            <w:r w:rsidRPr="00A0513E">
              <w:t>542</w:t>
            </w:r>
            <w:r>
              <w:t xml:space="preserve"> </w:t>
            </w:r>
            <w:r w:rsidRPr="00A0513E">
              <w:t>019</w:t>
            </w:r>
          </w:p>
        </w:tc>
        <w:tc>
          <w:tcPr>
            <w:tcW w:w="966" w:type="dxa"/>
            <w:noWrap/>
            <w:hideMark/>
          </w:tcPr>
          <w:p w14:paraId="5DFA6F84" w14:textId="77777777" w:rsidR="00CA7016" w:rsidRPr="00A0513E" w:rsidRDefault="00CA7016" w:rsidP="003C3F6A">
            <w:pPr>
              <w:pStyle w:val="02Tabletext"/>
              <w:jc w:val="right"/>
            </w:pPr>
            <w:r w:rsidRPr="00A0513E">
              <w:t>503</w:t>
            </w:r>
            <w:r>
              <w:t xml:space="preserve"> </w:t>
            </w:r>
            <w:r w:rsidRPr="00A0513E">
              <w:t>639</w:t>
            </w:r>
          </w:p>
        </w:tc>
        <w:tc>
          <w:tcPr>
            <w:tcW w:w="944" w:type="dxa"/>
            <w:noWrap/>
            <w:hideMark/>
          </w:tcPr>
          <w:p w14:paraId="6B94F3BE" w14:textId="77777777" w:rsidR="00CA7016" w:rsidRPr="00A0513E" w:rsidRDefault="00CA7016" w:rsidP="003C3F6A">
            <w:pPr>
              <w:pStyle w:val="02Tabletext"/>
              <w:jc w:val="right"/>
            </w:pPr>
            <w:r w:rsidRPr="00A0513E">
              <w:t>14.7%</w:t>
            </w:r>
          </w:p>
        </w:tc>
      </w:tr>
      <w:tr w:rsidR="00CA7016" w:rsidRPr="00B96BC0" w14:paraId="01263538" w14:textId="77777777" w:rsidTr="001D0A5A">
        <w:trPr>
          <w:trHeight w:val="300"/>
        </w:trPr>
        <w:tc>
          <w:tcPr>
            <w:tcW w:w="737" w:type="dxa"/>
            <w:noWrap/>
            <w:hideMark/>
          </w:tcPr>
          <w:p w14:paraId="591DD4CA" w14:textId="77777777" w:rsidR="00CA7016" w:rsidRPr="00A0513E" w:rsidRDefault="00CA7016" w:rsidP="003C3F6A">
            <w:pPr>
              <w:pStyle w:val="02Tabletext"/>
            </w:pPr>
            <w:r w:rsidRPr="00A0513E">
              <w:t>69484</w:t>
            </w:r>
          </w:p>
        </w:tc>
        <w:tc>
          <w:tcPr>
            <w:tcW w:w="2802" w:type="dxa"/>
            <w:noWrap/>
            <w:hideMark/>
          </w:tcPr>
          <w:p w14:paraId="687938B9" w14:textId="77777777" w:rsidR="00CA7016" w:rsidRPr="00A0513E" w:rsidRDefault="00CA7016" w:rsidP="003C3F6A">
            <w:pPr>
              <w:pStyle w:val="02Tabletext"/>
            </w:pPr>
            <w:r w:rsidRPr="00A0513E">
              <w:t>Supplementary testing for hepatitis B surface antigen or hepatitis C antibody using a different assay on the specimen which yielded a reactive result on initial testing (Item is subject to rule 18)</w:t>
            </w:r>
          </w:p>
        </w:tc>
        <w:tc>
          <w:tcPr>
            <w:tcW w:w="1134" w:type="dxa"/>
            <w:noWrap/>
            <w:hideMark/>
          </w:tcPr>
          <w:p w14:paraId="0D820E44" w14:textId="77777777" w:rsidR="00CA7016" w:rsidRPr="00A0513E" w:rsidRDefault="00CA7016" w:rsidP="003C3F6A">
            <w:pPr>
              <w:pStyle w:val="02Tabletext"/>
              <w:jc w:val="right"/>
            </w:pPr>
            <w:r w:rsidRPr="00A0513E">
              <w:t xml:space="preserve">$17.10 </w:t>
            </w:r>
          </w:p>
        </w:tc>
        <w:tc>
          <w:tcPr>
            <w:tcW w:w="1229" w:type="dxa"/>
            <w:noWrap/>
            <w:hideMark/>
          </w:tcPr>
          <w:p w14:paraId="516A003F" w14:textId="77777777" w:rsidR="00CA7016" w:rsidRPr="00A0513E" w:rsidRDefault="00CA7016" w:rsidP="003C3F6A">
            <w:pPr>
              <w:pStyle w:val="02Tabletext"/>
              <w:jc w:val="right"/>
            </w:pPr>
            <w:r w:rsidRPr="00A0513E">
              <w:t>$689,376</w:t>
            </w:r>
          </w:p>
        </w:tc>
        <w:tc>
          <w:tcPr>
            <w:tcW w:w="1204" w:type="dxa"/>
            <w:noWrap/>
            <w:hideMark/>
          </w:tcPr>
          <w:p w14:paraId="6A985DE8" w14:textId="77777777" w:rsidR="00CA7016" w:rsidRPr="00A0513E" w:rsidRDefault="00CA7016" w:rsidP="003C3F6A">
            <w:pPr>
              <w:pStyle w:val="02Tabletext"/>
              <w:jc w:val="right"/>
            </w:pPr>
            <w:r w:rsidRPr="00A0513E">
              <w:t>47</w:t>
            </w:r>
            <w:r>
              <w:t xml:space="preserve"> </w:t>
            </w:r>
            <w:r w:rsidRPr="00A0513E">
              <w:t>439</w:t>
            </w:r>
          </w:p>
        </w:tc>
        <w:tc>
          <w:tcPr>
            <w:tcW w:w="966" w:type="dxa"/>
            <w:noWrap/>
            <w:hideMark/>
          </w:tcPr>
          <w:p w14:paraId="72577222" w14:textId="77777777" w:rsidR="00CA7016" w:rsidRPr="00A0513E" w:rsidRDefault="00CA7016" w:rsidP="003C3F6A">
            <w:pPr>
              <w:pStyle w:val="02Tabletext"/>
              <w:jc w:val="right"/>
            </w:pPr>
            <w:r w:rsidRPr="00A0513E">
              <w:t>40</w:t>
            </w:r>
            <w:r>
              <w:t xml:space="preserve"> </w:t>
            </w:r>
            <w:r w:rsidRPr="00A0513E">
              <w:t>705</w:t>
            </w:r>
          </w:p>
        </w:tc>
        <w:tc>
          <w:tcPr>
            <w:tcW w:w="944" w:type="dxa"/>
            <w:noWrap/>
            <w:hideMark/>
          </w:tcPr>
          <w:p w14:paraId="1FC26EED" w14:textId="77777777" w:rsidR="00CA7016" w:rsidRPr="00A0513E" w:rsidRDefault="00CA7016" w:rsidP="003C3F6A">
            <w:pPr>
              <w:pStyle w:val="02Tabletext"/>
              <w:jc w:val="right"/>
            </w:pPr>
            <w:r w:rsidRPr="00A0513E">
              <w:t>3.7%</w:t>
            </w:r>
          </w:p>
        </w:tc>
      </w:tr>
    </w:tbl>
    <w:p w14:paraId="31D464E2" w14:textId="77777777" w:rsidR="00CA7016" w:rsidRPr="00A0513E" w:rsidRDefault="00CA7016" w:rsidP="00CA7016">
      <w:pPr>
        <w:pStyle w:val="Heading3"/>
      </w:pPr>
      <w:bookmarkStart w:id="223" w:name="_Toc12886570"/>
      <w:r w:rsidRPr="00A0513E">
        <w:t>Recommendation</w:t>
      </w:r>
      <w:r>
        <w:t xml:space="preserve"> 9a —</w:t>
      </w:r>
      <w:r w:rsidRPr="00A0513E">
        <w:t>Ideal model</w:t>
      </w:r>
      <w:bookmarkEnd w:id="223"/>
    </w:p>
    <w:p w14:paraId="3C2F0D24" w14:textId="77777777" w:rsidR="00CA7016" w:rsidRPr="00A0513E" w:rsidRDefault="00CA7016" w:rsidP="00CA7016">
      <w:pPr>
        <w:pStyle w:val="NormalBulleted"/>
        <w:numPr>
          <w:ilvl w:val="0"/>
          <w:numId w:val="17"/>
        </w:numPr>
        <w:spacing w:before="120" w:after="60" w:line="240" w:lineRule="auto"/>
        <w:ind w:right="142"/>
        <w:contextualSpacing w:val="0"/>
      </w:pPr>
      <w:r w:rsidRPr="00A0513E">
        <w:t>Propose a new model of MBS items for hepatitis serology (</w:t>
      </w:r>
      <w:r>
        <w:fldChar w:fldCharType="begin"/>
      </w:r>
      <w:r>
        <w:instrText xml:space="preserve"> REF _Ref487621916 \h </w:instrText>
      </w:r>
      <w:r>
        <w:fldChar w:fldCharType="separate"/>
      </w:r>
      <w:r w:rsidR="007A1648">
        <w:t xml:space="preserve">Table </w:t>
      </w:r>
      <w:r w:rsidR="007A1648">
        <w:rPr>
          <w:noProof/>
        </w:rPr>
        <w:t>15</w:t>
      </w:r>
      <w:r>
        <w:fldChar w:fldCharType="end"/>
      </w:r>
      <w:r w:rsidRPr="00A0513E">
        <w:t xml:space="preserve">), noting that this new model will require the development of decision support software, education of requesters and enhanced pathology laboratory information management systems to support implementation. </w:t>
      </w:r>
    </w:p>
    <w:p w14:paraId="7417F7A7" w14:textId="77777777" w:rsidR="00CA7016" w:rsidRPr="00A0513E" w:rsidRDefault="00CA7016" w:rsidP="00CA7016">
      <w:pPr>
        <w:pStyle w:val="Caption"/>
      </w:pPr>
      <w:bookmarkStart w:id="224" w:name="_Ref487621916"/>
      <w:bookmarkStart w:id="225" w:name="_Toc484598352"/>
      <w:bookmarkStart w:id="226" w:name="_Toc486935613"/>
      <w:bookmarkStart w:id="227" w:name="_Ref487621831"/>
      <w:bookmarkStart w:id="228" w:name="_Toc12953466"/>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D45EA8">
        <w:rPr>
          <w:noProof/>
        </w:rPr>
        <w:t>16</w:t>
      </w:r>
      <w:r w:rsidR="00BB490A">
        <w:rPr>
          <w:noProof/>
        </w:rPr>
        <w:fldChar w:fldCharType="end"/>
      </w:r>
      <w:bookmarkEnd w:id="224"/>
      <w:r>
        <w:t xml:space="preserve">: </w:t>
      </w:r>
      <w:r w:rsidRPr="00A0513E">
        <w:t>Ideal model</w:t>
      </w:r>
      <w:r>
        <w:t>—</w:t>
      </w:r>
      <w:r w:rsidRPr="00A0513E">
        <w:t>restructure of the hepatitis serology items</w:t>
      </w:r>
      <w:bookmarkEnd w:id="225"/>
      <w:bookmarkEnd w:id="226"/>
      <w:bookmarkEnd w:id="227"/>
      <w:bookmarkEnd w:id="228"/>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lists Proosed item numbers, Descriptions, and Proposed descriptors for an ideal model for hepatitis serology items."/>
      </w:tblPr>
      <w:tblGrid>
        <w:gridCol w:w="1129"/>
        <w:gridCol w:w="3828"/>
        <w:gridCol w:w="4059"/>
      </w:tblGrid>
      <w:tr w:rsidR="00CA7016" w:rsidRPr="00DD48A0" w14:paraId="2EAC28A9" w14:textId="77777777" w:rsidTr="003C3F6A">
        <w:trPr>
          <w:tblHeader/>
        </w:trPr>
        <w:tc>
          <w:tcPr>
            <w:tcW w:w="1129" w:type="dxa"/>
            <w:tcBorders>
              <w:bottom w:val="nil"/>
            </w:tcBorders>
            <w:shd w:val="clear" w:color="auto" w:fill="EEECE1" w:themeFill="background2"/>
            <w:vAlign w:val="bottom"/>
          </w:tcPr>
          <w:p w14:paraId="5684B475" w14:textId="77777777" w:rsidR="00CA7016" w:rsidRPr="00A0513E" w:rsidRDefault="00CA7016" w:rsidP="003C3F6A">
            <w:pPr>
              <w:pStyle w:val="01Tableheaderrow"/>
            </w:pPr>
            <w:r w:rsidRPr="00A0513E">
              <w:t>Proposed Item</w:t>
            </w:r>
          </w:p>
        </w:tc>
        <w:tc>
          <w:tcPr>
            <w:tcW w:w="3828" w:type="dxa"/>
            <w:tcBorders>
              <w:bottom w:val="nil"/>
            </w:tcBorders>
            <w:shd w:val="clear" w:color="auto" w:fill="EEECE1" w:themeFill="background2"/>
            <w:vAlign w:val="bottom"/>
          </w:tcPr>
          <w:p w14:paraId="3C0BD0D5" w14:textId="77777777" w:rsidR="00CA7016" w:rsidRPr="00A0513E" w:rsidRDefault="00CA7016" w:rsidP="003C3F6A">
            <w:pPr>
              <w:pStyle w:val="01Tableheaderrow"/>
            </w:pPr>
            <w:r w:rsidRPr="00A0513E">
              <w:t>Description</w:t>
            </w:r>
          </w:p>
        </w:tc>
        <w:tc>
          <w:tcPr>
            <w:tcW w:w="4059" w:type="dxa"/>
            <w:tcBorders>
              <w:bottom w:val="nil"/>
            </w:tcBorders>
            <w:shd w:val="clear" w:color="auto" w:fill="EEECE1" w:themeFill="background2"/>
            <w:vAlign w:val="bottom"/>
          </w:tcPr>
          <w:p w14:paraId="2C575D89" w14:textId="77777777" w:rsidR="00CA7016" w:rsidRPr="00A0513E" w:rsidRDefault="00CA7016" w:rsidP="003C3F6A">
            <w:pPr>
              <w:pStyle w:val="01Tableheaderrow"/>
            </w:pPr>
            <w:r w:rsidRPr="00A0513E">
              <w:t xml:space="preserve">Proposed </w:t>
            </w:r>
            <w:r>
              <w:t>d</w:t>
            </w:r>
            <w:r w:rsidRPr="00A0513E">
              <w:t>escriptor</w:t>
            </w:r>
          </w:p>
        </w:tc>
      </w:tr>
      <w:tr w:rsidR="00CA7016" w:rsidRPr="00DD48A0" w14:paraId="1531FC77" w14:textId="77777777" w:rsidTr="003C3F6A">
        <w:trPr>
          <w:trHeight w:val="608"/>
        </w:trPr>
        <w:tc>
          <w:tcPr>
            <w:tcW w:w="1129" w:type="dxa"/>
            <w:tcBorders>
              <w:bottom w:val="single" w:sz="4" w:space="0" w:color="auto"/>
            </w:tcBorders>
          </w:tcPr>
          <w:p w14:paraId="1DA0B7B5" w14:textId="77777777" w:rsidR="00CA7016" w:rsidRPr="00A0513E" w:rsidRDefault="00CA7016" w:rsidP="003C3F6A">
            <w:pPr>
              <w:pStyle w:val="02Tabletext"/>
            </w:pPr>
            <w:r>
              <w:t>6947A</w:t>
            </w:r>
          </w:p>
        </w:tc>
        <w:tc>
          <w:tcPr>
            <w:tcW w:w="3828" w:type="dxa"/>
            <w:tcBorders>
              <w:bottom w:val="single" w:sz="4" w:space="0" w:color="auto"/>
            </w:tcBorders>
          </w:tcPr>
          <w:p w14:paraId="39B46C34" w14:textId="77777777" w:rsidR="00CA7016" w:rsidRPr="00A0513E" w:rsidRDefault="00CA7016" w:rsidP="003C3F6A">
            <w:pPr>
              <w:pStyle w:val="02Tabletext"/>
            </w:pPr>
            <w:r w:rsidRPr="00A0513E">
              <w:t>Check viral hepatitis status (no clinical symptoms). Includes any or all of</w:t>
            </w:r>
            <w:r>
              <w:t xml:space="preserve"> HBV </w:t>
            </w:r>
            <w:proofErr w:type="spellStart"/>
            <w:proofErr w:type="gramStart"/>
            <w:r>
              <w:t>status,</w:t>
            </w:r>
            <w:r w:rsidRPr="00597B5B">
              <w:rPr>
                <w:vertAlign w:val="superscript"/>
              </w:rPr>
              <w:t>a</w:t>
            </w:r>
            <w:proofErr w:type="spellEnd"/>
            <w:proofErr w:type="gramEnd"/>
            <w:r w:rsidRPr="00A0513E">
              <w:t xml:space="preserve"> HAV-IgG, and anti-HCV.</w:t>
            </w:r>
          </w:p>
        </w:tc>
        <w:tc>
          <w:tcPr>
            <w:tcW w:w="4059" w:type="dxa"/>
            <w:tcBorders>
              <w:bottom w:val="single" w:sz="4" w:space="0" w:color="auto"/>
            </w:tcBorders>
          </w:tcPr>
          <w:p w14:paraId="59A7CB60" w14:textId="77777777" w:rsidR="00CA7016" w:rsidRPr="00A0513E" w:rsidRDefault="00CA7016" w:rsidP="003C3F6A">
            <w:pPr>
              <w:pStyle w:val="02Tabletext"/>
            </w:pPr>
            <w:r w:rsidRPr="00A0513E">
              <w:t>Test(s) to determine viral hepatitis status. Includes any or all of HAV-IgG, HBs</w:t>
            </w:r>
            <w:r>
              <w:t>Ag</w:t>
            </w:r>
            <w:r w:rsidRPr="00A0513E">
              <w:t xml:space="preserve">, </w:t>
            </w:r>
            <w:proofErr w:type="spellStart"/>
            <w:r w:rsidRPr="00A0513E">
              <w:t>HBsAb</w:t>
            </w:r>
            <w:proofErr w:type="spellEnd"/>
            <w:r w:rsidRPr="00A0513E">
              <w:t xml:space="preserve">, </w:t>
            </w:r>
            <w:proofErr w:type="spellStart"/>
            <w:r w:rsidRPr="00A0513E">
              <w:t>HBcAb</w:t>
            </w:r>
            <w:proofErr w:type="spellEnd"/>
            <w:r w:rsidRPr="00A0513E">
              <w:t xml:space="preserve">, and </w:t>
            </w:r>
            <w:proofErr w:type="spellStart"/>
            <w:r w:rsidRPr="00A0513E">
              <w:t>HCVAb</w:t>
            </w:r>
            <w:proofErr w:type="spellEnd"/>
            <w:r w:rsidRPr="00A0513E">
              <w:t>.</w:t>
            </w:r>
          </w:p>
        </w:tc>
      </w:tr>
      <w:tr w:rsidR="00CA7016" w:rsidRPr="00DD48A0" w14:paraId="0B1A778B" w14:textId="77777777" w:rsidTr="003C3F6A">
        <w:tc>
          <w:tcPr>
            <w:tcW w:w="1129" w:type="dxa"/>
            <w:tcBorders>
              <w:bottom w:val="single" w:sz="4" w:space="0" w:color="auto"/>
            </w:tcBorders>
          </w:tcPr>
          <w:p w14:paraId="39AF2BDC" w14:textId="77777777" w:rsidR="00CA7016" w:rsidRPr="00A0513E" w:rsidRDefault="00CA7016" w:rsidP="003C3F6A">
            <w:pPr>
              <w:pStyle w:val="02Tabletext"/>
            </w:pPr>
            <w:r>
              <w:t>6947B</w:t>
            </w:r>
          </w:p>
        </w:tc>
        <w:tc>
          <w:tcPr>
            <w:tcW w:w="3828" w:type="dxa"/>
            <w:tcBorders>
              <w:bottom w:val="single" w:sz="4" w:space="0" w:color="auto"/>
            </w:tcBorders>
          </w:tcPr>
          <w:p w14:paraId="10326D78" w14:textId="77777777" w:rsidR="00CA7016" w:rsidRDefault="00CA7016" w:rsidP="003C3F6A">
            <w:pPr>
              <w:pStyle w:val="02Tabletext"/>
            </w:pPr>
            <w:r w:rsidRPr="00A0513E">
              <w:t>Investigation of acute hepatitis A, B and C.</w:t>
            </w:r>
          </w:p>
          <w:p w14:paraId="799E4033" w14:textId="77777777" w:rsidR="00CA7016" w:rsidRPr="00A0513E" w:rsidRDefault="00CA7016" w:rsidP="003C3F6A">
            <w:pPr>
              <w:pStyle w:val="02Tabletext"/>
            </w:pPr>
            <w:r w:rsidRPr="00A0513E">
              <w:t xml:space="preserve">Includes any or all of HAV-IgM, HBsAg, </w:t>
            </w:r>
            <w:proofErr w:type="spellStart"/>
            <w:r w:rsidRPr="00A0513E">
              <w:t>HBsAb</w:t>
            </w:r>
            <w:proofErr w:type="spellEnd"/>
            <w:r w:rsidRPr="00A0513E">
              <w:t>,</w:t>
            </w:r>
            <w:r>
              <w:t xml:space="preserve"> </w:t>
            </w:r>
            <w:proofErr w:type="spellStart"/>
            <w:r w:rsidRPr="00A0513E">
              <w:t>HBcAb</w:t>
            </w:r>
            <w:proofErr w:type="spellEnd"/>
            <w:r w:rsidRPr="00A0513E">
              <w:t>,</w:t>
            </w:r>
            <w:r>
              <w:t xml:space="preserve"> </w:t>
            </w:r>
            <w:r w:rsidRPr="00A0513E">
              <w:t>HBc-IgM, anti-</w:t>
            </w:r>
            <w:proofErr w:type="spellStart"/>
            <w:r w:rsidRPr="00A0513E">
              <w:t>HCVAb</w:t>
            </w:r>
            <w:proofErr w:type="spellEnd"/>
            <w:r>
              <w:t>.</w:t>
            </w:r>
          </w:p>
          <w:p w14:paraId="4711D9CA" w14:textId="77777777" w:rsidR="00CA7016" w:rsidRPr="00A0513E" w:rsidRDefault="00CA7016" w:rsidP="003C3F6A">
            <w:pPr>
              <w:pStyle w:val="02Tabletext"/>
            </w:pPr>
          </w:p>
        </w:tc>
        <w:tc>
          <w:tcPr>
            <w:tcW w:w="4059" w:type="dxa"/>
            <w:tcBorders>
              <w:bottom w:val="single" w:sz="4" w:space="0" w:color="auto"/>
            </w:tcBorders>
          </w:tcPr>
          <w:p w14:paraId="12DCFE91" w14:textId="77777777" w:rsidR="00CA7016" w:rsidRPr="00A0513E" w:rsidRDefault="00CA7016" w:rsidP="003C3F6A">
            <w:pPr>
              <w:pStyle w:val="02Tabletext"/>
            </w:pPr>
            <w:r w:rsidRPr="00A0513E">
              <w:t xml:space="preserve">Test(s) to investigate infectious causes of acute hepatitis A, B or C. Includes any or all of HAV-IgM, HBsAg, </w:t>
            </w:r>
            <w:proofErr w:type="spellStart"/>
            <w:r w:rsidRPr="00A0513E">
              <w:t>HBsAb</w:t>
            </w:r>
            <w:proofErr w:type="spellEnd"/>
            <w:r w:rsidRPr="00A0513E">
              <w:t>,</w:t>
            </w:r>
            <w:r>
              <w:t xml:space="preserve"> </w:t>
            </w:r>
            <w:proofErr w:type="spellStart"/>
            <w:r w:rsidRPr="00A0513E">
              <w:t>HBcAb</w:t>
            </w:r>
            <w:proofErr w:type="spellEnd"/>
            <w:r w:rsidRPr="00A0513E">
              <w:t>,</w:t>
            </w:r>
            <w:r>
              <w:t xml:space="preserve"> </w:t>
            </w:r>
            <w:r w:rsidRPr="00A0513E">
              <w:t>HBc-IgM, anti-</w:t>
            </w:r>
            <w:proofErr w:type="spellStart"/>
            <w:r w:rsidRPr="00A0513E">
              <w:t>HCVAb</w:t>
            </w:r>
            <w:proofErr w:type="spellEnd"/>
            <w:r>
              <w:t>.</w:t>
            </w:r>
          </w:p>
          <w:p w14:paraId="431EAE88" w14:textId="77777777" w:rsidR="00CA7016" w:rsidRPr="00A0513E" w:rsidRDefault="00CA7016" w:rsidP="003C3F6A">
            <w:pPr>
              <w:pStyle w:val="02Tabletext"/>
            </w:pPr>
            <w:r w:rsidRPr="00A0513E">
              <w:t>Notes/restrictions: If there is no record of any HBV serology, the first testing for that pathology practice/network should be HBs</w:t>
            </w:r>
            <w:r>
              <w:t>Ag</w:t>
            </w:r>
            <w:r w:rsidRPr="00A0513E">
              <w:t xml:space="preserve">, </w:t>
            </w:r>
            <w:proofErr w:type="spellStart"/>
            <w:r w:rsidRPr="00A0513E">
              <w:t>HBsAb</w:t>
            </w:r>
            <w:proofErr w:type="spellEnd"/>
            <w:r w:rsidRPr="00A0513E">
              <w:t xml:space="preserve">, and </w:t>
            </w:r>
            <w:proofErr w:type="spellStart"/>
            <w:r w:rsidRPr="00A0513E">
              <w:t>HBcAb</w:t>
            </w:r>
            <w:proofErr w:type="spellEnd"/>
            <w:r w:rsidRPr="00A0513E">
              <w:t xml:space="preserve"> to determine HBV </w:t>
            </w:r>
            <w:proofErr w:type="spellStart"/>
            <w:proofErr w:type="gramStart"/>
            <w:r w:rsidRPr="00A0513E">
              <w:t>status.</w:t>
            </w:r>
            <w:r w:rsidRPr="00614E3C">
              <w:rPr>
                <w:vertAlign w:val="superscript"/>
              </w:rPr>
              <w:t>a</w:t>
            </w:r>
            <w:proofErr w:type="spellEnd"/>
            <w:proofErr w:type="gramEnd"/>
          </w:p>
        </w:tc>
      </w:tr>
      <w:tr w:rsidR="00CA7016" w:rsidRPr="00DD48A0" w14:paraId="49610478" w14:textId="77777777" w:rsidTr="003C3F6A">
        <w:tc>
          <w:tcPr>
            <w:tcW w:w="1129" w:type="dxa"/>
            <w:tcBorders>
              <w:bottom w:val="single" w:sz="4" w:space="0" w:color="auto"/>
            </w:tcBorders>
          </w:tcPr>
          <w:p w14:paraId="1168C4B3" w14:textId="77777777" w:rsidR="00CA7016" w:rsidRPr="00A0513E" w:rsidRDefault="00CA7016" w:rsidP="003C3F6A">
            <w:pPr>
              <w:pStyle w:val="02Tabletext"/>
            </w:pPr>
            <w:r>
              <w:t>6947C</w:t>
            </w:r>
          </w:p>
        </w:tc>
        <w:tc>
          <w:tcPr>
            <w:tcW w:w="3828" w:type="dxa"/>
            <w:tcBorders>
              <w:bottom w:val="single" w:sz="4" w:space="0" w:color="auto"/>
            </w:tcBorders>
          </w:tcPr>
          <w:p w14:paraId="7B4EB927" w14:textId="77777777" w:rsidR="00CA7016" w:rsidRPr="00A0513E" w:rsidRDefault="00CA7016" w:rsidP="003C3F6A">
            <w:pPr>
              <w:pStyle w:val="02Tabletext"/>
            </w:pPr>
            <w:r w:rsidRPr="00A0513E">
              <w:t>Diagnosis of chronic hepatitis B or C infection.</w:t>
            </w:r>
          </w:p>
          <w:p w14:paraId="1621FADE" w14:textId="77777777" w:rsidR="00CA7016" w:rsidRPr="00A0513E" w:rsidRDefault="00CA7016" w:rsidP="003C3F6A">
            <w:pPr>
              <w:pStyle w:val="02Tabletext"/>
            </w:pPr>
            <w:r w:rsidRPr="00A0513E">
              <w:t>Includes any or all of HBV Status, anti-HCV</w:t>
            </w:r>
            <w:r>
              <w:t>.</w:t>
            </w:r>
          </w:p>
        </w:tc>
        <w:tc>
          <w:tcPr>
            <w:tcW w:w="4059" w:type="dxa"/>
            <w:tcBorders>
              <w:bottom w:val="single" w:sz="4" w:space="0" w:color="auto"/>
            </w:tcBorders>
          </w:tcPr>
          <w:p w14:paraId="30A1C721" w14:textId="77777777" w:rsidR="00CA7016" w:rsidRPr="00A0513E" w:rsidRDefault="00CA7016" w:rsidP="003C3F6A">
            <w:pPr>
              <w:pStyle w:val="02Tabletext"/>
            </w:pPr>
            <w:r w:rsidRPr="00A0513E">
              <w:t>Test(s) to diagnose chronic hepatitis B or C. Includes any or all of HBV Status, anti-HCV</w:t>
            </w:r>
            <w:r>
              <w:t>.</w:t>
            </w:r>
          </w:p>
        </w:tc>
      </w:tr>
      <w:tr w:rsidR="00CA7016" w:rsidRPr="00DD48A0" w14:paraId="3A229D1B" w14:textId="77777777" w:rsidTr="003C3F6A">
        <w:tc>
          <w:tcPr>
            <w:tcW w:w="1129" w:type="dxa"/>
            <w:tcBorders>
              <w:bottom w:val="single" w:sz="4" w:space="0" w:color="auto"/>
            </w:tcBorders>
          </w:tcPr>
          <w:p w14:paraId="29F55460" w14:textId="77777777" w:rsidR="00CA7016" w:rsidRPr="00A0513E" w:rsidRDefault="00CA7016" w:rsidP="003C3F6A">
            <w:pPr>
              <w:pStyle w:val="02Tabletext"/>
            </w:pPr>
            <w:r>
              <w:t>6947D</w:t>
            </w:r>
          </w:p>
        </w:tc>
        <w:tc>
          <w:tcPr>
            <w:tcW w:w="3828" w:type="dxa"/>
            <w:tcBorders>
              <w:bottom w:val="single" w:sz="4" w:space="0" w:color="auto"/>
            </w:tcBorders>
          </w:tcPr>
          <w:p w14:paraId="43B2A61D" w14:textId="77777777" w:rsidR="00CA7016" w:rsidRPr="00A0513E" w:rsidRDefault="00CA7016" w:rsidP="003C3F6A">
            <w:pPr>
              <w:pStyle w:val="02Tabletext"/>
            </w:pPr>
            <w:r w:rsidRPr="00A0513E">
              <w:t xml:space="preserve">Monitoring infectivity and disease phase in a person with chronic hepatitis B or C. </w:t>
            </w:r>
          </w:p>
          <w:p w14:paraId="379B8C10" w14:textId="77777777" w:rsidR="00CA7016" w:rsidRPr="00A0513E" w:rsidRDefault="00CA7016" w:rsidP="003C3F6A">
            <w:pPr>
              <w:pStyle w:val="02Tabletext"/>
            </w:pPr>
            <w:r w:rsidRPr="00A0513E">
              <w:t xml:space="preserve">Includes any or </w:t>
            </w:r>
            <w:proofErr w:type="gramStart"/>
            <w:r w:rsidRPr="00A0513E">
              <w:t>all of</w:t>
            </w:r>
            <w:proofErr w:type="gramEnd"/>
            <w:r w:rsidRPr="00A0513E">
              <w:t xml:space="preserve"> </w:t>
            </w:r>
            <w:proofErr w:type="spellStart"/>
            <w:r w:rsidRPr="00A0513E">
              <w:t>HBeAg</w:t>
            </w:r>
            <w:proofErr w:type="spellEnd"/>
            <w:r w:rsidRPr="00A0513E">
              <w:t xml:space="preserve"> and </w:t>
            </w:r>
            <w:proofErr w:type="spellStart"/>
            <w:r w:rsidRPr="00A0513E">
              <w:t>HBeAb</w:t>
            </w:r>
            <w:proofErr w:type="spellEnd"/>
            <w:r w:rsidRPr="00A0513E">
              <w:t>.</w:t>
            </w:r>
          </w:p>
        </w:tc>
        <w:tc>
          <w:tcPr>
            <w:tcW w:w="4059" w:type="dxa"/>
            <w:tcBorders>
              <w:bottom w:val="single" w:sz="4" w:space="0" w:color="auto"/>
            </w:tcBorders>
          </w:tcPr>
          <w:p w14:paraId="6559205F" w14:textId="77777777" w:rsidR="00CA7016" w:rsidRPr="00A0513E" w:rsidRDefault="00CA7016" w:rsidP="003C3F6A">
            <w:pPr>
              <w:pStyle w:val="02Tabletext"/>
            </w:pPr>
            <w:r w:rsidRPr="00A0513E">
              <w:t xml:space="preserve">Test(s) to determine infectious status when HBs positive or the assessment of disease phase in a person with chronic hepatitis B. Includes any or </w:t>
            </w:r>
            <w:proofErr w:type="gramStart"/>
            <w:r w:rsidRPr="00A0513E">
              <w:t>all of</w:t>
            </w:r>
            <w:proofErr w:type="gramEnd"/>
            <w:r w:rsidRPr="00A0513E">
              <w:t xml:space="preserve"> </w:t>
            </w:r>
            <w:proofErr w:type="spellStart"/>
            <w:r w:rsidRPr="00A0513E">
              <w:t>HBeAb</w:t>
            </w:r>
            <w:proofErr w:type="spellEnd"/>
            <w:r w:rsidRPr="00A0513E">
              <w:t xml:space="preserve"> and </w:t>
            </w:r>
            <w:proofErr w:type="spellStart"/>
            <w:r w:rsidRPr="00A0513E">
              <w:t>HBeAg</w:t>
            </w:r>
            <w:proofErr w:type="spellEnd"/>
            <w:r>
              <w:t>.</w:t>
            </w:r>
          </w:p>
          <w:p w14:paraId="273BBF32" w14:textId="77777777" w:rsidR="00CA7016" w:rsidRPr="00A0513E" w:rsidRDefault="00CA7016" w:rsidP="003C3F6A">
            <w:pPr>
              <w:pStyle w:val="02Tabletext"/>
            </w:pPr>
            <w:r w:rsidRPr="00A0513E">
              <w:t>Notes: Patient must be HBs positive or be confirmed with chronic hepatitis B.</w:t>
            </w:r>
          </w:p>
        </w:tc>
      </w:tr>
      <w:tr w:rsidR="00CA7016" w:rsidRPr="00DD48A0" w14:paraId="35238943" w14:textId="77777777" w:rsidTr="003C3F6A">
        <w:tc>
          <w:tcPr>
            <w:tcW w:w="1129" w:type="dxa"/>
            <w:tcBorders>
              <w:bottom w:val="single" w:sz="4" w:space="0" w:color="auto"/>
            </w:tcBorders>
          </w:tcPr>
          <w:p w14:paraId="5CF1FAA2" w14:textId="77777777" w:rsidR="00CA7016" w:rsidRPr="00A0513E" w:rsidRDefault="00CA7016" w:rsidP="003C3F6A">
            <w:pPr>
              <w:pStyle w:val="02Tabletext"/>
            </w:pPr>
            <w:r>
              <w:t>6947E</w:t>
            </w:r>
          </w:p>
        </w:tc>
        <w:tc>
          <w:tcPr>
            <w:tcW w:w="3828" w:type="dxa"/>
            <w:tcBorders>
              <w:bottom w:val="single" w:sz="4" w:space="0" w:color="auto"/>
            </w:tcBorders>
          </w:tcPr>
          <w:p w14:paraId="4A291349" w14:textId="77777777" w:rsidR="00CA7016" w:rsidRPr="00A0513E" w:rsidRDefault="00CA7016" w:rsidP="003C3F6A">
            <w:pPr>
              <w:pStyle w:val="02Tabletext"/>
            </w:pPr>
            <w:r w:rsidRPr="00A0513E">
              <w:t>Investigation of hepatitis D or E.</w:t>
            </w:r>
          </w:p>
          <w:p w14:paraId="24D5A9B8" w14:textId="77777777" w:rsidR="00CA7016" w:rsidRPr="00A0513E" w:rsidRDefault="00CA7016" w:rsidP="003C3F6A">
            <w:pPr>
              <w:pStyle w:val="02Tabletext"/>
            </w:pPr>
            <w:r w:rsidRPr="00A0513E">
              <w:t xml:space="preserve">One test only. </w:t>
            </w:r>
          </w:p>
        </w:tc>
        <w:tc>
          <w:tcPr>
            <w:tcW w:w="4059" w:type="dxa"/>
            <w:tcBorders>
              <w:bottom w:val="single" w:sz="4" w:space="0" w:color="auto"/>
            </w:tcBorders>
          </w:tcPr>
          <w:p w14:paraId="33DCB549" w14:textId="77777777" w:rsidR="00CA7016" w:rsidRPr="00A0513E" w:rsidRDefault="00CA7016" w:rsidP="003C3F6A">
            <w:pPr>
              <w:pStyle w:val="02Tabletext"/>
            </w:pPr>
            <w:r w:rsidRPr="00A0513E">
              <w:t xml:space="preserve">Test(s) to determine viral carriage of </w:t>
            </w:r>
            <w:r w:rsidR="00813B3E">
              <w:t>h</w:t>
            </w:r>
            <w:r w:rsidR="00813B3E" w:rsidRPr="00A0513E">
              <w:t xml:space="preserve">epatitis </w:t>
            </w:r>
            <w:r w:rsidRPr="00A0513E">
              <w:t>D virus (in a</w:t>
            </w:r>
            <w:r>
              <w:t>n</w:t>
            </w:r>
            <w:r w:rsidRPr="00A0513E">
              <w:t xml:space="preserve"> HBs</w:t>
            </w:r>
            <w:r>
              <w:t>Ag</w:t>
            </w:r>
            <w:r w:rsidR="00813B3E">
              <w:t>-</w:t>
            </w:r>
            <w:r w:rsidRPr="00A0513E">
              <w:t xml:space="preserve">positive patient) or </w:t>
            </w:r>
            <w:r w:rsidR="00813B3E">
              <w:t>h</w:t>
            </w:r>
            <w:r w:rsidR="00813B3E" w:rsidRPr="00A0513E">
              <w:t xml:space="preserve">epatitis </w:t>
            </w:r>
            <w:r w:rsidRPr="00A0513E">
              <w:t>E virus in a patient non-reactive in testing to other hepatitis viruses. One test only.</w:t>
            </w:r>
          </w:p>
        </w:tc>
      </w:tr>
    </w:tbl>
    <w:p w14:paraId="2F559DB7" w14:textId="77777777" w:rsidR="00CA7016" w:rsidRPr="00FB2ECD" w:rsidRDefault="00CA7016" w:rsidP="00CA7016">
      <w:pPr>
        <w:ind w:left="170" w:hanging="170"/>
        <w:rPr>
          <w:sz w:val="18"/>
        </w:rPr>
      </w:pPr>
      <w:r w:rsidRPr="00FB2ECD">
        <w:rPr>
          <w:rStyle w:val="FootnoteReference"/>
          <w:sz w:val="18"/>
          <w:vertAlign w:val="baseline"/>
        </w:rPr>
        <w:lastRenderedPageBreak/>
        <w:t>a</w:t>
      </w:r>
      <w:r w:rsidRPr="00FB2ECD">
        <w:rPr>
          <w:sz w:val="18"/>
        </w:rPr>
        <w:tab/>
        <w:t xml:space="preserve">If there is no record of any HBV serology, the first testing for that pathology practice/network should be HBs, </w:t>
      </w:r>
      <w:proofErr w:type="spellStart"/>
      <w:r w:rsidRPr="00FB2ECD">
        <w:rPr>
          <w:sz w:val="18"/>
        </w:rPr>
        <w:t>HBsAb</w:t>
      </w:r>
      <w:proofErr w:type="spellEnd"/>
      <w:r w:rsidRPr="00FB2ECD">
        <w:rPr>
          <w:sz w:val="18"/>
        </w:rPr>
        <w:t xml:space="preserve">, and </w:t>
      </w:r>
      <w:proofErr w:type="spellStart"/>
      <w:r w:rsidRPr="00FB2ECD">
        <w:rPr>
          <w:sz w:val="18"/>
        </w:rPr>
        <w:t>HBcAb</w:t>
      </w:r>
      <w:proofErr w:type="spellEnd"/>
      <w:r w:rsidRPr="00FB2ECD">
        <w:rPr>
          <w:sz w:val="18"/>
        </w:rPr>
        <w:t xml:space="preserve"> to determine HBV Status. This will restrict the need for these three tests in the future. It is anticipated that Medicare prevent payment if this item has been already claimed for an individual patient.</w:t>
      </w:r>
    </w:p>
    <w:p w14:paraId="02904F2C" w14:textId="77777777" w:rsidR="00CA7016" w:rsidRPr="00A0513E" w:rsidRDefault="00CA7016" w:rsidP="00CA7016">
      <w:pPr>
        <w:pStyle w:val="Heading3"/>
      </w:pPr>
      <w:bookmarkStart w:id="229" w:name="_Toc12886571"/>
      <w:r w:rsidRPr="00A0513E">
        <w:t>Rationale</w:t>
      </w:r>
      <w:r>
        <w:t xml:space="preserve"> 9a</w:t>
      </w:r>
      <w:bookmarkEnd w:id="229"/>
    </w:p>
    <w:p w14:paraId="753A0EB7" w14:textId="77777777" w:rsidR="00CA7016" w:rsidRPr="00B96BC0" w:rsidRDefault="00CA7016" w:rsidP="00CA7016">
      <w:r w:rsidRPr="00B96BC0">
        <w:t>The recommendation focuses on modernising the MBS and supporting best practice and is based on the following observations.</w:t>
      </w:r>
    </w:p>
    <w:p w14:paraId="4F538A7A" w14:textId="77777777" w:rsidR="00CA7016" w:rsidRPr="00A0513E" w:rsidRDefault="00CA7016" w:rsidP="00CA7016">
      <w:pPr>
        <w:pStyle w:val="NormalBulleted"/>
        <w:numPr>
          <w:ilvl w:val="0"/>
          <w:numId w:val="17"/>
        </w:numPr>
        <w:spacing w:before="120" w:after="60" w:line="240" w:lineRule="auto"/>
        <w:ind w:right="142"/>
        <w:contextualSpacing w:val="0"/>
      </w:pPr>
      <w:r w:rsidRPr="00A0513E">
        <w:t>Knowledge and management of hepatitis has changed since the introduction of these items to the MBS (2002)</w:t>
      </w:r>
      <w:r w:rsidR="001363A2">
        <w:t>,</w:t>
      </w:r>
      <w:r w:rsidRPr="00A0513E">
        <w:t xml:space="preserve"> therefore a restructure of the existing items is warr</w:t>
      </w:r>
      <w:r>
        <w:t>anted. The ideal model (Table 15</w:t>
      </w:r>
      <w:r w:rsidRPr="00A0513E">
        <w:t>) simplifies the Schedule and will require some pushback to request</w:t>
      </w:r>
      <w:r w:rsidR="001363A2">
        <w:t>e</w:t>
      </w:r>
      <w:r w:rsidRPr="00A0513E">
        <w:t>rs to provide adequate clinical information (via decision support, education, guidance and communication). The aim of this model is to:</w:t>
      </w:r>
    </w:p>
    <w:p w14:paraId="52F44ECC" w14:textId="77777777" w:rsidR="00CA7016" w:rsidRPr="00A0513E" w:rsidRDefault="00CA7016" w:rsidP="00CA7016">
      <w:pPr>
        <w:pStyle w:val="NormalBulleted"/>
        <w:numPr>
          <w:ilvl w:val="1"/>
          <w:numId w:val="17"/>
        </w:numPr>
        <w:spacing w:before="120" w:after="60" w:line="240" w:lineRule="auto"/>
        <w:ind w:right="142"/>
        <w:contextualSpacing w:val="0"/>
      </w:pPr>
      <w:r>
        <w:t>a</w:t>
      </w:r>
      <w:r w:rsidRPr="00A0513E">
        <w:t>lign with national hepatit</w:t>
      </w:r>
      <w:r w:rsidR="00DB6544">
        <w:t>is B and hepatitis C guidelines</w:t>
      </w:r>
      <w:r w:rsidRPr="00A0513E">
        <w:fldChar w:fldCharType="begin"/>
      </w:r>
      <w:r w:rsidR="00AB00BA">
        <w:instrText xml:space="preserve"> ADDIN EN.CITE &lt;EndNote&gt;&lt;Cite&gt;&lt;Year&gt;2015&lt;/Year&gt;&lt;RecNum&gt;17&lt;/RecNum&gt;&lt;DisplayText&gt; [17, [18]&lt;/DisplayText&gt;&lt;record&gt;&lt;rec-number&gt;17&lt;/rec-number&gt;&lt;foreign-keys&gt;&lt;key app="EN" db-id="9rerxxddifw5xaewxvlxffw2vsfzrarx0vva" timestamp="1506991293"&gt;17&lt;/key&gt;&lt;/foreign-keys&gt;&lt;ref-type name="Report"&gt;27&lt;/ref-type&gt;&lt;contributors&gt;&lt;authors&gt;&lt;author&gt;National Hepatitis B Virus (HBV) Testing Policy Expert Reference Committee,&lt;/author&gt;&lt;/authors&gt;&lt;/contributors&gt;&lt;titles&gt;&lt;title&gt;National Hepatitis B Testing Policy v1.2&lt;/title&gt;&lt;/titles&gt;&lt;dates&gt;&lt;year&gt;2015&lt;/year&gt;&lt;/dates&gt;&lt;pub-location&gt;Canberra&lt;/pub-location&gt;&lt;publisher&gt;Australian Government Department of Health&lt;/publisher&gt;&lt;urls&gt;&lt;related-urls&gt;&lt;url&gt;http://testingportal.ashm.org.au/hbv&lt;/url&gt;&lt;/related-urls&gt;&lt;/urls&gt;&lt;access-date&gt;30 June 2017&lt;/access-date&gt;&lt;/record&gt;&lt;/Cite&gt;&lt;Cite&gt;&lt;Author&gt;Department of Health&lt;/Author&gt;&lt;Year&gt;2014&lt;/Year&gt;&lt;RecNum&gt;18&lt;/RecNum&gt;&lt;record&gt;&lt;rec-number&gt;18&lt;/rec-number&gt;&lt;foreign-keys&gt;&lt;key app="EN" db-id="9rerxxddifw5xaewxvlxffw2vsfzrarx0vva" timestamp="1506991294"&gt;18&lt;/key&gt;&lt;/foreign-keys&gt;&lt;ref-type name="Report"&gt;27&lt;/ref-type&gt;&lt;contributors&gt;&lt;authors&gt;&lt;author&gt;Department of Health, &lt;/author&gt;&lt;/authors&gt;&lt;/contributors&gt;&lt;titles&gt;&lt;title&gt;Fourth National Hepatitis C Strategy 2014–2017&lt;/title&gt;&lt;/titles&gt;&lt;dates&gt;&lt;year&gt;2014&lt;/year&gt;&lt;/dates&gt;&lt;pub-location&gt;Canberra&lt;/pub-location&gt;&lt;publisher&gt;Australian Government&lt;/publisher&gt;&lt;urls&gt;&lt;related-urls&gt;&lt;url&gt;http://www.health.gov.au/internet/main/publishing.nsf/content/ohp-bbvs-hepc&lt;/url&gt;&lt;/related-urls&gt;&lt;/urls&gt;&lt;access-date&gt;30 June 2017&lt;/access-date&gt;&lt;/record&gt;&lt;/Cite&gt;&lt;/EndNote&gt;</w:instrText>
      </w:r>
      <w:r w:rsidRPr="00A0513E">
        <w:fldChar w:fldCharType="separate"/>
      </w:r>
      <w:r w:rsidR="00EE147F">
        <w:rPr>
          <w:noProof/>
        </w:rPr>
        <w:t xml:space="preserve"> [17</w:t>
      </w:r>
      <w:r w:rsidR="00DB6544">
        <w:rPr>
          <w:noProof/>
        </w:rPr>
        <w:t>]</w:t>
      </w:r>
      <w:r w:rsidR="00EE147F">
        <w:rPr>
          <w:noProof/>
        </w:rPr>
        <w:t>, [18]</w:t>
      </w:r>
      <w:r w:rsidRPr="00A0513E">
        <w:fldChar w:fldCharType="end"/>
      </w:r>
    </w:p>
    <w:p w14:paraId="017FD835" w14:textId="77777777" w:rsidR="00CA7016" w:rsidRPr="00A0513E" w:rsidRDefault="00CA7016" w:rsidP="00CA7016">
      <w:pPr>
        <w:pStyle w:val="NormalBulleted"/>
        <w:numPr>
          <w:ilvl w:val="1"/>
          <w:numId w:val="17"/>
        </w:numPr>
        <w:spacing w:before="120" w:after="60" w:line="240" w:lineRule="auto"/>
        <w:ind w:right="142"/>
        <w:contextualSpacing w:val="0"/>
      </w:pPr>
      <w:r>
        <w:t>a</w:t>
      </w:r>
      <w:r w:rsidRPr="00A0513E">
        <w:t>void a ‘ladder’ of tests</w:t>
      </w:r>
    </w:p>
    <w:p w14:paraId="2096128B" w14:textId="77777777" w:rsidR="00CA7016" w:rsidRPr="00A0513E" w:rsidRDefault="00CA7016" w:rsidP="00CA7016">
      <w:pPr>
        <w:pStyle w:val="NormalBulleted"/>
        <w:numPr>
          <w:ilvl w:val="1"/>
          <w:numId w:val="17"/>
        </w:numPr>
        <w:spacing w:before="120" w:after="60" w:line="240" w:lineRule="auto"/>
        <w:ind w:right="142"/>
        <w:contextualSpacing w:val="0"/>
      </w:pPr>
      <w:r>
        <w:t>s</w:t>
      </w:r>
      <w:r w:rsidRPr="00A0513E">
        <w:t>plit the items depending on clinical indications for testing (this will require more relevant information from request</w:t>
      </w:r>
      <w:r>
        <w:t>e</w:t>
      </w:r>
      <w:r w:rsidRPr="00A0513E">
        <w:t xml:space="preserve">rs to determine the clinically relevant tests required). </w:t>
      </w:r>
    </w:p>
    <w:p w14:paraId="38521532" w14:textId="77777777" w:rsidR="00CA7016" w:rsidRPr="00A0513E" w:rsidRDefault="001363A2" w:rsidP="00CA7016">
      <w:pPr>
        <w:pStyle w:val="NormalBulleted"/>
        <w:numPr>
          <w:ilvl w:val="0"/>
          <w:numId w:val="17"/>
        </w:numPr>
        <w:spacing w:before="120" w:after="60" w:line="240" w:lineRule="auto"/>
        <w:ind w:right="142"/>
        <w:contextualSpacing w:val="0"/>
      </w:pPr>
      <w:r w:rsidRPr="00A0513E">
        <w:t>Request</w:t>
      </w:r>
      <w:r>
        <w:t>e</w:t>
      </w:r>
      <w:r w:rsidRPr="00A0513E">
        <w:t xml:space="preserve">rs </w:t>
      </w:r>
      <w:r w:rsidR="00CA7016" w:rsidRPr="00A0513E">
        <w:t>will need to indicate the reason for testing, with the</w:t>
      </w:r>
      <w:r w:rsidR="00CA7016">
        <w:t xml:space="preserve"> </w:t>
      </w:r>
      <w:r w:rsidR="00CA7016" w:rsidRPr="00A0513E">
        <w:t>pathologist delegate selecting the required relevant tests from a range included under that item number.</w:t>
      </w:r>
    </w:p>
    <w:p w14:paraId="4003F512"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In recommending the ideal model, the Committee acknowledged that a major limitation would be the considerable time involved, in the absence of integrated clinical information systems, to vet all hepatitis requests delivered to a laboratory. For example, large laboratories might process </w:t>
      </w:r>
      <w:r>
        <w:t xml:space="preserve">about </w:t>
      </w:r>
      <w:r w:rsidRPr="00A0513E">
        <w:t xml:space="preserve">1500 requests per day, requiring additional medical staff to review requests and new pathology laboratory IT systems to determine if a request meets the item descriptor. In the future, IT systems or software could be </w:t>
      </w:r>
      <w:r w:rsidR="001363A2">
        <w:t xml:space="preserve">used </w:t>
      </w:r>
      <w:r w:rsidRPr="00A0513E">
        <w:t xml:space="preserve">to perform searches for a patient’s previous test results, but this will require support from multiple professional bodies and organisations. </w:t>
      </w:r>
    </w:p>
    <w:p w14:paraId="72DD83DC" w14:textId="77777777" w:rsidR="00CA7016" w:rsidRPr="00A0513E" w:rsidRDefault="00CA7016" w:rsidP="001D0A5A">
      <w:pPr>
        <w:pStyle w:val="NormalBulleted"/>
        <w:numPr>
          <w:ilvl w:val="0"/>
          <w:numId w:val="17"/>
        </w:numPr>
        <w:spacing w:before="120" w:after="60" w:line="240" w:lineRule="auto"/>
        <w:ind w:right="142"/>
        <w:contextualSpacing w:val="0"/>
      </w:pPr>
      <w:r w:rsidRPr="00A0513E">
        <w:t>In recognising the implementation challenges of the ideal model, the Committee proposed an alternative interim model based on reorganising the existing items in the Schedule to better reflect current testing practices.</w:t>
      </w:r>
    </w:p>
    <w:p w14:paraId="37188456" w14:textId="77777777" w:rsidR="00CA7016" w:rsidRPr="00A0513E" w:rsidRDefault="00CA7016" w:rsidP="00CA7016">
      <w:pPr>
        <w:pStyle w:val="Heading3"/>
      </w:pPr>
      <w:bookmarkStart w:id="230" w:name="_Ref487789370"/>
      <w:bookmarkStart w:id="231" w:name="_Ref487789378"/>
      <w:bookmarkStart w:id="232" w:name="_Ref487789385"/>
      <w:bookmarkStart w:id="233" w:name="_Ref487789524"/>
      <w:bookmarkStart w:id="234" w:name="_Toc12886572"/>
      <w:r w:rsidRPr="00A0513E">
        <w:t>Recommendation</w:t>
      </w:r>
      <w:r>
        <w:t xml:space="preserve"> 9b—</w:t>
      </w:r>
      <w:r w:rsidRPr="00A0513E">
        <w:t>Interim model</w:t>
      </w:r>
      <w:bookmarkEnd w:id="230"/>
      <w:bookmarkEnd w:id="231"/>
      <w:bookmarkEnd w:id="232"/>
      <w:bookmarkEnd w:id="233"/>
      <w:bookmarkEnd w:id="234"/>
    </w:p>
    <w:p w14:paraId="4299A2FF" w14:textId="77777777" w:rsidR="00CA7016" w:rsidRPr="00A0513E" w:rsidRDefault="00CA7016" w:rsidP="00CA7016">
      <w:pPr>
        <w:pStyle w:val="NormalBulleted"/>
        <w:numPr>
          <w:ilvl w:val="0"/>
          <w:numId w:val="17"/>
        </w:numPr>
        <w:spacing w:before="120" w:after="60" w:line="240" w:lineRule="auto"/>
        <w:ind w:right="142"/>
        <w:contextualSpacing w:val="0"/>
      </w:pPr>
      <w:r w:rsidRPr="00A0513E">
        <w:t>In view of significant implementation issues with the ideal model, the Committee recommended a short-term alternative approach</w:t>
      </w:r>
      <w:r w:rsidR="00347491">
        <w:t>,</w:t>
      </w:r>
      <w:r w:rsidRPr="00A0513E">
        <w:t xml:space="preserve"> as below:</w:t>
      </w:r>
    </w:p>
    <w:p w14:paraId="1B0EDC9E" w14:textId="77777777" w:rsidR="00CA7016" w:rsidRPr="006325F0" w:rsidRDefault="00CA7016" w:rsidP="00CA7016">
      <w:pPr>
        <w:pStyle w:val="02dash"/>
        <w:numPr>
          <w:ilvl w:val="1"/>
          <w:numId w:val="28"/>
        </w:numPr>
        <w:tabs>
          <w:tab w:val="clear" w:pos="427"/>
          <w:tab w:val="num" w:pos="567"/>
        </w:tabs>
        <w:ind w:left="567" w:hanging="142"/>
      </w:pPr>
      <w:r w:rsidRPr="00A0513E">
        <w:t xml:space="preserve">Delete items 69475, 69478 and 69481 and merge into one new item to cover </w:t>
      </w:r>
      <w:proofErr w:type="gramStart"/>
      <w:r w:rsidRPr="00A0513E">
        <w:t>any and all</w:t>
      </w:r>
      <w:proofErr w:type="gramEnd"/>
      <w:r w:rsidRPr="00A0513E">
        <w:t xml:space="preserve"> tests for all </w:t>
      </w:r>
      <w:r w:rsidRPr="006325F0">
        <w:t>hepatitis viruses</w:t>
      </w:r>
      <w:r>
        <w:t>,</w:t>
      </w:r>
      <w:r w:rsidRPr="006325F0">
        <w:t xml:space="preserve"> including </w:t>
      </w:r>
      <w:r>
        <w:t xml:space="preserve">from </w:t>
      </w:r>
      <w:r w:rsidRPr="006325F0">
        <w:t xml:space="preserve">checking immune status to diagnosing or monitoring acute or chronic hepatitis, up to </w:t>
      </w:r>
      <w:r w:rsidR="00347491">
        <w:t>three</w:t>
      </w:r>
      <w:r w:rsidR="00347491" w:rsidRPr="006325F0">
        <w:t xml:space="preserve"> </w:t>
      </w:r>
      <w:r w:rsidRPr="006325F0">
        <w:t>or more tests.</w:t>
      </w:r>
      <w:r>
        <w:t xml:space="preserve"> </w:t>
      </w:r>
    </w:p>
    <w:p w14:paraId="243253EB" w14:textId="77777777" w:rsidR="00CA7016" w:rsidRPr="006325F0" w:rsidRDefault="00CA7016" w:rsidP="00CA7016">
      <w:pPr>
        <w:pStyle w:val="02dash"/>
        <w:numPr>
          <w:ilvl w:val="1"/>
          <w:numId w:val="28"/>
        </w:numPr>
        <w:tabs>
          <w:tab w:val="clear" w:pos="427"/>
          <w:tab w:val="num" w:pos="567"/>
        </w:tabs>
        <w:ind w:left="567" w:hanging="142"/>
      </w:pPr>
      <w:r w:rsidRPr="006325F0">
        <w:t>Retain current item 69484 and its descriptor</w:t>
      </w:r>
    </w:p>
    <w:p w14:paraId="39CA32E4" w14:textId="77777777" w:rsidR="00CA7016" w:rsidRPr="00A0513E" w:rsidRDefault="00CA7016" w:rsidP="00CA7016">
      <w:pPr>
        <w:pStyle w:val="02dash"/>
        <w:numPr>
          <w:ilvl w:val="1"/>
          <w:numId w:val="28"/>
        </w:numPr>
        <w:tabs>
          <w:tab w:val="clear" w:pos="427"/>
          <w:tab w:val="num" w:pos="567"/>
        </w:tabs>
        <w:ind w:left="567" w:hanging="142"/>
      </w:pPr>
      <w:r w:rsidRPr="006325F0">
        <w:t xml:space="preserve">Create </w:t>
      </w:r>
      <w:r>
        <w:t xml:space="preserve">a </w:t>
      </w:r>
      <w:r w:rsidRPr="006325F0">
        <w:t>new item for investigation</w:t>
      </w:r>
      <w:r w:rsidRPr="00A0513E">
        <w:t xml:space="preserve"> of hepatitis D or E</w:t>
      </w:r>
      <w:r>
        <w:t>—1</w:t>
      </w:r>
      <w:r w:rsidRPr="00A0513E">
        <w:t xml:space="preserve"> test only.</w:t>
      </w:r>
    </w:p>
    <w:p w14:paraId="1D0F2A79" w14:textId="77777777" w:rsidR="00CA7016" w:rsidRPr="00A0513E" w:rsidRDefault="00CA7016" w:rsidP="00CA7016">
      <w:pPr>
        <w:pStyle w:val="NormalBulleted"/>
        <w:numPr>
          <w:ilvl w:val="0"/>
          <w:numId w:val="17"/>
        </w:numPr>
        <w:spacing w:before="120" w:after="60" w:line="240" w:lineRule="auto"/>
        <w:ind w:right="142"/>
        <w:contextualSpacing w:val="0"/>
      </w:pPr>
      <w:r>
        <w:t>P</w:t>
      </w:r>
      <w:r w:rsidRPr="00A0513E">
        <w:t xml:space="preserve">rovide </w:t>
      </w:r>
      <w:r>
        <w:t>e</w:t>
      </w:r>
      <w:r w:rsidRPr="00A0513E">
        <w:t>ducation, guidance and thorough communication to request</w:t>
      </w:r>
      <w:r>
        <w:t>e</w:t>
      </w:r>
      <w:r w:rsidRPr="00A0513E">
        <w:t>rs regarding the changes</w:t>
      </w:r>
      <w:r>
        <w:t>,</w:t>
      </w:r>
      <w:r w:rsidRPr="00A0513E">
        <w:t xml:space="preserve"> and adequate clinical information via decision support. </w:t>
      </w:r>
    </w:p>
    <w:p w14:paraId="69DD2F08" w14:textId="77777777" w:rsidR="00CA7016" w:rsidRPr="0026691A" w:rsidRDefault="00CA7016" w:rsidP="00CA7016">
      <w:pPr>
        <w:pStyle w:val="Caption"/>
      </w:pPr>
      <w:bookmarkStart w:id="235" w:name="_Toc484598353"/>
      <w:bookmarkStart w:id="236" w:name="_Toc486935614"/>
      <w:bookmarkStart w:id="237" w:name="_Toc12953467"/>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D45EA8">
        <w:rPr>
          <w:noProof/>
        </w:rPr>
        <w:t>17</w:t>
      </w:r>
      <w:r w:rsidR="00BB490A">
        <w:rPr>
          <w:noProof/>
        </w:rPr>
        <w:fldChar w:fldCharType="end"/>
      </w:r>
      <w:r>
        <w:t xml:space="preserve">: </w:t>
      </w:r>
      <w:r w:rsidRPr="0026691A">
        <w:t>Proposed changes</w:t>
      </w:r>
      <w:r>
        <w:t>—</w:t>
      </w:r>
      <w:r w:rsidRPr="0026691A">
        <w:t>interim model</w:t>
      </w:r>
      <w:bookmarkEnd w:id="235"/>
      <w:bookmarkEnd w:id="236"/>
      <w:r>
        <w:t xml:space="preserve"> for hepatitis serology items</w:t>
      </w:r>
      <w:bookmarkEnd w:id="237"/>
    </w:p>
    <w:tbl>
      <w:tblPr>
        <w:tblStyle w:val="TableGrid"/>
        <w:tblW w:w="0" w:type="auto"/>
        <w:tblLook w:val="04A0" w:firstRow="1" w:lastRow="0" w:firstColumn="1" w:lastColumn="0" w:noHBand="0" w:noVBand="1"/>
        <w:tblDescription w:val="This table lists Item numbers, Current descriptors, and Proposed changes to descriptors for an interim model for hepatology items."/>
      </w:tblPr>
      <w:tblGrid>
        <w:gridCol w:w="988"/>
        <w:gridCol w:w="3969"/>
        <w:gridCol w:w="4059"/>
      </w:tblGrid>
      <w:tr w:rsidR="00CA7016" w:rsidRPr="00B96BC0" w14:paraId="378B1A8E" w14:textId="77777777" w:rsidTr="00F20089">
        <w:trPr>
          <w:trHeight w:val="70"/>
          <w:tblHeader/>
        </w:trPr>
        <w:tc>
          <w:tcPr>
            <w:tcW w:w="988" w:type="dxa"/>
            <w:shd w:val="clear" w:color="auto" w:fill="EEECE1" w:themeFill="background2"/>
            <w:vAlign w:val="bottom"/>
          </w:tcPr>
          <w:p w14:paraId="65624642" w14:textId="77777777" w:rsidR="00CA7016" w:rsidRPr="00A0513E" w:rsidRDefault="00CA7016" w:rsidP="003C3F6A">
            <w:pPr>
              <w:pStyle w:val="01Tableheaderrow"/>
            </w:pPr>
            <w:bookmarkStart w:id="238" w:name="_Hlk485160410"/>
            <w:r w:rsidRPr="00A0513E">
              <w:t>Item</w:t>
            </w:r>
          </w:p>
        </w:tc>
        <w:tc>
          <w:tcPr>
            <w:tcW w:w="3969" w:type="dxa"/>
            <w:shd w:val="clear" w:color="auto" w:fill="EEECE1" w:themeFill="background2"/>
            <w:vAlign w:val="bottom"/>
          </w:tcPr>
          <w:p w14:paraId="062E3197" w14:textId="77777777" w:rsidR="00CA7016" w:rsidRPr="00A0513E" w:rsidRDefault="00CA7016" w:rsidP="003C3F6A">
            <w:pPr>
              <w:pStyle w:val="01Tableheaderrow"/>
            </w:pPr>
            <w:r w:rsidRPr="00A0513E">
              <w:t>Current descriptor</w:t>
            </w:r>
          </w:p>
        </w:tc>
        <w:tc>
          <w:tcPr>
            <w:tcW w:w="4059" w:type="dxa"/>
            <w:shd w:val="clear" w:color="auto" w:fill="EEECE1" w:themeFill="background2"/>
            <w:vAlign w:val="bottom"/>
          </w:tcPr>
          <w:p w14:paraId="353118A4" w14:textId="77777777" w:rsidR="00CA7016" w:rsidRPr="00A0513E" w:rsidRDefault="00CA7016" w:rsidP="003C3F6A">
            <w:pPr>
              <w:pStyle w:val="01Tableheaderrow"/>
            </w:pPr>
            <w:r w:rsidRPr="00A0513E">
              <w:t>Proposed change to descriptor</w:t>
            </w:r>
          </w:p>
        </w:tc>
      </w:tr>
      <w:tr w:rsidR="00CA7016" w:rsidRPr="00B96BC0" w14:paraId="107647A2" w14:textId="77777777" w:rsidTr="003C3F6A">
        <w:tc>
          <w:tcPr>
            <w:tcW w:w="988" w:type="dxa"/>
          </w:tcPr>
          <w:p w14:paraId="6E867E4B" w14:textId="77777777" w:rsidR="00CA7016" w:rsidRPr="00A0513E" w:rsidRDefault="00CA7016" w:rsidP="003C3F6A">
            <w:pPr>
              <w:pStyle w:val="02Tabletext"/>
            </w:pPr>
            <w:r w:rsidRPr="00A0513E">
              <w:t>New item</w:t>
            </w:r>
          </w:p>
          <w:p w14:paraId="38A7F2BD" w14:textId="77777777" w:rsidR="00CA7016" w:rsidRPr="00A0513E" w:rsidRDefault="00CA7016" w:rsidP="003C3F6A">
            <w:pPr>
              <w:pStyle w:val="02Tabletext"/>
            </w:pPr>
            <w:r w:rsidRPr="00A0513E">
              <w:t>694XA</w:t>
            </w:r>
          </w:p>
        </w:tc>
        <w:tc>
          <w:tcPr>
            <w:tcW w:w="3969" w:type="dxa"/>
          </w:tcPr>
          <w:p w14:paraId="1E18214B" w14:textId="77777777" w:rsidR="00CA7016" w:rsidRPr="00A0513E" w:rsidRDefault="00CA7016" w:rsidP="003C3F6A">
            <w:pPr>
              <w:pStyle w:val="02Tabletext"/>
            </w:pPr>
          </w:p>
        </w:tc>
        <w:tc>
          <w:tcPr>
            <w:tcW w:w="4059" w:type="dxa"/>
            <w:shd w:val="clear" w:color="auto" w:fill="auto"/>
            <w:vAlign w:val="bottom"/>
          </w:tcPr>
          <w:p w14:paraId="1EC1EB8D" w14:textId="77777777" w:rsidR="00CA7016" w:rsidRPr="00A0513E" w:rsidRDefault="00CA7016" w:rsidP="003C3F6A">
            <w:pPr>
              <w:pStyle w:val="02Tabletext"/>
            </w:pPr>
            <w:r w:rsidRPr="00A0513E">
              <w:t>Testing for hepatitis viruses A, B, C to determine immune status, and to diagnose; or monitor acute or chronic hepatitis</w:t>
            </w:r>
            <w:r>
              <w:t xml:space="preserve"> </w:t>
            </w:r>
            <w:r w:rsidRPr="00A0513E">
              <w:t xml:space="preserve">- up to 3 or more tests. </w:t>
            </w:r>
          </w:p>
        </w:tc>
      </w:tr>
      <w:tr w:rsidR="00CA7016" w:rsidRPr="00B96BC0" w14:paraId="1AA150FD" w14:textId="77777777" w:rsidTr="003C3F6A">
        <w:tc>
          <w:tcPr>
            <w:tcW w:w="988" w:type="dxa"/>
          </w:tcPr>
          <w:p w14:paraId="24A6C94D" w14:textId="77777777" w:rsidR="00CA7016" w:rsidRPr="00A0513E" w:rsidRDefault="00CA7016" w:rsidP="003C3F6A">
            <w:pPr>
              <w:pStyle w:val="02Tabletext"/>
            </w:pPr>
            <w:r w:rsidRPr="00A0513E">
              <w:lastRenderedPageBreak/>
              <w:t>69484</w:t>
            </w:r>
          </w:p>
        </w:tc>
        <w:tc>
          <w:tcPr>
            <w:tcW w:w="3969" w:type="dxa"/>
          </w:tcPr>
          <w:p w14:paraId="2D855256" w14:textId="77777777" w:rsidR="00CA7016" w:rsidRPr="00A0513E" w:rsidRDefault="00CA7016" w:rsidP="003C3F6A">
            <w:pPr>
              <w:pStyle w:val="02Tabletext"/>
            </w:pPr>
            <w:r w:rsidRPr="00A0513E">
              <w:t>Supplementary testing for hepatitis B surface antigen or hepatitis C antibody using a different assay on the specimen which yielded a reactive result on initial testing (Item is subject to rule 18)</w:t>
            </w:r>
          </w:p>
        </w:tc>
        <w:tc>
          <w:tcPr>
            <w:tcW w:w="4059" w:type="dxa"/>
            <w:shd w:val="clear" w:color="auto" w:fill="auto"/>
          </w:tcPr>
          <w:p w14:paraId="6EB46C08" w14:textId="77777777" w:rsidR="00CA7016" w:rsidRPr="00A0513E" w:rsidRDefault="00CA7016" w:rsidP="003C3F6A">
            <w:pPr>
              <w:pStyle w:val="02Tabletext"/>
            </w:pPr>
            <w:r w:rsidRPr="00A0513E">
              <w:t>No change</w:t>
            </w:r>
          </w:p>
        </w:tc>
      </w:tr>
      <w:tr w:rsidR="00CA7016" w:rsidRPr="00B96BC0" w14:paraId="097C28E9" w14:textId="77777777" w:rsidTr="003C3F6A">
        <w:tc>
          <w:tcPr>
            <w:tcW w:w="988" w:type="dxa"/>
          </w:tcPr>
          <w:p w14:paraId="39ACCAE9" w14:textId="77777777" w:rsidR="00CA7016" w:rsidRDefault="00CA7016" w:rsidP="003C3F6A">
            <w:pPr>
              <w:pStyle w:val="02Tabletext"/>
            </w:pPr>
            <w:r>
              <w:t>New item</w:t>
            </w:r>
          </w:p>
          <w:p w14:paraId="34F10DAF" w14:textId="77777777" w:rsidR="00CA7016" w:rsidRPr="00A0513E" w:rsidRDefault="00CA7016" w:rsidP="003C3F6A">
            <w:pPr>
              <w:pStyle w:val="02Tabletext"/>
            </w:pPr>
            <w:r w:rsidRPr="00A0513E">
              <w:t>694XB</w:t>
            </w:r>
          </w:p>
        </w:tc>
        <w:tc>
          <w:tcPr>
            <w:tcW w:w="3969" w:type="dxa"/>
          </w:tcPr>
          <w:p w14:paraId="1EA6BF87" w14:textId="77777777" w:rsidR="00CA7016" w:rsidRPr="00A0513E" w:rsidRDefault="00CA7016" w:rsidP="003C3F6A">
            <w:pPr>
              <w:pStyle w:val="02Tabletext"/>
            </w:pPr>
            <w:r w:rsidRPr="00A0513E">
              <w:t xml:space="preserve"> </w:t>
            </w:r>
          </w:p>
        </w:tc>
        <w:tc>
          <w:tcPr>
            <w:tcW w:w="4059" w:type="dxa"/>
            <w:shd w:val="clear" w:color="auto" w:fill="auto"/>
          </w:tcPr>
          <w:p w14:paraId="7E0E666C" w14:textId="77777777" w:rsidR="00CA7016" w:rsidRPr="00A0513E" w:rsidRDefault="00CA7016" w:rsidP="003C3F6A">
            <w:pPr>
              <w:pStyle w:val="02Tabletext"/>
            </w:pPr>
            <w:r w:rsidRPr="00A0513E">
              <w:t>Test(s) to determine viral carriage of hepatitis D virus in a</w:t>
            </w:r>
            <w:r w:rsidR="00347491">
              <w:t>n</w:t>
            </w:r>
            <w:r w:rsidRPr="00A0513E">
              <w:t xml:space="preserve"> HBs</w:t>
            </w:r>
            <w:r w:rsidR="00347491">
              <w:t>-</w:t>
            </w:r>
            <w:r w:rsidRPr="00A0513E">
              <w:t>positive patient</w:t>
            </w:r>
            <w:r>
              <w:t xml:space="preserve"> (antibody and antigen)</w:t>
            </w:r>
            <w:r w:rsidRPr="00A0513E">
              <w:t xml:space="preserve"> or hepatitis E virus</w:t>
            </w:r>
            <w:r>
              <w:t xml:space="preserve"> (antibody only)</w:t>
            </w:r>
            <w:r w:rsidRPr="00A0513E">
              <w:t xml:space="preserve"> in a patient non-reactive in testing to other hepatitis viruses. </w:t>
            </w:r>
          </w:p>
        </w:tc>
      </w:tr>
    </w:tbl>
    <w:p w14:paraId="7B3A26DE" w14:textId="77777777" w:rsidR="00CA7016" w:rsidRPr="00A0513E" w:rsidRDefault="00CA7016" w:rsidP="00CA7016">
      <w:pPr>
        <w:pStyle w:val="Heading3"/>
      </w:pPr>
      <w:bookmarkStart w:id="239" w:name="_Toc12886573"/>
      <w:bookmarkEnd w:id="238"/>
      <w:r w:rsidRPr="00A0513E">
        <w:t>Rationale</w:t>
      </w:r>
      <w:r>
        <w:t xml:space="preserve"> 9b</w:t>
      </w:r>
      <w:bookmarkEnd w:id="239"/>
    </w:p>
    <w:p w14:paraId="00F203A5" w14:textId="77777777" w:rsidR="00CA7016" w:rsidRPr="00B96BC0" w:rsidRDefault="00CA7016" w:rsidP="00CA7016">
      <w:r w:rsidRPr="00B96BC0">
        <w:t>The recommendation focuses on modernising the MBS and supporting best practice and is based on the following observations.</w:t>
      </w:r>
    </w:p>
    <w:p w14:paraId="5F82811E" w14:textId="77777777" w:rsidR="00CA7016" w:rsidRPr="00A0513E" w:rsidRDefault="00CA7016" w:rsidP="00CA7016">
      <w:pPr>
        <w:pStyle w:val="NormalBulleted"/>
        <w:numPr>
          <w:ilvl w:val="0"/>
          <w:numId w:val="17"/>
        </w:numPr>
        <w:spacing w:before="120" w:after="60" w:line="240" w:lineRule="auto"/>
        <w:ind w:right="142"/>
        <w:contextualSpacing w:val="0"/>
      </w:pPr>
      <w:r w:rsidRPr="00A0513E">
        <w:t>The current Schedule is difficult to apply due to the lack of clinical information accompanying requests. Members identified that up to 30 per cent of requests had inadequate clinical information to determine which specific tests are required. Unnecessary and/or additional tests may be performed at a cost to the laboratories.</w:t>
      </w:r>
    </w:p>
    <w:p w14:paraId="2CA0543C"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The current hepatitis items 69475, 69478 and 69481 are used to fund blood tests used to detect current or past infection by </w:t>
      </w:r>
      <w:r>
        <w:t xml:space="preserve">the </w:t>
      </w:r>
      <w:r w:rsidRPr="00A0513E">
        <w:t>hepatitis A, B, C or D</w:t>
      </w:r>
      <w:r>
        <w:t xml:space="preserve"> virus</w:t>
      </w:r>
      <w:r w:rsidRPr="00A0513E">
        <w:t>. They are used to diagnose suspected acute hepatitis, for sexually transmi</w:t>
      </w:r>
      <w:r>
        <w:t xml:space="preserve">ssible </w:t>
      </w:r>
      <w:r w:rsidRPr="00A0513E">
        <w:t xml:space="preserve">disease screening, determining immunity </w:t>
      </w:r>
      <w:r>
        <w:t xml:space="preserve">after </w:t>
      </w:r>
      <w:r w:rsidRPr="00A0513E">
        <w:t>immunisation or natural infection and for antenatal screening. However, the hepatitis virus panel can screen blood samples for antibodies and antigens of more than one kind of hepatitis virus at the same time. In addition to these tests, there are also molecular tests to determine the level and activity of the hepatitis B and C viruses.</w:t>
      </w:r>
    </w:p>
    <w:p w14:paraId="1DCC5C2A" w14:textId="77777777" w:rsidR="00CA7016" w:rsidRPr="00A0513E" w:rsidRDefault="00CA7016" w:rsidP="00CA7016">
      <w:pPr>
        <w:pStyle w:val="NormalBulleted"/>
        <w:numPr>
          <w:ilvl w:val="0"/>
          <w:numId w:val="17"/>
        </w:numPr>
        <w:spacing w:before="120" w:after="60" w:line="240" w:lineRule="auto"/>
        <w:ind w:right="142"/>
        <w:contextualSpacing w:val="0"/>
      </w:pPr>
      <w:r w:rsidRPr="00A0513E">
        <w:t>National guidelines outline diagnostic strategies for acute and chronic hepatitis B and hepatitis</w:t>
      </w:r>
      <w:r>
        <w:t> </w:t>
      </w:r>
      <w:r w:rsidRPr="00A0513E">
        <w:t>C and identify the priority populations for testing and th</w:t>
      </w:r>
      <w:r>
        <w:t>e associated testing protocols.</w:t>
      </w:r>
      <w:r w:rsidRPr="00A0513E">
        <w:fldChar w:fldCharType="begin"/>
      </w:r>
      <w:r w:rsidR="00AB00BA">
        <w:instrText xml:space="preserve"> ADDIN EN.CITE &lt;EndNote&gt;&lt;Cite&gt;&lt;Year&gt;2015&lt;/Year&gt;&lt;RecNum&gt;17&lt;/RecNum&gt;&lt;DisplayText&gt; [17, [18]&lt;/DisplayText&gt;&lt;record&gt;&lt;rec-number&gt;17&lt;/rec-number&gt;&lt;foreign-keys&gt;&lt;key app="EN" db-id="9rerxxddifw5xaewxvlxffw2vsfzrarx0vva" timestamp="1506991293"&gt;17&lt;/key&gt;&lt;/foreign-keys&gt;&lt;ref-type name="Report"&gt;27&lt;/ref-type&gt;&lt;contributors&gt;&lt;authors&gt;&lt;author&gt;National Hepatitis B Virus (HBV) Testing Policy Expert Reference Committee,&lt;/author&gt;&lt;/authors&gt;&lt;/contributors&gt;&lt;titles&gt;&lt;title&gt;National Hepatitis B Testing Policy v1.2&lt;/title&gt;&lt;/titles&gt;&lt;dates&gt;&lt;year&gt;2015&lt;/year&gt;&lt;/dates&gt;&lt;pub-location&gt;Canberra&lt;/pub-location&gt;&lt;publisher&gt;Australian Government Department of Health&lt;/publisher&gt;&lt;urls&gt;&lt;related-urls&gt;&lt;url&gt;http://testingportal.ashm.org.au/hbv&lt;/url&gt;&lt;/related-urls&gt;&lt;/urls&gt;&lt;access-date&gt;30 June 2017&lt;/access-date&gt;&lt;/record&gt;&lt;/Cite&gt;&lt;Cite&gt;&lt;Author&gt;Department of Health&lt;/Author&gt;&lt;Year&gt;2014&lt;/Year&gt;&lt;RecNum&gt;18&lt;/RecNum&gt;&lt;record&gt;&lt;rec-number&gt;18&lt;/rec-number&gt;&lt;foreign-keys&gt;&lt;key app="EN" db-id="9rerxxddifw5xaewxvlxffw2vsfzrarx0vva" timestamp="1506991294"&gt;18&lt;/key&gt;&lt;/foreign-keys&gt;&lt;ref-type name="Report"&gt;27&lt;/ref-type&gt;&lt;contributors&gt;&lt;authors&gt;&lt;author&gt;Department of Health, &lt;/author&gt;&lt;/authors&gt;&lt;/contributors&gt;&lt;titles&gt;&lt;title&gt;Fourth National Hepatitis C Strategy 2014–2017&lt;/title&gt;&lt;/titles&gt;&lt;dates&gt;&lt;year&gt;2014&lt;/year&gt;&lt;/dates&gt;&lt;pub-location&gt;Canberra&lt;/pub-location&gt;&lt;publisher&gt;Australian Government&lt;/publisher&gt;&lt;urls&gt;&lt;related-urls&gt;&lt;url&gt;http://www.health.gov.au/internet/main/publishing.nsf/content/ohp-bbvs-hepc&lt;/url&gt;&lt;/related-urls&gt;&lt;/urls&gt;&lt;access-date&gt;30 June 2017&lt;/access-date&gt;&lt;/record&gt;&lt;/Cite&gt;&lt;/EndNote&gt;</w:instrText>
      </w:r>
      <w:r w:rsidRPr="00A0513E">
        <w:fldChar w:fldCharType="separate"/>
      </w:r>
      <w:r w:rsidR="00EE147F">
        <w:rPr>
          <w:noProof/>
        </w:rPr>
        <w:t xml:space="preserve"> [17</w:t>
      </w:r>
      <w:r w:rsidR="00DB6544">
        <w:rPr>
          <w:noProof/>
        </w:rPr>
        <w:t>]</w:t>
      </w:r>
      <w:r w:rsidR="00EE147F">
        <w:rPr>
          <w:noProof/>
        </w:rPr>
        <w:t>, [18]</w:t>
      </w:r>
      <w:r w:rsidRPr="00A0513E">
        <w:fldChar w:fldCharType="end"/>
      </w:r>
    </w:p>
    <w:p w14:paraId="43F86CFB"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Broader testing will enable improved management of hepatitis B in </w:t>
      </w:r>
      <w:r w:rsidR="00B01AE9" w:rsidRPr="00A0513E">
        <w:t xml:space="preserve">patients </w:t>
      </w:r>
      <w:r w:rsidR="00B01AE9">
        <w:t xml:space="preserve">who are </w:t>
      </w:r>
      <w:r w:rsidR="00B01AE9" w:rsidRPr="00A0513E">
        <w:t>hepatitis</w:t>
      </w:r>
      <w:r w:rsidR="00B01AE9">
        <w:t> </w:t>
      </w:r>
      <w:r w:rsidRPr="00A0513E">
        <w:t>C</w:t>
      </w:r>
      <w:r w:rsidR="00B01AE9">
        <w:t xml:space="preserve"> </w:t>
      </w:r>
      <w:r w:rsidRPr="00A0513E">
        <w:t>positive by identifying those who require hepatitis B immunisation</w:t>
      </w:r>
      <w:r w:rsidR="00B01AE9">
        <w:t>;</w:t>
      </w:r>
      <w:r w:rsidR="00B01AE9" w:rsidRPr="00A0513E">
        <w:t xml:space="preserve"> </w:t>
      </w:r>
      <w:r w:rsidRPr="00A0513E">
        <w:t>identif</w:t>
      </w:r>
      <w:r w:rsidR="00B01AE9">
        <w:t>ying</w:t>
      </w:r>
      <w:r w:rsidRPr="00A0513E">
        <w:t xml:space="preserve"> </w:t>
      </w:r>
      <w:r>
        <w:t xml:space="preserve">hepatitis D virus </w:t>
      </w:r>
      <w:r w:rsidRPr="00A0513E">
        <w:t>status</w:t>
      </w:r>
      <w:r>
        <w:t>,</w:t>
      </w:r>
      <w:r w:rsidRPr="00A0513E">
        <w:t xml:space="preserve"> which is associated with more severe disease</w:t>
      </w:r>
      <w:r w:rsidR="00B01AE9">
        <w:t>;</w:t>
      </w:r>
      <w:r w:rsidR="00B01AE9" w:rsidRPr="00A0513E">
        <w:t xml:space="preserve"> </w:t>
      </w:r>
      <w:r w:rsidRPr="00A0513E">
        <w:t>and improv</w:t>
      </w:r>
      <w:r w:rsidR="00B01AE9">
        <w:t>ing</w:t>
      </w:r>
      <w:r w:rsidRPr="00A0513E">
        <w:t xml:space="preserve"> identification of hepatitis B reactivation in immunosuppressed patients. These changes will be more convenient </w:t>
      </w:r>
      <w:r>
        <w:t xml:space="preserve">for patients, </w:t>
      </w:r>
      <w:r w:rsidRPr="00A0513E">
        <w:t xml:space="preserve">as </w:t>
      </w:r>
      <w:r>
        <w:t xml:space="preserve">they </w:t>
      </w:r>
      <w:r w:rsidRPr="00A0513E">
        <w:t>will limit the need to present to GPs for follow-up tests and will help ensure patients are</w:t>
      </w:r>
      <w:r>
        <w:t xml:space="preserve"> </w:t>
      </w:r>
      <w:r w:rsidRPr="00A0513E">
        <w:t>n</w:t>
      </w:r>
      <w:r>
        <w:t>o</w:t>
      </w:r>
      <w:r w:rsidRPr="00A0513E">
        <w:t xml:space="preserve">t lost to follow-up. </w:t>
      </w:r>
    </w:p>
    <w:p w14:paraId="2C79BC17"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Historically hepatitis E has not been a common infection in Australia and </w:t>
      </w:r>
      <w:r w:rsidR="00B01AE9">
        <w:t xml:space="preserve">is </w:t>
      </w:r>
      <w:r w:rsidRPr="00A0513E">
        <w:t>usually related to overseas travel, but recently non-travel</w:t>
      </w:r>
      <w:r>
        <w:t>-</w:t>
      </w:r>
      <w:r w:rsidRPr="00A0513E">
        <w:t>related cases have been increasing in number.</w:t>
      </w:r>
      <w:r w:rsidRPr="00A0513E">
        <w:fldChar w:fldCharType="begin"/>
      </w:r>
      <w:r w:rsidR="00861FFC">
        <w:instrText xml:space="preserve"> ADDIN EN.CITE &lt;EndNote&gt;&lt;Cite&gt;&lt;Author&gt;Doyle&lt;/Author&gt;&lt;Year&gt;2016&lt;/Year&gt;&lt;RecNum&gt;19&lt;/RecNum&gt;&lt;DisplayText&gt; [19]&lt;/DisplayText&gt;&lt;record&gt;&lt;rec-number&gt;19&lt;/rec-number&gt;&lt;foreign-keys&gt;&lt;key app="EN" db-id="9rerxxddifw5xaewxvlxffw2vsfzrarx0vva" timestamp="1506991296"&gt;19&lt;/key&gt;&lt;/foreign-keys&gt;&lt;ref-type name="Journal Article"&gt;17&lt;/ref-type&gt;&lt;contributors&gt;&lt;authors&gt;&lt;author&gt;Doyle, J. S.&lt;/author&gt;&lt;author&gt;Thompson, A. J.&lt;/author&gt;&lt;/authors&gt;&lt;/contributors&gt;&lt;auth-address&gt;St Vincent&amp;apos;s Hospital, Melbourne, VIC alexander.thompson@svhm.org.au.&amp;#xD;St Vincent&amp;apos;s Hospital, Melbourne, VIC.&lt;/auth-address&gt;&lt;titles&gt;&lt;title&gt;Local transmission of hepatitis E virus in Australia: implications for clinicians and public health&lt;/title&gt;&lt;secondary-title&gt;Medical Journal of Australia&lt;/secondary-title&gt;&lt;alt-title&gt;The Medical journal of Australia&lt;/alt-title&gt;&lt;/titles&gt;&lt;alt-periodical&gt;&lt;full-title&gt;Med J Aust&lt;/full-title&gt;&lt;abbr-1&gt;The Medical journal of Australia&lt;/abbr-1&gt;&lt;/alt-periodical&gt;&lt;pages&gt;254&lt;/pages&gt;&lt;volume&gt;204&lt;/volume&gt;&lt;number&gt;7&lt;/number&gt;&lt;edition&gt;2016/04/15&lt;/edition&gt;&lt;keywords&gt;&lt;keyword&gt;Australia&lt;/keyword&gt;&lt;keyword&gt;Hepatitis E/virology&lt;/keyword&gt;&lt;keyword&gt;*Hepatitis E virus&lt;/keyword&gt;&lt;keyword&gt;Humans&lt;/keyword&gt;&lt;keyword&gt;*Public Health&lt;/keyword&gt;&lt;/keywords&gt;&lt;dates&gt;&lt;year&gt;2016&lt;/year&gt;&lt;pub-dates&gt;&lt;date&gt;Apr 18&lt;/date&gt;&lt;/pub-dates&gt;&lt;/dates&gt;&lt;isbn&gt;0025-729x&lt;/isbn&gt;&lt;accession-num&gt;27078590&lt;/accession-num&gt;&lt;urls&gt;&lt;/urls&gt;&lt;remote-database-provider&gt;NLM&lt;/remote-database-provider&gt;&lt;language&gt;eng&lt;/language&gt;&lt;access-date&gt;30 June 2017&lt;/access-date&gt;&lt;/record&gt;&lt;/Cite&gt;&lt;/EndNote&gt;</w:instrText>
      </w:r>
      <w:r w:rsidRPr="00A0513E">
        <w:fldChar w:fldCharType="separate"/>
      </w:r>
      <w:r w:rsidR="00EE147F">
        <w:rPr>
          <w:noProof/>
        </w:rPr>
        <w:t xml:space="preserve"> [19]</w:t>
      </w:r>
      <w:r w:rsidRPr="00A0513E">
        <w:fldChar w:fldCharType="end"/>
      </w:r>
      <w:r w:rsidRPr="00A0513E">
        <w:t xml:space="preserve"> The Committee recommended that this be added to the suite of tests available in the hepatitis serology item, to ensure it is less likely to be overlooked, if clinically indicated. It is a particularly severe infection in pregnant women. Currently hepatitis E testing would be funded via the serology item number 69384. </w:t>
      </w:r>
    </w:p>
    <w:p w14:paraId="55318F34" w14:textId="77777777" w:rsidR="00CA7016" w:rsidRDefault="00CA7016" w:rsidP="00CA7016">
      <w:pPr>
        <w:pStyle w:val="NormalBulleted"/>
        <w:numPr>
          <w:ilvl w:val="0"/>
          <w:numId w:val="17"/>
        </w:numPr>
        <w:spacing w:before="120" w:after="60" w:line="240" w:lineRule="auto"/>
        <w:ind w:right="142"/>
        <w:contextualSpacing w:val="0"/>
      </w:pPr>
      <w:r w:rsidRPr="00A0513E">
        <w:t>Hepatitis testing regimens are complicated and confusing for GPs</w:t>
      </w:r>
      <w:r>
        <w:t>,</w:t>
      </w:r>
      <w:r w:rsidRPr="00A0513E">
        <w:t xml:space="preserve"> and education and information is required to ensure appropriate testing in relevant population groups. The Committee agreed that this is a priority area where decision support would be valuable to guide request</w:t>
      </w:r>
      <w:r>
        <w:t>e</w:t>
      </w:r>
      <w:r w:rsidRPr="00A0513E">
        <w:t>rs and ensure guidelines are utilised to encourage best practice.</w:t>
      </w:r>
    </w:p>
    <w:p w14:paraId="694F975A" w14:textId="77777777" w:rsidR="00CA7016" w:rsidRPr="0080261E" w:rsidRDefault="00CA7016" w:rsidP="00CA7016">
      <w:pPr>
        <w:pStyle w:val="01squarebullet"/>
      </w:pPr>
      <w:r w:rsidRPr="0080261E">
        <w:t>It is unlikely the patient population will change significantly as a result of the recommended revisions (i.e. there is no reason that there would be an increase in requests for testing in low</w:t>
      </w:r>
      <w:r>
        <w:t>-risk</w:t>
      </w:r>
      <w:r w:rsidRPr="0080261E">
        <w:t xml:space="preserve"> populations). </w:t>
      </w:r>
    </w:p>
    <w:p w14:paraId="2D6E5341" w14:textId="77777777" w:rsidR="00CA7016" w:rsidRPr="0080261E" w:rsidRDefault="00CA7016" w:rsidP="00CA7016">
      <w:pPr>
        <w:pStyle w:val="01squarebullet"/>
      </w:pPr>
      <w:r w:rsidRPr="0080261E">
        <w:lastRenderedPageBreak/>
        <w:t xml:space="preserve">As hepatitis B </w:t>
      </w:r>
      <w:proofErr w:type="spellStart"/>
      <w:r w:rsidRPr="0080261E">
        <w:t>immunisation</w:t>
      </w:r>
      <w:proofErr w:type="spellEnd"/>
      <w:r w:rsidRPr="0080261E">
        <w:t xml:space="preserve"> increases in Australia, with currently up to 95% of children </w:t>
      </w:r>
      <w:proofErr w:type="spellStart"/>
      <w:r w:rsidRPr="0080261E">
        <w:t>immunised</w:t>
      </w:r>
      <w:proofErr w:type="spellEnd"/>
      <w:r w:rsidRPr="0080261E">
        <w:t xml:space="preserve"> by 24 months, there should be lower rates of hepatitis B infection in the community and a consequent reduction in the need to test for the infection.</w:t>
      </w:r>
      <w:r>
        <w:fldChar w:fldCharType="begin"/>
      </w:r>
      <w:r w:rsidR="00EE147F">
        <w:instrText xml:space="preserve"> ADDIN EN.CITE &lt;EndNote&gt;&lt;Cite&gt;&lt;Author&gt;Department of Health&lt;/Author&gt;&lt;Year&gt;2014&lt;/Year&gt;&lt;RecNum&gt;20&lt;/RecNum&gt;&lt;DisplayText&gt; [20]&lt;/DisplayText&gt;&lt;record&gt;&lt;rec-number&gt;20&lt;/rec-number&gt;&lt;foreign-keys&gt;&lt;key app="EN" db-id="9rerxxddifw5xaewxvlxffw2vsfzrarx0vva" timestamp="1506991297"&gt;20&lt;/key&gt;&lt;/foreign-keys&gt;&lt;ref-type name="Web Page"&gt;12&lt;/ref-type&gt;&lt;contributors&gt;&lt;authors&gt;&lt;author&gt;Department of Health,&lt;/author&gt;&lt;/authors&gt;&lt;/contributors&gt;&lt;titles&gt;&lt;title&gt;Immunisation coverage annual report&lt;/title&gt;&lt;/titles&gt;&lt;number&gt;12 July 2017&lt;/number&gt;&lt;dates&gt;&lt;year&gt;2014&lt;/year&gt;&lt;/dates&gt;&lt;pub-location&gt;Canberra&lt;/pub-location&gt;&lt;publisher&gt;Australian Government &lt;/publisher&gt;&lt;urls&gt;&lt;related-urls&gt;&lt;url&gt;http://www.health.gov.au/internet/main/publishing.nsf/Content/cda-cdi4101j.htm&lt;/url&gt;&lt;/related-urls&gt;&lt;/urls&gt;&lt;/record&gt;&lt;/Cite&gt;&lt;/EndNote&gt;</w:instrText>
      </w:r>
      <w:r>
        <w:fldChar w:fldCharType="separate"/>
      </w:r>
      <w:r w:rsidR="00EE147F">
        <w:rPr>
          <w:noProof/>
        </w:rPr>
        <w:t xml:space="preserve"> [20]</w:t>
      </w:r>
      <w:r>
        <w:fldChar w:fldCharType="end"/>
      </w:r>
    </w:p>
    <w:p w14:paraId="7C7CAC3E" w14:textId="77777777" w:rsidR="00CA7016" w:rsidRPr="00A0513E" w:rsidRDefault="00CA7016" w:rsidP="00CA7016">
      <w:pPr>
        <w:pStyle w:val="01squarebullet"/>
      </w:pPr>
      <w:r w:rsidRPr="0080261E">
        <w:t xml:space="preserve">There will be an increase in hepatitis E testing in line with guideline recommendations, independent of the Committee’s recommendations. Claiming for new items for detection of hepatitis E would be partially counterbalanced by a reduction in current claiming via the serology items. </w:t>
      </w:r>
    </w:p>
    <w:p w14:paraId="55E8B93D" w14:textId="77777777" w:rsidR="00CA7016" w:rsidRPr="00A0513E" w:rsidRDefault="00CA7016" w:rsidP="00CA7016">
      <w:pPr>
        <w:pStyle w:val="Heading2"/>
      </w:pPr>
      <w:bookmarkStart w:id="240" w:name="_Ref487787565"/>
      <w:bookmarkStart w:id="241" w:name="_Ref487787847"/>
      <w:bookmarkStart w:id="242" w:name="_Ref487788319"/>
      <w:bookmarkStart w:id="243" w:name="_Ref487788328"/>
      <w:bookmarkStart w:id="244" w:name="_Ref487790648"/>
      <w:bookmarkStart w:id="245" w:name="_Toc12886574"/>
      <w:r w:rsidRPr="00A0513E">
        <w:t>Serology items/EBV</w:t>
      </w:r>
      <w:bookmarkEnd w:id="240"/>
      <w:bookmarkEnd w:id="241"/>
      <w:bookmarkEnd w:id="242"/>
      <w:bookmarkEnd w:id="243"/>
      <w:bookmarkEnd w:id="244"/>
      <w:bookmarkEnd w:id="245"/>
    </w:p>
    <w:p w14:paraId="5C173698" w14:textId="77777777" w:rsidR="00CA7016" w:rsidRPr="00B96BC0" w:rsidRDefault="00CA7016" w:rsidP="00CA7016">
      <w:pPr>
        <w:pStyle w:val="Caption"/>
      </w:pPr>
      <w:bookmarkStart w:id="246" w:name="_Toc484598354"/>
      <w:bookmarkStart w:id="247" w:name="_Toc486935615"/>
      <w:bookmarkStart w:id="248" w:name="_Toc12953468"/>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D45EA8">
        <w:rPr>
          <w:noProof/>
        </w:rPr>
        <w:t>18</w:t>
      </w:r>
      <w:r w:rsidR="00BB490A">
        <w:rPr>
          <w:noProof/>
        </w:rPr>
        <w:fldChar w:fldCharType="end"/>
      </w:r>
      <w:r>
        <w:t xml:space="preserve">: </w:t>
      </w:r>
      <w:r w:rsidRPr="00B96BC0">
        <w:t>Item introduction table for items 69384</w:t>
      </w:r>
      <w:r>
        <w:t>–</w:t>
      </w:r>
      <w:r w:rsidRPr="00B96BC0">
        <w:t>69401, 69472 and 69474</w:t>
      </w:r>
      <w:bookmarkEnd w:id="246"/>
      <w:bookmarkEnd w:id="247"/>
      <w:bookmarkEnd w:id="248"/>
    </w:p>
    <w:tbl>
      <w:tblPr>
        <w:tblStyle w:val="TableGrid2"/>
        <w:tblW w:w="0" w:type="auto"/>
        <w:tblLayout w:type="fixed"/>
        <w:tblLook w:val="04A0" w:firstRow="1" w:lastRow="0" w:firstColumn="1" w:lastColumn="0" w:noHBand="0" w:noVBand="1"/>
        <w:tblDescription w:val="This table lists Item numbers, Long item descriptors, Schedule fees, Benefits for FY 2014–15, Services for FY 2014–15, Patient count 2014–15, and 5-year service change (CAGR) for serology/EBV items.&#10;"/>
      </w:tblPr>
      <w:tblGrid>
        <w:gridCol w:w="737"/>
        <w:gridCol w:w="2802"/>
        <w:gridCol w:w="1020"/>
        <w:gridCol w:w="1217"/>
        <w:gridCol w:w="1204"/>
        <w:gridCol w:w="937"/>
        <w:gridCol w:w="1099"/>
      </w:tblGrid>
      <w:tr w:rsidR="00CA7016" w:rsidRPr="00B96BC0" w14:paraId="34D67CB2" w14:textId="77777777" w:rsidTr="003C3F6A">
        <w:trPr>
          <w:trHeight w:val="729"/>
          <w:tblHeader/>
        </w:trPr>
        <w:tc>
          <w:tcPr>
            <w:tcW w:w="737" w:type="dxa"/>
            <w:shd w:val="clear" w:color="auto" w:fill="EEECE1" w:themeFill="background2"/>
            <w:vAlign w:val="bottom"/>
            <w:hideMark/>
          </w:tcPr>
          <w:p w14:paraId="01965278" w14:textId="77777777" w:rsidR="00CA7016" w:rsidRPr="00A0513E" w:rsidRDefault="00CA7016" w:rsidP="003C3F6A">
            <w:pPr>
              <w:pStyle w:val="01Tableheaderrow"/>
            </w:pPr>
            <w:r w:rsidRPr="00A0513E">
              <w:t>Item</w:t>
            </w:r>
          </w:p>
        </w:tc>
        <w:tc>
          <w:tcPr>
            <w:tcW w:w="2802" w:type="dxa"/>
            <w:shd w:val="clear" w:color="auto" w:fill="EEECE1" w:themeFill="background2"/>
            <w:vAlign w:val="bottom"/>
            <w:hideMark/>
          </w:tcPr>
          <w:p w14:paraId="7EE6729F" w14:textId="77777777" w:rsidR="00CA7016" w:rsidRPr="00A0513E" w:rsidRDefault="00CA7016" w:rsidP="003C3F6A">
            <w:pPr>
              <w:pStyle w:val="01Tableheaderrow"/>
            </w:pPr>
            <w:r w:rsidRPr="00A0513E">
              <w:t>Long item descriptor</w:t>
            </w:r>
          </w:p>
        </w:tc>
        <w:tc>
          <w:tcPr>
            <w:tcW w:w="1020" w:type="dxa"/>
            <w:shd w:val="clear" w:color="auto" w:fill="EEECE1" w:themeFill="background2"/>
            <w:vAlign w:val="bottom"/>
            <w:hideMark/>
          </w:tcPr>
          <w:p w14:paraId="69C84455" w14:textId="77777777" w:rsidR="00CA7016" w:rsidRPr="00A67521" w:rsidRDefault="00CA7016" w:rsidP="003C3F6A">
            <w:pPr>
              <w:pStyle w:val="01Tableheaderrow"/>
            </w:pPr>
            <w:r w:rsidRPr="00940AFD">
              <w:t>Schedule fee</w:t>
            </w:r>
          </w:p>
        </w:tc>
        <w:tc>
          <w:tcPr>
            <w:tcW w:w="1217" w:type="dxa"/>
            <w:shd w:val="clear" w:color="auto" w:fill="EEECE1" w:themeFill="background2"/>
            <w:vAlign w:val="bottom"/>
            <w:hideMark/>
          </w:tcPr>
          <w:p w14:paraId="42F25EF3" w14:textId="77777777" w:rsidR="00CA7016" w:rsidRPr="00A67521" w:rsidRDefault="00CA7016" w:rsidP="003C3F6A">
            <w:pPr>
              <w:pStyle w:val="01Tableheaderrow"/>
            </w:pPr>
            <w:r w:rsidRPr="00FF2BBA">
              <w:t xml:space="preserve">Benefits </w:t>
            </w:r>
            <w:r>
              <w:br/>
            </w:r>
            <w:r w:rsidRPr="00FF2BBA">
              <w:t>FY 2014–15</w:t>
            </w:r>
          </w:p>
        </w:tc>
        <w:tc>
          <w:tcPr>
            <w:tcW w:w="1204" w:type="dxa"/>
            <w:shd w:val="clear" w:color="auto" w:fill="EEECE1" w:themeFill="background2"/>
            <w:vAlign w:val="bottom"/>
            <w:hideMark/>
          </w:tcPr>
          <w:p w14:paraId="67316398" w14:textId="77777777" w:rsidR="00CA7016" w:rsidRPr="00A67521" w:rsidRDefault="00CA7016" w:rsidP="003C3F6A">
            <w:pPr>
              <w:pStyle w:val="01Tableheaderrow"/>
            </w:pPr>
            <w:r w:rsidRPr="00FF2BBA">
              <w:t xml:space="preserve">Services </w:t>
            </w:r>
            <w:r>
              <w:br/>
            </w:r>
            <w:r w:rsidRPr="00FF2BBA">
              <w:t>FY 2014–15</w:t>
            </w:r>
          </w:p>
        </w:tc>
        <w:tc>
          <w:tcPr>
            <w:tcW w:w="937" w:type="dxa"/>
            <w:shd w:val="clear" w:color="auto" w:fill="EEECE1" w:themeFill="background2"/>
            <w:vAlign w:val="bottom"/>
            <w:hideMark/>
          </w:tcPr>
          <w:p w14:paraId="6CC6BDD2" w14:textId="77777777" w:rsidR="00CA7016" w:rsidRPr="00A67521" w:rsidRDefault="00CA7016" w:rsidP="003C3F6A">
            <w:pPr>
              <w:pStyle w:val="01Tableheaderrow"/>
            </w:pPr>
            <w:r w:rsidRPr="00FF2BBA">
              <w:t>Patient count 2014–15</w:t>
            </w:r>
          </w:p>
        </w:tc>
        <w:tc>
          <w:tcPr>
            <w:tcW w:w="1099" w:type="dxa"/>
            <w:shd w:val="clear" w:color="auto" w:fill="EEECE1" w:themeFill="background2"/>
            <w:vAlign w:val="bottom"/>
            <w:hideMark/>
          </w:tcPr>
          <w:p w14:paraId="1F6D07F1" w14:textId="77777777" w:rsidR="00CA7016" w:rsidRPr="00A67521" w:rsidRDefault="00CA7016" w:rsidP="003C3F6A">
            <w:pPr>
              <w:pStyle w:val="01Tableheaderrow"/>
            </w:pPr>
            <w:r w:rsidRPr="00FF2BBA">
              <w:t xml:space="preserve">5-year </w:t>
            </w:r>
            <w:r>
              <w:t>service change (CAGR)</w:t>
            </w:r>
          </w:p>
        </w:tc>
      </w:tr>
      <w:tr w:rsidR="00CA7016" w:rsidRPr="00B96BC0" w14:paraId="38B3C077" w14:textId="77777777" w:rsidTr="003C3F6A">
        <w:trPr>
          <w:trHeight w:val="300"/>
        </w:trPr>
        <w:tc>
          <w:tcPr>
            <w:tcW w:w="737" w:type="dxa"/>
            <w:noWrap/>
            <w:hideMark/>
          </w:tcPr>
          <w:p w14:paraId="237A91D5" w14:textId="77777777" w:rsidR="00CA7016" w:rsidRPr="00A0513E" w:rsidRDefault="00CA7016" w:rsidP="003C3F6A">
            <w:pPr>
              <w:pStyle w:val="02Tabletext"/>
            </w:pPr>
            <w:bookmarkStart w:id="249" w:name="_Hlk485160466"/>
            <w:r w:rsidRPr="00A0513E">
              <w:t>69384</w:t>
            </w:r>
          </w:p>
        </w:tc>
        <w:tc>
          <w:tcPr>
            <w:tcW w:w="2802" w:type="dxa"/>
            <w:noWrap/>
            <w:hideMark/>
          </w:tcPr>
          <w:p w14:paraId="303951B3" w14:textId="77777777" w:rsidR="00CA7016" w:rsidRPr="00A0513E" w:rsidRDefault="00CA7016" w:rsidP="003C3F6A">
            <w:pPr>
              <w:pStyle w:val="02Tabletext"/>
            </w:pPr>
            <w:r w:rsidRPr="00A0513E">
              <w:t>Quantitation of 1 antibody to microbial antigens not elsewhere described in the Schedule - 1 test (This fee applies where a laboratory performs the only antibody test specified on the request form or performs 1 test and refers the rest to the laboratory of a separate APA) (Item is subject to rule 6)</w:t>
            </w:r>
          </w:p>
        </w:tc>
        <w:tc>
          <w:tcPr>
            <w:tcW w:w="1020" w:type="dxa"/>
            <w:noWrap/>
            <w:hideMark/>
          </w:tcPr>
          <w:p w14:paraId="22001825" w14:textId="77777777" w:rsidR="00CA7016" w:rsidRPr="00A0513E" w:rsidRDefault="00CA7016" w:rsidP="003C3F6A">
            <w:pPr>
              <w:pStyle w:val="02Tabletext"/>
              <w:jc w:val="right"/>
            </w:pPr>
            <w:r w:rsidRPr="00A0513E">
              <w:t>$15.65</w:t>
            </w:r>
          </w:p>
        </w:tc>
        <w:tc>
          <w:tcPr>
            <w:tcW w:w="1217" w:type="dxa"/>
            <w:noWrap/>
            <w:hideMark/>
          </w:tcPr>
          <w:p w14:paraId="78AB0E4B" w14:textId="77777777" w:rsidR="00CA7016" w:rsidRPr="00A0513E" w:rsidRDefault="00CA7016" w:rsidP="003C3F6A">
            <w:pPr>
              <w:pStyle w:val="02Tabletext"/>
              <w:jc w:val="right"/>
            </w:pPr>
            <w:r w:rsidRPr="00A0513E">
              <w:t>$4,065,863</w:t>
            </w:r>
          </w:p>
        </w:tc>
        <w:tc>
          <w:tcPr>
            <w:tcW w:w="1204" w:type="dxa"/>
            <w:noWrap/>
            <w:hideMark/>
          </w:tcPr>
          <w:p w14:paraId="55503EB1" w14:textId="77777777" w:rsidR="00CA7016" w:rsidRPr="00A0513E" w:rsidRDefault="00CA7016" w:rsidP="003C3F6A">
            <w:pPr>
              <w:pStyle w:val="02Tabletext"/>
              <w:jc w:val="right"/>
            </w:pPr>
            <w:r w:rsidRPr="00A0513E">
              <w:t>306</w:t>
            </w:r>
            <w:r>
              <w:t xml:space="preserve"> </w:t>
            </w:r>
            <w:r w:rsidRPr="00A0513E">
              <w:t>233</w:t>
            </w:r>
          </w:p>
        </w:tc>
        <w:tc>
          <w:tcPr>
            <w:tcW w:w="937" w:type="dxa"/>
            <w:noWrap/>
            <w:hideMark/>
          </w:tcPr>
          <w:p w14:paraId="0281F86D" w14:textId="77777777" w:rsidR="00CA7016" w:rsidRPr="00A0513E" w:rsidRDefault="00CA7016" w:rsidP="003C3F6A">
            <w:pPr>
              <w:pStyle w:val="02Tabletext"/>
              <w:jc w:val="right"/>
            </w:pPr>
            <w:r w:rsidRPr="00A0513E">
              <w:t>286</w:t>
            </w:r>
            <w:r>
              <w:t xml:space="preserve"> </w:t>
            </w:r>
            <w:r w:rsidRPr="00A0513E">
              <w:t>530</w:t>
            </w:r>
          </w:p>
        </w:tc>
        <w:tc>
          <w:tcPr>
            <w:tcW w:w="1099" w:type="dxa"/>
            <w:noWrap/>
            <w:hideMark/>
          </w:tcPr>
          <w:p w14:paraId="4F242532" w14:textId="77777777" w:rsidR="00CA7016" w:rsidRPr="00A0513E" w:rsidRDefault="00CA7016" w:rsidP="003C3F6A">
            <w:pPr>
              <w:pStyle w:val="02Tabletext"/>
              <w:jc w:val="right"/>
            </w:pPr>
            <w:r w:rsidRPr="00A0513E">
              <w:t>1.5%</w:t>
            </w:r>
          </w:p>
        </w:tc>
      </w:tr>
      <w:tr w:rsidR="00CA7016" w:rsidRPr="00B96BC0" w14:paraId="7A1FC7CE" w14:textId="77777777" w:rsidTr="003C3F6A">
        <w:trPr>
          <w:trHeight w:val="300"/>
        </w:trPr>
        <w:tc>
          <w:tcPr>
            <w:tcW w:w="737" w:type="dxa"/>
            <w:noWrap/>
            <w:hideMark/>
          </w:tcPr>
          <w:p w14:paraId="62EB62C8" w14:textId="77777777" w:rsidR="00CA7016" w:rsidRPr="00A0513E" w:rsidRDefault="00CA7016" w:rsidP="003C3F6A">
            <w:pPr>
              <w:pStyle w:val="02Tabletext"/>
            </w:pPr>
            <w:bookmarkStart w:id="250" w:name="_Hlk489531702"/>
            <w:r w:rsidRPr="00A0513E">
              <w:t>69387</w:t>
            </w:r>
          </w:p>
        </w:tc>
        <w:tc>
          <w:tcPr>
            <w:tcW w:w="2802" w:type="dxa"/>
            <w:noWrap/>
            <w:hideMark/>
          </w:tcPr>
          <w:p w14:paraId="7B396C6B" w14:textId="77777777" w:rsidR="00CA7016" w:rsidRPr="00A0513E" w:rsidRDefault="00CA7016" w:rsidP="003C3F6A">
            <w:pPr>
              <w:pStyle w:val="02Tabletext"/>
            </w:pPr>
            <w:r w:rsidRPr="00A0513E">
              <w:t>2 tests described in item 69384 (This fee applies where 1 laboratory, or more than 1 laboratory belonging to the same APA, performs 2 of the antibody estimations specified on the request form and refers the remainder to the laboratory of a separate APA.) (Item is subject to rule 6)</w:t>
            </w:r>
          </w:p>
        </w:tc>
        <w:tc>
          <w:tcPr>
            <w:tcW w:w="1020" w:type="dxa"/>
            <w:noWrap/>
            <w:hideMark/>
          </w:tcPr>
          <w:p w14:paraId="650135F0" w14:textId="77777777" w:rsidR="00CA7016" w:rsidRPr="00A0513E" w:rsidRDefault="00CA7016" w:rsidP="003C3F6A">
            <w:pPr>
              <w:pStyle w:val="02Tabletext"/>
              <w:jc w:val="right"/>
            </w:pPr>
            <w:r w:rsidRPr="00A0513E">
              <w:t>$29.00</w:t>
            </w:r>
          </w:p>
        </w:tc>
        <w:tc>
          <w:tcPr>
            <w:tcW w:w="1217" w:type="dxa"/>
            <w:noWrap/>
            <w:hideMark/>
          </w:tcPr>
          <w:p w14:paraId="7A7F15C5" w14:textId="77777777" w:rsidR="00CA7016" w:rsidRPr="00A0513E" w:rsidRDefault="00CA7016" w:rsidP="003C3F6A">
            <w:pPr>
              <w:pStyle w:val="02Tabletext"/>
              <w:jc w:val="right"/>
            </w:pPr>
            <w:r w:rsidRPr="00A0513E">
              <w:t>$13,795,061</w:t>
            </w:r>
          </w:p>
        </w:tc>
        <w:tc>
          <w:tcPr>
            <w:tcW w:w="1204" w:type="dxa"/>
            <w:noWrap/>
            <w:hideMark/>
          </w:tcPr>
          <w:p w14:paraId="787321BF" w14:textId="77777777" w:rsidR="00CA7016" w:rsidRPr="00A0513E" w:rsidRDefault="00CA7016" w:rsidP="003C3F6A">
            <w:pPr>
              <w:pStyle w:val="02Tabletext"/>
              <w:jc w:val="right"/>
            </w:pPr>
            <w:r w:rsidRPr="00A0513E">
              <w:t>558</w:t>
            </w:r>
            <w:r>
              <w:t xml:space="preserve"> </w:t>
            </w:r>
            <w:r w:rsidRPr="00A0513E">
              <w:t>456</w:t>
            </w:r>
          </w:p>
        </w:tc>
        <w:tc>
          <w:tcPr>
            <w:tcW w:w="937" w:type="dxa"/>
            <w:noWrap/>
            <w:hideMark/>
          </w:tcPr>
          <w:p w14:paraId="73E28DE6" w14:textId="77777777" w:rsidR="00CA7016" w:rsidRPr="00A0513E" w:rsidRDefault="00CA7016" w:rsidP="003C3F6A">
            <w:pPr>
              <w:pStyle w:val="02Tabletext"/>
              <w:jc w:val="right"/>
            </w:pPr>
            <w:r w:rsidRPr="00A0513E">
              <w:t>509</w:t>
            </w:r>
            <w:r>
              <w:t xml:space="preserve"> </w:t>
            </w:r>
            <w:r w:rsidRPr="00A0513E">
              <w:t>768</w:t>
            </w:r>
          </w:p>
        </w:tc>
        <w:tc>
          <w:tcPr>
            <w:tcW w:w="1099" w:type="dxa"/>
            <w:noWrap/>
            <w:hideMark/>
          </w:tcPr>
          <w:p w14:paraId="556AB7F3" w14:textId="77777777" w:rsidR="00CA7016" w:rsidRPr="00A0513E" w:rsidRDefault="00CA7016" w:rsidP="003C3F6A">
            <w:pPr>
              <w:pStyle w:val="02Tabletext"/>
              <w:jc w:val="right"/>
            </w:pPr>
            <w:r w:rsidRPr="00A0513E">
              <w:t>7.2%</w:t>
            </w:r>
          </w:p>
        </w:tc>
      </w:tr>
      <w:bookmarkEnd w:id="250"/>
      <w:tr w:rsidR="00CA7016" w:rsidRPr="00B96BC0" w14:paraId="1C3F375B" w14:textId="77777777" w:rsidTr="003C3F6A">
        <w:trPr>
          <w:trHeight w:val="300"/>
        </w:trPr>
        <w:tc>
          <w:tcPr>
            <w:tcW w:w="737" w:type="dxa"/>
            <w:noWrap/>
            <w:hideMark/>
          </w:tcPr>
          <w:p w14:paraId="30412492" w14:textId="77777777" w:rsidR="00CA7016" w:rsidRPr="00A0513E" w:rsidRDefault="00CA7016" w:rsidP="003C3F6A">
            <w:pPr>
              <w:pStyle w:val="02Tabletext"/>
            </w:pPr>
            <w:r w:rsidRPr="00A0513E">
              <w:t>69390</w:t>
            </w:r>
          </w:p>
        </w:tc>
        <w:tc>
          <w:tcPr>
            <w:tcW w:w="2802" w:type="dxa"/>
            <w:noWrap/>
            <w:hideMark/>
          </w:tcPr>
          <w:p w14:paraId="4E24BCE5" w14:textId="77777777" w:rsidR="00CA7016" w:rsidRPr="00A0513E" w:rsidRDefault="00CA7016" w:rsidP="003C3F6A">
            <w:pPr>
              <w:pStyle w:val="02Tabletext"/>
            </w:pPr>
            <w:r w:rsidRPr="00A0513E">
              <w:t>3 tests described in item 69384 (This fee applies where 1 laboratory, or more than 1 laboratory belonging to the same APA, performs 3 of the antibody estimations specified on the request form and refers the remainder to the laboratory of a separate APA.) (Item is subject to rule 6)</w:t>
            </w:r>
          </w:p>
        </w:tc>
        <w:tc>
          <w:tcPr>
            <w:tcW w:w="1020" w:type="dxa"/>
            <w:noWrap/>
            <w:hideMark/>
          </w:tcPr>
          <w:p w14:paraId="726F7E72" w14:textId="77777777" w:rsidR="00CA7016" w:rsidRPr="00A0513E" w:rsidRDefault="00CA7016" w:rsidP="003C3F6A">
            <w:pPr>
              <w:pStyle w:val="02Tabletext"/>
              <w:jc w:val="right"/>
            </w:pPr>
            <w:r w:rsidRPr="00A0513E">
              <w:t>$42.35</w:t>
            </w:r>
          </w:p>
        </w:tc>
        <w:tc>
          <w:tcPr>
            <w:tcW w:w="1217" w:type="dxa"/>
            <w:noWrap/>
            <w:hideMark/>
          </w:tcPr>
          <w:p w14:paraId="3A52D2C7" w14:textId="77777777" w:rsidR="00CA7016" w:rsidRPr="00A0513E" w:rsidRDefault="00CA7016" w:rsidP="003C3F6A">
            <w:pPr>
              <w:pStyle w:val="02Tabletext"/>
              <w:jc w:val="right"/>
            </w:pPr>
            <w:r w:rsidRPr="00A0513E">
              <w:t>$5,448,447</w:t>
            </w:r>
          </w:p>
        </w:tc>
        <w:tc>
          <w:tcPr>
            <w:tcW w:w="1204" w:type="dxa"/>
            <w:noWrap/>
            <w:hideMark/>
          </w:tcPr>
          <w:p w14:paraId="166CDD69" w14:textId="77777777" w:rsidR="00CA7016" w:rsidRPr="00A0513E" w:rsidRDefault="00CA7016" w:rsidP="003C3F6A">
            <w:pPr>
              <w:pStyle w:val="02Tabletext"/>
              <w:jc w:val="right"/>
            </w:pPr>
            <w:r w:rsidRPr="00A0513E">
              <w:t>150</w:t>
            </w:r>
            <w:r>
              <w:t xml:space="preserve"> </w:t>
            </w:r>
            <w:r w:rsidRPr="00A0513E">
              <w:t>524</w:t>
            </w:r>
          </w:p>
        </w:tc>
        <w:tc>
          <w:tcPr>
            <w:tcW w:w="937" w:type="dxa"/>
            <w:noWrap/>
            <w:hideMark/>
          </w:tcPr>
          <w:p w14:paraId="6976B2B3" w14:textId="77777777" w:rsidR="00CA7016" w:rsidRPr="00A0513E" w:rsidRDefault="00CA7016" w:rsidP="003C3F6A">
            <w:pPr>
              <w:pStyle w:val="02Tabletext"/>
              <w:jc w:val="right"/>
            </w:pPr>
            <w:r w:rsidRPr="00A0513E">
              <w:t>145</w:t>
            </w:r>
            <w:r>
              <w:t xml:space="preserve"> </w:t>
            </w:r>
            <w:r w:rsidRPr="00A0513E">
              <w:t>206</w:t>
            </w:r>
          </w:p>
        </w:tc>
        <w:tc>
          <w:tcPr>
            <w:tcW w:w="1099" w:type="dxa"/>
            <w:noWrap/>
            <w:hideMark/>
          </w:tcPr>
          <w:p w14:paraId="09B267A7" w14:textId="77777777" w:rsidR="00CA7016" w:rsidRPr="00A0513E" w:rsidRDefault="00CA7016" w:rsidP="003C3F6A">
            <w:pPr>
              <w:pStyle w:val="02Tabletext"/>
              <w:jc w:val="right"/>
            </w:pPr>
            <w:r w:rsidRPr="00A0513E">
              <w:t>-0.6%</w:t>
            </w:r>
          </w:p>
        </w:tc>
      </w:tr>
      <w:tr w:rsidR="00CA7016" w:rsidRPr="00B96BC0" w14:paraId="7E237990" w14:textId="77777777" w:rsidTr="003C3F6A">
        <w:trPr>
          <w:trHeight w:val="300"/>
        </w:trPr>
        <w:tc>
          <w:tcPr>
            <w:tcW w:w="737" w:type="dxa"/>
            <w:noWrap/>
            <w:hideMark/>
          </w:tcPr>
          <w:p w14:paraId="403B4EB0" w14:textId="77777777" w:rsidR="00CA7016" w:rsidRPr="00A0513E" w:rsidRDefault="00CA7016" w:rsidP="003C3F6A">
            <w:pPr>
              <w:pStyle w:val="02Tabletext"/>
            </w:pPr>
            <w:r w:rsidRPr="00A0513E">
              <w:t>69393</w:t>
            </w:r>
          </w:p>
        </w:tc>
        <w:tc>
          <w:tcPr>
            <w:tcW w:w="2802" w:type="dxa"/>
            <w:noWrap/>
            <w:hideMark/>
          </w:tcPr>
          <w:p w14:paraId="3E468B5B" w14:textId="77777777" w:rsidR="00CA7016" w:rsidRPr="00A0513E" w:rsidRDefault="00CA7016" w:rsidP="003C3F6A">
            <w:pPr>
              <w:pStyle w:val="02Tabletext"/>
            </w:pPr>
            <w:r w:rsidRPr="00A0513E">
              <w:t>4 tests described in item 69384 (This fee applies where 1 laboratory, or more than 1 laboratory belonging to the same APA, performs 4 of the antibody estimations specified on the request form and refers the remainder to the laboratory of a separate APA.) (Item is subject to rule 6)</w:t>
            </w:r>
          </w:p>
        </w:tc>
        <w:tc>
          <w:tcPr>
            <w:tcW w:w="1020" w:type="dxa"/>
            <w:noWrap/>
            <w:hideMark/>
          </w:tcPr>
          <w:p w14:paraId="335CFE99" w14:textId="77777777" w:rsidR="00CA7016" w:rsidRPr="00A0513E" w:rsidRDefault="00CA7016" w:rsidP="003C3F6A">
            <w:pPr>
              <w:pStyle w:val="02Tabletext"/>
              <w:jc w:val="right"/>
            </w:pPr>
            <w:r w:rsidRPr="00A0513E">
              <w:t>$55.70</w:t>
            </w:r>
          </w:p>
        </w:tc>
        <w:tc>
          <w:tcPr>
            <w:tcW w:w="1217" w:type="dxa"/>
            <w:noWrap/>
            <w:hideMark/>
          </w:tcPr>
          <w:p w14:paraId="119FF393" w14:textId="77777777" w:rsidR="00CA7016" w:rsidRPr="00A0513E" w:rsidRDefault="00CA7016" w:rsidP="003C3F6A">
            <w:pPr>
              <w:pStyle w:val="02Tabletext"/>
              <w:jc w:val="right"/>
            </w:pPr>
            <w:r w:rsidRPr="00A0513E">
              <w:t>$12,471,988</w:t>
            </w:r>
          </w:p>
        </w:tc>
        <w:tc>
          <w:tcPr>
            <w:tcW w:w="1204" w:type="dxa"/>
            <w:noWrap/>
            <w:hideMark/>
          </w:tcPr>
          <w:p w14:paraId="40500686" w14:textId="77777777" w:rsidR="00CA7016" w:rsidRPr="00A0513E" w:rsidRDefault="00CA7016" w:rsidP="003C3F6A">
            <w:pPr>
              <w:pStyle w:val="02Tabletext"/>
              <w:jc w:val="right"/>
            </w:pPr>
            <w:r w:rsidRPr="00A0513E">
              <w:t>262</w:t>
            </w:r>
            <w:r>
              <w:t xml:space="preserve"> </w:t>
            </w:r>
            <w:r w:rsidRPr="00A0513E">
              <w:t>162</w:t>
            </w:r>
          </w:p>
        </w:tc>
        <w:tc>
          <w:tcPr>
            <w:tcW w:w="937" w:type="dxa"/>
            <w:noWrap/>
            <w:hideMark/>
          </w:tcPr>
          <w:p w14:paraId="59171E64" w14:textId="77777777" w:rsidR="00CA7016" w:rsidRPr="00A0513E" w:rsidRDefault="00CA7016" w:rsidP="003C3F6A">
            <w:pPr>
              <w:pStyle w:val="02Tabletext"/>
              <w:jc w:val="right"/>
            </w:pPr>
            <w:r w:rsidRPr="00A0513E">
              <w:t>252</w:t>
            </w:r>
            <w:r>
              <w:t xml:space="preserve"> </w:t>
            </w:r>
            <w:r w:rsidRPr="00A0513E">
              <w:t>822</w:t>
            </w:r>
          </w:p>
        </w:tc>
        <w:tc>
          <w:tcPr>
            <w:tcW w:w="1099" w:type="dxa"/>
            <w:noWrap/>
            <w:hideMark/>
          </w:tcPr>
          <w:p w14:paraId="66F5C8C1" w14:textId="77777777" w:rsidR="00CA7016" w:rsidRPr="00A0513E" w:rsidRDefault="00CA7016" w:rsidP="003C3F6A">
            <w:pPr>
              <w:pStyle w:val="02Tabletext"/>
              <w:jc w:val="right"/>
            </w:pPr>
            <w:r w:rsidRPr="00A0513E">
              <w:t>8.2%</w:t>
            </w:r>
          </w:p>
        </w:tc>
      </w:tr>
      <w:tr w:rsidR="00CA7016" w:rsidRPr="00B96BC0" w14:paraId="2840ADB2" w14:textId="77777777" w:rsidTr="003C3F6A">
        <w:trPr>
          <w:trHeight w:val="300"/>
        </w:trPr>
        <w:tc>
          <w:tcPr>
            <w:tcW w:w="737" w:type="dxa"/>
            <w:noWrap/>
            <w:hideMark/>
          </w:tcPr>
          <w:p w14:paraId="31FB8745" w14:textId="77777777" w:rsidR="00CA7016" w:rsidRPr="00A0513E" w:rsidRDefault="00CA7016" w:rsidP="003C3F6A">
            <w:pPr>
              <w:pStyle w:val="02Tabletext"/>
            </w:pPr>
            <w:r w:rsidRPr="00A0513E">
              <w:t>69396</w:t>
            </w:r>
          </w:p>
        </w:tc>
        <w:tc>
          <w:tcPr>
            <w:tcW w:w="2802" w:type="dxa"/>
            <w:noWrap/>
            <w:hideMark/>
          </w:tcPr>
          <w:p w14:paraId="19812295" w14:textId="77777777" w:rsidR="00CA7016" w:rsidRPr="00A0513E" w:rsidRDefault="00CA7016" w:rsidP="003C3F6A">
            <w:pPr>
              <w:pStyle w:val="02Tabletext"/>
            </w:pPr>
            <w:r w:rsidRPr="00A0513E">
              <w:t xml:space="preserve">5 or more tests described in item 69384 (This fee applies where 1 laboratory, or more than 1 laboratory belonging to the same APA, performs 5 of </w:t>
            </w:r>
            <w:r w:rsidRPr="00A0513E">
              <w:lastRenderedPageBreak/>
              <w:t>the antibody tests specified on the request form and refers the remainder to the laboratory of a separate APA.) (Item is subject to rule 6)</w:t>
            </w:r>
          </w:p>
        </w:tc>
        <w:tc>
          <w:tcPr>
            <w:tcW w:w="1020" w:type="dxa"/>
            <w:noWrap/>
            <w:hideMark/>
          </w:tcPr>
          <w:p w14:paraId="0A1870AB" w14:textId="77777777" w:rsidR="00CA7016" w:rsidRPr="00A0513E" w:rsidRDefault="00CA7016" w:rsidP="003C3F6A">
            <w:pPr>
              <w:pStyle w:val="02Tabletext"/>
              <w:jc w:val="right"/>
            </w:pPr>
            <w:r w:rsidRPr="00A0513E">
              <w:lastRenderedPageBreak/>
              <w:t>$69.10</w:t>
            </w:r>
          </w:p>
        </w:tc>
        <w:tc>
          <w:tcPr>
            <w:tcW w:w="1217" w:type="dxa"/>
            <w:noWrap/>
            <w:hideMark/>
          </w:tcPr>
          <w:p w14:paraId="66A70EFC" w14:textId="77777777" w:rsidR="00CA7016" w:rsidRPr="00A0513E" w:rsidRDefault="00CA7016" w:rsidP="003C3F6A">
            <w:pPr>
              <w:pStyle w:val="02Tabletext"/>
              <w:jc w:val="right"/>
            </w:pPr>
            <w:r w:rsidRPr="00A0513E">
              <w:t>$11,548,218</w:t>
            </w:r>
          </w:p>
        </w:tc>
        <w:tc>
          <w:tcPr>
            <w:tcW w:w="1204" w:type="dxa"/>
            <w:noWrap/>
            <w:hideMark/>
          </w:tcPr>
          <w:p w14:paraId="31F6C299" w14:textId="77777777" w:rsidR="00CA7016" w:rsidRPr="00A0513E" w:rsidRDefault="00CA7016" w:rsidP="003C3F6A">
            <w:pPr>
              <w:pStyle w:val="02Tabletext"/>
              <w:jc w:val="right"/>
            </w:pPr>
            <w:r w:rsidRPr="00A0513E">
              <w:t>196</w:t>
            </w:r>
            <w:r>
              <w:t xml:space="preserve"> </w:t>
            </w:r>
            <w:r w:rsidRPr="00A0513E">
              <w:t>598</w:t>
            </w:r>
          </w:p>
        </w:tc>
        <w:tc>
          <w:tcPr>
            <w:tcW w:w="937" w:type="dxa"/>
            <w:noWrap/>
            <w:hideMark/>
          </w:tcPr>
          <w:p w14:paraId="62943462" w14:textId="77777777" w:rsidR="00CA7016" w:rsidRPr="00A0513E" w:rsidRDefault="00CA7016" w:rsidP="003C3F6A">
            <w:pPr>
              <w:pStyle w:val="02Tabletext"/>
              <w:jc w:val="right"/>
            </w:pPr>
            <w:r w:rsidRPr="00A0513E">
              <w:t>187</w:t>
            </w:r>
            <w:r>
              <w:t xml:space="preserve"> </w:t>
            </w:r>
            <w:r w:rsidRPr="00A0513E">
              <w:t>762</w:t>
            </w:r>
          </w:p>
        </w:tc>
        <w:tc>
          <w:tcPr>
            <w:tcW w:w="1099" w:type="dxa"/>
            <w:noWrap/>
            <w:hideMark/>
          </w:tcPr>
          <w:p w14:paraId="6AAA7468" w14:textId="77777777" w:rsidR="00CA7016" w:rsidRPr="00A0513E" w:rsidRDefault="00CA7016" w:rsidP="003C3F6A">
            <w:pPr>
              <w:pStyle w:val="02Tabletext"/>
              <w:jc w:val="right"/>
            </w:pPr>
            <w:r w:rsidRPr="00A0513E">
              <w:t>2.8%</w:t>
            </w:r>
          </w:p>
        </w:tc>
      </w:tr>
      <w:tr w:rsidR="00CA7016" w:rsidRPr="00B96BC0" w14:paraId="6CC52510" w14:textId="77777777" w:rsidTr="003C3F6A">
        <w:trPr>
          <w:trHeight w:val="300"/>
        </w:trPr>
        <w:tc>
          <w:tcPr>
            <w:tcW w:w="737" w:type="dxa"/>
            <w:noWrap/>
            <w:hideMark/>
          </w:tcPr>
          <w:p w14:paraId="54545F6D" w14:textId="77777777" w:rsidR="00CA7016" w:rsidRPr="00A0513E" w:rsidRDefault="00CA7016" w:rsidP="003C3F6A">
            <w:pPr>
              <w:pStyle w:val="02Tabletext"/>
            </w:pPr>
            <w:r w:rsidRPr="00A0513E">
              <w:t>69400</w:t>
            </w:r>
          </w:p>
        </w:tc>
        <w:tc>
          <w:tcPr>
            <w:tcW w:w="2802" w:type="dxa"/>
            <w:noWrap/>
            <w:hideMark/>
          </w:tcPr>
          <w:p w14:paraId="43DDC9AA" w14:textId="77777777" w:rsidR="00CA7016" w:rsidRPr="00A0513E" w:rsidRDefault="00CA7016" w:rsidP="003C3F6A">
            <w:pPr>
              <w:pStyle w:val="02Tabletext"/>
            </w:pPr>
            <w:r w:rsidRPr="00A0513E">
              <w:t>A test described in item 69384, if rendered by a receiving APP, where no tests in the item have been rendered by the referring APP - 1 test (Item is subject to rules 6 and 18)</w:t>
            </w:r>
          </w:p>
        </w:tc>
        <w:tc>
          <w:tcPr>
            <w:tcW w:w="1020" w:type="dxa"/>
            <w:noWrap/>
            <w:hideMark/>
          </w:tcPr>
          <w:p w14:paraId="2E8E5C45" w14:textId="77777777" w:rsidR="00CA7016" w:rsidRPr="00A0513E" w:rsidRDefault="00CA7016" w:rsidP="003C3F6A">
            <w:pPr>
              <w:pStyle w:val="02Tabletext"/>
              <w:jc w:val="right"/>
            </w:pPr>
            <w:r w:rsidRPr="00A0513E">
              <w:t>$15.65</w:t>
            </w:r>
          </w:p>
        </w:tc>
        <w:tc>
          <w:tcPr>
            <w:tcW w:w="1217" w:type="dxa"/>
            <w:noWrap/>
            <w:hideMark/>
          </w:tcPr>
          <w:p w14:paraId="267690EB" w14:textId="77777777" w:rsidR="00CA7016" w:rsidRPr="00A0513E" w:rsidRDefault="00CA7016" w:rsidP="003C3F6A">
            <w:pPr>
              <w:pStyle w:val="02Tabletext"/>
              <w:jc w:val="right"/>
            </w:pPr>
            <w:r w:rsidRPr="00A0513E">
              <w:t>$534,573</w:t>
            </w:r>
          </w:p>
        </w:tc>
        <w:tc>
          <w:tcPr>
            <w:tcW w:w="1204" w:type="dxa"/>
            <w:noWrap/>
            <w:hideMark/>
          </w:tcPr>
          <w:p w14:paraId="2DA256A6" w14:textId="77777777" w:rsidR="00CA7016" w:rsidRPr="00A0513E" w:rsidRDefault="00CA7016" w:rsidP="003C3F6A">
            <w:pPr>
              <w:pStyle w:val="02Tabletext"/>
              <w:jc w:val="right"/>
            </w:pPr>
            <w:r w:rsidRPr="00A0513E">
              <w:t>40</w:t>
            </w:r>
            <w:r>
              <w:t xml:space="preserve"> </w:t>
            </w:r>
            <w:r w:rsidRPr="00A0513E">
              <w:t>122</w:t>
            </w:r>
          </w:p>
        </w:tc>
        <w:tc>
          <w:tcPr>
            <w:tcW w:w="937" w:type="dxa"/>
            <w:noWrap/>
            <w:hideMark/>
          </w:tcPr>
          <w:p w14:paraId="47E2D886" w14:textId="77777777" w:rsidR="00CA7016" w:rsidRPr="00A0513E" w:rsidRDefault="00CA7016" w:rsidP="003C3F6A">
            <w:pPr>
              <w:pStyle w:val="02Tabletext"/>
              <w:jc w:val="right"/>
            </w:pPr>
            <w:r w:rsidRPr="00A0513E">
              <w:t>36</w:t>
            </w:r>
            <w:r>
              <w:t xml:space="preserve"> </w:t>
            </w:r>
            <w:r w:rsidRPr="00A0513E">
              <w:t>471</w:t>
            </w:r>
          </w:p>
        </w:tc>
        <w:tc>
          <w:tcPr>
            <w:tcW w:w="1099" w:type="dxa"/>
            <w:noWrap/>
            <w:hideMark/>
          </w:tcPr>
          <w:p w14:paraId="64996BB0" w14:textId="77777777" w:rsidR="00CA7016" w:rsidRPr="00A0513E" w:rsidRDefault="00B01AE9" w:rsidP="003C3F6A">
            <w:pPr>
              <w:pStyle w:val="02Tabletext"/>
              <w:jc w:val="right"/>
            </w:pPr>
            <w:r>
              <w:t>–</w:t>
            </w:r>
            <w:r w:rsidR="00CA7016" w:rsidRPr="00A0513E">
              <w:t>10.7%</w:t>
            </w:r>
          </w:p>
        </w:tc>
      </w:tr>
      <w:tr w:rsidR="00CA7016" w:rsidRPr="00B96BC0" w14:paraId="6AC2F8BA" w14:textId="77777777" w:rsidTr="003C3F6A">
        <w:trPr>
          <w:trHeight w:val="300"/>
        </w:trPr>
        <w:tc>
          <w:tcPr>
            <w:tcW w:w="737" w:type="dxa"/>
            <w:noWrap/>
            <w:hideMark/>
          </w:tcPr>
          <w:p w14:paraId="622BC6C1" w14:textId="77777777" w:rsidR="00CA7016" w:rsidRPr="00A0513E" w:rsidRDefault="00CA7016" w:rsidP="003C3F6A">
            <w:pPr>
              <w:pStyle w:val="02Tabletext"/>
            </w:pPr>
            <w:r w:rsidRPr="00A0513E">
              <w:t>69401</w:t>
            </w:r>
          </w:p>
        </w:tc>
        <w:tc>
          <w:tcPr>
            <w:tcW w:w="2802" w:type="dxa"/>
            <w:noWrap/>
            <w:hideMark/>
          </w:tcPr>
          <w:p w14:paraId="4474C257" w14:textId="77777777" w:rsidR="00CA7016" w:rsidRPr="00A0513E" w:rsidRDefault="00CA7016" w:rsidP="003C3F6A">
            <w:pPr>
              <w:pStyle w:val="02Tabletext"/>
            </w:pPr>
            <w:r w:rsidRPr="00A0513E">
              <w:t>A test described in item 69384, other than that described in 69400, if rendered by a receiving APP - each test to a maximum of 4 tests (Item is subject to rule 6, 18 and 18A)</w:t>
            </w:r>
          </w:p>
        </w:tc>
        <w:tc>
          <w:tcPr>
            <w:tcW w:w="1020" w:type="dxa"/>
            <w:noWrap/>
            <w:hideMark/>
          </w:tcPr>
          <w:p w14:paraId="4E50507B" w14:textId="77777777" w:rsidR="00CA7016" w:rsidRPr="00A0513E" w:rsidRDefault="00CA7016" w:rsidP="003C3F6A">
            <w:pPr>
              <w:pStyle w:val="02Tabletext"/>
              <w:jc w:val="right"/>
            </w:pPr>
            <w:r w:rsidRPr="00A0513E">
              <w:t>$13.35</w:t>
            </w:r>
          </w:p>
        </w:tc>
        <w:tc>
          <w:tcPr>
            <w:tcW w:w="1217" w:type="dxa"/>
            <w:noWrap/>
            <w:hideMark/>
          </w:tcPr>
          <w:p w14:paraId="7A2C6675" w14:textId="77777777" w:rsidR="00CA7016" w:rsidRPr="00A0513E" w:rsidRDefault="00CA7016" w:rsidP="003C3F6A">
            <w:pPr>
              <w:pStyle w:val="02Tabletext"/>
              <w:jc w:val="right"/>
            </w:pPr>
            <w:r w:rsidRPr="00A0513E">
              <w:t>$1,843,790</w:t>
            </w:r>
          </w:p>
        </w:tc>
        <w:tc>
          <w:tcPr>
            <w:tcW w:w="1204" w:type="dxa"/>
            <w:noWrap/>
            <w:hideMark/>
          </w:tcPr>
          <w:p w14:paraId="1463864D" w14:textId="77777777" w:rsidR="00CA7016" w:rsidRPr="00A0513E" w:rsidRDefault="00CA7016" w:rsidP="003C3F6A">
            <w:pPr>
              <w:pStyle w:val="02Tabletext"/>
              <w:jc w:val="right"/>
            </w:pPr>
            <w:r w:rsidRPr="00A0513E">
              <w:t>162</w:t>
            </w:r>
            <w:r>
              <w:t xml:space="preserve"> </w:t>
            </w:r>
            <w:r w:rsidRPr="00A0513E">
              <w:t>836</w:t>
            </w:r>
          </w:p>
        </w:tc>
        <w:tc>
          <w:tcPr>
            <w:tcW w:w="937" w:type="dxa"/>
            <w:noWrap/>
            <w:hideMark/>
          </w:tcPr>
          <w:p w14:paraId="4923EBBF" w14:textId="77777777" w:rsidR="00CA7016" w:rsidRPr="00A0513E" w:rsidRDefault="00CA7016" w:rsidP="003C3F6A">
            <w:pPr>
              <w:pStyle w:val="02Tabletext"/>
              <w:jc w:val="right"/>
            </w:pPr>
            <w:r w:rsidRPr="00A0513E">
              <w:t>66</w:t>
            </w:r>
            <w:r>
              <w:t xml:space="preserve"> </w:t>
            </w:r>
            <w:r w:rsidRPr="00A0513E">
              <w:t>978</w:t>
            </w:r>
          </w:p>
        </w:tc>
        <w:tc>
          <w:tcPr>
            <w:tcW w:w="1099" w:type="dxa"/>
            <w:noWrap/>
            <w:hideMark/>
          </w:tcPr>
          <w:p w14:paraId="0217EBF0" w14:textId="77777777" w:rsidR="00CA7016" w:rsidRPr="00A0513E" w:rsidRDefault="00CA7016" w:rsidP="003C3F6A">
            <w:pPr>
              <w:pStyle w:val="02Tabletext"/>
              <w:jc w:val="right"/>
            </w:pPr>
            <w:r w:rsidRPr="00A0513E">
              <w:t>4.1%</w:t>
            </w:r>
          </w:p>
        </w:tc>
      </w:tr>
      <w:tr w:rsidR="00CA7016" w:rsidRPr="00B96BC0" w14:paraId="2CD4D973" w14:textId="77777777" w:rsidTr="003C3F6A">
        <w:trPr>
          <w:trHeight w:val="300"/>
        </w:trPr>
        <w:tc>
          <w:tcPr>
            <w:tcW w:w="737" w:type="dxa"/>
            <w:noWrap/>
            <w:hideMark/>
          </w:tcPr>
          <w:p w14:paraId="54CCEDA9" w14:textId="77777777" w:rsidR="00CA7016" w:rsidRPr="00A0513E" w:rsidRDefault="00CA7016" w:rsidP="003C3F6A">
            <w:pPr>
              <w:pStyle w:val="02Tabletext"/>
            </w:pPr>
            <w:bookmarkStart w:id="251" w:name="_Hlk485160624"/>
            <w:bookmarkEnd w:id="249"/>
            <w:r w:rsidRPr="00A0513E">
              <w:t>69472</w:t>
            </w:r>
          </w:p>
        </w:tc>
        <w:tc>
          <w:tcPr>
            <w:tcW w:w="2802" w:type="dxa"/>
            <w:noWrap/>
            <w:hideMark/>
          </w:tcPr>
          <w:p w14:paraId="54C64110" w14:textId="77777777" w:rsidR="00CA7016" w:rsidRPr="00A0513E" w:rsidRDefault="00CA7016" w:rsidP="003C3F6A">
            <w:pPr>
              <w:pStyle w:val="02Tabletext"/>
            </w:pPr>
            <w:r w:rsidRPr="00A0513E">
              <w:t>Detection of antibodies to Epstein Barr Virus using specific serology - 1 test</w:t>
            </w:r>
          </w:p>
        </w:tc>
        <w:tc>
          <w:tcPr>
            <w:tcW w:w="1020" w:type="dxa"/>
            <w:noWrap/>
            <w:hideMark/>
          </w:tcPr>
          <w:p w14:paraId="54BAE664" w14:textId="77777777" w:rsidR="00CA7016" w:rsidRPr="00A0513E" w:rsidRDefault="00CA7016" w:rsidP="003C3F6A">
            <w:pPr>
              <w:pStyle w:val="02Tabletext"/>
              <w:jc w:val="right"/>
            </w:pPr>
            <w:r w:rsidRPr="00A0513E">
              <w:t xml:space="preserve">$15.65 </w:t>
            </w:r>
          </w:p>
        </w:tc>
        <w:tc>
          <w:tcPr>
            <w:tcW w:w="1217" w:type="dxa"/>
            <w:noWrap/>
            <w:hideMark/>
          </w:tcPr>
          <w:p w14:paraId="21257388" w14:textId="77777777" w:rsidR="00CA7016" w:rsidRPr="00A0513E" w:rsidRDefault="00CA7016" w:rsidP="003C3F6A">
            <w:pPr>
              <w:pStyle w:val="02Tabletext"/>
              <w:jc w:val="right"/>
            </w:pPr>
            <w:r w:rsidRPr="00A0513E">
              <w:t>$71,926</w:t>
            </w:r>
          </w:p>
        </w:tc>
        <w:tc>
          <w:tcPr>
            <w:tcW w:w="1204" w:type="dxa"/>
            <w:noWrap/>
            <w:hideMark/>
          </w:tcPr>
          <w:p w14:paraId="34CDDCC8" w14:textId="77777777" w:rsidR="00CA7016" w:rsidRPr="00A0513E" w:rsidRDefault="00CA7016" w:rsidP="003C3F6A">
            <w:pPr>
              <w:pStyle w:val="02Tabletext"/>
              <w:jc w:val="right"/>
            </w:pPr>
            <w:r w:rsidRPr="00A0513E">
              <w:t>5</w:t>
            </w:r>
            <w:r>
              <w:t xml:space="preserve"> </w:t>
            </w:r>
            <w:r w:rsidRPr="00A0513E">
              <w:t>500</w:t>
            </w:r>
          </w:p>
        </w:tc>
        <w:tc>
          <w:tcPr>
            <w:tcW w:w="937" w:type="dxa"/>
            <w:noWrap/>
            <w:hideMark/>
          </w:tcPr>
          <w:p w14:paraId="589BBD38" w14:textId="77777777" w:rsidR="00CA7016" w:rsidRPr="00A0513E" w:rsidRDefault="00CA7016" w:rsidP="003C3F6A">
            <w:pPr>
              <w:pStyle w:val="02Tabletext"/>
              <w:jc w:val="right"/>
            </w:pPr>
            <w:r w:rsidRPr="00A0513E">
              <w:t>5</w:t>
            </w:r>
            <w:r>
              <w:t xml:space="preserve"> </w:t>
            </w:r>
            <w:r w:rsidRPr="00A0513E">
              <w:t>122</w:t>
            </w:r>
          </w:p>
        </w:tc>
        <w:tc>
          <w:tcPr>
            <w:tcW w:w="1099" w:type="dxa"/>
            <w:noWrap/>
            <w:hideMark/>
          </w:tcPr>
          <w:p w14:paraId="69B70201" w14:textId="77777777" w:rsidR="00CA7016" w:rsidRPr="00A0513E" w:rsidRDefault="00CA7016" w:rsidP="003C3F6A">
            <w:pPr>
              <w:pStyle w:val="02Tabletext"/>
              <w:jc w:val="right"/>
            </w:pPr>
            <w:r w:rsidRPr="00A0513E">
              <w:t>13.3%</w:t>
            </w:r>
          </w:p>
        </w:tc>
      </w:tr>
      <w:tr w:rsidR="00CA7016" w:rsidRPr="00B96BC0" w14:paraId="652296A2" w14:textId="77777777" w:rsidTr="003C3F6A">
        <w:trPr>
          <w:trHeight w:val="300"/>
        </w:trPr>
        <w:tc>
          <w:tcPr>
            <w:tcW w:w="737" w:type="dxa"/>
            <w:noWrap/>
            <w:hideMark/>
          </w:tcPr>
          <w:p w14:paraId="7CA6D8A1" w14:textId="77777777" w:rsidR="00CA7016" w:rsidRPr="00A0513E" w:rsidRDefault="00CA7016" w:rsidP="003C3F6A">
            <w:pPr>
              <w:pStyle w:val="02Tabletext"/>
            </w:pPr>
            <w:r w:rsidRPr="00A0513E">
              <w:t>69474</w:t>
            </w:r>
          </w:p>
        </w:tc>
        <w:tc>
          <w:tcPr>
            <w:tcW w:w="2802" w:type="dxa"/>
            <w:noWrap/>
            <w:hideMark/>
          </w:tcPr>
          <w:p w14:paraId="27D1A01C" w14:textId="77777777" w:rsidR="00CA7016" w:rsidRPr="00A0513E" w:rsidRDefault="00CA7016" w:rsidP="003C3F6A">
            <w:pPr>
              <w:pStyle w:val="02Tabletext"/>
            </w:pPr>
            <w:r w:rsidRPr="00A0513E">
              <w:t>Detection of antibodies to Epstein Barr Virus using specific serology - 2 or more tests</w:t>
            </w:r>
          </w:p>
        </w:tc>
        <w:tc>
          <w:tcPr>
            <w:tcW w:w="1020" w:type="dxa"/>
            <w:noWrap/>
            <w:hideMark/>
          </w:tcPr>
          <w:p w14:paraId="2FF82352" w14:textId="77777777" w:rsidR="00CA7016" w:rsidRPr="00A0513E" w:rsidRDefault="00CA7016" w:rsidP="003C3F6A">
            <w:pPr>
              <w:pStyle w:val="02Tabletext"/>
              <w:jc w:val="right"/>
            </w:pPr>
            <w:r w:rsidRPr="00A0513E">
              <w:t xml:space="preserve">$28.65 </w:t>
            </w:r>
          </w:p>
        </w:tc>
        <w:tc>
          <w:tcPr>
            <w:tcW w:w="1217" w:type="dxa"/>
            <w:noWrap/>
            <w:hideMark/>
          </w:tcPr>
          <w:p w14:paraId="5D6FCFC3" w14:textId="77777777" w:rsidR="00CA7016" w:rsidRPr="00A0513E" w:rsidRDefault="00CA7016" w:rsidP="003C3F6A">
            <w:pPr>
              <w:pStyle w:val="02Tabletext"/>
              <w:jc w:val="right"/>
            </w:pPr>
            <w:r w:rsidRPr="00A0513E">
              <w:t>$5,440,217</w:t>
            </w:r>
          </w:p>
        </w:tc>
        <w:tc>
          <w:tcPr>
            <w:tcW w:w="1204" w:type="dxa"/>
            <w:noWrap/>
            <w:hideMark/>
          </w:tcPr>
          <w:p w14:paraId="258256EA" w14:textId="77777777" w:rsidR="00CA7016" w:rsidRPr="00A0513E" w:rsidRDefault="00CA7016" w:rsidP="003C3F6A">
            <w:pPr>
              <w:pStyle w:val="02Tabletext"/>
              <w:jc w:val="right"/>
            </w:pPr>
            <w:r w:rsidRPr="00A0513E">
              <w:t>222</w:t>
            </w:r>
            <w:r>
              <w:t xml:space="preserve"> </w:t>
            </w:r>
            <w:r w:rsidRPr="00A0513E">
              <w:t>774</w:t>
            </w:r>
          </w:p>
        </w:tc>
        <w:tc>
          <w:tcPr>
            <w:tcW w:w="937" w:type="dxa"/>
            <w:noWrap/>
            <w:hideMark/>
          </w:tcPr>
          <w:p w14:paraId="144D1824" w14:textId="77777777" w:rsidR="00CA7016" w:rsidRPr="00A0513E" w:rsidRDefault="00CA7016" w:rsidP="003C3F6A">
            <w:pPr>
              <w:pStyle w:val="02Tabletext"/>
              <w:jc w:val="right"/>
            </w:pPr>
            <w:r w:rsidRPr="00A0513E">
              <w:t>212</w:t>
            </w:r>
            <w:r>
              <w:t xml:space="preserve"> </w:t>
            </w:r>
            <w:r w:rsidRPr="00A0513E">
              <w:t>132</w:t>
            </w:r>
          </w:p>
        </w:tc>
        <w:tc>
          <w:tcPr>
            <w:tcW w:w="1099" w:type="dxa"/>
            <w:noWrap/>
            <w:hideMark/>
          </w:tcPr>
          <w:p w14:paraId="6CA3DB57" w14:textId="77777777" w:rsidR="00CA7016" w:rsidRPr="00A0513E" w:rsidRDefault="00CA7016" w:rsidP="003C3F6A">
            <w:pPr>
              <w:pStyle w:val="02Tabletext"/>
              <w:jc w:val="right"/>
            </w:pPr>
            <w:r w:rsidRPr="00A0513E">
              <w:t>1.3%</w:t>
            </w:r>
          </w:p>
        </w:tc>
      </w:tr>
    </w:tbl>
    <w:p w14:paraId="7AF9B2C5" w14:textId="77777777" w:rsidR="00CA7016" w:rsidRPr="00A0513E" w:rsidRDefault="00CA7016" w:rsidP="00CA7016">
      <w:pPr>
        <w:pStyle w:val="Heading3"/>
      </w:pPr>
      <w:bookmarkStart w:id="252" w:name="_Toc12886575"/>
      <w:bookmarkEnd w:id="251"/>
      <w:r w:rsidRPr="00A0513E">
        <w:t xml:space="preserve">Recommendation </w:t>
      </w:r>
      <w:r>
        <w:t>10</w:t>
      </w:r>
      <w:bookmarkEnd w:id="252"/>
    </w:p>
    <w:p w14:paraId="584C1B50"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Re-instate the old serology item number 69399 for </w:t>
      </w:r>
      <w:r>
        <w:t>six</w:t>
      </w:r>
      <w:r w:rsidRPr="00A0513E">
        <w:t xml:space="preserve"> or more tests.</w:t>
      </w:r>
    </w:p>
    <w:p w14:paraId="7AC0ADB1" w14:textId="77777777" w:rsidR="00CA7016" w:rsidRPr="00A0513E" w:rsidRDefault="00CA7016" w:rsidP="00CA7016">
      <w:pPr>
        <w:pStyle w:val="NormalBulleted"/>
        <w:numPr>
          <w:ilvl w:val="0"/>
          <w:numId w:val="17"/>
        </w:numPr>
        <w:spacing w:before="120" w:after="60" w:line="240" w:lineRule="auto"/>
        <w:ind w:right="142"/>
        <w:contextualSpacing w:val="0"/>
      </w:pPr>
      <w:r w:rsidRPr="00A0513E">
        <w:t>Delete separate Epstein</w:t>
      </w:r>
      <w:r>
        <w:t>–</w:t>
      </w:r>
      <w:r w:rsidRPr="00A0513E">
        <w:t>Barr virus (EBV) items 69472 and 69474 and merge these into the serology items to simplify the Schedule.</w:t>
      </w:r>
    </w:p>
    <w:p w14:paraId="4CD45324"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Amend the descriptor of the serology items 69390, 69363 and 69396 to restrict the number of tests performed for EBV to </w:t>
      </w:r>
      <w:r>
        <w:t>two</w:t>
      </w:r>
      <w:r w:rsidRPr="00A0513E">
        <w:t xml:space="preserve"> tests only.</w:t>
      </w:r>
    </w:p>
    <w:p w14:paraId="08865F07" w14:textId="77777777" w:rsidR="00CA7016" w:rsidRPr="00A0513E" w:rsidRDefault="00CA7016" w:rsidP="00CA7016">
      <w:pPr>
        <w:pStyle w:val="NormalBulleted"/>
        <w:numPr>
          <w:ilvl w:val="0"/>
          <w:numId w:val="17"/>
        </w:numPr>
        <w:spacing w:before="120" w:after="60" w:line="240" w:lineRule="auto"/>
        <w:ind w:right="142"/>
        <w:contextualSpacing w:val="0"/>
      </w:pPr>
      <w:r w:rsidRPr="00A0513E">
        <w:t>No changes to item 69384, 69387, 69400 and 69401.</w:t>
      </w:r>
    </w:p>
    <w:p w14:paraId="25F845F1" w14:textId="77777777" w:rsidR="00CA7016" w:rsidRDefault="00CA7016" w:rsidP="00CA7016">
      <w:pPr>
        <w:pStyle w:val="Caption"/>
      </w:pPr>
      <w:bookmarkStart w:id="253" w:name="_Toc486935616"/>
      <w:bookmarkStart w:id="254" w:name="_Toc12953469"/>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D45EA8">
        <w:rPr>
          <w:noProof/>
        </w:rPr>
        <w:t>19</w:t>
      </w:r>
      <w:r w:rsidR="00BB490A">
        <w:rPr>
          <w:noProof/>
        </w:rPr>
        <w:fldChar w:fldCharType="end"/>
      </w:r>
      <w:r>
        <w:t xml:space="preserve">: Proposed changes to the serology items </w:t>
      </w:r>
      <w:r w:rsidRPr="00B96BC0">
        <w:t>69384-69401, 69472 and 69474</w:t>
      </w:r>
      <w:bookmarkEnd w:id="253"/>
      <w:bookmarkEnd w:id="254"/>
    </w:p>
    <w:tbl>
      <w:tblPr>
        <w:tblStyle w:val="TableGrid"/>
        <w:tblW w:w="0" w:type="auto"/>
        <w:tblLook w:val="04A0" w:firstRow="1" w:lastRow="0" w:firstColumn="1" w:lastColumn="0" w:noHBand="0" w:noVBand="1"/>
        <w:tblDescription w:val="This table lists Item numbers, Current descriptors, and Proposed changes to descriptors for serology/EBV items."/>
      </w:tblPr>
      <w:tblGrid>
        <w:gridCol w:w="988"/>
        <w:gridCol w:w="3969"/>
        <w:gridCol w:w="4059"/>
      </w:tblGrid>
      <w:tr w:rsidR="00CA7016" w:rsidRPr="00C34323" w14:paraId="609AD82B" w14:textId="77777777" w:rsidTr="003C3F6A">
        <w:trPr>
          <w:trHeight w:val="70"/>
          <w:tblHeader/>
        </w:trPr>
        <w:tc>
          <w:tcPr>
            <w:tcW w:w="988" w:type="dxa"/>
            <w:shd w:val="clear" w:color="auto" w:fill="EEECE1" w:themeFill="background2"/>
            <w:vAlign w:val="bottom"/>
          </w:tcPr>
          <w:p w14:paraId="40A00372" w14:textId="77777777" w:rsidR="00CA7016" w:rsidRPr="00A0513E" w:rsidRDefault="00CA7016" w:rsidP="003C3F6A">
            <w:pPr>
              <w:pStyle w:val="01Tableheaderrow"/>
            </w:pPr>
            <w:r w:rsidRPr="00A0513E">
              <w:t>Item</w:t>
            </w:r>
          </w:p>
        </w:tc>
        <w:tc>
          <w:tcPr>
            <w:tcW w:w="3969" w:type="dxa"/>
            <w:shd w:val="clear" w:color="auto" w:fill="EEECE1" w:themeFill="background2"/>
            <w:vAlign w:val="bottom"/>
          </w:tcPr>
          <w:p w14:paraId="55B0FE89" w14:textId="77777777" w:rsidR="00CA7016" w:rsidRPr="00A0513E" w:rsidRDefault="00CA7016" w:rsidP="003C3F6A">
            <w:pPr>
              <w:pStyle w:val="01Tableheaderrow"/>
            </w:pPr>
            <w:r w:rsidRPr="00A0513E">
              <w:t>Current descriptor</w:t>
            </w:r>
          </w:p>
        </w:tc>
        <w:tc>
          <w:tcPr>
            <w:tcW w:w="4059" w:type="dxa"/>
            <w:shd w:val="clear" w:color="auto" w:fill="EEECE1" w:themeFill="background2"/>
            <w:vAlign w:val="bottom"/>
          </w:tcPr>
          <w:p w14:paraId="0221AA9C" w14:textId="77777777" w:rsidR="00CA7016" w:rsidRPr="00A0513E" w:rsidRDefault="00CA7016" w:rsidP="003C3F6A">
            <w:pPr>
              <w:pStyle w:val="01Tableheaderrow"/>
            </w:pPr>
            <w:r w:rsidRPr="00A0513E">
              <w:t>Proposed change to descriptor</w:t>
            </w:r>
          </w:p>
        </w:tc>
      </w:tr>
      <w:tr w:rsidR="00CA7016" w:rsidRPr="00C34323" w14:paraId="240E211F" w14:textId="77777777" w:rsidTr="003C3F6A">
        <w:tc>
          <w:tcPr>
            <w:tcW w:w="988" w:type="dxa"/>
          </w:tcPr>
          <w:p w14:paraId="2F63DDFD" w14:textId="77777777" w:rsidR="00CA7016" w:rsidRPr="00A0513E" w:rsidRDefault="00CA7016" w:rsidP="003C3F6A">
            <w:pPr>
              <w:pStyle w:val="02Tabletext"/>
            </w:pPr>
            <w:r w:rsidRPr="00A0513E">
              <w:t>69384</w:t>
            </w:r>
          </w:p>
        </w:tc>
        <w:tc>
          <w:tcPr>
            <w:tcW w:w="3969" w:type="dxa"/>
          </w:tcPr>
          <w:p w14:paraId="254800C3" w14:textId="77777777" w:rsidR="00CA7016" w:rsidRPr="00A0513E" w:rsidRDefault="00CA7016" w:rsidP="003C3F6A">
            <w:pPr>
              <w:pStyle w:val="02Tabletext"/>
            </w:pPr>
            <w:r w:rsidRPr="00A0513E">
              <w:t>Quantitation of 1 antibody to microbial antigens not elsewhere described in the Schedule - 1 test (This fee applies where a laboratory performs the only antibody test specified on the request form or performs 1 test and refers the rest to the laboratory of a separate APA) (Item is subject to rule 6)</w:t>
            </w:r>
          </w:p>
        </w:tc>
        <w:tc>
          <w:tcPr>
            <w:tcW w:w="4059" w:type="dxa"/>
            <w:shd w:val="clear" w:color="auto" w:fill="auto"/>
          </w:tcPr>
          <w:p w14:paraId="5652081D" w14:textId="77777777" w:rsidR="00CA7016" w:rsidRPr="00A0513E" w:rsidRDefault="00CA7016" w:rsidP="003C3F6A">
            <w:pPr>
              <w:pStyle w:val="02Tabletext"/>
            </w:pPr>
            <w:r w:rsidRPr="00A0513E">
              <w:t>No change</w:t>
            </w:r>
          </w:p>
        </w:tc>
      </w:tr>
      <w:tr w:rsidR="00CA7016" w:rsidRPr="00C34323" w14:paraId="0D002E49" w14:textId="77777777" w:rsidTr="003C3F6A">
        <w:tc>
          <w:tcPr>
            <w:tcW w:w="988" w:type="dxa"/>
          </w:tcPr>
          <w:p w14:paraId="4D195AE8" w14:textId="77777777" w:rsidR="00CA7016" w:rsidRPr="00A0513E" w:rsidRDefault="00CA7016" w:rsidP="003C3F6A">
            <w:pPr>
              <w:pStyle w:val="02Tabletext"/>
            </w:pPr>
            <w:r w:rsidRPr="00A0513E">
              <w:t>69387</w:t>
            </w:r>
          </w:p>
        </w:tc>
        <w:tc>
          <w:tcPr>
            <w:tcW w:w="3969" w:type="dxa"/>
          </w:tcPr>
          <w:p w14:paraId="60C15C68" w14:textId="77777777" w:rsidR="00CA7016" w:rsidRPr="00A0513E" w:rsidRDefault="00CA7016" w:rsidP="003C3F6A">
            <w:pPr>
              <w:pStyle w:val="02Tabletext"/>
            </w:pPr>
            <w:r w:rsidRPr="00A0513E">
              <w:t>2 tests described in item 69384 (This fee applies where 1 laboratory, or more than 1 laboratory belonging to the same APA, performs 2 of the antibody estimations specified on the request form and refers the remainder to the laboratory of a separate APA.) (Item is subject to rule 6)</w:t>
            </w:r>
          </w:p>
        </w:tc>
        <w:tc>
          <w:tcPr>
            <w:tcW w:w="4059" w:type="dxa"/>
            <w:shd w:val="clear" w:color="auto" w:fill="auto"/>
          </w:tcPr>
          <w:p w14:paraId="7502F1B9" w14:textId="77777777" w:rsidR="00CA7016" w:rsidRPr="00A0513E" w:rsidRDefault="00CA7016" w:rsidP="003C3F6A">
            <w:pPr>
              <w:pStyle w:val="02Tabletext"/>
            </w:pPr>
            <w:r w:rsidRPr="00A0513E">
              <w:t>No change</w:t>
            </w:r>
          </w:p>
        </w:tc>
      </w:tr>
      <w:tr w:rsidR="00CA7016" w:rsidRPr="00C34323" w14:paraId="607F74CE" w14:textId="77777777" w:rsidTr="003C3F6A">
        <w:tc>
          <w:tcPr>
            <w:tcW w:w="988" w:type="dxa"/>
          </w:tcPr>
          <w:p w14:paraId="5AFC6588" w14:textId="77777777" w:rsidR="00CA7016" w:rsidRPr="00A0513E" w:rsidRDefault="00CA7016" w:rsidP="003C3F6A">
            <w:pPr>
              <w:pStyle w:val="02Tabletext"/>
            </w:pPr>
            <w:r w:rsidRPr="00A0513E">
              <w:t>69390</w:t>
            </w:r>
          </w:p>
        </w:tc>
        <w:tc>
          <w:tcPr>
            <w:tcW w:w="3969" w:type="dxa"/>
          </w:tcPr>
          <w:p w14:paraId="1FD00965" w14:textId="77777777" w:rsidR="00CA7016" w:rsidRPr="00A0513E" w:rsidRDefault="00CA7016" w:rsidP="003C3F6A">
            <w:pPr>
              <w:pStyle w:val="02Tabletext"/>
            </w:pPr>
            <w:r w:rsidRPr="00A0513E">
              <w:t>3 tests described in item 69384 (This fee applies where 1 laboratory, or more than 1 laboratory belonging to the same APA, performs 3 of the antibody estimations specified on the request form and refers the remainder to the laboratory of a separate APA.) (Item is subject to rule 6)</w:t>
            </w:r>
          </w:p>
        </w:tc>
        <w:tc>
          <w:tcPr>
            <w:tcW w:w="4059" w:type="dxa"/>
            <w:shd w:val="clear" w:color="auto" w:fill="auto"/>
          </w:tcPr>
          <w:p w14:paraId="0B052C41" w14:textId="77777777" w:rsidR="00CA7016" w:rsidRPr="00A0513E" w:rsidRDefault="00CA7016" w:rsidP="003C3F6A">
            <w:pPr>
              <w:pStyle w:val="02Tabletext"/>
            </w:pPr>
            <w:r w:rsidRPr="00A0513E">
              <w:t xml:space="preserve">3 tests described in item 69384 (This fee applies where 1 laboratory, or more than 1 laboratory belonging to the same APA, performs 3 of the antibody estimations specified on the request form and refers the remainder to the laboratory of a separate APA.) (Item is subject </w:t>
            </w:r>
            <w:r w:rsidRPr="00A0513E">
              <w:lastRenderedPageBreak/>
              <w:t>to rule 6) A maximum of only 2 tests for EBV can be performed.</w:t>
            </w:r>
          </w:p>
        </w:tc>
      </w:tr>
      <w:tr w:rsidR="00CA7016" w:rsidRPr="00C34323" w14:paraId="2E57467C" w14:textId="77777777" w:rsidTr="003C3F6A">
        <w:tc>
          <w:tcPr>
            <w:tcW w:w="988" w:type="dxa"/>
          </w:tcPr>
          <w:p w14:paraId="14B0EFB6" w14:textId="77777777" w:rsidR="00CA7016" w:rsidRPr="00A0513E" w:rsidRDefault="00CA7016" w:rsidP="003C3F6A">
            <w:pPr>
              <w:pStyle w:val="02Tabletext"/>
            </w:pPr>
            <w:r w:rsidRPr="00A0513E">
              <w:lastRenderedPageBreak/>
              <w:t>69393</w:t>
            </w:r>
          </w:p>
        </w:tc>
        <w:tc>
          <w:tcPr>
            <w:tcW w:w="3969" w:type="dxa"/>
          </w:tcPr>
          <w:p w14:paraId="62E8C9AB" w14:textId="77777777" w:rsidR="00CA7016" w:rsidRPr="00A0513E" w:rsidRDefault="00CA7016" w:rsidP="003C3F6A">
            <w:pPr>
              <w:pStyle w:val="02Tabletext"/>
            </w:pPr>
            <w:r w:rsidRPr="00A0513E">
              <w:t>4 tests described in item 69384 (This fee applies where 1 laboratory, or more than 1 laboratory belonging to the same APA, performs 4 of the antibody estimations specified on the request form and refers the remainder to the laboratory of a separate APA.) (Item is subject to rule 6)</w:t>
            </w:r>
          </w:p>
        </w:tc>
        <w:tc>
          <w:tcPr>
            <w:tcW w:w="4059" w:type="dxa"/>
            <w:shd w:val="clear" w:color="auto" w:fill="auto"/>
          </w:tcPr>
          <w:p w14:paraId="178D99F0" w14:textId="77777777" w:rsidR="00CA7016" w:rsidRPr="00A0513E" w:rsidRDefault="00CA7016" w:rsidP="003C3F6A">
            <w:pPr>
              <w:pStyle w:val="02Tabletext"/>
            </w:pPr>
            <w:r w:rsidRPr="00A0513E">
              <w:t>4 tests described in item 69384 (This fee applies where 1 laboratory, or more than 1 laboratory belonging to the same APA, performs 4 of the antibody estimations specified on the request form and refers the remainder to the laboratory of a separate APA.) (Item is subject to rule 6) A maximum of only 2 tests for EBV can be performed.</w:t>
            </w:r>
          </w:p>
        </w:tc>
      </w:tr>
      <w:tr w:rsidR="00CA7016" w:rsidRPr="00C34323" w14:paraId="25993D11" w14:textId="77777777" w:rsidTr="003C3F6A">
        <w:tc>
          <w:tcPr>
            <w:tcW w:w="988" w:type="dxa"/>
          </w:tcPr>
          <w:p w14:paraId="6537C2A9" w14:textId="77777777" w:rsidR="00CA7016" w:rsidRPr="00A0513E" w:rsidRDefault="00CA7016" w:rsidP="003C3F6A">
            <w:pPr>
              <w:pStyle w:val="02Tabletext"/>
            </w:pPr>
            <w:r w:rsidRPr="00A0513E">
              <w:t>69396</w:t>
            </w:r>
          </w:p>
        </w:tc>
        <w:tc>
          <w:tcPr>
            <w:tcW w:w="3969" w:type="dxa"/>
          </w:tcPr>
          <w:p w14:paraId="2733AF67" w14:textId="77777777" w:rsidR="00CA7016" w:rsidRPr="00A0513E" w:rsidRDefault="00CA7016" w:rsidP="003C3F6A">
            <w:pPr>
              <w:pStyle w:val="02Tabletext"/>
            </w:pPr>
            <w:r w:rsidRPr="00A0513E">
              <w:t>5 or more tests described in item 69384 (This fee applies where 1 laboratory, or more than 1 laboratory belonging to the same APA, performs 5 of the antibody tests specified on the request form and refers the remainder to the laboratory of a separate APA.) (Item is subject to rule 6)</w:t>
            </w:r>
          </w:p>
        </w:tc>
        <w:tc>
          <w:tcPr>
            <w:tcW w:w="4059" w:type="dxa"/>
            <w:shd w:val="clear" w:color="auto" w:fill="auto"/>
          </w:tcPr>
          <w:p w14:paraId="04DCCC60" w14:textId="77777777" w:rsidR="00CA7016" w:rsidRPr="00A0513E" w:rsidRDefault="00CA7016" w:rsidP="003C3F6A">
            <w:pPr>
              <w:pStyle w:val="02Tabletext"/>
            </w:pPr>
            <w:r w:rsidRPr="00A0513E">
              <w:t>5 or more tests described in item 69384 (This fee applies where 1 laboratory, or more than 1 laboratory belonging to the same APA, performs 5 of the antibody tests specified on the request form and refers the remainder to the laboratory of a separate APA.) (Item is subject to rule 6) A maximum of only 2 tests for EBV can be performed.</w:t>
            </w:r>
          </w:p>
        </w:tc>
      </w:tr>
      <w:tr w:rsidR="00CA7016" w:rsidRPr="00C34323" w14:paraId="11C104F2" w14:textId="77777777" w:rsidTr="003C3F6A">
        <w:tc>
          <w:tcPr>
            <w:tcW w:w="988" w:type="dxa"/>
          </w:tcPr>
          <w:p w14:paraId="02C885E1" w14:textId="77777777" w:rsidR="00CA7016" w:rsidRPr="00A0513E" w:rsidRDefault="00CA7016" w:rsidP="003C3F6A">
            <w:pPr>
              <w:pStyle w:val="02Tabletext"/>
            </w:pPr>
            <w:r w:rsidRPr="00A0513E">
              <w:t>69400</w:t>
            </w:r>
          </w:p>
        </w:tc>
        <w:tc>
          <w:tcPr>
            <w:tcW w:w="3969" w:type="dxa"/>
          </w:tcPr>
          <w:p w14:paraId="61C4ADE7" w14:textId="77777777" w:rsidR="00CA7016" w:rsidRPr="00A0513E" w:rsidRDefault="00CA7016" w:rsidP="003C3F6A">
            <w:pPr>
              <w:pStyle w:val="02Tabletext"/>
            </w:pPr>
            <w:r w:rsidRPr="00A0513E">
              <w:t>A test described in item 69384, if rendered by a receiving APP, where no tests in the item have been rendered by the referring APP - 1 test (Item is subject to rules 6 and 18)</w:t>
            </w:r>
          </w:p>
        </w:tc>
        <w:tc>
          <w:tcPr>
            <w:tcW w:w="4059" w:type="dxa"/>
            <w:shd w:val="clear" w:color="auto" w:fill="auto"/>
          </w:tcPr>
          <w:p w14:paraId="5150545B" w14:textId="77777777" w:rsidR="00CA7016" w:rsidRPr="00A0513E" w:rsidRDefault="00CA7016" w:rsidP="003C3F6A">
            <w:pPr>
              <w:pStyle w:val="02Tabletext"/>
            </w:pPr>
            <w:r w:rsidRPr="00A0513E">
              <w:t>No change</w:t>
            </w:r>
          </w:p>
        </w:tc>
      </w:tr>
      <w:tr w:rsidR="00CA7016" w:rsidRPr="00C34323" w14:paraId="4BF00266" w14:textId="77777777" w:rsidTr="003C3F6A">
        <w:tc>
          <w:tcPr>
            <w:tcW w:w="988" w:type="dxa"/>
          </w:tcPr>
          <w:p w14:paraId="34E7823E" w14:textId="77777777" w:rsidR="00CA7016" w:rsidRPr="00A0513E" w:rsidRDefault="00CA7016" w:rsidP="003C3F6A">
            <w:pPr>
              <w:pStyle w:val="02Tabletext"/>
            </w:pPr>
            <w:r w:rsidRPr="00A0513E">
              <w:t>69401</w:t>
            </w:r>
          </w:p>
        </w:tc>
        <w:tc>
          <w:tcPr>
            <w:tcW w:w="3969" w:type="dxa"/>
          </w:tcPr>
          <w:p w14:paraId="307C658F" w14:textId="77777777" w:rsidR="00CA7016" w:rsidRPr="00A0513E" w:rsidRDefault="00CA7016" w:rsidP="003C3F6A">
            <w:pPr>
              <w:pStyle w:val="02Tabletext"/>
            </w:pPr>
            <w:r w:rsidRPr="00A0513E">
              <w:t>A test described in item 69384, other than that described in 69400, if rendered by a receiving APP - each test to a maximum of 4 tests (Item is subject to rule 6, 18 and 18A)</w:t>
            </w:r>
          </w:p>
        </w:tc>
        <w:tc>
          <w:tcPr>
            <w:tcW w:w="4059" w:type="dxa"/>
            <w:shd w:val="clear" w:color="auto" w:fill="auto"/>
          </w:tcPr>
          <w:p w14:paraId="2F50DB0B" w14:textId="77777777" w:rsidR="00CA7016" w:rsidRPr="00A0513E" w:rsidRDefault="00CA7016" w:rsidP="003C3F6A">
            <w:pPr>
              <w:pStyle w:val="02Tabletext"/>
            </w:pPr>
            <w:r w:rsidRPr="00A0513E">
              <w:t>No change</w:t>
            </w:r>
          </w:p>
        </w:tc>
      </w:tr>
      <w:tr w:rsidR="00CA7016" w:rsidRPr="00C34323" w14:paraId="3EBCDE4E" w14:textId="77777777" w:rsidTr="003C3F6A">
        <w:tc>
          <w:tcPr>
            <w:tcW w:w="988" w:type="dxa"/>
          </w:tcPr>
          <w:p w14:paraId="5198CEE2" w14:textId="77777777" w:rsidR="00CA7016" w:rsidRPr="00A0513E" w:rsidRDefault="00CA7016" w:rsidP="003C3F6A">
            <w:pPr>
              <w:pStyle w:val="02Tabletext"/>
            </w:pPr>
            <w:r w:rsidRPr="00A0513E">
              <w:t>69472</w:t>
            </w:r>
          </w:p>
        </w:tc>
        <w:tc>
          <w:tcPr>
            <w:tcW w:w="3969" w:type="dxa"/>
          </w:tcPr>
          <w:p w14:paraId="6E45870B" w14:textId="77777777" w:rsidR="00CA7016" w:rsidRPr="00A0513E" w:rsidRDefault="00CA7016" w:rsidP="003C3F6A">
            <w:pPr>
              <w:pStyle w:val="02Tabletext"/>
            </w:pPr>
            <w:r w:rsidRPr="00A0513E">
              <w:t>Detection of antibodies to Epstein Barr Virus using specific serology - 1 test</w:t>
            </w:r>
          </w:p>
        </w:tc>
        <w:tc>
          <w:tcPr>
            <w:tcW w:w="4059" w:type="dxa"/>
            <w:shd w:val="clear" w:color="auto" w:fill="auto"/>
          </w:tcPr>
          <w:p w14:paraId="7C5AB41E" w14:textId="77777777" w:rsidR="00CA7016" w:rsidRPr="00A0513E" w:rsidRDefault="00CA7016" w:rsidP="003C3F6A">
            <w:pPr>
              <w:pStyle w:val="02Tabletext"/>
            </w:pPr>
            <w:r w:rsidRPr="00A0513E">
              <w:t>Delete</w:t>
            </w:r>
          </w:p>
        </w:tc>
      </w:tr>
      <w:tr w:rsidR="00CA7016" w:rsidRPr="00C34323" w14:paraId="13456555" w14:textId="77777777" w:rsidTr="003C3F6A">
        <w:tc>
          <w:tcPr>
            <w:tcW w:w="988" w:type="dxa"/>
          </w:tcPr>
          <w:p w14:paraId="6EA93677" w14:textId="77777777" w:rsidR="00CA7016" w:rsidRPr="00A0513E" w:rsidRDefault="00CA7016" w:rsidP="003C3F6A">
            <w:pPr>
              <w:pStyle w:val="02Tabletext"/>
            </w:pPr>
            <w:r w:rsidRPr="00A0513E">
              <w:t>69474</w:t>
            </w:r>
          </w:p>
        </w:tc>
        <w:tc>
          <w:tcPr>
            <w:tcW w:w="3969" w:type="dxa"/>
          </w:tcPr>
          <w:p w14:paraId="6C9B7527" w14:textId="77777777" w:rsidR="00CA7016" w:rsidRPr="00A0513E" w:rsidRDefault="00CA7016" w:rsidP="003C3F6A">
            <w:pPr>
              <w:pStyle w:val="02Tabletext"/>
            </w:pPr>
            <w:r w:rsidRPr="00A0513E">
              <w:t>Detection of antibodies to Epstein Barr Virus using specific serology - 2 or more tests</w:t>
            </w:r>
          </w:p>
        </w:tc>
        <w:tc>
          <w:tcPr>
            <w:tcW w:w="4059" w:type="dxa"/>
            <w:shd w:val="clear" w:color="auto" w:fill="auto"/>
          </w:tcPr>
          <w:p w14:paraId="22EA582C" w14:textId="77777777" w:rsidR="00CA7016" w:rsidRPr="00A0513E" w:rsidRDefault="00CA7016" w:rsidP="003C3F6A">
            <w:pPr>
              <w:pStyle w:val="02Tabletext"/>
            </w:pPr>
            <w:r w:rsidRPr="00A0513E">
              <w:t>Delete</w:t>
            </w:r>
          </w:p>
        </w:tc>
      </w:tr>
    </w:tbl>
    <w:p w14:paraId="684D1D15" w14:textId="77777777" w:rsidR="00CA7016" w:rsidRPr="00A0513E" w:rsidRDefault="00CA7016" w:rsidP="00CA7016">
      <w:pPr>
        <w:pStyle w:val="Heading3"/>
      </w:pPr>
      <w:bookmarkStart w:id="255" w:name="_Toc12886576"/>
      <w:r w:rsidRPr="00A0513E">
        <w:t>Rationale</w:t>
      </w:r>
      <w:r>
        <w:t xml:space="preserve"> 10</w:t>
      </w:r>
      <w:bookmarkEnd w:id="255"/>
    </w:p>
    <w:p w14:paraId="71619919" w14:textId="77777777" w:rsidR="00CA7016" w:rsidRPr="00B96BC0" w:rsidRDefault="00CA7016" w:rsidP="00CA7016">
      <w:r w:rsidRPr="00B96BC0">
        <w:t>The recommendations focus on modernising and simplifying the MBS and are based on the following observations.</w:t>
      </w:r>
    </w:p>
    <w:p w14:paraId="483B588E" w14:textId="77777777" w:rsidR="00CA7016" w:rsidRPr="00A0513E" w:rsidRDefault="00CA7016" w:rsidP="00CA7016">
      <w:pPr>
        <w:pStyle w:val="NormalBulleted"/>
        <w:numPr>
          <w:ilvl w:val="0"/>
          <w:numId w:val="17"/>
        </w:numPr>
        <w:spacing w:before="120" w:after="60" w:line="240" w:lineRule="auto"/>
        <w:ind w:right="142"/>
        <w:contextualSpacing w:val="0"/>
      </w:pPr>
      <w:r w:rsidRPr="00B96BC0">
        <w:t xml:space="preserve">The serology items were introduced to the MBS in 1996. Since then many new </w:t>
      </w:r>
      <w:r w:rsidRPr="00A0513E">
        <w:t xml:space="preserve">diagnosable diseases have emerged in the Australian community, and it is estimated from member data that it is now not uncommon that at least </w:t>
      </w:r>
      <w:r>
        <w:t>six</w:t>
      </w:r>
      <w:r w:rsidRPr="00A0513E">
        <w:t xml:space="preserve"> immunoassays are required for common clinical scenarios. Member data indicates that between 32</w:t>
      </w:r>
      <w:r>
        <w:t xml:space="preserve"> per cent and </w:t>
      </w:r>
      <w:r w:rsidRPr="00A0513E">
        <w:t>51</w:t>
      </w:r>
      <w:r>
        <w:t xml:space="preserve"> per cent </w:t>
      </w:r>
      <w:r w:rsidRPr="00A0513E">
        <w:t xml:space="preserve">of requests are for </w:t>
      </w:r>
      <w:r>
        <w:t>six</w:t>
      </w:r>
      <w:r w:rsidRPr="00A0513E">
        <w:t xml:space="preserve"> or more tests. Some tests involve testing for notifiable diseases and have public health ramifications if not performed.</w:t>
      </w:r>
    </w:p>
    <w:p w14:paraId="27C11ED2" w14:textId="77777777" w:rsidR="00CA7016" w:rsidRPr="00A0513E" w:rsidRDefault="00CA7016" w:rsidP="00CA7016">
      <w:pPr>
        <w:pStyle w:val="NormalBulleted"/>
        <w:numPr>
          <w:ilvl w:val="0"/>
          <w:numId w:val="17"/>
        </w:numPr>
        <w:spacing w:before="120" w:after="60" w:line="240" w:lineRule="auto"/>
        <w:ind w:right="142"/>
        <w:contextualSpacing w:val="0"/>
      </w:pPr>
      <w:r w:rsidRPr="00A0513E">
        <w:t>In modern practice, laboratories are increasingly required to perform multiple tests for the diagnosis of clinical syndromes, for example</w:t>
      </w:r>
      <w:r>
        <w:t xml:space="preserve">, </w:t>
      </w:r>
      <w:r w:rsidRPr="00A0513E">
        <w:t>fever, rash and arthralgia in returned travellers, or respiratory syndromes. The variety of illnesses and the range of organisms detected causing these syndromes ha</w:t>
      </w:r>
      <w:r>
        <w:t>s</w:t>
      </w:r>
      <w:r w:rsidRPr="00A0513E">
        <w:t xml:space="preserve"> increased significantly over the </w:t>
      </w:r>
      <w:r w:rsidR="00E52DB4">
        <w:t>l</w:t>
      </w:r>
      <w:r w:rsidRPr="00A0513E">
        <w:t>ast decade. The need to identify the causes and ensure appropriate management is critical. The National Notifiable Diseases Surveillance System report indicates an increase in the number of notifications for all diseases from 82,161 in 1996 to 329,225 in 2016.</w:t>
      </w:r>
      <w:r w:rsidRPr="00A0513E">
        <w:fldChar w:fldCharType="begin"/>
      </w:r>
      <w:r w:rsidR="00EE147F">
        <w:instrText xml:space="preserve"> ADDIN EN.CITE &lt;EndNote&gt;&lt;Cite&gt;&lt;Author&gt;Department of Health&lt;/Author&gt;&lt;Year&gt;2017&lt;/Year&gt;&lt;RecNum&gt;21&lt;/RecNum&gt;&lt;DisplayText&gt; [21]&lt;/DisplayText&gt;&lt;record&gt;&lt;rec-number&gt;21&lt;/rec-number&gt;&lt;foreign-keys&gt;&lt;key app="EN" db-id="9rerxxddifw5xaewxvlxffw2vsfzrarx0vva" timestamp="1506991298"&gt;21&lt;/key&gt;&lt;/foreign-keys&gt;&lt;ref-type name="Web Page"&gt;12&lt;/ref-type&gt;&lt;contributors&gt;&lt;authors&gt;&lt;author&gt;Department of Health,&lt;/author&gt;&lt;/authors&gt;&lt;/contributors&gt;&lt;titles&gt;&lt;title&gt;National Notifiable Diseases Surveillance System&lt;/title&gt;&lt;/titles&gt;&lt;number&gt;30 June 2017&lt;/number&gt;&lt;dates&gt;&lt;year&gt;2017&lt;/year&gt;&lt;/dates&gt;&lt;pub-location&gt;Canberra&lt;/pub-location&gt;&lt;publisher&gt;Australian Government&lt;/publisher&gt;&lt;urls&gt;&lt;related-urls&gt;&lt;url&gt;http://www9.health.gov.au/cda/source/rpt_1_sel.cfm&lt;/url&gt;&lt;/related-urls&gt;&lt;/urls&gt;&lt;/record&gt;&lt;/Cite&gt;&lt;/EndNote&gt;</w:instrText>
      </w:r>
      <w:r w:rsidRPr="00A0513E">
        <w:fldChar w:fldCharType="separate"/>
      </w:r>
      <w:r w:rsidR="00EE147F">
        <w:rPr>
          <w:noProof/>
        </w:rPr>
        <w:t xml:space="preserve"> [21]</w:t>
      </w:r>
      <w:r w:rsidRPr="00A0513E">
        <w:fldChar w:fldCharType="end"/>
      </w:r>
    </w:p>
    <w:p w14:paraId="36C832F5" w14:textId="77777777" w:rsidR="00CA7016" w:rsidRPr="00A0513E" w:rsidRDefault="00CA7016" w:rsidP="00CA7016">
      <w:pPr>
        <w:pStyle w:val="NormalBulleted"/>
        <w:numPr>
          <w:ilvl w:val="0"/>
          <w:numId w:val="17"/>
        </w:numPr>
        <w:spacing w:before="120" w:after="60" w:line="240" w:lineRule="auto"/>
        <w:ind w:right="142"/>
        <w:contextualSpacing w:val="0"/>
      </w:pPr>
      <w:r>
        <w:t>Currently, a maximum of five tests is funded through the MBS. Pathology laboratory data indicate that the number of tests ordered per request has increased significantly, and that 32 per cent of tests performed were for six or more tests, with 5 per cent of requests for between 11 and 27 tests. Based on the growing demand for diagnostic information to inform appropriate treatment options, the Committee recommended reinstat</w:t>
      </w:r>
      <w:r w:rsidR="00E52DB4">
        <w:t>ing item</w:t>
      </w:r>
      <w:r>
        <w:t xml:space="preserve"> 69399 for six or more tests. Improved diagnosis and management, including judicious use of antimicrobials, benefits patients and the wider community.</w:t>
      </w:r>
    </w:p>
    <w:p w14:paraId="3957C496" w14:textId="77777777" w:rsidR="00CA7016" w:rsidRPr="00A0513E" w:rsidRDefault="00CA7016" w:rsidP="00CA7016">
      <w:pPr>
        <w:pStyle w:val="NormalBulleted"/>
        <w:numPr>
          <w:ilvl w:val="0"/>
          <w:numId w:val="17"/>
        </w:numPr>
        <w:spacing w:before="120" w:after="60" w:line="240" w:lineRule="auto"/>
        <w:ind w:right="142"/>
        <w:contextualSpacing w:val="0"/>
      </w:pPr>
      <w:r w:rsidRPr="00A0513E">
        <w:lastRenderedPageBreak/>
        <w:t>In serology, syndromic testing has the potential to generate orders for a significant number of serological investigations. Examples include:</w:t>
      </w:r>
    </w:p>
    <w:p w14:paraId="771D7153" w14:textId="77777777" w:rsidR="00CA7016" w:rsidRPr="00A84FDA" w:rsidRDefault="00CA7016" w:rsidP="00CA7016">
      <w:pPr>
        <w:pStyle w:val="02dash"/>
        <w:numPr>
          <w:ilvl w:val="1"/>
          <w:numId w:val="28"/>
        </w:numPr>
        <w:tabs>
          <w:tab w:val="clear" w:pos="427"/>
          <w:tab w:val="num" w:pos="567"/>
        </w:tabs>
        <w:ind w:left="567" w:hanging="142"/>
      </w:pPr>
      <w:r w:rsidRPr="00A0513E">
        <w:t xml:space="preserve">Fever, </w:t>
      </w:r>
      <w:r w:rsidRPr="00A84FDA">
        <w:t xml:space="preserve">rash and arthralgia: </w:t>
      </w:r>
      <w:r w:rsidR="00E52DB4">
        <w:t>p</w:t>
      </w:r>
      <w:r w:rsidR="00E52DB4" w:rsidRPr="00A84FDA">
        <w:t xml:space="preserve">arvovirus </w:t>
      </w:r>
      <w:r w:rsidRPr="00A84FDA">
        <w:t xml:space="preserve">IgG/IgM; </w:t>
      </w:r>
      <w:proofErr w:type="spellStart"/>
      <w:r w:rsidR="00E52DB4">
        <w:t>a</w:t>
      </w:r>
      <w:r w:rsidR="00E52DB4" w:rsidRPr="00A84FDA">
        <w:t>ntistreptolysin</w:t>
      </w:r>
      <w:proofErr w:type="spellEnd"/>
      <w:r w:rsidR="00E52DB4" w:rsidRPr="00A84FDA">
        <w:t xml:space="preserve"> </w:t>
      </w:r>
      <w:r w:rsidRPr="00A84FDA">
        <w:t xml:space="preserve">O </w:t>
      </w:r>
      <w:proofErr w:type="spellStart"/>
      <w:r w:rsidRPr="00A84FDA">
        <w:t>titre</w:t>
      </w:r>
      <w:proofErr w:type="spellEnd"/>
      <w:r w:rsidRPr="00A84FDA">
        <w:t xml:space="preserve"> (ASOT), </w:t>
      </w:r>
      <w:r w:rsidR="00E52DB4">
        <w:t>a</w:t>
      </w:r>
      <w:r w:rsidR="00E52DB4" w:rsidRPr="00A84FDA">
        <w:t>nti</w:t>
      </w:r>
      <w:r w:rsidRPr="00A84FDA">
        <w:t xml:space="preserve">-DNase B; </w:t>
      </w:r>
      <w:r w:rsidR="00E52DB4">
        <w:t>m</w:t>
      </w:r>
      <w:r w:rsidR="00E52DB4" w:rsidRPr="00A84FDA">
        <w:t xml:space="preserve">easles </w:t>
      </w:r>
      <w:r w:rsidRPr="00A84FDA">
        <w:t xml:space="preserve">IgG/IgM; HIV; </w:t>
      </w:r>
      <w:r w:rsidR="00E52DB4">
        <w:t>d</w:t>
      </w:r>
      <w:r w:rsidR="00E52DB4" w:rsidRPr="00A84FDA">
        <w:t xml:space="preserve">engue </w:t>
      </w:r>
      <w:r w:rsidRPr="00A84FDA">
        <w:t>IgG/IgM, NS1 antigen; Zika IgG/IgM</w:t>
      </w:r>
      <w:r w:rsidR="00E52DB4">
        <w:t xml:space="preserve"> and</w:t>
      </w:r>
      <w:r w:rsidR="00E52DB4" w:rsidRPr="00A84FDA">
        <w:t xml:space="preserve"> </w:t>
      </w:r>
      <w:r w:rsidR="00E52DB4">
        <w:t>c</w:t>
      </w:r>
      <w:r w:rsidR="00E52DB4" w:rsidRPr="00A84FDA">
        <w:t xml:space="preserve">hikungunya </w:t>
      </w:r>
      <w:r w:rsidRPr="00A84FDA">
        <w:t>IgG/IgM.</w:t>
      </w:r>
      <w:r>
        <w:t xml:space="preserve"> </w:t>
      </w:r>
      <w:r w:rsidRPr="00A84FDA">
        <w:t xml:space="preserve">While not all 14 tests would be indicated, frequently at least </w:t>
      </w:r>
      <w:r>
        <w:t>six</w:t>
      </w:r>
      <w:r w:rsidRPr="00A84FDA">
        <w:t xml:space="preserve"> would be required in the workup. Tests performed would be dependent on the age of the patient, environmental exposure and underlying immunological status.</w:t>
      </w:r>
    </w:p>
    <w:p w14:paraId="3F917E41" w14:textId="77777777" w:rsidR="00CA7016" w:rsidRPr="00A84FDA" w:rsidRDefault="00CA7016" w:rsidP="00CA7016">
      <w:pPr>
        <w:pStyle w:val="02dash"/>
        <w:numPr>
          <w:ilvl w:val="1"/>
          <w:numId w:val="28"/>
        </w:numPr>
        <w:tabs>
          <w:tab w:val="clear" w:pos="427"/>
          <w:tab w:val="num" w:pos="567"/>
        </w:tabs>
        <w:ind w:left="567" w:hanging="142"/>
      </w:pPr>
      <w:r w:rsidRPr="00A84FDA">
        <w:t xml:space="preserve">Mononucleosis syndrome: EBV IgG/IgM, CMV IgG/IgM (frequently add in avidity); </w:t>
      </w:r>
      <w:r w:rsidR="00E52DB4" w:rsidRPr="001D0A5A">
        <w:rPr>
          <w:i/>
        </w:rPr>
        <w:t>Toxoplasma</w:t>
      </w:r>
      <w:r w:rsidR="00E52DB4" w:rsidRPr="00A84FDA">
        <w:t xml:space="preserve"> </w:t>
      </w:r>
      <w:r w:rsidRPr="00A84FDA">
        <w:t>IgG/IgM</w:t>
      </w:r>
      <w:r w:rsidR="00E52DB4">
        <w:t xml:space="preserve"> and</w:t>
      </w:r>
      <w:r w:rsidR="00E52DB4" w:rsidRPr="00A84FDA">
        <w:t xml:space="preserve"> </w:t>
      </w:r>
      <w:r w:rsidRPr="00A84FDA">
        <w:t>Q fever IgG/IgM, generating 10 or more tests. Tests performed would be dependent on the age of the patient, environmental exposure and underlying immunological status.</w:t>
      </w:r>
    </w:p>
    <w:p w14:paraId="4BA55C41" w14:textId="77777777" w:rsidR="00CA7016" w:rsidRPr="00A84FDA" w:rsidRDefault="00CA7016" w:rsidP="00CA7016">
      <w:pPr>
        <w:pStyle w:val="02dash"/>
        <w:numPr>
          <w:ilvl w:val="1"/>
          <w:numId w:val="28"/>
        </w:numPr>
        <w:tabs>
          <w:tab w:val="clear" w:pos="427"/>
          <w:tab w:val="num" w:pos="567"/>
        </w:tabs>
        <w:ind w:left="567" w:hanging="142"/>
      </w:pPr>
      <w:r w:rsidRPr="00A84FDA">
        <w:t xml:space="preserve">Pyrexia of unknown origin in a returned </w:t>
      </w:r>
      <w:proofErr w:type="spellStart"/>
      <w:r w:rsidRPr="00A84FDA">
        <w:t>traveller</w:t>
      </w:r>
      <w:proofErr w:type="spellEnd"/>
      <w:r w:rsidRPr="00A84FDA">
        <w:t xml:space="preserve">: </w:t>
      </w:r>
      <w:r w:rsidR="008D0441">
        <w:t>a</w:t>
      </w:r>
      <w:r w:rsidR="008D0441" w:rsidRPr="00A84FDA">
        <w:t>moebic</w:t>
      </w:r>
      <w:r w:rsidRPr="00A84FDA">
        <w:t xml:space="preserve">; </w:t>
      </w:r>
      <w:r w:rsidR="008D0441">
        <w:t>d</w:t>
      </w:r>
      <w:r w:rsidR="008D0441" w:rsidRPr="00A84FDA">
        <w:t>engue</w:t>
      </w:r>
      <w:r w:rsidRPr="00A84FDA">
        <w:t xml:space="preserve">; </w:t>
      </w:r>
      <w:r w:rsidR="008D0441">
        <w:t>l</w:t>
      </w:r>
      <w:r w:rsidR="008D0441" w:rsidRPr="00A84FDA">
        <w:t>eptospirosis</w:t>
      </w:r>
      <w:r w:rsidRPr="00A84FDA">
        <w:t>; other flaviviruses (possibly several depending on the history), and selected arboviruses of importance to Australia.</w:t>
      </w:r>
      <w:r w:rsidRPr="00A84FDA">
        <w:fldChar w:fldCharType="begin"/>
      </w:r>
      <w:r w:rsidR="00EE147F">
        <w:instrText xml:space="preserve"> ADDIN EN.CITE &lt;EndNote&gt;&lt;Cite&gt;&lt;Author&gt;Department of Health&lt;/Author&gt;&lt;Year&gt;2017&lt;/Year&gt;&lt;RecNum&gt;21&lt;/RecNum&gt;&lt;DisplayText&gt; [21]&lt;/DisplayText&gt;&lt;record&gt;&lt;rec-number&gt;21&lt;/rec-number&gt;&lt;foreign-keys&gt;&lt;key app="EN" db-id="9rerxxddifw5xaewxvlxffw2vsfzrarx0vva" timestamp="1506991298"&gt;21&lt;/key&gt;&lt;/foreign-keys&gt;&lt;ref-type name="Web Page"&gt;12&lt;/ref-type&gt;&lt;contributors&gt;&lt;authors&gt;&lt;author&gt;Department of Health,&lt;/author&gt;&lt;/authors&gt;&lt;/contributors&gt;&lt;titles&gt;&lt;title&gt;National Notifiable Diseases Surveillance System&lt;/title&gt;&lt;/titles&gt;&lt;number&gt;30 June 2017&lt;/number&gt;&lt;dates&gt;&lt;year&gt;2017&lt;/year&gt;&lt;/dates&gt;&lt;pub-location&gt;Canberra&lt;/pub-location&gt;&lt;publisher&gt;Australian Government&lt;/publisher&gt;&lt;urls&gt;&lt;related-urls&gt;&lt;url&gt;http://www9.health.gov.au/cda/source/rpt_1_sel.cfm&lt;/url&gt;&lt;/related-urls&gt;&lt;/urls&gt;&lt;/record&gt;&lt;/Cite&gt;&lt;/EndNote&gt;</w:instrText>
      </w:r>
      <w:r w:rsidRPr="00A84FDA">
        <w:fldChar w:fldCharType="separate"/>
      </w:r>
      <w:r w:rsidR="00EE147F">
        <w:rPr>
          <w:noProof/>
        </w:rPr>
        <w:t xml:space="preserve"> [21]</w:t>
      </w:r>
      <w:r w:rsidRPr="00A84FDA">
        <w:fldChar w:fldCharType="end"/>
      </w:r>
    </w:p>
    <w:p w14:paraId="21D0FEE2"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As the schedule fee for EBV tests </w:t>
      </w:r>
      <w:r w:rsidR="000470C6">
        <w:t xml:space="preserve">is </w:t>
      </w:r>
      <w:r w:rsidRPr="00A0513E">
        <w:t xml:space="preserve">the same as the fees for the equivalent serology items, the Committee recommended that to simplify the schedule it would be practical to merge these items back into the serology items. Limiting the number of EBV tests to a maximum of </w:t>
      </w:r>
      <w:r>
        <w:t>two</w:t>
      </w:r>
      <w:r w:rsidRPr="00A0513E">
        <w:t xml:space="preserve"> tests will ensure that the utilisation patterns for EBV will not change, although it is noted that there may be changes in claiming patterns and benefits paid </w:t>
      </w:r>
      <w:proofErr w:type="gramStart"/>
      <w:r w:rsidRPr="00A0513E">
        <w:t>due to the effect</w:t>
      </w:r>
      <w:proofErr w:type="gramEnd"/>
      <w:r w:rsidRPr="00A0513E">
        <w:t xml:space="preserve"> of coning. </w:t>
      </w:r>
    </w:p>
    <w:p w14:paraId="69CEF2B3"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With respect to impact on other areas of the Schedule, apart from the EBV items </w:t>
      </w:r>
      <w:r w:rsidR="000470C6">
        <w:t xml:space="preserve">whose </w:t>
      </w:r>
      <w:r w:rsidRPr="00A0513E">
        <w:t xml:space="preserve">utilisation will be shifted back into the serology items, the utilisation of other serology items will not be affected. </w:t>
      </w:r>
    </w:p>
    <w:p w14:paraId="4341AB9F"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Over time, as molecular testing becomes more widely available, utilisation of the serology items for syndromes such as respiratory illness will decrease. </w:t>
      </w:r>
    </w:p>
    <w:p w14:paraId="4961D07F" w14:textId="77777777" w:rsidR="00CA7016" w:rsidRDefault="00CA7016" w:rsidP="00CA7016">
      <w:pPr>
        <w:pStyle w:val="NormalBulleted"/>
        <w:numPr>
          <w:ilvl w:val="0"/>
          <w:numId w:val="17"/>
        </w:numPr>
        <w:spacing w:before="120" w:after="60" w:line="240" w:lineRule="auto"/>
        <w:ind w:right="142"/>
        <w:contextualSpacing w:val="0"/>
      </w:pPr>
      <w:r w:rsidRPr="00A0513E">
        <w:t xml:space="preserve">The recommendation to reinstate the six or more MBS item will result in an overall increase in claims for </w:t>
      </w:r>
      <w:r>
        <w:t>six or more</w:t>
      </w:r>
      <w:r w:rsidRPr="00A0513E">
        <w:t xml:space="preserve"> tests and a consequent increase in MBS benefits paid. This will require modelling and a cost analysis.</w:t>
      </w:r>
    </w:p>
    <w:p w14:paraId="48887AE4" w14:textId="77777777" w:rsidR="00CA7016" w:rsidRPr="00A0513E" w:rsidRDefault="00CA7016" w:rsidP="00CA7016">
      <w:pPr>
        <w:pStyle w:val="Heading2"/>
      </w:pPr>
      <w:bookmarkStart w:id="256" w:name="_Toc483989374"/>
      <w:bookmarkStart w:id="257" w:name="_Toc486939193"/>
      <w:bookmarkStart w:id="258" w:name="_Ref487639593"/>
      <w:bookmarkStart w:id="259" w:name="_Ref487639654"/>
      <w:bookmarkStart w:id="260" w:name="_Ref487785473"/>
      <w:bookmarkStart w:id="261" w:name="_Ref487785529"/>
      <w:bookmarkStart w:id="262" w:name="_Toc12886577"/>
      <w:r w:rsidRPr="0051738A">
        <w:t>Site</w:t>
      </w:r>
      <w:r>
        <w:t>-</w:t>
      </w:r>
      <w:r w:rsidRPr="0051738A">
        <w:t>specific</w:t>
      </w:r>
      <w:r w:rsidRPr="00A0513E">
        <w:t xml:space="preserve"> culture and microscopy tests 69303, 69306, 69312 and 69318</w:t>
      </w:r>
      <w:bookmarkEnd w:id="256"/>
      <w:bookmarkEnd w:id="257"/>
      <w:bookmarkEnd w:id="258"/>
      <w:bookmarkEnd w:id="259"/>
      <w:bookmarkEnd w:id="260"/>
      <w:bookmarkEnd w:id="261"/>
      <w:bookmarkEnd w:id="262"/>
    </w:p>
    <w:p w14:paraId="36DF661A" w14:textId="77777777" w:rsidR="00CA7016" w:rsidRPr="00B96BC0" w:rsidRDefault="00CA7016" w:rsidP="00CA7016">
      <w:pPr>
        <w:pStyle w:val="Caption"/>
      </w:pPr>
      <w:bookmarkStart w:id="263" w:name="_Toc484598355"/>
      <w:bookmarkStart w:id="264" w:name="_Toc486935617"/>
      <w:bookmarkStart w:id="265" w:name="_Toc12953470"/>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D45EA8">
        <w:rPr>
          <w:noProof/>
        </w:rPr>
        <w:t>20</w:t>
      </w:r>
      <w:r w:rsidR="00BB490A">
        <w:rPr>
          <w:noProof/>
        </w:rPr>
        <w:fldChar w:fldCharType="end"/>
      </w:r>
      <w:r>
        <w:t xml:space="preserve">: </w:t>
      </w:r>
      <w:r w:rsidRPr="00B96BC0">
        <w:t>Item introduction table for items 69303, 69306, 69312 and 69318</w:t>
      </w:r>
      <w:bookmarkEnd w:id="263"/>
      <w:bookmarkEnd w:id="264"/>
      <w:bookmarkEnd w:id="265"/>
    </w:p>
    <w:tbl>
      <w:tblPr>
        <w:tblStyle w:val="TableGrid2"/>
        <w:tblW w:w="0" w:type="auto"/>
        <w:tblLayout w:type="fixed"/>
        <w:tblLook w:val="04A0" w:firstRow="1" w:lastRow="0" w:firstColumn="1" w:lastColumn="0" w:noHBand="0" w:noVBand="1"/>
        <w:tblDescription w:val="This table lists Item numbers, Long item descriptors, Schedule fees, Benefits for FY 2014–15, Services for FY 2014–15, Patient count 2014–15, and 5-year service change (CAGR) for site-specific culture and microscopy tests."/>
      </w:tblPr>
      <w:tblGrid>
        <w:gridCol w:w="776"/>
        <w:gridCol w:w="2915"/>
        <w:gridCol w:w="1022"/>
        <w:gridCol w:w="1217"/>
        <w:gridCol w:w="1204"/>
        <w:gridCol w:w="941"/>
        <w:gridCol w:w="941"/>
      </w:tblGrid>
      <w:tr w:rsidR="00CA7016" w:rsidRPr="00B96BC0" w14:paraId="5620C886" w14:textId="77777777" w:rsidTr="003C3F6A">
        <w:trPr>
          <w:trHeight w:val="729"/>
          <w:tblHeader/>
        </w:trPr>
        <w:tc>
          <w:tcPr>
            <w:tcW w:w="776" w:type="dxa"/>
            <w:shd w:val="clear" w:color="auto" w:fill="EEECE1" w:themeFill="background2"/>
            <w:vAlign w:val="bottom"/>
            <w:hideMark/>
          </w:tcPr>
          <w:p w14:paraId="335CD527" w14:textId="77777777" w:rsidR="00CA7016" w:rsidRPr="001E01AE" w:rsidRDefault="00CA7016" w:rsidP="003C3F6A">
            <w:pPr>
              <w:pStyle w:val="01Tableheaderrow"/>
            </w:pPr>
            <w:r w:rsidRPr="001E01AE">
              <w:t>Item</w:t>
            </w:r>
          </w:p>
        </w:tc>
        <w:tc>
          <w:tcPr>
            <w:tcW w:w="2915" w:type="dxa"/>
            <w:shd w:val="clear" w:color="auto" w:fill="EEECE1" w:themeFill="background2"/>
            <w:vAlign w:val="bottom"/>
            <w:hideMark/>
          </w:tcPr>
          <w:p w14:paraId="0B6A0D9E" w14:textId="77777777" w:rsidR="00CA7016" w:rsidRPr="001E01AE" w:rsidRDefault="00CA7016" w:rsidP="003C3F6A">
            <w:pPr>
              <w:pStyle w:val="01Tableheaderrow"/>
            </w:pPr>
            <w:r w:rsidRPr="001E01AE">
              <w:t>Long item descriptor</w:t>
            </w:r>
          </w:p>
        </w:tc>
        <w:tc>
          <w:tcPr>
            <w:tcW w:w="1022" w:type="dxa"/>
            <w:shd w:val="clear" w:color="auto" w:fill="EEECE1" w:themeFill="background2"/>
            <w:vAlign w:val="bottom"/>
            <w:hideMark/>
          </w:tcPr>
          <w:p w14:paraId="7E990EB5" w14:textId="77777777" w:rsidR="00CA7016" w:rsidRPr="00A67521" w:rsidRDefault="00CA7016" w:rsidP="003C3F6A">
            <w:pPr>
              <w:pStyle w:val="01Tableheaderrow"/>
            </w:pPr>
            <w:r w:rsidRPr="001217A8">
              <w:t>Schedule fee</w:t>
            </w:r>
          </w:p>
        </w:tc>
        <w:tc>
          <w:tcPr>
            <w:tcW w:w="1217" w:type="dxa"/>
            <w:shd w:val="clear" w:color="auto" w:fill="EEECE1" w:themeFill="background2"/>
            <w:vAlign w:val="bottom"/>
            <w:hideMark/>
          </w:tcPr>
          <w:p w14:paraId="50D62B51" w14:textId="77777777" w:rsidR="00CA7016" w:rsidRPr="00A67521" w:rsidRDefault="00CA7016" w:rsidP="003C3F6A">
            <w:pPr>
              <w:pStyle w:val="01Tableheaderrow"/>
            </w:pPr>
            <w:r w:rsidRPr="001217A8">
              <w:t xml:space="preserve">Benefits </w:t>
            </w:r>
            <w:r>
              <w:br/>
            </w:r>
            <w:r w:rsidRPr="001217A8">
              <w:t>FY 2014–15</w:t>
            </w:r>
          </w:p>
        </w:tc>
        <w:tc>
          <w:tcPr>
            <w:tcW w:w="1204" w:type="dxa"/>
            <w:shd w:val="clear" w:color="auto" w:fill="EEECE1" w:themeFill="background2"/>
            <w:vAlign w:val="bottom"/>
            <w:hideMark/>
          </w:tcPr>
          <w:p w14:paraId="43489C1D" w14:textId="77777777" w:rsidR="00CA7016" w:rsidRPr="00A67521" w:rsidRDefault="00CA7016" w:rsidP="003C3F6A">
            <w:pPr>
              <w:pStyle w:val="01Tableheaderrow"/>
            </w:pPr>
            <w:r w:rsidRPr="001217A8">
              <w:t xml:space="preserve">Services </w:t>
            </w:r>
            <w:r>
              <w:br/>
            </w:r>
            <w:r w:rsidRPr="001217A8">
              <w:t>FY 2014–15</w:t>
            </w:r>
          </w:p>
        </w:tc>
        <w:tc>
          <w:tcPr>
            <w:tcW w:w="941" w:type="dxa"/>
            <w:shd w:val="clear" w:color="auto" w:fill="EEECE1" w:themeFill="background2"/>
            <w:vAlign w:val="bottom"/>
            <w:hideMark/>
          </w:tcPr>
          <w:p w14:paraId="5399EEA2" w14:textId="77777777" w:rsidR="00CA7016" w:rsidRPr="00A67521" w:rsidRDefault="00CA7016" w:rsidP="003C3F6A">
            <w:pPr>
              <w:pStyle w:val="01Tableheaderrow"/>
            </w:pPr>
            <w:r w:rsidRPr="001217A8">
              <w:t>Patient count 2014–15</w:t>
            </w:r>
          </w:p>
        </w:tc>
        <w:tc>
          <w:tcPr>
            <w:tcW w:w="941" w:type="dxa"/>
            <w:shd w:val="clear" w:color="auto" w:fill="EEECE1" w:themeFill="background2"/>
            <w:vAlign w:val="bottom"/>
            <w:hideMark/>
          </w:tcPr>
          <w:p w14:paraId="53649E7B" w14:textId="77777777" w:rsidR="00CA7016" w:rsidRPr="00A67521" w:rsidRDefault="00CA7016" w:rsidP="003C3F6A">
            <w:pPr>
              <w:pStyle w:val="01Tableheaderrow"/>
            </w:pPr>
            <w:r w:rsidRPr="001217A8">
              <w:t xml:space="preserve">5-year </w:t>
            </w:r>
            <w:r>
              <w:t>service change (CAGR)</w:t>
            </w:r>
          </w:p>
        </w:tc>
      </w:tr>
      <w:tr w:rsidR="00CA7016" w:rsidRPr="00B96BC0" w14:paraId="185B129F" w14:textId="77777777" w:rsidTr="003C3F6A">
        <w:trPr>
          <w:trHeight w:val="300"/>
        </w:trPr>
        <w:tc>
          <w:tcPr>
            <w:tcW w:w="776" w:type="dxa"/>
            <w:noWrap/>
            <w:hideMark/>
          </w:tcPr>
          <w:p w14:paraId="42B98F7A" w14:textId="77777777" w:rsidR="00CA7016" w:rsidRPr="001E01AE" w:rsidRDefault="00CA7016" w:rsidP="003C3F6A">
            <w:pPr>
              <w:pStyle w:val="02Tabletext"/>
            </w:pPr>
            <w:r w:rsidRPr="001E01AE">
              <w:t>69303</w:t>
            </w:r>
          </w:p>
        </w:tc>
        <w:tc>
          <w:tcPr>
            <w:tcW w:w="2915" w:type="dxa"/>
            <w:noWrap/>
            <w:hideMark/>
          </w:tcPr>
          <w:p w14:paraId="63C20A25" w14:textId="77777777" w:rsidR="00CA7016" w:rsidRPr="001E01AE" w:rsidRDefault="00CA7016" w:rsidP="003C3F6A">
            <w:pPr>
              <w:pStyle w:val="02Tabletext"/>
            </w:pPr>
            <w:r w:rsidRPr="001E01AE">
              <w:t>Culture and (if performed) microscopy to detect pathogenic microorganisms from nasal swabs, throat swabs, eye swabs and ear swabs (excluding swabs taken for epidemiological surveillance), including (if performed): (a) pathogen identification and antibiotic susceptibility testing; or (b) a service described in item 69300; specimens from 1 or more sites</w:t>
            </w:r>
          </w:p>
        </w:tc>
        <w:tc>
          <w:tcPr>
            <w:tcW w:w="1022" w:type="dxa"/>
            <w:noWrap/>
            <w:hideMark/>
          </w:tcPr>
          <w:p w14:paraId="260C0A94" w14:textId="77777777" w:rsidR="00CA7016" w:rsidRPr="001E01AE" w:rsidRDefault="00CA7016" w:rsidP="003C3F6A">
            <w:pPr>
              <w:pStyle w:val="02Tabletext"/>
              <w:jc w:val="right"/>
            </w:pPr>
            <w:r w:rsidRPr="001E01AE">
              <w:t xml:space="preserve">$22.00 </w:t>
            </w:r>
          </w:p>
        </w:tc>
        <w:tc>
          <w:tcPr>
            <w:tcW w:w="1217" w:type="dxa"/>
            <w:noWrap/>
            <w:hideMark/>
          </w:tcPr>
          <w:p w14:paraId="36FEA123" w14:textId="77777777" w:rsidR="00CA7016" w:rsidRPr="001E01AE" w:rsidRDefault="00CA7016" w:rsidP="003C3F6A">
            <w:pPr>
              <w:pStyle w:val="02Tabletext"/>
              <w:jc w:val="right"/>
            </w:pPr>
            <w:r w:rsidRPr="001E01AE">
              <w:t>$6,511,855</w:t>
            </w:r>
          </w:p>
        </w:tc>
        <w:tc>
          <w:tcPr>
            <w:tcW w:w="1204" w:type="dxa"/>
            <w:noWrap/>
            <w:hideMark/>
          </w:tcPr>
          <w:p w14:paraId="61789F98" w14:textId="77777777" w:rsidR="00CA7016" w:rsidRPr="001E01AE" w:rsidRDefault="00CA7016" w:rsidP="003C3F6A">
            <w:pPr>
              <w:pStyle w:val="02Tabletext"/>
              <w:jc w:val="right"/>
            </w:pPr>
            <w:r w:rsidRPr="001E01AE">
              <w:t>349</w:t>
            </w:r>
            <w:r>
              <w:t xml:space="preserve"> </w:t>
            </w:r>
            <w:r w:rsidRPr="001E01AE">
              <w:t>234</w:t>
            </w:r>
          </w:p>
        </w:tc>
        <w:tc>
          <w:tcPr>
            <w:tcW w:w="941" w:type="dxa"/>
            <w:noWrap/>
            <w:hideMark/>
          </w:tcPr>
          <w:p w14:paraId="6B8F68ED" w14:textId="77777777" w:rsidR="00CA7016" w:rsidRPr="001E01AE" w:rsidRDefault="00CA7016" w:rsidP="003C3F6A">
            <w:pPr>
              <w:pStyle w:val="02Tabletext"/>
              <w:jc w:val="right"/>
            </w:pPr>
            <w:r w:rsidRPr="001E01AE">
              <w:t>315</w:t>
            </w:r>
            <w:r>
              <w:t xml:space="preserve"> </w:t>
            </w:r>
            <w:r w:rsidRPr="001E01AE">
              <w:t>101</w:t>
            </w:r>
          </w:p>
        </w:tc>
        <w:tc>
          <w:tcPr>
            <w:tcW w:w="941" w:type="dxa"/>
            <w:noWrap/>
            <w:hideMark/>
          </w:tcPr>
          <w:p w14:paraId="77B93CB6" w14:textId="77777777" w:rsidR="00CA7016" w:rsidRPr="001E01AE" w:rsidRDefault="00CA7016" w:rsidP="003C3F6A">
            <w:pPr>
              <w:pStyle w:val="02Tabletext"/>
              <w:jc w:val="right"/>
            </w:pPr>
            <w:r w:rsidRPr="001E01AE">
              <w:t>7.0%</w:t>
            </w:r>
          </w:p>
        </w:tc>
      </w:tr>
      <w:tr w:rsidR="00CA7016" w:rsidRPr="00B96BC0" w14:paraId="209843ED" w14:textId="77777777" w:rsidTr="003C3F6A">
        <w:trPr>
          <w:trHeight w:val="300"/>
        </w:trPr>
        <w:tc>
          <w:tcPr>
            <w:tcW w:w="776" w:type="dxa"/>
            <w:noWrap/>
            <w:hideMark/>
          </w:tcPr>
          <w:p w14:paraId="78E62504" w14:textId="77777777" w:rsidR="00CA7016" w:rsidRPr="001E01AE" w:rsidRDefault="00CA7016" w:rsidP="003C3F6A">
            <w:pPr>
              <w:pStyle w:val="02Tabletext"/>
            </w:pPr>
            <w:r w:rsidRPr="001E01AE">
              <w:t>69306</w:t>
            </w:r>
          </w:p>
        </w:tc>
        <w:tc>
          <w:tcPr>
            <w:tcW w:w="2915" w:type="dxa"/>
            <w:noWrap/>
            <w:hideMark/>
          </w:tcPr>
          <w:p w14:paraId="302700B1" w14:textId="77777777" w:rsidR="00CA7016" w:rsidRPr="001E01AE" w:rsidRDefault="00CA7016" w:rsidP="003C3F6A">
            <w:pPr>
              <w:pStyle w:val="02Tabletext"/>
            </w:pPr>
            <w:r w:rsidRPr="001E01AE">
              <w:t xml:space="preserve">Microscopy and culture to detect pathogenic microorganisms from skin or other superficial sites, including (if performed): (a) </w:t>
            </w:r>
            <w:r w:rsidRPr="001E01AE">
              <w:lastRenderedPageBreak/>
              <w:t>pathogen identification and antibiotic susceptibility testing; or (b) a service described in items 69300, 69303, 69312, 69318; 1 or more tests on 1 or more specimens</w:t>
            </w:r>
          </w:p>
        </w:tc>
        <w:tc>
          <w:tcPr>
            <w:tcW w:w="1022" w:type="dxa"/>
            <w:noWrap/>
            <w:hideMark/>
          </w:tcPr>
          <w:p w14:paraId="6352520D" w14:textId="77777777" w:rsidR="00CA7016" w:rsidRPr="001E01AE" w:rsidRDefault="00CA7016" w:rsidP="003C3F6A">
            <w:pPr>
              <w:pStyle w:val="02Tabletext"/>
              <w:jc w:val="right"/>
            </w:pPr>
            <w:r w:rsidRPr="001E01AE">
              <w:lastRenderedPageBreak/>
              <w:t xml:space="preserve">$33.75 </w:t>
            </w:r>
          </w:p>
        </w:tc>
        <w:tc>
          <w:tcPr>
            <w:tcW w:w="1217" w:type="dxa"/>
            <w:noWrap/>
            <w:hideMark/>
          </w:tcPr>
          <w:p w14:paraId="6822AF10" w14:textId="77777777" w:rsidR="00CA7016" w:rsidRPr="001E01AE" w:rsidRDefault="00CA7016" w:rsidP="003C3F6A">
            <w:pPr>
              <w:pStyle w:val="02Tabletext"/>
              <w:jc w:val="right"/>
            </w:pPr>
            <w:r w:rsidRPr="001E01AE">
              <w:t>$15,911,548</w:t>
            </w:r>
          </w:p>
        </w:tc>
        <w:tc>
          <w:tcPr>
            <w:tcW w:w="1204" w:type="dxa"/>
            <w:noWrap/>
            <w:hideMark/>
          </w:tcPr>
          <w:p w14:paraId="15A2D9B3" w14:textId="77777777" w:rsidR="00CA7016" w:rsidRPr="001E01AE" w:rsidRDefault="00CA7016" w:rsidP="003C3F6A">
            <w:pPr>
              <w:pStyle w:val="02Tabletext"/>
              <w:jc w:val="right"/>
            </w:pPr>
            <w:r w:rsidRPr="001E01AE">
              <w:t>563</w:t>
            </w:r>
            <w:r>
              <w:t xml:space="preserve"> </w:t>
            </w:r>
            <w:r w:rsidRPr="001E01AE">
              <w:t>672</w:t>
            </w:r>
          </w:p>
        </w:tc>
        <w:tc>
          <w:tcPr>
            <w:tcW w:w="941" w:type="dxa"/>
            <w:noWrap/>
            <w:hideMark/>
          </w:tcPr>
          <w:p w14:paraId="2386562F" w14:textId="77777777" w:rsidR="00CA7016" w:rsidRPr="001E01AE" w:rsidRDefault="00CA7016" w:rsidP="003C3F6A">
            <w:pPr>
              <w:pStyle w:val="02Tabletext"/>
              <w:jc w:val="right"/>
            </w:pPr>
            <w:r w:rsidRPr="001E01AE">
              <w:t>449</w:t>
            </w:r>
            <w:r>
              <w:t xml:space="preserve"> </w:t>
            </w:r>
            <w:r w:rsidRPr="001E01AE">
              <w:t>715</w:t>
            </w:r>
          </w:p>
        </w:tc>
        <w:tc>
          <w:tcPr>
            <w:tcW w:w="941" w:type="dxa"/>
            <w:noWrap/>
            <w:hideMark/>
          </w:tcPr>
          <w:p w14:paraId="73A51EB7" w14:textId="77777777" w:rsidR="00CA7016" w:rsidRPr="001E01AE" w:rsidRDefault="00CA7016" w:rsidP="003C3F6A">
            <w:pPr>
              <w:pStyle w:val="02Tabletext"/>
              <w:jc w:val="right"/>
            </w:pPr>
            <w:r w:rsidRPr="001E01AE">
              <w:t>7.2%</w:t>
            </w:r>
          </w:p>
        </w:tc>
      </w:tr>
      <w:tr w:rsidR="00CA7016" w:rsidRPr="00B96BC0" w14:paraId="3A13F028" w14:textId="77777777" w:rsidTr="003C3F6A">
        <w:trPr>
          <w:trHeight w:val="300"/>
        </w:trPr>
        <w:tc>
          <w:tcPr>
            <w:tcW w:w="776" w:type="dxa"/>
            <w:noWrap/>
            <w:hideMark/>
          </w:tcPr>
          <w:p w14:paraId="0C728EE0" w14:textId="77777777" w:rsidR="00CA7016" w:rsidRPr="001E01AE" w:rsidRDefault="00CA7016" w:rsidP="003C3F6A">
            <w:pPr>
              <w:pStyle w:val="02Tabletext"/>
            </w:pPr>
            <w:r w:rsidRPr="001E01AE">
              <w:t>69312</w:t>
            </w:r>
          </w:p>
        </w:tc>
        <w:tc>
          <w:tcPr>
            <w:tcW w:w="2915" w:type="dxa"/>
            <w:noWrap/>
            <w:hideMark/>
          </w:tcPr>
          <w:p w14:paraId="21DFEE8F" w14:textId="77777777" w:rsidR="00CA7016" w:rsidRPr="001E01AE" w:rsidRDefault="00CA7016" w:rsidP="003C3F6A">
            <w:pPr>
              <w:pStyle w:val="02Tabletext"/>
            </w:pPr>
            <w:r w:rsidRPr="001E01AE">
              <w:t>Microscopy and culture to detect pathogenic microorganisms from urethra, vagina, cervix or rectum (except for faecal pathogens), including (if performed): (a) pathogen identification and antibiotic susceptibility testing; or (b) a service described in items 69300, 69303, 69306 and 69318; 1 or more tests on 1 or more specimens</w:t>
            </w:r>
          </w:p>
        </w:tc>
        <w:tc>
          <w:tcPr>
            <w:tcW w:w="1022" w:type="dxa"/>
            <w:noWrap/>
            <w:hideMark/>
          </w:tcPr>
          <w:p w14:paraId="26CFACDB" w14:textId="77777777" w:rsidR="00CA7016" w:rsidRPr="001E01AE" w:rsidRDefault="00CA7016" w:rsidP="003C3F6A">
            <w:pPr>
              <w:pStyle w:val="02Tabletext"/>
              <w:jc w:val="right"/>
            </w:pPr>
            <w:r w:rsidRPr="001E01AE">
              <w:t xml:space="preserve">$33.75 </w:t>
            </w:r>
          </w:p>
        </w:tc>
        <w:tc>
          <w:tcPr>
            <w:tcW w:w="1217" w:type="dxa"/>
            <w:noWrap/>
            <w:hideMark/>
          </w:tcPr>
          <w:p w14:paraId="08271D49" w14:textId="77777777" w:rsidR="00CA7016" w:rsidRPr="001E01AE" w:rsidRDefault="00CA7016" w:rsidP="003C3F6A">
            <w:pPr>
              <w:pStyle w:val="02Tabletext"/>
              <w:jc w:val="right"/>
            </w:pPr>
            <w:r w:rsidRPr="001E01AE">
              <w:t>$23,145,700</w:t>
            </w:r>
          </w:p>
        </w:tc>
        <w:tc>
          <w:tcPr>
            <w:tcW w:w="1204" w:type="dxa"/>
            <w:noWrap/>
            <w:hideMark/>
          </w:tcPr>
          <w:p w14:paraId="5F9B372F" w14:textId="77777777" w:rsidR="00CA7016" w:rsidRPr="001E01AE" w:rsidRDefault="00CA7016" w:rsidP="003C3F6A">
            <w:pPr>
              <w:pStyle w:val="02Tabletext"/>
              <w:jc w:val="right"/>
            </w:pPr>
            <w:r w:rsidRPr="001E01AE">
              <w:t>800</w:t>
            </w:r>
            <w:r>
              <w:t xml:space="preserve"> </w:t>
            </w:r>
            <w:r w:rsidRPr="001E01AE">
              <w:t>961</w:t>
            </w:r>
          </w:p>
        </w:tc>
        <w:tc>
          <w:tcPr>
            <w:tcW w:w="941" w:type="dxa"/>
            <w:noWrap/>
            <w:hideMark/>
          </w:tcPr>
          <w:p w14:paraId="60A0F2B8" w14:textId="77777777" w:rsidR="00CA7016" w:rsidRPr="001E01AE" w:rsidRDefault="00CA7016" w:rsidP="003C3F6A">
            <w:pPr>
              <w:pStyle w:val="02Tabletext"/>
              <w:jc w:val="right"/>
            </w:pPr>
            <w:r w:rsidRPr="001E01AE">
              <w:t>683</w:t>
            </w:r>
            <w:r>
              <w:t xml:space="preserve"> </w:t>
            </w:r>
            <w:r w:rsidRPr="001E01AE">
              <w:t>298</w:t>
            </w:r>
          </w:p>
        </w:tc>
        <w:tc>
          <w:tcPr>
            <w:tcW w:w="941" w:type="dxa"/>
            <w:noWrap/>
            <w:hideMark/>
          </w:tcPr>
          <w:p w14:paraId="198C6539" w14:textId="77777777" w:rsidR="00CA7016" w:rsidRPr="001E01AE" w:rsidRDefault="00CA7016" w:rsidP="003C3F6A">
            <w:pPr>
              <w:pStyle w:val="02Tabletext"/>
              <w:jc w:val="right"/>
            </w:pPr>
            <w:r w:rsidRPr="001E01AE">
              <w:t>4.8%</w:t>
            </w:r>
          </w:p>
        </w:tc>
      </w:tr>
      <w:tr w:rsidR="00CA7016" w:rsidRPr="00B96BC0" w14:paraId="5B784419" w14:textId="77777777" w:rsidTr="003C3F6A">
        <w:trPr>
          <w:trHeight w:val="300"/>
        </w:trPr>
        <w:tc>
          <w:tcPr>
            <w:tcW w:w="776" w:type="dxa"/>
            <w:noWrap/>
            <w:hideMark/>
          </w:tcPr>
          <w:p w14:paraId="29F10E11" w14:textId="77777777" w:rsidR="00CA7016" w:rsidRPr="001E01AE" w:rsidRDefault="00CA7016" w:rsidP="003C3F6A">
            <w:pPr>
              <w:pStyle w:val="02Tabletext"/>
            </w:pPr>
            <w:r w:rsidRPr="001E01AE">
              <w:t>69318</w:t>
            </w:r>
          </w:p>
        </w:tc>
        <w:tc>
          <w:tcPr>
            <w:tcW w:w="2915" w:type="dxa"/>
            <w:noWrap/>
            <w:hideMark/>
          </w:tcPr>
          <w:p w14:paraId="1FB56C5B" w14:textId="77777777" w:rsidR="00CA7016" w:rsidRPr="001E01AE" w:rsidRDefault="00CA7016" w:rsidP="003C3F6A">
            <w:pPr>
              <w:pStyle w:val="02Tabletext"/>
            </w:pPr>
            <w:r w:rsidRPr="001E01AE">
              <w:t>Microscopy and culture to detect pathogenic microorganisms from specimens of sputum (except when part of items 69324, 69327 and 69330), including (if performed): (a) pathogen identification and antibiotic susceptibility testing; or (b) a service described in items 69300, 69303, 69306 and 69312; 1 or more tests on 1 or more specimens</w:t>
            </w:r>
          </w:p>
        </w:tc>
        <w:tc>
          <w:tcPr>
            <w:tcW w:w="1022" w:type="dxa"/>
            <w:noWrap/>
            <w:hideMark/>
          </w:tcPr>
          <w:p w14:paraId="0E0AB228" w14:textId="77777777" w:rsidR="00CA7016" w:rsidRPr="001E01AE" w:rsidRDefault="00CA7016" w:rsidP="003C3F6A">
            <w:pPr>
              <w:pStyle w:val="02Tabletext"/>
              <w:jc w:val="right"/>
            </w:pPr>
            <w:r w:rsidRPr="001E01AE">
              <w:t xml:space="preserve">$33.75 </w:t>
            </w:r>
          </w:p>
        </w:tc>
        <w:tc>
          <w:tcPr>
            <w:tcW w:w="1217" w:type="dxa"/>
            <w:noWrap/>
            <w:hideMark/>
          </w:tcPr>
          <w:p w14:paraId="4B616CDE" w14:textId="77777777" w:rsidR="00CA7016" w:rsidRPr="001E01AE" w:rsidRDefault="00CA7016" w:rsidP="003C3F6A">
            <w:pPr>
              <w:pStyle w:val="02Tabletext"/>
              <w:jc w:val="right"/>
            </w:pPr>
            <w:r w:rsidRPr="001E01AE">
              <w:t>$5,497,366</w:t>
            </w:r>
          </w:p>
        </w:tc>
        <w:tc>
          <w:tcPr>
            <w:tcW w:w="1204" w:type="dxa"/>
            <w:noWrap/>
            <w:hideMark/>
          </w:tcPr>
          <w:p w14:paraId="739A4D4C" w14:textId="77777777" w:rsidR="00CA7016" w:rsidRPr="001E01AE" w:rsidRDefault="00CA7016" w:rsidP="003C3F6A">
            <w:pPr>
              <w:pStyle w:val="02Tabletext"/>
              <w:jc w:val="right"/>
            </w:pPr>
            <w:r w:rsidRPr="001E01AE">
              <w:t>195</w:t>
            </w:r>
            <w:r>
              <w:t xml:space="preserve"> </w:t>
            </w:r>
            <w:r w:rsidRPr="001E01AE">
              <w:t>912</w:t>
            </w:r>
          </w:p>
        </w:tc>
        <w:tc>
          <w:tcPr>
            <w:tcW w:w="941" w:type="dxa"/>
            <w:noWrap/>
            <w:hideMark/>
          </w:tcPr>
          <w:p w14:paraId="019455D9" w14:textId="77777777" w:rsidR="00CA7016" w:rsidRPr="001E01AE" w:rsidRDefault="00CA7016" w:rsidP="003C3F6A">
            <w:pPr>
              <w:pStyle w:val="02Tabletext"/>
              <w:jc w:val="right"/>
            </w:pPr>
            <w:r w:rsidRPr="001E01AE">
              <w:t>150</w:t>
            </w:r>
            <w:r>
              <w:t xml:space="preserve"> </w:t>
            </w:r>
            <w:r w:rsidRPr="001E01AE">
              <w:t>594</w:t>
            </w:r>
          </w:p>
        </w:tc>
        <w:tc>
          <w:tcPr>
            <w:tcW w:w="941" w:type="dxa"/>
            <w:noWrap/>
            <w:hideMark/>
          </w:tcPr>
          <w:p w14:paraId="32AE156A" w14:textId="77777777" w:rsidR="00CA7016" w:rsidRPr="001E01AE" w:rsidRDefault="00CA7016" w:rsidP="003C3F6A">
            <w:pPr>
              <w:pStyle w:val="02Tabletext"/>
              <w:jc w:val="right"/>
            </w:pPr>
            <w:r w:rsidRPr="001E01AE">
              <w:t>9.4%</w:t>
            </w:r>
          </w:p>
        </w:tc>
      </w:tr>
    </w:tbl>
    <w:p w14:paraId="2FD94817" w14:textId="77777777" w:rsidR="00CA7016" w:rsidRPr="00A0513E" w:rsidRDefault="00CA7016" w:rsidP="00CA7016">
      <w:pPr>
        <w:pStyle w:val="Heading3"/>
      </w:pPr>
      <w:bookmarkStart w:id="266" w:name="_Toc12886578"/>
      <w:r w:rsidRPr="00A0513E">
        <w:t>Recommendation</w:t>
      </w:r>
      <w:r>
        <w:t xml:space="preserve"> 11</w:t>
      </w:r>
      <w:bookmarkEnd w:id="266"/>
    </w:p>
    <w:p w14:paraId="3DAF63C9" w14:textId="77777777" w:rsidR="00CA7016" w:rsidRDefault="00CA7016" w:rsidP="00CA7016">
      <w:pPr>
        <w:pStyle w:val="NormalBulleted"/>
        <w:numPr>
          <w:ilvl w:val="0"/>
          <w:numId w:val="17"/>
        </w:numPr>
        <w:spacing w:before="120" w:after="60" w:line="240" w:lineRule="auto"/>
        <w:ind w:right="142"/>
        <w:contextualSpacing w:val="0"/>
      </w:pPr>
      <w:r w:rsidRPr="00A0513E">
        <w:t>Change the descriptors of items 69303, 69306, 69312 and 69318 to remove the inclusion of microscopy and culture on specimens from other sites.</w:t>
      </w:r>
    </w:p>
    <w:p w14:paraId="0C93F029" w14:textId="77777777" w:rsidR="00CA7016" w:rsidRPr="00A0513E" w:rsidRDefault="00CA7016" w:rsidP="00CA7016">
      <w:pPr>
        <w:pStyle w:val="NormalBulleted"/>
        <w:numPr>
          <w:ilvl w:val="0"/>
          <w:numId w:val="17"/>
        </w:numPr>
        <w:spacing w:before="120" w:after="60" w:line="240" w:lineRule="auto"/>
        <w:ind w:right="142"/>
        <w:contextualSpacing w:val="0"/>
      </w:pPr>
      <w:r>
        <w:t>Refer to section 4.3.1 for the recommendation to amend the descriptor of item 69312 to include ‘throat (except for respiratory pathogens)</w:t>
      </w:r>
      <w:r w:rsidR="000470C6">
        <w:t>’</w:t>
      </w:r>
      <w:r>
        <w:t>.</w:t>
      </w:r>
    </w:p>
    <w:p w14:paraId="22711C14" w14:textId="77777777" w:rsidR="00CA7016" w:rsidRPr="00267BE4" w:rsidRDefault="00CA7016" w:rsidP="00CA7016">
      <w:pPr>
        <w:pStyle w:val="Caption"/>
      </w:pPr>
      <w:bookmarkStart w:id="267" w:name="_Toc484598356"/>
      <w:bookmarkStart w:id="268" w:name="_Toc486935618"/>
      <w:bookmarkStart w:id="269" w:name="_Toc12953471"/>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D45EA8">
        <w:rPr>
          <w:noProof/>
        </w:rPr>
        <w:t>21</w:t>
      </w:r>
      <w:r w:rsidR="00BB490A">
        <w:rPr>
          <w:noProof/>
        </w:rPr>
        <w:fldChar w:fldCharType="end"/>
      </w:r>
      <w:r w:rsidRPr="00267BE4">
        <w:t>: Proposed changes to site specific culture and microscopy items</w:t>
      </w:r>
      <w:bookmarkEnd w:id="267"/>
      <w:bookmarkEnd w:id="268"/>
      <w:bookmarkEnd w:id="269"/>
    </w:p>
    <w:tbl>
      <w:tblPr>
        <w:tblStyle w:val="TableGrid"/>
        <w:tblW w:w="0" w:type="auto"/>
        <w:tblLook w:val="04A0" w:firstRow="1" w:lastRow="0" w:firstColumn="1" w:lastColumn="0" w:noHBand="0" w:noVBand="1"/>
        <w:tblDescription w:val="This table lists Item numbers, Current descriptors, and Proposed changes to descriptors for site-specific culture and microscopy tests."/>
      </w:tblPr>
      <w:tblGrid>
        <w:gridCol w:w="988"/>
        <w:gridCol w:w="3969"/>
        <w:gridCol w:w="4059"/>
      </w:tblGrid>
      <w:tr w:rsidR="00CA7016" w:rsidRPr="00B96BC0" w14:paraId="2B979F4E" w14:textId="77777777" w:rsidTr="00F20089">
        <w:trPr>
          <w:tblHeader/>
        </w:trPr>
        <w:tc>
          <w:tcPr>
            <w:tcW w:w="988" w:type="dxa"/>
            <w:shd w:val="clear" w:color="auto" w:fill="EEECE1" w:themeFill="background2"/>
            <w:vAlign w:val="bottom"/>
          </w:tcPr>
          <w:p w14:paraId="684EF42B" w14:textId="77777777" w:rsidR="00CA7016" w:rsidRPr="00A0513E" w:rsidRDefault="00CA7016" w:rsidP="003C3F6A">
            <w:pPr>
              <w:pStyle w:val="01Tableheaderrow"/>
            </w:pPr>
            <w:r w:rsidRPr="00A0513E">
              <w:t>Item</w:t>
            </w:r>
          </w:p>
        </w:tc>
        <w:tc>
          <w:tcPr>
            <w:tcW w:w="3969" w:type="dxa"/>
            <w:shd w:val="clear" w:color="auto" w:fill="EEECE1" w:themeFill="background2"/>
            <w:vAlign w:val="bottom"/>
          </w:tcPr>
          <w:p w14:paraId="37FA0BB5" w14:textId="77777777" w:rsidR="00CA7016" w:rsidRPr="00A0513E" w:rsidRDefault="00CA7016" w:rsidP="003C3F6A">
            <w:pPr>
              <w:pStyle w:val="01Tableheaderrow"/>
            </w:pPr>
            <w:r w:rsidRPr="00A0513E">
              <w:t>Current descriptor</w:t>
            </w:r>
          </w:p>
        </w:tc>
        <w:tc>
          <w:tcPr>
            <w:tcW w:w="4059" w:type="dxa"/>
            <w:shd w:val="clear" w:color="auto" w:fill="EEECE1" w:themeFill="background2"/>
            <w:vAlign w:val="bottom"/>
          </w:tcPr>
          <w:p w14:paraId="0EA002C9" w14:textId="77777777" w:rsidR="00CA7016" w:rsidRPr="00A0513E" w:rsidRDefault="00CA7016" w:rsidP="003C3F6A">
            <w:pPr>
              <w:pStyle w:val="01Tableheaderrow"/>
            </w:pPr>
            <w:r w:rsidRPr="00A0513E">
              <w:t>Proposed change to descriptor</w:t>
            </w:r>
          </w:p>
        </w:tc>
      </w:tr>
      <w:tr w:rsidR="00CA7016" w:rsidRPr="00B96BC0" w14:paraId="67A844FF" w14:textId="77777777" w:rsidTr="003C3F6A">
        <w:tc>
          <w:tcPr>
            <w:tcW w:w="988" w:type="dxa"/>
          </w:tcPr>
          <w:p w14:paraId="72C73558" w14:textId="77777777" w:rsidR="00CA7016" w:rsidRPr="00A0513E" w:rsidRDefault="00CA7016" w:rsidP="003C3F6A">
            <w:pPr>
              <w:pStyle w:val="02Tabletext"/>
            </w:pPr>
            <w:r w:rsidRPr="00A0513E">
              <w:t>69303</w:t>
            </w:r>
          </w:p>
        </w:tc>
        <w:tc>
          <w:tcPr>
            <w:tcW w:w="3969" w:type="dxa"/>
          </w:tcPr>
          <w:p w14:paraId="5F567225" w14:textId="77777777" w:rsidR="00CA7016" w:rsidRPr="00A0513E" w:rsidRDefault="00CA7016" w:rsidP="003C3F6A">
            <w:pPr>
              <w:pStyle w:val="02Tabletext"/>
            </w:pPr>
            <w:r w:rsidRPr="00A0513E">
              <w:t>Culture and (if performed) microscopy to detect pathogenic microorganisms from nasal swabs, throat swabs, eye swabs and ear swabs (excluding swabs taken for epidemiological surveillance), including (if performed): (a) pathogen identification and antibiotic susceptibility testing; or (b) a service described in item 69300; specimens from 1 or more sites</w:t>
            </w:r>
          </w:p>
        </w:tc>
        <w:tc>
          <w:tcPr>
            <w:tcW w:w="4059" w:type="dxa"/>
          </w:tcPr>
          <w:p w14:paraId="1265D4FA" w14:textId="77777777" w:rsidR="00CA7016" w:rsidRPr="00A0513E" w:rsidRDefault="00CA7016" w:rsidP="003C3F6A">
            <w:pPr>
              <w:pStyle w:val="02Tabletext"/>
            </w:pPr>
            <w:r w:rsidRPr="001217A8">
              <w:t>Culture and (if performed) microscopy to detect pathogenic microorganisms from nasal swabs, throat swabs (excluding STI pathogens), eye swabs and ear swabs (excluding swabs taken for epidemiological surveillance), including (if performed): (a) pathogen identification and antibiotic susceptibility testing; or (b) a service described in item 69300; 1 or more tests on 1 or more specimens.</w:t>
            </w:r>
          </w:p>
        </w:tc>
      </w:tr>
      <w:tr w:rsidR="00CA7016" w:rsidRPr="00B96BC0" w14:paraId="532197A0" w14:textId="77777777" w:rsidTr="003C3F6A">
        <w:tc>
          <w:tcPr>
            <w:tcW w:w="988" w:type="dxa"/>
          </w:tcPr>
          <w:p w14:paraId="3D6BE419" w14:textId="77777777" w:rsidR="00CA7016" w:rsidRPr="00A0513E" w:rsidRDefault="00CA7016" w:rsidP="003C3F6A">
            <w:pPr>
              <w:pStyle w:val="02Tabletext"/>
            </w:pPr>
            <w:r w:rsidRPr="00A0513E">
              <w:t>69306</w:t>
            </w:r>
          </w:p>
        </w:tc>
        <w:tc>
          <w:tcPr>
            <w:tcW w:w="3969" w:type="dxa"/>
          </w:tcPr>
          <w:p w14:paraId="6F1A576A" w14:textId="77777777" w:rsidR="00CA7016" w:rsidRPr="00A0513E" w:rsidRDefault="00CA7016" w:rsidP="003C3F6A">
            <w:pPr>
              <w:pStyle w:val="02Tabletext"/>
            </w:pPr>
            <w:r w:rsidRPr="00A0513E">
              <w:t>Microscopy and culture to detect pathogenic microorganisms from skin or other superficial sites, including (if performed): (a) pathogen identification and antibiotic susceptibility testing; or (b) a service described in items 69300, 69303, 69312, 69318; 1 or more tests on 1 or more specimens</w:t>
            </w:r>
          </w:p>
        </w:tc>
        <w:tc>
          <w:tcPr>
            <w:tcW w:w="4059" w:type="dxa"/>
          </w:tcPr>
          <w:p w14:paraId="60987085" w14:textId="77777777" w:rsidR="00CA7016" w:rsidRPr="00A0513E" w:rsidRDefault="00CA7016" w:rsidP="003C3F6A">
            <w:pPr>
              <w:pStyle w:val="02Tabletext"/>
            </w:pPr>
            <w:r w:rsidRPr="00A0513E">
              <w:t>Microscopy and culture to detect pathogenic microorganisms from skin or other superficial sites, including (if performed): (a) pathogen identification and antibiotic susceptibility testing; or (b) a service described in item 69300; 1 or more tests on 1 or more specimens</w:t>
            </w:r>
            <w:r>
              <w:t>.</w:t>
            </w:r>
          </w:p>
        </w:tc>
      </w:tr>
      <w:tr w:rsidR="00CA7016" w:rsidRPr="00B96BC0" w14:paraId="028B56D2" w14:textId="77777777" w:rsidTr="003C3F6A">
        <w:tc>
          <w:tcPr>
            <w:tcW w:w="988" w:type="dxa"/>
          </w:tcPr>
          <w:p w14:paraId="4AC2B1E3" w14:textId="77777777" w:rsidR="00CA7016" w:rsidRPr="00A0513E" w:rsidRDefault="00CA7016" w:rsidP="003C3F6A">
            <w:pPr>
              <w:pStyle w:val="02Tabletext"/>
            </w:pPr>
            <w:r w:rsidRPr="00A0513E">
              <w:t>69312</w:t>
            </w:r>
          </w:p>
        </w:tc>
        <w:tc>
          <w:tcPr>
            <w:tcW w:w="3969" w:type="dxa"/>
          </w:tcPr>
          <w:p w14:paraId="2A2F265C" w14:textId="77777777" w:rsidR="00CA7016" w:rsidRPr="00A0513E" w:rsidRDefault="00CA7016" w:rsidP="003C3F6A">
            <w:pPr>
              <w:pStyle w:val="02Tabletext"/>
            </w:pPr>
            <w:r w:rsidRPr="00A0513E">
              <w:t xml:space="preserve">Microscopy and culture to detect pathogenic microorganisms from urethra, vagina, cervix or rectum (except for faecal pathogens), including (if performed): (a) pathogen identification and </w:t>
            </w:r>
            <w:r w:rsidRPr="00A0513E">
              <w:lastRenderedPageBreak/>
              <w:t>antibiotic susceptibility testing; or (b) a service described in items 69300, 69303, 69306 and 69318; 1 or more tests on 1 or more specimens</w:t>
            </w:r>
          </w:p>
        </w:tc>
        <w:tc>
          <w:tcPr>
            <w:tcW w:w="4059" w:type="dxa"/>
          </w:tcPr>
          <w:p w14:paraId="6DDF698A" w14:textId="77777777" w:rsidR="00CA7016" w:rsidRDefault="00CA7016" w:rsidP="003C3F6A">
            <w:pPr>
              <w:pStyle w:val="02Tabletext"/>
            </w:pPr>
            <w:r w:rsidRPr="00A0513E">
              <w:lastRenderedPageBreak/>
              <w:t>Microscopy and culture to detect pathogenic microorganisms from throat (except for respiratory pathogens)</w:t>
            </w:r>
            <w:r>
              <w:t xml:space="preserve">, </w:t>
            </w:r>
            <w:r w:rsidRPr="00A0513E">
              <w:t xml:space="preserve">urethra, vagina, cervix or rectum (except for faecal pathogens), </w:t>
            </w:r>
            <w:r w:rsidRPr="00A0513E">
              <w:lastRenderedPageBreak/>
              <w:t>including (if performed): (a) pathogen identification and antibiotic susceptibility testing; or (b) a service described in item 69300; 1 or more tests on 1 or more specimens</w:t>
            </w:r>
            <w:r>
              <w:t>.</w:t>
            </w:r>
          </w:p>
          <w:p w14:paraId="2EE0D655" w14:textId="77777777" w:rsidR="00CA7016" w:rsidRPr="00140E47" w:rsidRDefault="00CA7016" w:rsidP="003C3F6A">
            <w:pPr>
              <w:rPr>
                <w:lang w:eastAsia="en-US"/>
              </w:rPr>
            </w:pPr>
          </w:p>
        </w:tc>
      </w:tr>
      <w:tr w:rsidR="00CA7016" w:rsidRPr="00B96BC0" w14:paraId="3334878C" w14:textId="77777777" w:rsidTr="003C3F6A">
        <w:tc>
          <w:tcPr>
            <w:tcW w:w="988" w:type="dxa"/>
          </w:tcPr>
          <w:p w14:paraId="368E64E5" w14:textId="77777777" w:rsidR="00CA7016" w:rsidRPr="00A0513E" w:rsidRDefault="00CA7016" w:rsidP="003C3F6A">
            <w:pPr>
              <w:pStyle w:val="02Tabletext"/>
            </w:pPr>
            <w:r w:rsidRPr="00A0513E">
              <w:lastRenderedPageBreak/>
              <w:t>69318</w:t>
            </w:r>
          </w:p>
        </w:tc>
        <w:tc>
          <w:tcPr>
            <w:tcW w:w="3969" w:type="dxa"/>
          </w:tcPr>
          <w:p w14:paraId="0FC17E49" w14:textId="77777777" w:rsidR="00CA7016" w:rsidRPr="00A0513E" w:rsidRDefault="00CA7016" w:rsidP="003C3F6A">
            <w:pPr>
              <w:pStyle w:val="02Tabletext"/>
            </w:pPr>
            <w:r w:rsidRPr="00A0513E">
              <w:t>Microscopy and culture to detect pathogenic microorganisms from specimens of sputum (except when part of items 69324, 69327 and 69330), including (if performed): (a) pathogen identification and antibiotic susceptibility testing; or (b) a service described in items 69300, 69303, 69306 and 69312; 1 or more tests on 1 or more specimens</w:t>
            </w:r>
          </w:p>
        </w:tc>
        <w:tc>
          <w:tcPr>
            <w:tcW w:w="4059" w:type="dxa"/>
          </w:tcPr>
          <w:p w14:paraId="0D167FE1" w14:textId="77777777" w:rsidR="00CA7016" w:rsidRPr="00A0513E" w:rsidRDefault="00CA7016" w:rsidP="003C3F6A">
            <w:pPr>
              <w:pStyle w:val="02Tabletext"/>
            </w:pPr>
            <w:r w:rsidRPr="00A0513E">
              <w:t>Microscopy and culture to detect pathogenic microorganisms from specimens of sputum (except when part of items 69324, 69327 and 69330), including (if performed): (a) pathogen identification and antibiotic susceptibility testing; or (b) a service described in item 69300;1 or more tests on 1 or more specimens</w:t>
            </w:r>
            <w:r>
              <w:t>.</w:t>
            </w:r>
          </w:p>
        </w:tc>
      </w:tr>
    </w:tbl>
    <w:p w14:paraId="0140D12B" w14:textId="77777777" w:rsidR="00CA7016" w:rsidRPr="00A0513E" w:rsidRDefault="00CA7016" w:rsidP="00CA7016">
      <w:pPr>
        <w:pStyle w:val="Heading3"/>
      </w:pPr>
      <w:bookmarkStart w:id="270" w:name="_Toc12886579"/>
      <w:r w:rsidRPr="00A0513E">
        <w:t>Rationale</w:t>
      </w:r>
      <w:r>
        <w:t xml:space="preserve"> 11</w:t>
      </w:r>
      <w:bookmarkEnd w:id="270"/>
    </w:p>
    <w:p w14:paraId="2EA500CA" w14:textId="77777777" w:rsidR="00CA7016" w:rsidRPr="00B96BC0" w:rsidRDefault="00CA7016" w:rsidP="00CA7016">
      <w:r w:rsidRPr="00B96BC0">
        <w:t>The recommendations focus on modernising and simplifying the MBS and are based on the following observations.</w:t>
      </w:r>
    </w:p>
    <w:p w14:paraId="0B1C18A2" w14:textId="77777777" w:rsidR="00CA7016" w:rsidRPr="00A0513E" w:rsidRDefault="00CA7016" w:rsidP="00CA7016">
      <w:pPr>
        <w:pStyle w:val="NormalBulleted"/>
        <w:numPr>
          <w:ilvl w:val="0"/>
          <w:numId w:val="17"/>
        </w:numPr>
        <w:spacing w:before="120" w:after="60" w:line="240" w:lineRule="auto"/>
        <w:ind w:right="142"/>
        <w:contextualSpacing w:val="0"/>
      </w:pPr>
      <w:r w:rsidRPr="00A0513E">
        <w:t>The decision to order tests from multiple sites is a clinical decision made by the request</w:t>
      </w:r>
      <w:r>
        <w:t>e</w:t>
      </w:r>
      <w:r w:rsidRPr="00A0513E">
        <w:t xml:space="preserve">r. Each of these items </w:t>
      </w:r>
      <w:r w:rsidR="002742F3">
        <w:t xml:space="preserve">comprise </w:t>
      </w:r>
      <w:r w:rsidRPr="00A0513E">
        <w:t xml:space="preserve">tests performed on specimens derived from independent sites throughout the body to determine the microorganisms that may be causing infection, and the antibiotic sensitivity if treatment is subsequently required. The specimens from each body site are handled, tested and reported separately. Each will potentially involve different site-specific pathogens and the subsequent management may be different for each site. </w:t>
      </w:r>
    </w:p>
    <w:p w14:paraId="4FE9B643"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Currently the item descriptors include any tests performed on specimens from other sites. As each of these site-specific tests </w:t>
      </w:r>
      <w:r w:rsidR="002742F3">
        <w:t xml:space="preserve">is </w:t>
      </w:r>
      <w:r w:rsidRPr="00A0513E">
        <w:t xml:space="preserve">independent in terms of laboratory processes, consumables and resources the Committee recommended they should be funded separately. </w:t>
      </w:r>
    </w:p>
    <w:p w14:paraId="5401FB66" w14:textId="77777777" w:rsidR="00CA7016" w:rsidRPr="00A0513E" w:rsidRDefault="00CA7016" w:rsidP="00CA7016">
      <w:pPr>
        <w:pStyle w:val="NormalBulleted"/>
        <w:numPr>
          <w:ilvl w:val="0"/>
          <w:numId w:val="17"/>
        </w:numPr>
        <w:spacing w:before="120" w:after="60" w:line="240" w:lineRule="auto"/>
        <w:ind w:right="142"/>
        <w:contextualSpacing w:val="0"/>
      </w:pPr>
      <w:r w:rsidRPr="00A0513E">
        <w:t>The MBS data do not provide information on how often specimens from multiple sites are ordered. Currently, a patient presenting with either respiratory symptoms or an eye infection would have a request for either a sputum sample or an eye swab</w:t>
      </w:r>
      <w:r>
        <w:t>,</w:t>
      </w:r>
      <w:r w:rsidRPr="00A0513E">
        <w:t xml:space="preserve"> which would be funded through items 69318 ($33.73) or 69303 ($22.00) respectively. An example </w:t>
      </w:r>
      <w:r>
        <w:t xml:space="preserve">of when </w:t>
      </w:r>
      <w:r w:rsidRPr="00A0513E">
        <w:t>multiple-site specimens are required is in the testing for sexually transmi</w:t>
      </w:r>
      <w:r w:rsidR="002742F3">
        <w:t>ssible</w:t>
      </w:r>
      <w:r w:rsidRPr="00A0513E">
        <w:t xml:space="preserve"> </w:t>
      </w:r>
      <w:r w:rsidR="002742F3">
        <w:t>infections</w:t>
      </w:r>
      <w:r w:rsidRPr="00A0513E">
        <w:t>, whe</w:t>
      </w:r>
      <w:r w:rsidR="002742F3">
        <w:t>n</w:t>
      </w:r>
      <w:r w:rsidRPr="00A0513E">
        <w:t xml:space="preserve"> a request could be for a throat swab together with a urethra</w:t>
      </w:r>
      <w:r w:rsidR="002742F3">
        <w:t>l</w:t>
      </w:r>
      <w:r w:rsidRPr="00A0513E">
        <w:t xml:space="preserve"> and a rectal swab. Currently, only one test would be funded (item 69312 </w:t>
      </w:r>
      <w:r w:rsidR="002742F3">
        <w:t>[</w:t>
      </w:r>
      <w:r w:rsidRPr="00A0513E">
        <w:t>$33.73</w:t>
      </w:r>
      <w:r w:rsidR="002742F3">
        <w:t>]</w:t>
      </w:r>
      <w:r w:rsidRPr="00A0513E">
        <w:t>) despite three sets of specimens needing to be collected and tested.</w:t>
      </w:r>
    </w:p>
    <w:p w14:paraId="6B164C1F" w14:textId="77777777" w:rsidR="00CA7016" w:rsidRPr="00A0513E" w:rsidRDefault="00CA7016" w:rsidP="00CA7016">
      <w:pPr>
        <w:pStyle w:val="NormalBulleted"/>
        <w:numPr>
          <w:ilvl w:val="0"/>
          <w:numId w:val="17"/>
        </w:numPr>
        <w:spacing w:before="120" w:after="60" w:line="240" w:lineRule="auto"/>
        <w:ind w:right="142"/>
        <w:contextualSpacing w:val="0"/>
      </w:pPr>
      <w:r w:rsidRPr="00A0513E">
        <w:t>A costing review considering the redistribution of relevant fees across these items will be required.</w:t>
      </w:r>
    </w:p>
    <w:p w14:paraId="517339D2"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Member data from one large laboratory indicated that the frequency </w:t>
      </w:r>
      <w:r>
        <w:t xml:space="preserve">with which </w:t>
      </w:r>
      <w:r w:rsidRPr="00A0513E">
        <w:t xml:space="preserve">cultures from other sites are ordered on the same episode was </w:t>
      </w:r>
      <w:proofErr w:type="gramStart"/>
      <w:r w:rsidRPr="00A0513E">
        <w:t>fairly low</w:t>
      </w:r>
      <w:proofErr w:type="gramEnd"/>
      <w:r w:rsidRPr="00A0513E">
        <w:t>, with most associated with item 69303 (3.3% of requests). Similarly, the frequency with which more than one culture is received for the same site was also low, with most associated with item 69306 (3% of requests).</w:t>
      </w:r>
      <w:bookmarkStart w:id="271" w:name="_Toc485135539"/>
      <w:bookmarkStart w:id="272" w:name="_Toc485135540"/>
      <w:bookmarkStart w:id="273" w:name="_Toc485135545"/>
      <w:bookmarkStart w:id="274" w:name="_Toc485135548"/>
      <w:bookmarkStart w:id="275" w:name="_Toc485135549"/>
      <w:bookmarkStart w:id="276" w:name="_Toc483989375"/>
      <w:bookmarkEnd w:id="271"/>
      <w:bookmarkEnd w:id="272"/>
      <w:bookmarkEnd w:id="273"/>
      <w:bookmarkEnd w:id="274"/>
      <w:bookmarkEnd w:id="275"/>
    </w:p>
    <w:p w14:paraId="4C7E112B" w14:textId="77777777" w:rsidR="00CA7016" w:rsidRPr="00A0513E" w:rsidRDefault="00CA7016" w:rsidP="00CA7016">
      <w:pPr>
        <w:pStyle w:val="Heading2"/>
      </w:pPr>
      <w:bookmarkStart w:id="277" w:name="_Toc486939194"/>
      <w:bookmarkStart w:id="278" w:name="_Ref487787591"/>
      <w:bookmarkStart w:id="279" w:name="_Toc12886580"/>
      <w:r w:rsidRPr="00B96BC0">
        <w:t>HIV/STI Rule 3 exemption</w:t>
      </w:r>
      <w:bookmarkEnd w:id="276"/>
      <w:bookmarkEnd w:id="277"/>
      <w:bookmarkEnd w:id="278"/>
      <w:bookmarkEnd w:id="279"/>
      <w:r w:rsidRPr="00B96BC0">
        <w:t xml:space="preserve"> </w:t>
      </w:r>
    </w:p>
    <w:p w14:paraId="1B657D55" w14:textId="77777777" w:rsidR="00CA7016" w:rsidRPr="00A0513E" w:rsidRDefault="00CA7016" w:rsidP="00CA7016">
      <w:pPr>
        <w:pStyle w:val="Heading3"/>
      </w:pPr>
      <w:bookmarkStart w:id="280" w:name="_Toc12886581"/>
      <w:r w:rsidRPr="00A0513E">
        <w:t>Recommendation</w:t>
      </w:r>
      <w:r>
        <w:t xml:space="preserve"> 12</w:t>
      </w:r>
      <w:bookmarkEnd w:id="280"/>
    </w:p>
    <w:p w14:paraId="1F85F023"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Apply Rule 3 exemption to HIV/STI testing (chlamydia and gonorrhoea NAAT testing and </w:t>
      </w:r>
      <w:r>
        <w:t>HIV</w:t>
      </w:r>
      <w:r w:rsidRPr="00A0513E">
        <w:t xml:space="preserve"> serology) in the ASHM’s proposed high-risk population.</w:t>
      </w:r>
      <w:r>
        <w:t xml:space="preserve"> </w:t>
      </w:r>
      <w:r w:rsidRPr="00A0513E">
        <w:t xml:space="preserve">Possible MBS items affected by this exemption are listed in </w:t>
      </w:r>
      <w:r>
        <w:t>the following table</w:t>
      </w:r>
      <w:r w:rsidRPr="00A0513E">
        <w:t>.</w:t>
      </w:r>
    </w:p>
    <w:p w14:paraId="705A226A" w14:textId="77777777" w:rsidR="00CA7016" w:rsidRDefault="00CA7016" w:rsidP="00CA7016">
      <w:pPr>
        <w:pStyle w:val="Caption"/>
      </w:pPr>
      <w:bookmarkStart w:id="281" w:name="_Toc484598357"/>
      <w:bookmarkStart w:id="282" w:name="_Toc486935619"/>
      <w:bookmarkStart w:id="283" w:name="_Toc12953472"/>
      <w:r>
        <w:lastRenderedPageBreak/>
        <w:t xml:space="preserve">Table </w:t>
      </w:r>
      <w:r w:rsidR="00BB490A">
        <w:rPr>
          <w:noProof/>
        </w:rPr>
        <w:fldChar w:fldCharType="begin"/>
      </w:r>
      <w:r w:rsidR="00BB490A">
        <w:rPr>
          <w:noProof/>
        </w:rPr>
        <w:instrText xml:space="preserve"> SEQ Table \* ARABIC </w:instrText>
      </w:r>
      <w:r w:rsidR="00BB490A">
        <w:rPr>
          <w:noProof/>
        </w:rPr>
        <w:fldChar w:fldCharType="separate"/>
      </w:r>
      <w:r w:rsidR="00D45EA8">
        <w:rPr>
          <w:noProof/>
        </w:rPr>
        <w:t>22</w:t>
      </w:r>
      <w:r w:rsidR="00BB490A">
        <w:rPr>
          <w:noProof/>
        </w:rPr>
        <w:fldChar w:fldCharType="end"/>
      </w:r>
      <w:r>
        <w:t>: Existing MBS Items potentially affected by an HIV/STI Rule 3 exemption</w:t>
      </w:r>
      <w:bookmarkEnd w:id="281"/>
      <w:bookmarkEnd w:id="282"/>
      <w:bookmarkEnd w:id="283"/>
    </w:p>
    <w:tbl>
      <w:tblPr>
        <w:tblStyle w:val="TableGrid"/>
        <w:tblW w:w="0" w:type="auto"/>
        <w:tblLook w:val="04A0" w:firstRow="1" w:lastRow="0" w:firstColumn="1" w:lastColumn="0" w:noHBand="0" w:noVBand="1"/>
        <w:tblDescription w:val="This table lists Item numbers, Current descriptors, and Proposed changes to descriptors for items affected by the proposed HIV/STI Rule 3 exemption."/>
      </w:tblPr>
      <w:tblGrid>
        <w:gridCol w:w="988"/>
        <w:gridCol w:w="3969"/>
        <w:gridCol w:w="4059"/>
      </w:tblGrid>
      <w:tr w:rsidR="00CA7016" w:rsidRPr="00B96BC0" w14:paraId="1674DFB4" w14:textId="77777777" w:rsidTr="003C3F6A">
        <w:trPr>
          <w:tblHeader/>
        </w:trPr>
        <w:tc>
          <w:tcPr>
            <w:tcW w:w="988" w:type="dxa"/>
            <w:shd w:val="clear" w:color="auto" w:fill="EEECE1" w:themeFill="background2"/>
            <w:vAlign w:val="bottom"/>
          </w:tcPr>
          <w:p w14:paraId="4CE72316" w14:textId="77777777" w:rsidR="00CA7016" w:rsidRPr="00A0513E" w:rsidRDefault="00CA7016" w:rsidP="003C3F6A">
            <w:pPr>
              <w:pStyle w:val="01Tableheaderrow"/>
            </w:pPr>
            <w:r w:rsidRPr="00A0513E">
              <w:t>Item</w:t>
            </w:r>
          </w:p>
        </w:tc>
        <w:tc>
          <w:tcPr>
            <w:tcW w:w="3969" w:type="dxa"/>
            <w:shd w:val="clear" w:color="auto" w:fill="EEECE1" w:themeFill="background2"/>
            <w:vAlign w:val="bottom"/>
          </w:tcPr>
          <w:p w14:paraId="5A39D018" w14:textId="77777777" w:rsidR="00CA7016" w:rsidRPr="00A0513E" w:rsidRDefault="00CA7016" w:rsidP="003C3F6A">
            <w:pPr>
              <w:pStyle w:val="01Tableheaderrow"/>
            </w:pPr>
            <w:r w:rsidRPr="00A0513E">
              <w:t>Current descriptor</w:t>
            </w:r>
          </w:p>
        </w:tc>
        <w:tc>
          <w:tcPr>
            <w:tcW w:w="4059" w:type="dxa"/>
            <w:shd w:val="clear" w:color="auto" w:fill="EEECE1" w:themeFill="background2"/>
            <w:vAlign w:val="bottom"/>
          </w:tcPr>
          <w:p w14:paraId="76F0FF08" w14:textId="77777777" w:rsidR="00CA7016" w:rsidRPr="00A0513E" w:rsidRDefault="00CA7016" w:rsidP="003C3F6A">
            <w:pPr>
              <w:pStyle w:val="01Tableheaderrow"/>
            </w:pPr>
            <w:r w:rsidRPr="00A0513E">
              <w:t>Proposed change to descriptor</w:t>
            </w:r>
          </w:p>
        </w:tc>
      </w:tr>
      <w:tr w:rsidR="00CA7016" w:rsidRPr="00B96BC0" w14:paraId="518D0852" w14:textId="77777777" w:rsidTr="003C3F6A">
        <w:tc>
          <w:tcPr>
            <w:tcW w:w="988" w:type="dxa"/>
          </w:tcPr>
          <w:p w14:paraId="1CB6B15E" w14:textId="77777777" w:rsidR="00CA7016" w:rsidRPr="00A0513E" w:rsidRDefault="00CA7016" w:rsidP="003C3F6A">
            <w:pPr>
              <w:pStyle w:val="02Tabletext"/>
            </w:pPr>
            <w:r w:rsidRPr="00A0513E">
              <w:t>69317</w:t>
            </w:r>
          </w:p>
        </w:tc>
        <w:tc>
          <w:tcPr>
            <w:tcW w:w="3969" w:type="dxa"/>
          </w:tcPr>
          <w:p w14:paraId="27BF26BC" w14:textId="77777777" w:rsidR="00CA7016" w:rsidRPr="00A0513E" w:rsidRDefault="00CA7016" w:rsidP="003C3F6A">
            <w:pPr>
              <w:pStyle w:val="02Tabletext"/>
            </w:pPr>
            <w:r w:rsidRPr="00A0513E">
              <w:t>1 test described in item 69494 and a test described in 69316.</w:t>
            </w:r>
            <w:r>
              <w:t xml:space="preserve"> </w:t>
            </w:r>
            <w:r w:rsidRPr="00A0513E">
              <w:t>(Item is subject to rule 26)</w:t>
            </w:r>
          </w:p>
        </w:tc>
        <w:tc>
          <w:tcPr>
            <w:tcW w:w="4059" w:type="dxa"/>
          </w:tcPr>
          <w:p w14:paraId="6B3DCDFD" w14:textId="77777777" w:rsidR="00CA7016" w:rsidRPr="00A0513E" w:rsidRDefault="00CA7016" w:rsidP="003C3F6A">
            <w:pPr>
              <w:pStyle w:val="02Tabletext"/>
            </w:pPr>
            <w:r w:rsidRPr="00A0513E">
              <w:t>1 test described in item 69494 and a test described in 69316.</w:t>
            </w:r>
            <w:r>
              <w:t xml:space="preserve"> </w:t>
            </w:r>
            <w:r w:rsidRPr="00A0513E">
              <w:t>(Item is subject to rule 26, and rule 3 exemption</w:t>
            </w:r>
            <w:r>
              <w:t>.</w:t>
            </w:r>
            <w:r w:rsidRPr="00A0513E">
              <w:t>)</w:t>
            </w:r>
          </w:p>
          <w:p w14:paraId="3D145EFE" w14:textId="77777777" w:rsidR="00CA7016" w:rsidRPr="00A0513E" w:rsidRDefault="00CA7016" w:rsidP="003C3F6A">
            <w:pPr>
              <w:pStyle w:val="02Tabletext"/>
            </w:pPr>
            <w:r w:rsidRPr="00A0513E">
              <w:t>NB:</w:t>
            </w:r>
            <w:r>
              <w:t xml:space="preserve"> </w:t>
            </w:r>
            <w:r w:rsidRPr="00A0513E">
              <w:t>This Item is recommended for deletion</w:t>
            </w:r>
            <w:r>
              <w:t>.</w:t>
            </w:r>
            <w:r w:rsidRPr="00A0513E">
              <w:t xml:space="preserve"> </w:t>
            </w:r>
          </w:p>
        </w:tc>
      </w:tr>
      <w:tr w:rsidR="00CA7016" w:rsidRPr="00B96BC0" w14:paraId="5BF3FDA8" w14:textId="77777777" w:rsidTr="003C3F6A">
        <w:tc>
          <w:tcPr>
            <w:tcW w:w="988" w:type="dxa"/>
          </w:tcPr>
          <w:p w14:paraId="2A8507A9" w14:textId="77777777" w:rsidR="00CA7016" w:rsidRPr="00A0513E" w:rsidRDefault="00CA7016" w:rsidP="003C3F6A">
            <w:pPr>
              <w:pStyle w:val="02Tabletext"/>
            </w:pPr>
            <w:r w:rsidRPr="00A0513E">
              <w:t>69319</w:t>
            </w:r>
          </w:p>
        </w:tc>
        <w:tc>
          <w:tcPr>
            <w:tcW w:w="3969" w:type="dxa"/>
          </w:tcPr>
          <w:p w14:paraId="4C839804" w14:textId="77777777" w:rsidR="00CA7016" w:rsidRPr="00A0513E" w:rsidRDefault="00CA7016" w:rsidP="003C3F6A">
            <w:pPr>
              <w:pStyle w:val="02Tabletext"/>
            </w:pPr>
            <w:r w:rsidRPr="00A0513E">
              <w:t>2 tests described in item 69494 and a test described in 69316. (Item is subject to rule 26)</w:t>
            </w:r>
          </w:p>
        </w:tc>
        <w:tc>
          <w:tcPr>
            <w:tcW w:w="4059" w:type="dxa"/>
          </w:tcPr>
          <w:p w14:paraId="6F6B9F14" w14:textId="77777777" w:rsidR="00CA7016" w:rsidRPr="00A0513E" w:rsidRDefault="00CA7016" w:rsidP="003C3F6A">
            <w:pPr>
              <w:pStyle w:val="02Tabletext"/>
            </w:pPr>
            <w:r w:rsidRPr="00A0513E">
              <w:t>2 tests described in item 69494 and a test described in 69316. (Item is subject to rule 26, and rule 3 exemption</w:t>
            </w:r>
            <w:r>
              <w:t>.</w:t>
            </w:r>
            <w:r w:rsidRPr="00A0513E">
              <w:t>)</w:t>
            </w:r>
          </w:p>
          <w:p w14:paraId="0EC2A300" w14:textId="77777777" w:rsidR="00CA7016" w:rsidRPr="00A0513E" w:rsidRDefault="00CA7016" w:rsidP="003C3F6A">
            <w:pPr>
              <w:pStyle w:val="02Tabletext"/>
            </w:pPr>
            <w:r w:rsidRPr="00A0513E">
              <w:t>NB:</w:t>
            </w:r>
            <w:r>
              <w:t xml:space="preserve"> </w:t>
            </w:r>
            <w:r w:rsidRPr="00A0513E">
              <w:t>This Item is recommended for deletion</w:t>
            </w:r>
            <w:r>
              <w:t>.</w:t>
            </w:r>
          </w:p>
        </w:tc>
      </w:tr>
      <w:tr w:rsidR="00CA7016" w:rsidRPr="00B96BC0" w14:paraId="5D8C8812" w14:textId="77777777" w:rsidTr="003C3F6A">
        <w:tc>
          <w:tcPr>
            <w:tcW w:w="988" w:type="dxa"/>
          </w:tcPr>
          <w:p w14:paraId="3A56FAE3" w14:textId="77777777" w:rsidR="00CA7016" w:rsidRPr="00F104CB" w:rsidRDefault="00CA7016" w:rsidP="003C3F6A">
            <w:pPr>
              <w:pStyle w:val="02Tabletext"/>
              <w:rPr>
                <w:lang w:val="en-AU"/>
              </w:rPr>
            </w:pPr>
            <w:r w:rsidRPr="00F104CB">
              <w:rPr>
                <w:lang w:val="en-AU"/>
              </w:rPr>
              <w:t>New item</w:t>
            </w:r>
            <w:r w:rsidR="008F0351">
              <w:rPr>
                <w:lang w:val="en-AU"/>
              </w:rPr>
              <w:br/>
            </w:r>
            <w:r w:rsidRPr="00F104CB">
              <w:rPr>
                <w:lang w:val="en-AU"/>
              </w:rPr>
              <w:t>693XE</w:t>
            </w:r>
          </w:p>
          <w:p w14:paraId="35E39CAC" w14:textId="77777777" w:rsidR="00CA7016" w:rsidRPr="00A0513E" w:rsidRDefault="00CA7016" w:rsidP="003C3F6A">
            <w:pPr>
              <w:pStyle w:val="02Tabletext"/>
            </w:pPr>
          </w:p>
        </w:tc>
        <w:tc>
          <w:tcPr>
            <w:tcW w:w="3969" w:type="dxa"/>
          </w:tcPr>
          <w:p w14:paraId="77FE53E3" w14:textId="77777777" w:rsidR="00CA7016" w:rsidRPr="00A0513E" w:rsidRDefault="00CA7016" w:rsidP="003C3F6A">
            <w:pPr>
              <w:pStyle w:val="02Tabletext"/>
            </w:pPr>
          </w:p>
        </w:tc>
        <w:tc>
          <w:tcPr>
            <w:tcW w:w="4059" w:type="dxa"/>
          </w:tcPr>
          <w:p w14:paraId="72E530C2" w14:textId="77777777" w:rsidR="00CA7016" w:rsidRPr="00A0513E" w:rsidRDefault="00CA7016" w:rsidP="003C3F6A">
            <w:pPr>
              <w:pStyle w:val="02Tabletext"/>
            </w:pPr>
            <w:r w:rsidRPr="00A0513E">
              <w:t xml:space="preserve">Detection of </w:t>
            </w:r>
            <w:r w:rsidRPr="00326D8F">
              <w:rPr>
                <w:i/>
              </w:rPr>
              <w:t>Chlamydia trachomatis</w:t>
            </w:r>
            <w:r w:rsidRPr="00A0513E">
              <w:t xml:space="preserve"> and </w:t>
            </w:r>
            <w:r w:rsidRPr="00326D8F">
              <w:rPr>
                <w:i/>
              </w:rPr>
              <w:t>Neisseria gonorrhoea</w:t>
            </w:r>
            <w:r w:rsidRPr="00A0513E">
              <w:t xml:space="preserve"> by </w:t>
            </w:r>
            <w:r>
              <w:t>NAAT</w:t>
            </w:r>
            <w:r w:rsidRPr="00A0513E">
              <w:t xml:space="preserve">. 2 </w:t>
            </w:r>
            <w:r>
              <w:t xml:space="preserve">or more </w:t>
            </w:r>
            <w:r w:rsidRPr="00A0513E">
              <w:t>tests (Item is subject to rule 26</w:t>
            </w:r>
            <w:r>
              <w:t>, and rule 3 exemption</w:t>
            </w:r>
            <w:r w:rsidRPr="00A0513E">
              <w:t>)</w:t>
            </w:r>
            <w:r>
              <w:t>. 1 specimen</w:t>
            </w:r>
          </w:p>
        </w:tc>
      </w:tr>
      <w:tr w:rsidR="00CA7016" w:rsidRPr="00B96BC0" w14:paraId="65EDA356" w14:textId="77777777" w:rsidTr="003C3F6A">
        <w:tc>
          <w:tcPr>
            <w:tcW w:w="988" w:type="dxa"/>
          </w:tcPr>
          <w:p w14:paraId="734D15A5" w14:textId="77777777" w:rsidR="00CA7016" w:rsidRPr="00A0513E" w:rsidRDefault="00CA7016">
            <w:pPr>
              <w:pStyle w:val="02Tabletext"/>
            </w:pPr>
            <w:r w:rsidRPr="00F104CB">
              <w:rPr>
                <w:lang w:val="en-AU"/>
              </w:rPr>
              <w:t>New item</w:t>
            </w:r>
            <w:r w:rsidR="008F0351">
              <w:rPr>
                <w:lang w:val="en-AU"/>
              </w:rPr>
              <w:br/>
            </w:r>
            <w:r w:rsidRPr="00F104CB">
              <w:rPr>
                <w:lang w:val="en-AU"/>
              </w:rPr>
              <w:t>693XF</w:t>
            </w:r>
          </w:p>
        </w:tc>
        <w:tc>
          <w:tcPr>
            <w:tcW w:w="3969" w:type="dxa"/>
          </w:tcPr>
          <w:p w14:paraId="6F44457D" w14:textId="77777777" w:rsidR="00CA7016" w:rsidRPr="00A0513E" w:rsidRDefault="00CA7016" w:rsidP="003C3F6A">
            <w:pPr>
              <w:pStyle w:val="02Tabletext"/>
            </w:pPr>
          </w:p>
        </w:tc>
        <w:tc>
          <w:tcPr>
            <w:tcW w:w="4059" w:type="dxa"/>
          </w:tcPr>
          <w:p w14:paraId="292AB1A4" w14:textId="77777777" w:rsidR="00CA7016" w:rsidRPr="00F104CB" w:rsidRDefault="00CA7016" w:rsidP="003C3F6A">
            <w:pPr>
              <w:pStyle w:val="02Tabletext"/>
              <w:rPr>
                <w:lang w:val="en-AU"/>
              </w:rPr>
            </w:pPr>
            <w:r w:rsidRPr="0055063D">
              <w:rPr>
                <w:color w:val="000000"/>
              </w:rPr>
              <w:t xml:space="preserve">Detection of </w:t>
            </w:r>
            <w:r w:rsidRPr="0055063D">
              <w:rPr>
                <w:i/>
                <w:color w:val="000000"/>
              </w:rPr>
              <w:t>Chlamydia trachomatis</w:t>
            </w:r>
            <w:r w:rsidRPr="0055063D">
              <w:rPr>
                <w:color w:val="000000"/>
              </w:rPr>
              <w:t xml:space="preserve"> and </w:t>
            </w:r>
            <w:r w:rsidRPr="0055063D">
              <w:rPr>
                <w:i/>
                <w:color w:val="000000"/>
              </w:rPr>
              <w:t>Neisseria gonorrhoeae</w:t>
            </w:r>
            <w:r w:rsidRPr="0055063D">
              <w:rPr>
                <w:color w:val="000000"/>
              </w:rPr>
              <w:t xml:space="preserve"> by NAAT. 2 </w:t>
            </w:r>
            <w:r>
              <w:rPr>
                <w:color w:val="000000"/>
              </w:rPr>
              <w:t xml:space="preserve">or more </w:t>
            </w:r>
            <w:r w:rsidRPr="0055063D">
              <w:rPr>
                <w:color w:val="000000"/>
              </w:rPr>
              <w:t>tests (Item is subject to rule 26</w:t>
            </w:r>
            <w:r>
              <w:rPr>
                <w:color w:val="000000"/>
              </w:rPr>
              <w:t>, and rule 3 exemption</w:t>
            </w:r>
            <w:r w:rsidRPr="0055063D">
              <w:rPr>
                <w:color w:val="000000"/>
              </w:rPr>
              <w:t>). 2 or more specimens</w:t>
            </w:r>
          </w:p>
        </w:tc>
      </w:tr>
      <w:tr w:rsidR="00CA7016" w:rsidRPr="00B96BC0" w14:paraId="0EC76F68" w14:textId="77777777" w:rsidTr="003C3F6A">
        <w:tc>
          <w:tcPr>
            <w:tcW w:w="988" w:type="dxa"/>
          </w:tcPr>
          <w:p w14:paraId="68A01460" w14:textId="77777777" w:rsidR="00CA7016" w:rsidRPr="00A0513E" w:rsidRDefault="00CA7016" w:rsidP="003C3F6A">
            <w:pPr>
              <w:pStyle w:val="02Tabletext"/>
            </w:pPr>
            <w:r w:rsidRPr="00A0513E">
              <w:t>69384</w:t>
            </w:r>
          </w:p>
        </w:tc>
        <w:tc>
          <w:tcPr>
            <w:tcW w:w="3969" w:type="dxa"/>
          </w:tcPr>
          <w:p w14:paraId="603A838F" w14:textId="77777777" w:rsidR="00CA7016" w:rsidRPr="00A0513E" w:rsidRDefault="00CA7016" w:rsidP="003C3F6A">
            <w:pPr>
              <w:pStyle w:val="02Tabletext"/>
            </w:pPr>
            <w:r w:rsidRPr="00A0513E">
              <w:t xml:space="preserve">Quantitation of 1 antibody to microbial antigens not elsewhere described in the Schedule </w:t>
            </w:r>
            <w:r>
              <w:t>–</w:t>
            </w:r>
            <w:r w:rsidRPr="00A0513E">
              <w:t xml:space="preserve"> 1</w:t>
            </w:r>
            <w:r>
              <w:t> </w:t>
            </w:r>
            <w:r w:rsidRPr="00A0513E">
              <w:t>test</w:t>
            </w:r>
            <w:r>
              <w:t>.</w:t>
            </w:r>
            <w:r w:rsidRPr="00A0513E">
              <w:t xml:space="preserve"> (This fee applies where a laboratory performs the only antibody test specified on the request form or performs 1 test and refers the rest to the laboratory of a separate APA) (Item is subject to rule 6)</w:t>
            </w:r>
          </w:p>
        </w:tc>
        <w:tc>
          <w:tcPr>
            <w:tcW w:w="4059" w:type="dxa"/>
          </w:tcPr>
          <w:p w14:paraId="3FD5F93D" w14:textId="77777777" w:rsidR="00CA7016" w:rsidRPr="00A0513E" w:rsidRDefault="00CA7016" w:rsidP="003C3F6A">
            <w:pPr>
              <w:pStyle w:val="02Tabletext"/>
            </w:pPr>
            <w:r w:rsidRPr="00A0513E">
              <w:t xml:space="preserve">Quantitation of 1 antibody to microbial antigens not elsewhere described in the Schedule </w:t>
            </w:r>
            <w:r>
              <w:t>–</w:t>
            </w:r>
            <w:r w:rsidRPr="00A0513E">
              <w:t xml:space="preserve"> 1</w:t>
            </w:r>
            <w:r>
              <w:t> </w:t>
            </w:r>
            <w:r w:rsidRPr="00A0513E">
              <w:t>test</w:t>
            </w:r>
            <w:r>
              <w:t>.</w:t>
            </w:r>
            <w:r w:rsidRPr="00A0513E">
              <w:t xml:space="preserve"> (This fee applies where a laboratory performs the only antibody test specified on the request form or performs 1 test and refers the rest to the laboratory of a separate APA</w:t>
            </w:r>
            <w:r>
              <w:t>.</w:t>
            </w:r>
            <w:r w:rsidRPr="00A0513E">
              <w:t>) (Item is subject to rule 6, and rule 3 exemption</w:t>
            </w:r>
            <w:r>
              <w:t>.</w:t>
            </w:r>
            <w:r w:rsidRPr="00A0513E">
              <w:t>)</w:t>
            </w:r>
          </w:p>
        </w:tc>
      </w:tr>
    </w:tbl>
    <w:p w14:paraId="14099EE2" w14:textId="77777777" w:rsidR="00CA7016" w:rsidRPr="00A0513E" w:rsidRDefault="00CA7016" w:rsidP="00CA7016">
      <w:pPr>
        <w:pStyle w:val="Heading3"/>
      </w:pPr>
      <w:bookmarkStart w:id="284" w:name="_Toc12886582"/>
      <w:r w:rsidRPr="00A0513E">
        <w:t>Rationale:</w:t>
      </w:r>
      <w:r>
        <w:t xml:space="preserve"> 12</w:t>
      </w:r>
      <w:bookmarkEnd w:id="284"/>
    </w:p>
    <w:p w14:paraId="5020FD1F" w14:textId="77777777" w:rsidR="00CA7016" w:rsidRPr="00E20C81" w:rsidRDefault="00CA7016" w:rsidP="00CA7016">
      <w:r>
        <w:t xml:space="preserve">The Department commissioned an independent review and report to assess the merits of allowing </w:t>
      </w:r>
      <w:r w:rsidR="0066423B">
        <w:t>a </w:t>
      </w:r>
      <w:r>
        <w:t xml:space="preserve">Rule 3 exemption for HIV and STI testing in high-risk populations, and to ensure that a request </w:t>
      </w:r>
      <w:r w:rsidR="0066423B">
        <w:t>for </w:t>
      </w:r>
      <w:r>
        <w:t>four HIV/STI tests within a six-month period was consistent with clinical best practice.</w:t>
      </w:r>
      <w:r>
        <w:fldChar w:fldCharType="begin"/>
      </w:r>
      <w:r w:rsidR="00365487">
        <w:instrText xml:space="preserve"> ADDIN EN.CITE &lt;EndNote&gt;&lt;Cite&gt;&lt;Author&gt;Health Consult for Department of Health Medical Benefits Division&lt;/Author&gt;&lt;Year&gt;2016&lt;/Year&gt;&lt;RecNum&gt;22&lt;/RecNum&gt;&lt;DisplayText&gt; [22]&lt;/DisplayText&gt;&lt;record&gt;&lt;rec-number&gt;22&lt;/rec-number&gt;&lt;foreign-keys&gt;&lt;key app="EN" db-id="9rerxxddifw5xaewxvlxffw2vsfzrarx0vva" timestamp="1506991300"&gt;22&lt;/key&gt;&lt;/foreign-keys&gt;&lt;ref-type name="Unpublished Work"&gt;34&lt;/ref-type&gt;&lt;contributors&gt;&lt;authors&gt;&lt;author&gt;Health Consult for Department of Health Medical Benefits Division,&lt;/author&gt;&lt;/authors&gt;&lt;/contributors&gt;&lt;titles&gt;&lt;title&gt;Rule 3 Exemption for HIV and STI Testing: Clinical Guidelines, Utilisation and Financial Estimates&lt;/title&gt;&lt;/titles&gt;&lt;dates&gt;&lt;year&gt;2016&lt;/year&gt;&lt;/dates&gt;&lt;pub-location&gt;Sydney&lt;/pub-location&gt;&lt;publisher&gt;Department of Health&lt;/publisher&gt;&lt;urls&gt;&lt;/urls&gt;&lt;/record&gt;&lt;/Cite&gt;&lt;/EndNote&gt;</w:instrText>
      </w:r>
      <w:r>
        <w:fldChar w:fldCharType="separate"/>
      </w:r>
      <w:r w:rsidR="00EE147F">
        <w:rPr>
          <w:noProof/>
        </w:rPr>
        <w:t xml:space="preserve"> [22]</w:t>
      </w:r>
      <w:r>
        <w:fldChar w:fldCharType="end"/>
      </w:r>
      <w:r>
        <w:t xml:space="preserve"> </w:t>
      </w:r>
      <w:r w:rsidR="0066423B" w:rsidRPr="00B96BC0">
        <w:t>The</w:t>
      </w:r>
      <w:r w:rsidR="0066423B">
        <w:t> </w:t>
      </w:r>
      <w:r>
        <w:t xml:space="preserve">Committee’s </w:t>
      </w:r>
      <w:r w:rsidRPr="00B96BC0">
        <w:t>recommendation</w:t>
      </w:r>
      <w:r>
        <w:t xml:space="preserve">s have been drawn from the findings of this report, </w:t>
      </w:r>
      <w:r w:rsidRPr="00B96BC0">
        <w:t xml:space="preserve">and </w:t>
      </w:r>
      <w:r>
        <w:t>are</w:t>
      </w:r>
      <w:r w:rsidRPr="00B96BC0">
        <w:t xml:space="preserve"> </w:t>
      </w:r>
      <w:r w:rsidRPr="00D90DCD">
        <w:t xml:space="preserve">based on the </w:t>
      </w:r>
      <w:r w:rsidRPr="00F9180C">
        <w:t xml:space="preserve">following observations: </w:t>
      </w:r>
    </w:p>
    <w:p w14:paraId="1C9B70DF" w14:textId="77777777" w:rsidR="00CA7016" w:rsidRPr="00660F3A" w:rsidRDefault="00CA7016" w:rsidP="00CA7016">
      <w:pPr>
        <w:pStyle w:val="NormalBulleted"/>
        <w:numPr>
          <w:ilvl w:val="0"/>
          <w:numId w:val="17"/>
        </w:numPr>
        <w:spacing w:before="120" w:after="60" w:line="240" w:lineRule="auto"/>
        <w:ind w:right="142"/>
        <w:contextualSpacing w:val="0"/>
        <w:rPr>
          <w:rStyle w:val="Hyperlink"/>
          <w:rFonts w:eastAsiaTheme="minorHAnsi"/>
          <w:color w:val="auto"/>
        </w:rPr>
      </w:pPr>
      <w:r w:rsidRPr="00003DB3">
        <w:t xml:space="preserve">Notification rates for HIV, syphilis, chlamydia and gonorrhoea have increased over the </w:t>
      </w:r>
      <w:r w:rsidR="007C320A">
        <w:t>l</w:t>
      </w:r>
      <w:r w:rsidRPr="00003DB3">
        <w:t>ast decade.</w:t>
      </w:r>
      <w:r w:rsidRPr="00C44FAC">
        <w:fldChar w:fldCharType="begin"/>
      </w:r>
      <w:r w:rsidR="006B5E74">
        <w:instrText xml:space="preserve"> ADDIN EN.CITE &lt;EndNote&gt;&lt;Cite&gt;&lt;Author&gt;Australian Instititute of Health and Welfare&lt;/Author&gt;&lt;Year&gt;2017&lt;/Year&gt;&lt;RecNum&gt;23&lt;/RecNum&gt;&lt;DisplayText&gt; [23]&lt;/DisplayText&gt;&lt;record&gt;&lt;rec-number&gt;23&lt;/rec-number&gt;&lt;foreign-keys&gt;&lt;key app="EN" db-id="9rerxxddifw5xaewxvlxffw2vsfzrarx0vva" timestamp="1506991301"&gt;23&lt;/key&gt;&lt;/foreign-keys&gt;&lt;ref-type name="Web Page"&gt;12&lt;/ref-type&gt;&lt;contributors&gt;&lt;authors&gt;&lt;author&gt;Australian Instititute of Health and Welfare, &lt;/author&gt;&lt;/authors&gt;&lt;/contributors&gt;&lt;titles&gt;&lt;title&gt;Indicators of Australia’s health 2016&lt;/title&gt;&lt;/titles&gt;&lt;number&gt;3 July 2017&lt;/number&gt;&lt;dates&gt;&lt;year&gt;2017&lt;/year&gt;&lt;/dates&gt;&lt;pub-location&gt;Canberra&lt;/pub-location&gt;&lt;publisher&gt;AIHW&lt;/publisher&gt;&lt;urls&gt;&lt;related-urls&gt;&lt;url&gt;http://www.aihw.gov.au/australias-health/2016/health-indicators/#t2&lt;/url&gt;&lt;/related-urls&gt;&lt;/urls&gt;&lt;access-date&gt;&amp;lt;Date&amp;gt;&amp;lt;Month&amp;gt;&amp;lt;Year&amp;gt;&lt;/access-date&gt;&lt;/record&gt;&lt;/Cite&gt;&lt;/EndNote&gt;</w:instrText>
      </w:r>
      <w:r w:rsidRPr="00C44FAC">
        <w:fldChar w:fldCharType="separate"/>
      </w:r>
      <w:r w:rsidR="00EE147F">
        <w:rPr>
          <w:noProof/>
        </w:rPr>
        <w:t xml:space="preserve"> [23]</w:t>
      </w:r>
      <w:r w:rsidRPr="00C44FAC">
        <w:fldChar w:fldCharType="end"/>
      </w:r>
    </w:p>
    <w:p w14:paraId="1245CFFD" w14:textId="77777777" w:rsidR="00CA7016" w:rsidRPr="00ED173E" w:rsidRDefault="00CA7016" w:rsidP="00CA7016">
      <w:pPr>
        <w:pStyle w:val="NormalBulleted"/>
        <w:numPr>
          <w:ilvl w:val="0"/>
          <w:numId w:val="17"/>
        </w:numPr>
        <w:spacing w:before="120" w:after="60" w:line="240" w:lineRule="auto"/>
        <w:ind w:right="142"/>
        <w:contextualSpacing w:val="0"/>
      </w:pPr>
      <w:r w:rsidRPr="00003DB3">
        <w:t>HIV and STI testing are currently covered by global items, with a new GP consultation required for each test.</w:t>
      </w:r>
      <w:r w:rsidRPr="00ED173E">
        <w:t xml:space="preserve"> Rule 3 exemptions would allow for up to </w:t>
      </w:r>
      <w:r>
        <w:t>four</w:t>
      </w:r>
      <w:r w:rsidRPr="00003DB3">
        <w:t xml:space="preserve"> </w:t>
      </w:r>
      <w:r w:rsidRPr="00C44FAC">
        <w:t xml:space="preserve">tests in a </w:t>
      </w:r>
      <w:r>
        <w:t>six-</w:t>
      </w:r>
      <w:r w:rsidRPr="00C44FAC">
        <w:t xml:space="preserve">month period for HIV </w:t>
      </w:r>
      <w:r w:rsidRPr="00D5426A">
        <w:rPr>
          <w:spacing w:val="-2"/>
        </w:rPr>
        <w:t>and STI testing in high-risk populations</w:t>
      </w:r>
      <w:r w:rsidR="002C4E80" w:rsidRPr="00D5426A">
        <w:rPr>
          <w:spacing w:val="-2"/>
        </w:rPr>
        <w:t>,</w:t>
      </w:r>
      <w:r w:rsidRPr="00D5426A">
        <w:rPr>
          <w:spacing w:val="-2"/>
        </w:rPr>
        <w:t xml:space="preserve"> without the requirement of additional GP consultations.</w:t>
      </w:r>
    </w:p>
    <w:p w14:paraId="1B48E07F" w14:textId="77777777" w:rsidR="00CA7016" w:rsidRPr="00A0513E" w:rsidRDefault="00CA7016" w:rsidP="00CA7016">
      <w:pPr>
        <w:pStyle w:val="NormalBulleted"/>
        <w:numPr>
          <w:ilvl w:val="0"/>
          <w:numId w:val="17"/>
        </w:numPr>
        <w:spacing w:before="120" w:after="60" w:line="240" w:lineRule="auto"/>
        <w:ind w:right="142"/>
        <w:contextualSpacing w:val="0"/>
      </w:pPr>
      <w:r w:rsidRPr="00A0513E">
        <w:t>High</w:t>
      </w:r>
      <w:r>
        <w:t>-</w:t>
      </w:r>
      <w:r w:rsidRPr="00A0513E">
        <w:t xml:space="preserve">risk populations are defined as: </w:t>
      </w:r>
    </w:p>
    <w:p w14:paraId="55D93BD5" w14:textId="77777777" w:rsidR="00CA7016" w:rsidRPr="00A0513E" w:rsidRDefault="00CA7016" w:rsidP="00CA7016">
      <w:pPr>
        <w:pStyle w:val="NormalBulleted"/>
        <w:numPr>
          <w:ilvl w:val="1"/>
          <w:numId w:val="17"/>
        </w:numPr>
        <w:spacing w:before="120" w:after="60" w:line="240" w:lineRule="auto"/>
        <w:ind w:right="142"/>
        <w:contextualSpacing w:val="0"/>
      </w:pPr>
      <w:r>
        <w:t>men who have sex with men and who are at high risk of contracting HIV/STIs</w:t>
      </w:r>
    </w:p>
    <w:p w14:paraId="09D9301A" w14:textId="77777777" w:rsidR="00CA7016" w:rsidRPr="00A0513E" w:rsidRDefault="00CA7016" w:rsidP="00CA7016">
      <w:pPr>
        <w:pStyle w:val="NormalBulleted"/>
        <w:numPr>
          <w:ilvl w:val="1"/>
          <w:numId w:val="17"/>
        </w:numPr>
        <w:spacing w:before="120" w:after="60" w:line="240" w:lineRule="auto"/>
        <w:ind w:right="142"/>
        <w:contextualSpacing w:val="0"/>
      </w:pPr>
      <w:r>
        <w:t>partners of people living with HIV/AIDS</w:t>
      </w:r>
    </w:p>
    <w:p w14:paraId="6C170120" w14:textId="77777777" w:rsidR="00CA7016" w:rsidRPr="00A0513E" w:rsidRDefault="00CA7016" w:rsidP="00CA7016">
      <w:pPr>
        <w:pStyle w:val="NormalBulleted"/>
        <w:numPr>
          <w:ilvl w:val="1"/>
          <w:numId w:val="17"/>
        </w:numPr>
        <w:spacing w:before="120" w:after="60" w:line="240" w:lineRule="auto"/>
        <w:ind w:right="142"/>
        <w:contextualSpacing w:val="0"/>
      </w:pPr>
      <w:r>
        <w:t>people who inject drugs and report sharing needles.</w:t>
      </w:r>
    </w:p>
    <w:p w14:paraId="499324DB"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The recommendations include STI testing at anatomical sites other than the location of any symptoms </w:t>
      </w:r>
      <w:r>
        <w:t xml:space="preserve">that </w:t>
      </w:r>
      <w:r w:rsidRPr="00A0513E">
        <w:t>may have prompted a clinical consultation.</w:t>
      </w:r>
    </w:p>
    <w:p w14:paraId="2CF9C5B1" w14:textId="77777777" w:rsidR="00CA7016" w:rsidRPr="00A0513E" w:rsidRDefault="00CA7016" w:rsidP="00CA7016">
      <w:pPr>
        <w:pStyle w:val="NormalBulleted"/>
        <w:numPr>
          <w:ilvl w:val="0"/>
          <w:numId w:val="17"/>
        </w:numPr>
        <w:spacing w:before="120" w:after="60" w:line="240" w:lineRule="auto"/>
        <w:ind w:right="142"/>
        <w:contextualSpacing w:val="0"/>
      </w:pPr>
      <w:r w:rsidRPr="00B77436">
        <w:t>If the</w:t>
      </w:r>
      <w:r w:rsidRPr="00A0513E">
        <w:rPr>
          <w:rFonts w:eastAsia="Calibri"/>
        </w:rPr>
        <w:t xml:space="preserve"> </w:t>
      </w:r>
      <w:r w:rsidRPr="00A0513E">
        <w:t xml:space="preserve">Rule 3 exemption for HIV/STI testing is approved, it will allow greater access to testing in the high-risk populations, through removal of the need for a GP visit for each test. </w:t>
      </w:r>
    </w:p>
    <w:p w14:paraId="0521F2DE" w14:textId="77777777" w:rsidR="00CA7016" w:rsidRPr="00A0513E" w:rsidRDefault="00CA7016" w:rsidP="00CA7016">
      <w:pPr>
        <w:pStyle w:val="NormalBulleted"/>
        <w:numPr>
          <w:ilvl w:val="0"/>
          <w:numId w:val="17"/>
        </w:numPr>
        <w:spacing w:before="120" w:after="60" w:line="240" w:lineRule="auto"/>
        <w:ind w:right="142"/>
        <w:contextualSpacing w:val="0"/>
      </w:pPr>
      <w:r w:rsidRPr="00B96BC0">
        <w:t>Testing rates will likely increase</w:t>
      </w:r>
      <w:r w:rsidRPr="00A0513E">
        <w:t xml:space="preserve"> in high-risk individuals (estimated increase of 1018 tests in </w:t>
      </w:r>
      <w:r>
        <w:t>y</w:t>
      </w:r>
      <w:r w:rsidRPr="00A0513E">
        <w:t>ear</w:t>
      </w:r>
      <w:r>
        <w:t> </w:t>
      </w:r>
      <w:r w:rsidRPr="00A0513E">
        <w:t xml:space="preserve">5), with an associated decrease in GP consultation rates (estimated decrease of 60 visits in </w:t>
      </w:r>
      <w:r>
        <w:t>y</w:t>
      </w:r>
      <w:r w:rsidRPr="00A0513E">
        <w:t>ear</w:t>
      </w:r>
      <w:r>
        <w:t> </w:t>
      </w:r>
      <w:r w:rsidRPr="00A0513E">
        <w:t xml:space="preserve">5). </w:t>
      </w:r>
    </w:p>
    <w:p w14:paraId="026EE0C8" w14:textId="77777777" w:rsidR="00CA7016" w:rsidRPr="00A0513E" w:rsidRDefault="00CA7016" w:rsidP="00CA7016">
      <w:pPr>
        <w:pStyle w:val="NormalBulleted"/>
        <w:numPr>
          <w:ilvl w:val="0"/>
          <w:numId w:val="17"/>
        </w:numPr>
        <w:spacing w:before="120" w:after="60" w:line="240" w:lineRule="auto"/>
        <w:ind w:right="142"/>
        <w:contextualSpacing w:val="0"/>
      </w:pPr>
      <w:r w:rsidRPr="00D90DCD">
        <w:t xml:space="preserve">Rule 3 exemption will result in an incremental cost of approximately $296,000 in </w:t>
      </w:r>
      <w:r>
        <w:t>y</w:t>
      </w:r>
      <w:r w:rsidRPr="00D90DCD">
        <w:t>ear 5</w:t>
      </w:r>
      <w:r w:rsidRPr="00A0513E">
        <w:t>.</w:t>
      </w:r>
    </w:p>
    <w:p w14:paraId="72B1F99F" w14:textId="77777777" w:rsidR="00CA7016" w:rsidRPr="00A0513E" w:rsidRDefault="00CA7016" w:rsidP="00CA7016">
      <w:pPr>
        <w:pStyle w:val="NormalBulleted"/>
        <w:numPr>
          <w:ilvl w:val="0"/>
          <w:numId w:val="17"/>
        </w:numPr>
        <w:spacing w:before="120" w:after="60" w:line="240" w:lineRule="auto"/>
        <w:ind w:right="142"/>
        <w:contextualSpacing w:val="0"/>
      </w:pPr>
      <w:r w:rsidRPr="00B96BC0">
        <w:lastRenderedPageBreak/>
        <w:t>Potential downstream benefits across the health system will include an increase in detection</w:t>
      </w:r>
      <w:r w:rsidRPr="00A0513E">
        <w:t>, an increase in transmission aversion rates, and a decrease in costs to the overall health system associated with HIV and STIs.</w:t>
      </w:r>
    </w:p>
    <w:p w14:paraId="30C245F8" w14:textId="77777777" w:rsidR="00CA7016" w:rsidRPr="00A0513E" w:rsidRDefault="00CA7016" w:rsidP="00CA7016">
      <w:pPr>
        <w:pStyle w:val="NormalBulleted"/>
        <w:numPr>
          <w:ilvl w:val="0"/>
          <w:numId w:val="17"/>
        </w:numPr>
        <w:spacing w:before="120" w:after="60" w:line="240" w:lineRule="auto"/>
        <w:ind w:right="142"/>
        <w:contextualSpacing w:val="0"/>
      </w:pPr>
      <w:r w:rsidRPr="00B96BC0">
        <w:t>The Committee agreed that</w:t>
      </w:r>
      <w:r w:rsidRPr="00A0513E">
        <w:t>, due to the public health consequences and in line with clinical best practice that Rule 3 exemption should apply to HIV and STIs in selected high-risk populations.</w:t>
      </w:r>
      <w:r w:rsidRPr="00A0513E">
        <w:fldChar w:fldCharType="begin"/>
      </w:r>
      <w:r w:rsidR="00365487">
        <w:instrText xml:space="preserve"> ADDIN EN.CITE &lt;EndNote&gt;&lt;Cite&gt;&lt;Author&gt;Health Consult for Department of Health Medical Benefits Division&lt;/Author&gt;&lt;Year&gt;2016&lt;/Year&gt;&lt;RecNum&gt;22&lt;/RecNum&gt;&lt;DisplayText&gt; [22]&lt;/DisplayText&gt;&lt;record&gt;&lt;rec-number&gt;22&lt;/rec-number&gt;&lt;foreign-keys&gt;&lt;key app="EN" db-id="9rerxxddifw5xaewxvlxffw2vsfzrarx0vva" timestamp="1506991300"&gt;22&lt;/key&gt;&lt;/foreign-keys&gt;&lt;ref-type name="Unpublished Work"&gt;34&lt;/ref-type&gt;&lt;contributors&gt;&lt;authors&gt;&lt;author&gt;Health Consult for Department of Health Medical Benefits Division,&lt;/author&gt;&lt;/authors&gt;&lt;/contributors&gt;&lt;titles&gt;&lt;title&gt;Rule 3 Exemption for HIV and STI Testing: Clinical Guidelines, Utilisation and Financial Estimates&lt;/title&gt;&lt;/titles&gt;&lt;dates&gt;&lt;year&gt;2016&lt;/year&gt;&lt;/dates&gt;&lt;pub-location&gt;Sydney&lt;/pub-location&gt;&lt;publisher&gt;Department of Health&lt;/publisher&gt;&lt;urls&gt;&lt;/urls&gt;&lt;/record&gt;&lt;/Cite&gt;&lt;/EndNote&gt;</w:instrText>
      </w:r>
      <w:r w:rsidRPr="00A0513E">
        <w:fldChar w:fldCharType="separate"/>
      </w:r>
      <w:r w:rsidR="00EE147F">
        <w:rPr>
          <w:noProof/>
        </w:rPr>
        <w:t xml:space="preserve"> [22]</w:t>
      </w:r>
      <w:r w:rsidRPr="00A0513E">
        <w:fldChar w:fldCharType="end"/>
      </w:r>
    </w:p>
    <w:p w14:paraId="28031995" w14:textId="77777777" w:rsidR="00CA7016" w:rsidRPr="00A0513E" w:rsidRDefault="00CA7016" w:rsidP="00CA7016">
      <w:pPr>
        <w:pStyle w:val="Heading2"/>
      </w:pPr>
      <w:bookmarkStart w:id="285" w:name="_Toc483989376"/>
      <w:bookmarkStart w:id="286" w:name="_Toc486939195"/>
      <w:bookmarkStart w:id="287" w:name="_Ref487642153"/>
      <w:bookmarkStart w:id="288" w:name="_Ref487790573"/>
      <w:bookmarkStart w:id="289" w:name="_Toc12886583"/>
      <w:r w:rsidRPr="00A0513E">
        <w:t>Microscopy and culture of complicated hospital specimens</w:t>
      </w:r>
      <w:bookmarkEnd w:id="285"/>
      <w:bookmarkEnd w:id="286"/>
      <w:bookmarkEnd w:id="287"/>
      <w:bookmarkEnd w:id="288"/>
      <w:bookmarkEnd w:id="289"/>
    </w:p>
    <w:p w14:paraId="19F91E7B" w14:textId="77777777" w:rsidR="00CA7016" w:rsidRPr="00B96BC0" w:rsidRDefault="00CA7016" w:rsidP="00CA7016">
      <w:pPr>
        <w:pStyle w:val="Caption"/>
      </w:pPr>
      <w:bookmarkStart w:id="290" w:name="_Toc484598358"/>
      <w:bookmarkStart w:id="291" w:name="_Toc486935620"/>
      <w:bookmarkStart w:id="292" w:name="_Toc12953473"/>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23</w:t>
      </w:r>
      <w:r w:rsidR="00BB490A">
        <w:rPr>
          <w:noProof/>
        </w:rPr>
        <w:fldChar w:fldCharType="end"/>
      </w:r>
      <w:r>
        <w:t xml:space="preserve">: </w:t>
      </w:r>
      <w:r w:rsidRPr="00B96BC0">
        <w:t>Item introduction table for item 69321</w:t>
      </w:r>
      <w:bookmarkEnd w:id="290"/>
      <w:bookmarkEnd w:id="291"/>
      <w:bookmarkEnd w:id="292"/>
    </w:p>
    <w:tbl>
      <w:tblPr>
        <w:tblStyle w:val="TableGrid2"/>
        <w:tblW w:w="0" w:type="auto"/>
        <w:tblLayout w:type="fixed"/>
        <w:tblLook w:val="04A0" w:firstRow="1" w:lastRow="0" w:firstColumn="1" w:lastColumn="0" w:noHBand="0" w:noVBand="1"/>
        <w:tblDescription w:val="This table lists Item numbers, Long item descriptors, Schedule fees, Benefits for FY 2014–15, Services for FY 2014–15, Patient count 2014–15, and 5-year service change (CAGR) for microscopy and culture of complicated hospital specimens.&#10;"/>
      </w:tblPr>
      <w:tblGrid>
        <w:gridCol w:w="780"/>
        <w:gridCol w:w="2759"/>
        <w:gridCol w:w="1104"/>
        <w:gridCol w:w="1231"/>
        <w:gridCol w:w="1209"/>
        <w:gridCol w:w="992"/>
        <w:gridCol w:w="941"/>
      </w:tblGrid>
      <w:tr w:rsidR="00CA7016" w:rsidRPr="00B96BC0" w14:paraId="0BCDFADB" w14:textId="77777777" w:rsidTr="00D5426A">
        <w:trPr>
          <w:trHeight w:val="729"/>
          <w:tblHeader/>
        </w:trPr>
        <w:tc>
          <w:tcPr>
            <w:tcW w:w="780" w:type="dxa"/>
            <w:shd w:val="clear" w:color="auto" w:fill="EEECE1" w:themeFill="background2"/>
            <w:vAlign w:val="bottom"/>
            <w:hideMark/>
          </w:tcPr>
          <w:p w14:paraId="051314C0" w14:textId="77777777" w:rsidR="00CA7016" w:rsidRPr="00A0513E" w:rsidRDefault="00CA7016" w:rsidP="003C3F6A">
            <w:pPr>
              <w:pStyle w:val="01Tableheaderrow"/>
            </w:pPr>
            <w:r w:rsidRPr="00A0513E">
              <w:t>Item</w:t>
            </w:r>
          </w:p>
        </w:tc>
        <w:tc>
          <w:tcPr>
            <w:tcW w:w="2759" w:type="dxa"/>
            <w:shd w:val="clear" w:color="auto" w:fill="EEECE1" w:themeFill="background2"/>
            <w:vAlign w:val="bottom"/>
            <w:hideMark/>
          </w:tcPr>
          <w:p w14:paraId="480FC8D7" w14:textId="77777777" w:rsidR="00CA7016" w:rsidRPr="00A0513E" w:rsidRDefault="00CA7016" w:rsidP="003C3F6A">
            <w:pPr>
              <w:pStyle w:val="01Tableheaderrow"/>
            </w:pPr>
            <w:r w:rsidRPr="00A0513E">
              <w:t>Long item descriptor</w:t>
            </w:r>
          </w:p>
        </w:tc>
        <w:tc>
          <w:tcPr>
            <w:tcW w:w="1104" w:type="dxa"/>
            <w:shd w:val="clear" w:color="auto" w:fill="EEECE1" w:themeFill="background2"/>
            <w:vAlign w:val="bottom"/>
            <w:hideMark/>
          </w:tcPr>
          <w:p w14:paraId="2098B7B3" w14:textId="77777777" w:rsidR="00CA7016" w:rsidRPr="00A67521" w:rsidRDefault="00CA7016" w:rsidP="003C3F6A">
            <w:pPr>
              <w:pStyle w:val="01Tableheaderrow"/>
            </w:pPr>
            <w:r w:rsidRPr="00940AFD">
              <w:t>Schedule fee</w:t>
            </w:r>
          </w:p>
        </w:tc>
        <w:tc>
          <w:tcPr>
            <w:tcW w:w="1231" w:type="dxa"/>
            <w:shd w:val="clear" w:color="auto" w:fill="EEECE1" w:themeFill="background2"/>
            <w:vAlign w:val="bottom"/>
            <w:hideMark/>
          </w:tcPr>
          <w:p w14:paraId="1DCC0E78" w14:textId="77777777" w:rsidR="00CA7016" w:rsidRPr="00A67521" w:rsidRDefault="00CA7016" w:rsidP="003C3F6A">
            <w:pPr>
              <w:pStyle w:val="01Tableheaderrow"/>
            </w:pPr>
            <w:r w:rsidRPr="00ED49C7">
              <w:t xml:space="preserve">Benefits </w:t>
            </w:r>
            <w:r w:rsidR="002C4E80" w:rsidRPr="00ED49C7">
              <w:t>FY</w:t>
            </w:r>
            <w:r w:rsidR="002C4E80">
              <w:t> </w:t>
            </w:r>
            <w:r w:rsidRPr="00ED49C7">
              <w:t>2014–15</w:t>
            </w:r>
          </w:p>
        </w:tc>
        <w:tc>
          <w:tcPr>
            <w:tcW w:w="1209" w:type="dxa"/>
            <w:shd w:val="clear" w:color="auto" w:fill="EEECE1" w:themeFill="background2"/>
            <w:vAlign w:val="bottom"/>
            <w:hideMark/>
          </w:tcPr>
          <w:p w14:paraId="3853CD2A" w14:textId="77777777" w:rsidR="00CA7016" w:rsidRPr="00A67521" w:rsidRDefault="00CA7016" w:rsidP="003C3F6A">
            <w:pPr>
              <w:pStyle w:val="01Tableheaderrow"/>
            </w:pPr>
            <w:r w:rsidRPr="00ED49C7">
              <w:t xml:space="preserve">Services </w:t>
            </w:r>
            <w:r>
              <w:br/>
            </w:r>
            <w:r w:rsidRPr="00ED49C7">
              <w:t>FY 2014–15</w:t>
            </w:r>
          </w:p>
        </w:tc>
        <w:tc>
          <w:tcPr>
            <w:tcW w:w="992" w:type="dxa"/>
            <w:shd w:val="clear" w:color="auto" w:fill="EEECE1" w:themeFill="background2"/>
            <w:vAlign w:val="bottom"/>
            <w:hideMark/>
          </w:tcPr>
          <w:p w14:paraId="01F2873F" w14:textId="77777777" w:rsidR="00CA7016" w:rsidRPr="00A67521" w:rsidRDefault="00CA7016" w:rsidP="003C3F6A">
            <w:pPr>
              <w:pStyle w:val="01Tableheaderrow"/>
            </w:pPr>
            <w:r w:rsidRPr="00ED49C7">
              <w:t>Patient count 2014–15</w:t>
            </w:r>
          </w:p>
        </w:tc>
        <w:tc>
          <w:tcPr>
            <w:tcW w:w="941" w:type="dxa"/>
            <w:shd w:val="clear" w:color="auto" w:fill="EEECE1" w:themeFill="background2"/>
            <w:vAlign w:val="bottom"/>
            <w:hideMark/>
          </w:tcPr>
          <w:p w14:paraId="503B3E33" w14:textId="77777777" w:rsidR="00CA7016" w:rsidRPr="00A67521" w:rsidRDefault="00CA7016" w:rsidP="003C3F6A">
            <w:pPr>
              <w:pStyle w:val="01Tableheaderrow"/>
            </w:pPr>
            <w:r w:rsidRPr="00ED49C7">
              <w:t xml:space="preserve">5-year </w:t>
            </w:r>
            <w:r>
              <w:t>service change (CAGR)</w:t>
            </w:r>
          </w:p>
        </w:tc>
      </w:tr>
      <w:tr w:rsidR="00CA7016" w:rsidRPr="00B96BC0" w14:paraId="4B157584" w14:textId="77777777" w:rsidTr="00D5426A">
        <w:trPr>
          <w:trHeight w:val="300"/>
        </w:trPr>
        <w:tc>
          <w:tcPr>
            <w:tcW w:w="780" w:type="dxa"/>
            <w:noWrap/>
            <w:hideMark/>
          </w:tcPr>
          <w:p w14:paraId="781D633F" w14:textId="77777777" w:rsidR="00CA7016" w:rsidRPr="00A0513E" w:rsidRDefault="00CA7016" w:rsidP="003C3F6A">
            <w:pPr>
              <w:pStyle w:val="02Tabletext"/>
            </w:pPr>
            <w:r w:rsidRPr="00A0513E">
              <w:t>69321</w:t>
            </w:r>
          </w:p>
        </w:tc>
        <w:tc>
          <w:tcPr>
            <w:tcW w:w="2759" w:type="dxa"/>
            <w:noWrap/>
            <w:hideMark/>
          </w:tcPr>
          <w:p w14:paraId="1A7550DD" w14:textId="77777777" w:rsidR="00CA7016" w:rsidRPr="00A0513E" w:rsidRDefault="00CA7016" w:rsidP="003C3F6A">
            <w:pPr>
              <w:pStyle w:val="02Tabletext"/>
            </w:pPr>
            <w:r w:rsidRPr="00A0513E">
              <w:t xml:space="preserve">Microscopy and culture of post-operative wounds, aspirates of body cavities, synovial fluid, CSF or operative or biopsy specimens, for the presence of pathogenic microorganisms involving aerobic and anaerobic cultures and the use of different culture media, and including (if performed): (a) pathogen identification and </w:t>
            </w:r>
            <w:r w:rsidRPr="000F73A9">
              <w:t>antibiotic</w:t>
            </w:r>
            <w:r w:rsidRPr="00A0513E">
              <w:t xml:space="preserve"> susceptibility testing; or (b) a service described in item 69300, 69303, 69306, 69312 or 69318; specimens from 1 or more sites</w:t>
            </w:r>
          </w:p>
        </w:tc>
        <w:tc>
          <w:tcPr>
            <w:tcW w:w="1104" w:type="dxa"/>
            <w:noWrap/>
            <w:hideMark/>
          </w:tcPr>
          <w:p w14:paraId="21ABF432" w14:textId="77777777" w:rsidR="00CA7016" w:rsidRPr="00A0513E" w:rsidRDefault="00CA7016" w:rsidP="003C3F6A">
            <w:pPr>
              <w:pStyle w:val="02Tabletext"/>
              <w:jc w:val="right"/>
            </w:pPr>
            <w:r w:rsidRPr="00A0513E">
              <w:t>$48.15</w:t>
            </w:r>
          </w:p>
        </w:tc>
        <w:tc>
          <w:tcPr>
            <w:tcW w:w="1231" w:type="dxa"/>
            <w:noWrap/>
            <w:hideMark/>
          </w:tcPr>
          <w:p w14:paraId="5CC3E7B2" w14:textId="77777777" w:rsidR="00CA7016" w:rsidRPr="00A0513E" w:rsidRDefault="00CA7016" w:rsidP="003C3F6A">
            <w:pPr>
              <w:pStyle w:val="02Tabletext"/>
              <w:jc w:val="right"/>
            </w:pPr>
            <w:r w:rsidRPr="00A0513E">
              <w:t>$11,677,652</w:t>
            </w:r>
          </w:p>
        </w:tc>
        <w:tc>
          <w:tcPr>
            <w:tcW w:w="1209" w:type="dxa"/>
            <w:noWrap/>
            <w:hideMark/>
          </w:tcPr>
          <w:p w14:paraId="629C8715" w14:textId="77777777" w:rsidR="00CA7016" w:rsidRPr="00A0513E" w:rsidRDefault="00CA7016" w:rsidP="003C3F6A">
            <w:pPr>
              <w:pStyle w:val="02Tabletext"/>
              <w:jc w:val="right"/>
            </w:pPr>
            <w:r w:rsidRPr="00A0513E">
              <w:t>295</w:t>
            </w:r>
            <w:r>
              <w:t xml:space="preserve"> </w:t>
            </w:r>
            <w:r w:rsidRPr="00A0513E">
              <w:t>484</w:t>
            </w:r>
          </w:p>
        </w:tc>
        <w:tc>
          <w:tcPr>
            <w:tcW w:w="992" w:type="dxa"/>
            <w:noWrap/>
            <w:hideMark/>
          </w:tcPr>
          <w:p w14:paraId="29F70E4A" w14:textId="77777777" w:rsidR="00CA7016" w:rsidRPr="00A0513E" w:rsidRDefault="00CA7016" w:rsidP="003C3F6A">
            <w:pPr>
              <w:pStyle w:val="02Tabletext"/>
              <w:jc w:val="right"/>
            </w:pPr>
            <w:r w:rsidRPr="00A0513E">
              <w:t>235</w:t>
            </w:r>
            <w:r>
              <w:t xml:space="preserve"> </w:t>
            </w:r>
            <w:r w:rsidRPr="00A0513E">
              <w:t>199</w:t>
            </w:r>
          </w:p>
        </w:tc>
        <w:tc>
          <w:tcPr>
            <w:tcW w:w="941" w:type="dxa"/>
            <w:noWrap/>
            <w:hideMark/>
          </w:tcPr>
          <w:p w14:paraId="05EC08AD" w14:textId="77777777" w:rsidR="00CA7016" w:rsidRPr="00A0513E" w:rsidRDefault="00CA7016" w:rsidP="003C3F6A">
            <w:pPr>
              <w:pStyle w:val="02Tabletext"/>
              <w:jc w:val="right"/>
            </w:pPr>
            <w:r w:rsidRPr="00A0513E">
              <w:t>8.8%</w:t>
            </w:r>
          </w:p>
        </w:tc>
      </w:tr>
    </w:tbl>
    <w:p w14:paraId="114A2A4A" w14:textId="77777777" w:rsidR="00CA7016" w:rsidRPr="00A0513E" w:rsidRDefault="00CA7016" w:rsidP="00CA7016">
      <w:pPr>
        <w:pStyle w:val="Heading3"/>
      </w:pPr>
      <w:bookmarkStart w:id="293" w:name="_Toc12886584"/>
      <w:r w:rsidRPr="00A0513E">
        <w:t>Recommendation</w:t>
      </w:r>
      <w:r>
        <w:t xml:space="preserve"> 13</w:t>
      </w:r>
      <w:bookmarkEnd w:id="293"/>
    </w:p>
    <w:p w14:paraId="65450A7C" w14:textId="77777777" w:rsidR="00CA7016" w:rsidRPr="00A0513E" w:rsidRDefault="00CA7016" w:rsidP="00CA7016">
      <w:pPr>
        <w:pStyle w:val="NormalBulleted"/>
        <w:numPr>
          <w:ilvl w:val="0"/>
          <w:numId w:val="17"/>
        </w:numPr>
        <w:spacing w:before="120" w:after="60" w:line="240" w:lineRule="auto"/>
        <w:ind w:right="142"/>
        <w:contextualSpacing w:val="0"/>
      </w:pPr>
      <w:r w:rsidRPr="00A0513E">
        <w:t>Revise and separate/split the current item 69321 to recognise the different complexity associated with testing specimens from different sites. Create an item for the microscopy and culture of (a) post-operative wounds or operative or biopsy specimens, and an item for (b)</w:t>
      </w:r>
      <w:r>
        <w:t> </w:t>
      </w:r>
      <w:r w:rsidRPr="00A0513E">
        <w:t>aspirates of body fluids, synovial fluids and</w:t>
      </w:r>
      <w:r>
        <w:t xml:space="preserve"> cerebrospinal fluid</w:t>
      </w:r>
      <w:r w:rsidRPr="00A0513E">
        <w:t xml:space="preserve"> </w:t>
      </w:r>
      <w:r>
        <w:t>(</w:t>
      </w:r>
      <w:r w:rsidRPr="00A0513E">
        <w:t>CSF</w:t>
      </w:r>
      <w:r>
        <w:t>)</w:t>
      </w:r>
      <w:r w:rsidRPr="00A0513E">
        <w:t>.</w:t>
      </w:r>
    </w:p>
    <w:p w14:paraId="24B01A54" w14:textId="77777777" w:rsidR="00CA7016" w:rsidRPr="00A0513E" w:rsidRDefault="00CA7016" w:rsidP="00CA7016">
      <w:pPr>
        <w:pStyle w:val="NormalBulleted"/>
        <w:numPr>
          <w:ilvl w:val="0"/>
          <w:numId w:val="17"/>
        </w:numPr>
        <w:spacing w:before="120" w:after="60" w:line="240" w:lineRule="auto"/>
        <w:ind w:right="142"/>
        <w:contextualSpacing w:val="0"/>
      </w:pPr>
      <w:r w:rsidRPr="00A0513E">
        <w:t>Remove the inclusion of the less complicated site</w:t>
      </w:r>
      <w:r>
        <w:t>-</w:t>
      </w:r>
      <w:r w:rsidRPr="00A0513E">
        <w:t xml:space="preserve">specific specimens described in items 69303, 69306, 69312, 69318 (see also </w:t>
      </w:r>
      <w:r w:rsidRPr="004E6AFD">
        <w:t>section 4.</w:t>
      </w:r>
      <w:r>
        <w:t>11</w:t>
      </w:r>
      <w:r w:rsidRPr="00A0513E">
        <w:t xml:space="preserve"> for site specific culture)</w:t>
      </w:r>
    </w:p>
    <w:p w14:paraId="12EED5D8" w14:textId="77777777" w:rsidR="00CA7016" w:rsidRPr="00B96BC0" w:rsidRDefault="00CA7016" w:rsidP="00CA7016">
      <w:pPr>
        <w:pStyle w:val="Caption"/>
      </w:pPr>
      <w:bookmarkStart w:id="294" w:name="_Toc484598359"/>
      <w:bookmarkStart w:id="295" w:name="_Toc486935621"/>
      <w:bookmarkStart w:id="296" w:name="_Toc12953474"/>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24</w:t>
      </w:r>
      <w:r w:rsidR="00BB490A">
        <w:rPr>
          <w:noProof/>
        </w:rPr>
        <w:fldChar w:fldCharType="end"/>
      </w:r>
      <w:r>
        <w:t xml:space="preserve">: </w:t>
      </w:r>
      <w:r w:rsidRPr="00B96BC0">
        <w:t>Proposed changes to site specific culture and microscopy items</w:t>
      </w:r>
      <w:bookmarkEnd w:id="294"/>
      <w:bookmarkEnd w:id="295"/>
      <w:bookmarkEnd w:id="296"/>
    </w:p>
    <w:tbl>
      <w:tblPr>
        <w:tblStyle w:val="TableGrid"/>
        <w:tblW w:w="0" w:type="auto"/>
        <w:tblLook w:val="04A0" w:firstRow="1" w:lastRow="0" w:firstColumn="1" w:lastColumn="0" w:noHBand="0" w:noVBand="1"/>
        <w:tblDescription w:val="This table lists Item numbers, Current descriptors, and Proposed changes to descriptors for microscopy and culture of complicated hospital specimens."/>
      </w:tblPr>
      <w:tblGrid>
        <w:gridCol w:w="988"/>
        <w:gridCol w:w="3969"/>
        <w:gridCol w:w="4059"/>
      </w:tblGrid>
      <w:tr w:rsidR="00CA7016" w:rsidRPr="00B96BC0" w14:paraId="6066F91C" w14:textId="77777777" w:rsidTr="00F20089">
        <w:trPr>
          <w:tblHeader/>
        </w:trPr>
        <w:tc>
          <w:tcPr>
            <w:tcW w:w="988" w:type="dxa"/>
            <w:shd w:val="clear" w:color="auto" w:fill="EEECE1" w:themeFill="background2"/>
            <w:vAlign w:val="bottom"/>
          </w:tcPr>
          <w:p w14:paraId="6F8E8453" w14:textId="77777777" w:rsidR="00CA7016" w:rsidRPr="00A0513E" w:rsidRDefault="00CA7016" w:rsidP="003C3F6A">
            <w:pPr>
              <w:pStyle w:val="01Tableheaderrow"/>
            </w:pPr>
            <w:r w:rsidRPr="00A0513E">
              <w:t>Item</w:t>
            </w:r>
          </w:p>
        </w:tc>
        <w:tc>
          <w:tcPr>
            <w:tcW w:w="3969" w:type="dxa"/>
            <w:shd w:val="clear" w:color="auto" w:fill="EEECE1" w:themeFill="background2"/>
            <w:vAlign w:val="bottom"/>
          </w:tcPr>
          <w:p w14:paraId="49776195" w14:textId="77777777" w:rsidR="00CA7016" w:rsidRPr="00A0513E" w:rsidRDefault="00CA7016" w:rsidP="003C3F6A">
            <w:pPr>
              <w:pStyle w:val="01Tableheaderrow"/>
            </w:pPr>
            <w:r w:rsidRPr="00A0513E">
              <w:t>Current descriptor</w:t>
            </w:r>
          </w:p>
        </w:tc>
        <w:tc>
          <w:tcPr>
            <w:tcW w:w="4059" w:type="dxa"/>
            <w:shd w:val="clear" w:color="auto" w:fill="EEECE1" w:themeFill="background2"/>
            <w:vAlign w:val="bottom"/>
          </w:tcPr>
          <w:p w14:paraId="03E76DAB" w14:textId="77777777" w:rsidR="00CA7016" w:rsidRPr="00A0513E" w:rsidRDefault="00CA7016" w:rsidP="003C3F6A">
            <w:pPr>
              <w:pStyle w:val="01Tableheaderrow"/>
            </w:pPr>
            <w:r w:rsidRPr="00A0513E">
              <w:t>Proposed change to descriptor</w:t>
            </w:r>
          </w:p>
        </w:tc>
      </w:tr>
      <w:tr w:rsidR="00CA7016" w:rsidRPr="00B96BC0" w14:paraId="4819854E" w14:textId="77777777" w:rsidTr="003C3F6A">
        <w:tc>
          <w:tcPr>
            <w:tcW w:w="988" w:type="dxa"/>
          </w:tcPr>
          <w:p w14:paraId="696F85A7" w14:textId="77777777" w:rsidR="00CA7016" w:rsidRPr="00ED49C7" w:rsidRDefault="00CA7016" w:rsidP="003C3F6A">
            <w:pPr>
              <w:pStyle w:val="02Tabletext"/>
              <w:rPr>
                <w:highlight w:val="yellow"/>
              </w:rPr>
            </w:pPr>
            <w:r w:rsidRPr="00ED49C7">
              <w:t>69321</w:t>
            </w:r>
          </w:p>
        </w:tc>
        <w:tc>
          <w:tcPr>
            <w:tcW w:w="3969" w:type="dxa"/>
          </w:tcPr>
          <w:p w14:paraId="766759BE" w14:textId="77777777" w:rsidR="00CA7016" w:rsidRPr="00ED49C7" w:rsidRDefault="00CA7016" w:rsidP="003C3F6A">
            <w:pPr>
              <w:pStyle w:val="02Tabletext"/>
            </w:pPr>
            <w:r w:rsidRPr="00ED49C7">
              <w:t>Microscopy and culture of post-operative wounds, aspirates of body cavities, synovial fluid, CSF or operative or biopsy specimens, for the presence of pathogenic microorganisms involving aerobic and anaerobic cultures and the use of different culture media, and including (if performed): (a) pathogen identification and antibiotic susceptibility testing; or (b) a service described in item 69300, 69303, 69306, 69312 or 69318; specimens from 1 or more sites</w:t>
            </w:r>
          </w:p>
        </w:tc>
        <w:tc>
          <w:tcPr>
            <w:tcW w:w="4059" w:type="dxa"/>
            <w:shd w:val="clear" w:color="auto" w:fill="auto"/>
          </w:tcPr>
          <w:p w14:paraId="75EAB473" w14:textId="77777777" w:rsidR="00CA7016" w:rsidRPr="00ED49C7" w:rsidRDefault="00CA7016" w:rsidP="009329A1">
            <w:pPr>
              <w:pStyle w:val="02Tabletext"/>
            </w:pPr>
            <w:r w:rsidRPr="00ED49C7">
              <w:t xml:space="preserve">Microscopy and culture of post-operative wounds, or operative or biopsy specimens, </w:t>
            </w:r>
            <w:r w:rsidR="009329A1">
              <w:t xml:space="preserve">or respiratory samples from a cystic fibrosis patient; </w:t>
            </w:r>
            <w:r w:rsidRPr="00ED49C7">
              <w:t>for the presence of pathogenic microorganisms involving aerobic and anaerobic cultures and the use of different culture media, and including (if performed): (a) pathogen identification and antibiotic susceptibility testing; or (b) a service described in item 69300; specimens from 1 or more sites.</w:t>
            </w:r>
          </w:p>
        </w:tc>
      </w:tr>
      <w:tr w:rsidR="00CA7016" w:rsidRPr="00B96BC0" w14:paraId="1D1EB875" w14:textId="77777777" w:rsidTr="003C3F6A">
        <w:tc>
          <w:tcPr>
            <w:tcW w:w="988" w:type="dxa"/>
          </w:tcPr>
          <w:p w14:paraId="161BDFF9" w14:textId="77777777" w:rsidR="00CA7016" w:rsidRPr="00A0513E" w:rsidRDefault="00CA7016" w:rsidP="003C3F6A">
            <w:pPr>
              <w:pStyle w:val="02Tabletext"/>
            </w:pPr>
            <w:r w:rsidRPr="00A0513E">
              <w:t>693</w:t>
            </w:r>
            <w:r>
              <w:t>2</w:t>
            </w:r>
            <w:r w:rsidR="00D2050A">
              <w:t>1-</w:t>
            </w:r>
            <w:r w:rsidRPr="00A0513E">
              <w:t>X</w:t>
            </w:r>
          </w:p>
        </w:tc>
        <w:tc>
          <w:tcPr>
            <w:tcW w:w="3969" w:type="dxa"/>
          </w:tcPr>
          <w:p w14:paraId="466C16BE" w14:textId="77777777" w:rsidR="00CA7016" w:rsidRPr="00A0513E" w:rsidRDefault="00CA7016" w:rsidP="003C3F6A">
            <w:pPr>
              <w:pStyle w:val="02Tabletext"/>
            </w:pPr>
          </w:p>
        </w:tc>
        <w:tc>
          <w:tcPr>
            <w:tcW w:w="4059" w:type="dxa"/>
            <w:shd w:val="clear" w:color="auto" w:fill="auto"/>
            <w:vAlign w:val="bottom"/>
          </w:tcPr>
          <w:p w14:paraId="3BB15535" w14:textId="77777777" w:rsidR="00CA7016" w:rsidRPr="00A0513E" w:rsidRDefault="00CA7016" w:rsidP="003C3F6A">
            <w:pPr>
              <w:pStyle w:val="02Tabletext"/>
            </w:pPr>
            <w:r w:rsidRPr="00A0513E">
              <w:t>Microscopy, cell counts (whe</w:t>
            </w:r>
            <w:r>
              <w:t>n</w:t>
            </w:r>
            <w:r w:rsidRPr="00A0513E">
              <w:t xml:space="preserve"> indicated)</w:t>
            </w:r>
            <w:r>
              <w:t xml:space="preserve"> </w:t>
            </w:r>
            <w:r w:rsidRPr="00A0513E">
              <w:t xml:space="preserve">and culture of aspirates of body cavities, synovial fluid, or CSF for the presence of pathogenic microorganisms involving aerobic and anaerobic cultures and the use of different culture media, and including (if performed): (a) </w:t>
            </w:r>
            <w:r w:rsidRPr="00A0513E">
              <w:lastRenderedPageBreak/>
              <w:t xml:space="preserve">pathogen identification and antibiotic susceptibility testing; or (b) a service described in item 69300; specimens from 1 or more sites. </w:t>
            </w:r>
          </w:p>
        </w:tc>
      </w:tr>
    </w:tbl>
    <w:p w14:paraId="3E97310D" w14:textId="77777777" w:rsidR="00CA7016" w:rsidRPr="00A0513E" w:rsidRDefault="00CA7016" w:rsidP="00CA7016">
      <w:pPr>
        <w:pStyle w:val="Heading3"/>
      </w:pPr>
      <w:bookmarkStart w:id="297" w:name="_Toc12886585"/>
      <w:r w:rsidRPr="00A0513E">
        <w:lastRenderedPageBreak/>
        <w:t>Rationale</w:t>
      </w:r>
      <w:r>
        <w:t xml:space="preserve"> 13</w:t>
      </w:r>
      <w:bookmarkEnd w:id="297"/>
    </w:p>
    <w:p w14:paraId="4941A3AD" w14:textId="77777777" w:rsidR="00CA7016" w:rsidRPr="00B96BC0" w:rsidRDefault="00CA7016" w:rsidP="00CA7016">
      <w:r w:rsidRPr="00B96BC0">
        <w:t>These recommendations focus on modernising the MBS and are based on the following observations.</w:t>
      </w:r>
    </w:p>
    <w:p w14:paraId="76310986"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The workload and procedures involved in microscopy and culture of fluid samples is more complicated than </w:t>
      </w:r>
      <w:r>
        <w:t xml:space="preserve">for </w:t>
      </w:r>
      <w:r w:rsidRPr="00A0513E">
        <w:t xml:space="preserve">samples obtained from anatomical sites. Differential cell counts are </w:t>
      </w:r>
      <w:proofErr w:type="gramStart"/>
      <w:r w:rsidRPr="00A0513E">
        <w:t>performed</w:t>
      </w:r>
      <w:proofErr w:type="gramEnd"/>
      <w:r w:rsidRPr="00A0513E">
        <w:t xml:space="preserve"> and microscopy may include the detection of crystals. Specimens may be inoculated into blood culture bottles</w:t>
      </w:r>
      <w:r>
        <w:t>,</w:t>
      </w:r>
      <w:r w:rsidRPr="00A0513E">
        <w:t xml:space="preserve"> which increase the cost of consumables and monitoring.</w:t>
      </w:r>
    </w:p>
    <w:p w14:paraId="5247462D" w14:textId="77777777" w:rsidR="00CA7016" w:rsidRPr="00A0513E" w:rsidRDefault="00CA7016" w:rsidP="00CA7016">
      <w:pPr>
        <w:pStyle w:val="NormalBulleted"/>
        <w:numPr>
          <w:ilvl w:val="0"/>
          <w:numId w:val="17"/>
        </w:numPr>
        <w:spacing w:before="120" w:after="60" w:line="240" w:lineRule="auto"/>
        <w:ind w:right="142"/>
        <w:contextualSpacing w:val="0"/>
      </w:pPr>
      <w:r w:rsidRPr="00A0513E">
        <w:t>Separating this item will enable a review of the costings of both the tissue and fluid specimens and redistribute the funding across the items to better reflect the complexity and costs associated with the fluids.</w:t>
      </w:r>
    </w:p>
    <w:p w14:paraId="135C06CA" w14:textId="77777777" w:rsidR="00CA7016" w:rsidRPr="00A0513E" w:rsidRDefault="00CA7016" w:rsidP="00CA7016">
      <w:pPr>
        <w:pStyle w:val="NormalBulleted"/>
        <w:numPr>
          <w:ilvl w:val="0"/>
          <w:numId w:val="17"/>
        </w:numPr>
        <w:spacing w:before="120" w:after="60" w:line="240" w:lineRule="auto"/>
        <w:ind w:right="142"/>
        <w:contextualSpacing w:val="0"/>
      </w:pPr>
      <w:r w:rsidRPr="00A0513E">
        <w:t xml:space="preserve">Funding should be redistributed between these items to recognise the higher complexity associated with microscopy and culture of aspirates of body fluids, synovial fluids and CSF to better reflect the complexity and costs associated with the fluids. </w:t>
      </w:r>
    </w:p>
    <w:p w14:paraId="4C7D3013" w14:textId="77777777" w:rsidR="00CA7016" w:rsidRPr="00A0513E" w:rsidRDefault="00CA7016" w:rsidP="00CA7016">
      <w:pPr>
        <w:pStyle w:val="NormalBulleted"/>
        <w:numPr>
          <w:ilvl w:val="0"/>
          <w:numId w:val="17"/>
        </w:numPr>
        <w:spacing w:before="120" w:after="60" w:line="240" w:lineRule="auto"/>
        <w:ind w:right="142"/>
        <w:contextualSpacing w:val="0"/>
      </w:pPr>
      <w:r w:rsidRPr="00A0513E">
        <w:t>The current descriptor and schedule fee for 69321 include any tests performed on specimens from less complicated sites such as throat, ears, sputum</w:t>
      </w:r>
      <w:r>
        <w:t>,</w:t>
      </w:r>
      <w:r w:rsidRPr="00A0513E">
        <w:t xml:space="preserve"> etc., described in items 69303, 69306, 69312 and 69318. As the specimens from each body site are collected, handled, tested and reported separately, the Committee agreed that they should be funded separately and recommended that they be removed from the item descriptors of the complicated specimens.</w:t>
      </w:r>
    </w:p>
    <w:p w14:paraId="79AA27AF" w14:textId="77777777" w:rsidR="00CA7016" w:rsidRPr="00A0513E" w:rsidRDefault="00CA7016" w:rsidP="00CA7016">
      <w:pPr>
        <w:pStyle w:val="Heading2"/>
      </w:pPr>
      <w:bookmarkStart w:id="298" w:name="_Toc483989378"/>
      <w:bookmarkStart w:id="299" w:name="_Toc486939196"/>
      <w:bookmarkStart w:id="300" w:name="_Ref487612260"/>
      <w:bookmarkStart w:id="301" w:name="_Ref487639745"/>
      <w:bookmarkStart w:id="302" w:name="_Toc12886586"/>
      <w:r w:rsidRPr="00A0513E">
        <w:t>Microscopy of wet film</w:t>
      </w:r>
      <w:bookmarkEnd w:id="298"/>
      <w:bookmarkEnd w:id="299"/>
      <w:bookmarkEnd w:id="300"/>
      <w:bookmarkEnd w:id="301"/>
      <w:bookmarkEnd w:id="302"/>
      <w:r w:rsidRPr="00A0513E">
        <w:t xml:space="preserve"> </w:t>
      </w:r>
    </w:p>
    <w:p w14:paraId="0FC15C2A" w14:textId="77777777" w:rsidR="00CA7016" w:rsidRPr="00B96BC0" w:rsidRDefault="00CA7016" w:rsidP="00CA7016">
      <w:pPr>
        <w:pStyle w:val="Caption"/>
      </w:pPr>
      <w:bookmarkStart w:id="303" w:name="_Toc484598360"/>
      <w:bookmarkStart w:id="304" w:name="_Toc486935622"/>
      <w:bookmarkStart w:id="305" w:name="_Toc12953475"/>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25</w:t>
      </w:r>
      <w:r w:rsidR="00BB490A">
        <w:rPr>
          <w:noProof/>
        </w:rPr>
        <w:fldChar w:fldCharType="end"/>
      </w:r>
      <w:r>
        <w:t xml:space="preserve">: </w:t>
      </w:r>
      <w:r w:rsidRPr="00B96BC0">
        <w:t>Item introduction table for item 69300</w:t>
      </w:r>
      <w:bookmarkEnd w:id="303"/>
      <w:bookmarkEnd w:id="304"/>
      <w:bookmarkEnd w:id="305"/>
    </w:p>
    <w:tbl>
      <w:tblPr>
        <w:tblStyle w:val="TableGrid2"/>
        <w:tblW w:w="0" w:type="auto"/>
        <w:tblLayout w:type="fixed"/>
        <w:tblLook w:val="04A0" w:firstRow="1" w:lastRow="0" w:firstColumn="1" w:lastColumn="0" w:noHBand="0" w:noVBand="1"/>
        <w:tblDescription w:val="This table lists Item number, Long item descriptor, Schedule fee, Benefits for FY 2014–15, Services for FY 2014–15, Patient count 2014–15, and 5-year service change (CAGR) for item 69300: microscopy of wet film."/>
      </w:tblPr>
      <w:tblGrid>
        <w:gridCol w:w="745"/>
        <w:gridCol w:w="2794"/>
        <w:gridCol w:w="1035"/>
        <w:gridCol w:w="1257"/>
        <w:gridCol w:w="1221"/>
        <w:gridCol w:w="1007"/>
        <w:gridCol w:w="957"/>
      </w:tblGrid>
      <w:tr w:rsidR="00CA7016" w:rsidRPr="00B96BC0" w14:paraId="22701CAA" w14:textId="77777777" w:rsidTr="00F20089">
        <w:trPr>
          <w:trHeight w:val="729"/>
          <w:tblHeader/>
        </w:trPr>
        <w:tc>
          <w:tcPr>
            <w:tcW w:w="745" w:type="dxa"/>
            <w:shd w:val="clear" w:color="auto" w:fill="EEECE1" w:themeFill="background2"/>
            <w:vAlign w:val="bottom"/>
            <w:hideMark/>
          </w:tcPr>
          <w:p w14:paraId="07F966D7" w14:textId="77777777" w:rsidR="00CA7016" w:rsidRPr="00A0513E" w:rsidRDefault="00CA7016" w:rsidP="003C3F6A">
            <w:pPr>
              <w:pStyle w:val="01Tableheaderrow"/>
            </w:pPr>
            <w:r w:rsidRPr="00A0513E">
              <w:t>Item</w:t>
            </w:r>
          </w:p>
        </w:tc>
        <w:tc>
          <w:tcPr>
            <w:tcW w:w="2794" w:type="dxa"/>
            <w:shd w:val="clear" w:color="auto" w:fill="EEECE1" w:themeFill="background2"/>
            <w:vAlign w:val="bottom"/>
            <w:hideMark/>
          </w:tcPr>
          <w:p w14:paraId="05EB06B3" w14:textId="77777777" w:rsidR="00CA7016" w:rsidRPr="00A0513E" w:rsidRDefault="00CA7016" w:rsidP="003C3F6A">
            <w:pPr>
              <w:pStyle w:val="01Tableheaderrow"/>
            </w:pPr>
            <w:r w:rsidRPr="00A0513E">
              <w:t>Long item descriptor</w:t>
            </w:r>
          </w:p>
        </w:tc>
        <w:tc>
          <w:tcPr>
            <w:tcW w:w="1035" w:type="dxa"/>
            <w:shd w:val="clear" w:color="auto" w:fill="EEECE1" w:themeFill="background2"/>
            <w:vAlign w:val="bottom"/>
            <w:hideMark/>
          </w:tcPr>
          <w:p w14:paraId="246CA42C" w14:textId="77777777" w:rsidR="00CA7016" w:rsidRPr="00A67521" w:rsidRDefault="00CA7016" w:rsidP="003C3F6A">
            <w:pPr>
              <w:pStyle w:val="01Tableheaderrow"/>
            </w:pPr>
            <w:r w:rsidRPr="00940AFD">
              <w:t>Schedule fee</w:t>
            </w:r>
          </w:p>
        </w:tc>
        <w:tc>
          <w:tcPr>
            <w:tcW w:w="1257" w:type="dxa"/>
            <w:shd w:val="clear" w:color="auto" w:fill="EEECE1" w:themeFill="background2"/>
            <w:vAlign w:val="bottom"/>
            <w:hideMark/>
          </w:tcPr>
          <w:p w14:paraId="76E2E6BA" w14:textId="77777777" w:rsidR="00CA7016" w:rsidRPr="00A67521" w:rsidRDefault="00CA7016" w:rsidP="003C3F6A">
            <w:pPr>
              <w:pStyle w:val="01Tableheaderrow"/>
            </w:pPr>
            <w:r w:rsidRPr="00121AE9">
              <w:t xml:space="preserve">Benefits </w:t>
            </w:r>
            <w:r>
              <w:br/>
            </w:r>
            <w:r w:rsidRPr="00121AE9">
              <w:t>FY 2014–15</w:t>
            </w:r>
          </w:p>
        </w:tc>
        <w:tc>
          <w:tcPr>
            <w:tcW w:w="1221" w:type="dxa"/>
            <w:shd w:val="clear" w:color="auto" w:fill="EEECE1" w:themeFill="background2"/>
            <w:vAlign w:val="bottom"/>
            <w:hideMark/>
          </w:tcPr>
          <w:p w14:paraId="79BA56FE" w14:textId="77777777" w:rsidR="00CA7016" w:rsidRPr="00A67521" w:rsidRDefault="00CA7016" w:rsidP="003C3F6A">
            <w:pPr>
              <w:pStyle w:val="01Tableheaderrow"/>
            </w:pPr>
            <w:r w:rsidRPr="00121AE9">
              <w:t xml:space="preserve">Services </w:t>
            </w:r>
            <w:r>
              <w:br/>
            </w:r>
            <w:r w:rsidRPr="00121AE9">
              <w:t>FY 2014–15</w:t>
            </w:r>
          </w:p>
        </w:tc>
        <w:tc>
          <w:tcPr>
            <w:tcW w:w="1007" w:type="dxa"/>
            <w:shd w:val="clear" w:color="auto" w:fill="EEECE1" w:themeFill="background2"/>
            <w:vAlign w:val="bottom"/>
            <w:hideMark/>
          </w:tcPr>
          <w:p w14:paraId="7CA83DFD" w14:textId="77777777" w:rsidR="00CA7016" w:rsidRPr="00A67521" w:rsidRDefault="00CA7016" w:rsidP="003C3F6A">
            <w:pPr>
              <w:pStyle w:val="01Tableheaderrow"/>
            </w:pPr>
            <w:r w:rsidRPr="00121AE9">
              <w:t>Patient count 2014–15</w:t>
            </w:r>
          </w:p>
        </w:tc>
        <w:tc>
          <w:tcPr>
            <w:tcW w:w="957" w:type="dxa"/>
            <w:shd w:val="clear" w:color="auto" w:fill="EEECE1" w:themeFill="background2"/>
            <w:vAlign w:val="bottom"/>
            <w:hideMark/>
          </w:tcPr>
          <w:p w14:paraId="5D5F0C84" w14:textId="77777777" w:rsidR="00CA7016" w:rsidRPr="00A67521" w:rsidRDefault="00CA7016" w:rsidP="003C3F6A">
            <w:pPr>
              <w:pStyle w:val="01Tableheaderrow"/>
            </w:pPr>
            <w:r w:rsidRPr="00121AE9">
              <w:t xml:space="preserve">5-year </w:t>
            </w:r>
            <w:r>
              <w:t>service change (CAGR)</w:t>
            </w:r>
          </w:p>
        </w:tc>
      </w:tr>
      <w:tr w:rsidR="00CA7016" w:rsidRPr="00B96BC0" w14:paraId="59227A3B" w14:textId="77777777" w:rsidTr="003C3F6A">
        <w:trPr>
          <w:trHeight w:val="300"/>
        </w:trPr>
        <w:tc>
          <w:tcPr>
            <w:tcW w:w="745" w:type="dxa"/>
            <w:noWrap/>
            <w:hideMark/>
          </w:tcPr>
          <w:p w14:paraId="42087123" w14:textId="77777777" w:rsidR="00CA7016" w:rsidRPr="00A0513E" w:rsidRDefault="00CA7016" w:rsidP="003C3F6A">
            <w:pPr>
              <w:pStyle w:val="02Tabletext"/>
            </w:pPr>
            <w:r w:rsidRPr="00A0513E">
              <w:t>69300</w:t>
            </w:r>
          </w:p>
        </w:tc>
        <w:tc>
          <w:tcPr>
            <w:tcW w:w="2794" w:type="dxa"/>
            <w:noWrap/>
            <w:hideMark/>
          </w:tcPr>
          <w:p w14:paraId="58E91B36" w14:textId="77777777" w:rsidR="00CA7016" w:rsidRPr="00A0513E" w:rsidRDefault="00CA7016" w:rsidP="003C3F6A">
            <w:pPr>
              <w:pStyle w:val="02Tabletext"/>
            </w:pPr>
            <w:r w:rsidRPr="00A0513E">
              <w:t>Microscopy of wet film material other than blood, from 1 or more sites, obtained directly from a patient (not cultures) including: (a) differential cell count (if performed); or (b) examination for dermatophytes; or (c) dark ground illumination; or (d) stained preparation or preparations using any relevant stain or stains; 1 or more tests</w:t>
            </w:r>
          </w:p>
        </w:tc>
        <w:tc>
          <w:tcPr>
            <w:tcW w:w="1035" w:type="dxa"/>
            <w:noWrap/>
            <w:hideMark/>
          </w:tcPr>
          <w:p w14:paraId="01C5DC1C" w14:textId="77777777" w:rsidR="00CA7016" w:rsidRPr="00A0513E" w:rsidRDefault="00CA7016" w:rsidP="003C3F6A">
            <w:pPr>
              <w:pStyle w:val="02Tabletext"/>
              <w:jc w:val="right"/>
            </w:pPr>
            <w:r w:rsidRPr="00A0513E">
              <w:t xml:space="preserve">$12.50 </w:t>
            </w:r>
          </w:p>
        </w:tc>
        <w:tc>
          <w:tcPr>
            <w:tcW w:w="1257" w:type="dxa"/>
            <w:noWrap/>
            <w:hideMark/>
          </w:tcPr>
          <w:p w14:paraId="1E99CA75" w14:textId="77777777" w:rsidR="00CA7016" w:rsidRPr="00A0513E" w:rsidRDefault="00CA7016" w:rsidP="003C3F6A">
            <w:pPr>
              <w:pStyle w:val="02Tabletext"/>
              <w:jc w:val="right"/>
            </w:pPr>
            <w:r w:rsidRPr="00A0513E">
              <w:t>$251,721</w:t>
            </w:r>
          </w:p>
        </w:tc>
        <w:tc>
          <w:tcPr>
            <w:tcW w:w="1221" w:type="dxa"/>
            <w:noWrap/>
            <w:hideMark/>
          </w:tcPr>
          <w:p w14:paraId="0CF8AB66" w14:textId="77777777" w:rsidR="00CA7016" w:rsidRPr="00A0513E" w:rsidRDefault="00CA7016" w:rsidP="003C3F6A">
            <w:pPr>
              <w:pStyle w:val="02Tabletext"/>
              <w:jc w:val="right"/>
            </w:pPr>
            <w:r w:rsidRPr="00A0513E">
              <w:t>24</w:t>
            </w:r>
            <w:r>
              <w:t xml:space="preserve"> </w:t>
            </w:r>
            <w:r w:rsidRPr="00A0513E">
              <w:t>539</w:t>
            </w:r>
          </w:p>
        </w:tc>
        <w:tc>
          <w:tcPr>
            <w:tcW w:w="1007" w:type="dxa"/>
            <w:noWrap/>
            <w:hideMark/>
          </w:tcPr>
          <w:p w14:paraId="3AD417B6" w14:textId="77777777" w:rsidR="00CA7016" w:rsidRPr="00A0513E" w:rsidRDefault="00CA7016" w:rsidP="003C3F6A">
            <w:pPr>
              <w:pStyle w:val="02Tabletext"/>
              <w:jc w:val="right"/>
            </w:pPr>
            <w:r w:rsidRPr="00A0513E">
              <w:t>20</w:t>
            </w:r>
            <w:r>
              <w:t xml:space="preserve"> </w:t>
            </w:r>
            <w:r w:rsidRPr="00A0513E">
              <w:t>370</w:t>
            </w:r>
          </w:p>
        </w:tc>
        <w:tc>
          <w:tcPr>
            <w:tcW w:w="957" w:type="dxa"/>
            <w:noWrap/>
            <w:hideMark/>
          </w:tcPr>
          <w:p w14:paraId="759E68AC" w14:textId="77777777" w:rsidR="00CA7016" w:rsidRPr="00A0513E" w:rsidRDefault="00CA7016" w:rsidP="003C3F6A">
            <w:pPr>
              <w:pStyle w:val="02Tabletext"/>
              <w:jc w:val="right"/>
            </w:pPr>
            <w:r w:rsidRPr="00A0513E">
              <w:t>9.9%</w:t>
            </w:r>
          </w:p>
        </w:tc>
      </w:tr>
    </w:tbl>
    <w:p w14:paraId="1AB80B11" w14:textId="77777777" w:rsidR="00CA7016" w:rsidRPr="00A0513E" w:rsidRDefault="00CA7016" w:rsidP="00CA7016">
      <w:pPr>
        <w:pStyle w:val="Heading3"/>
      </w:pPr>
      <w:bookmarkStart w:id="306" w:name="_Toc12886587"/>
      <w:r w:rsidRPr="00A0513E">
        <w:t xml:space="preserve">Recommendation </w:t>
      </w:r>
      <w:r>
        <w:t>14</w:t>
      </w:r>
      <w:bookmarkEnd w:id="306"/>
    </w:p>
    <w:p w14:paraId="218D58A7" w14:textId="77777777" w:rsidR="00CA7016" w:rsidRPr="00A0513E" w:rsidRDefault="00CA7016" w:rsidP="00CA7016">
      <w:pPr>
        <w:pStyle w:val="01squarebullet"/>
      </w:pPr>
      <w:r w:rsidRPr="006975F1">
        <w:t xml:space="preserve">Amend </w:t>
      </w:r>
      <w:r w:rsidRPr="00A0513E">
        <w:t>the descriptor to remov</w:t>
      </w:r>
      <w:r>
        <w:t>e</w:t>
      </w:r>
      <w:r w:rsidRPr="00A0513E">
        <w:t xml:space="preserve"> the obsolete methods of examination of dermatophytes and dark ground illumination. </w:t>
      </w:r>
    </w:p>
    <w:p w14:paraId="468ED177" w14:textId="77777777" w:rsidR="00CA7016" w:rsidRPr="00A0513E" w:rsidRDefault="00CA7016" w:rsidP="00CA7016">
      <w:pPr>
        <w:pStyle w:val="01squarebullet"/>
      </w:pPr>
      <w:r w:rsidRPr="006975F1">
        <w:t xml:space="preserve">Restrict the co-claiming of this item with the proposed revised item for complicated hospital </w:t>
      </w:r>
      <w:proofErr w:type="gramStart"/>
      <w:r w:rsidRPr="006975F1">
        <w:t>specimens</w:t>
      </w:r>
      <w:proofErr w:type="gramEnd"/>
      <w:r w:rsidRPr="006975F1">
        <w:t xml:space="preserve"> item</w:t>
      </w:r>
      <w:r w:rsidRPr="00A0513E">
        <w:t xml:space="preserve"> 69321 and new item 693</w:t>
      </w:r>
      <w:r>
        <w:t>21-</w:t>
      </w:r>
      <w:r w:rsidRPr="00A0513E">
        <w:t xml:space="preserve">X (see </w:t>
      </w:r>
      <w:r w:rsidRPr="004E6AFD">
        <w:t>section 4.</w:t>
      </w:r>
      <w:r>
        <w:t>13</w:t>
      </w:r>
      <w:r w:rsidRPr="00A0513E">
        <w:t>).</w:t>
      </w:r>
    </w:p>
    <w:p w14:paraId="7006910D" w14:textId="77777777" w:rsidR="00CA7016" w:rsidRPr="00C356A0" w:rsidRDefault="00CA7016" w:rsidP="00CA7016">
      <w:pPr>
        <w:pStyle w:val="Caption"/>
      </w:pPr>
      <w:bookmarkStart w:id="307" w:name="_Toc484598361"/>
      <w:bookmarkStart w:id="308" w:name="_Toc486935623"/>
      <w:bookmarkStart w:id="309" w:name="_Toc12953476"/>
      <w:r>
        <w:lastRenderedPageBreak/>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26</w:t>
      </w:r>
      <w:r w:rsidR="00BB490A">
        <w:rPr>
          <w:noProof/>
        </w:rPr>
        <w:fldChar w:fldCharType="end"/>
      </w:r>
      <w:r>
        <w:t xml:space="preserve">: </w:t>
      </w:r>
      <w:r w:rsidRPr="00C356A0">
        <w:t>Proposed changes</w:t>
      </w:r>
      <w:r>
        <w:t xml:space="preserve"> to item 69300</w:t>
      </w:r>
      <w:bookmarkEnd w:id="307"/>
      <w:bookmarkEnd w:id="308"/>
      <w:bookmarkEnd w:id="309"/>
    </w:p>
    <w:tbl>
      <w:tblPr>
        <w:tblStyle w:val="TableGrid"/>
        <w:tblW w:w="0" w:type="auto"/>
        <w:tblLook w:val="04A0" w:firstRow="1" w:lastRow="0" w:firstColumn="1" w:lastColumn="0" w:noHBand="0" w:noVBand="1"/>
        <w:tblDescription w:val="This table lists Item number, Current descriptor, and Proposed change to descriptor for item 69300: microscopy of wet film."/>
      </w:tblPr>
      <w:tblGrid>
        <w:gridCol w:w="988"/>
        <w:gridCol w:w="3969"/>
        <w:gridCol w:w="4059"/>
      </w:tblGrid>
      <w:tr w:rsidR="00CA7016" w:rsidRPr="000F0253" w14:paraId="19AFB60B" w14:textId="77777777" w:rsidTr="00F20089">
        <w:trPr>
          <w:tblHeader/>
        </w:trPr>
        <w:tc>
          <w:tcPr>
            <w:tcW w:w="988" w:type="dxa"/>
            <w:shd w:val="clear" w:color="auto" w:fill="EEECE1" w:themeFill="background2"/>
            <w:vAlign w:val="bottom"/>
          </w:tcPr>
          <w:p w14:paraId="46F7A339" w14:textId="77777777" w:rsidR="00CA7016" w:rsidRPr="00A0513E" w:rsidRDefault="00CA7016" w:rsidP="003C3F6A">
            <w:pPr>
              <w:pStyle w:val="01Tableheaderrow"/>
            </w:pPr>
            <w:r w:rsidRPr="00A0513E">
              <w:t>Item</w:t>
            </w:r>
          </w:p>
        </w:tc>
        <w:tc>
          <w:tcPr>
            <w:tcW w:w="3969" w:type="dxa"/>
            <w:shd w:val="clear" w:color="auto" w:fill="EEECE1" w:themeFill="background2"/>
            <w:vAlign w:val="bottom"/>
          </w:tcPr>
          <w:p w14:paraId="253D9328" w14:textId="77777777" w:rsidR="00CA7016" w:rsidRPr="00A0513E" w:rsidRDefault="00CA7016" w:rsidP="003C3F6A">
            <w:pPr>
              <w:pStyle w:val="01Tableheaderrow"/>
            </w:pPr>
            <w:r w:rsidRPr="00A0513E">
              <w:t>Current descriptor</w:t>
            </w:r>
          </w:p>
        </w:tc>
        <w:tc>
          <w:tcPr>
            <w:tcW w:w="4059" w:type="dxa"/>
            <w:shd w:val="clear" w:color="auto" w:fill="EEECE1" w:themeFill="background2"/>
            <w:vAlign w:val="bottom"/>
          </w:tcPr>
          <w:p w14:paraId="46432A04" w14:textId="77777777" w:rsidR="00CA7016" w:rsidRPr="00A0513E" w:rsidRDefault="00CA7016" w:rsidP="003C3F6A">
            <w:pPr>
              <w:pStyle w:val="01Tableheaderrow"/>
            </w:pPr>
            <w:r w:rsidRPr="00A0513E">
              <w:t>Proposed change to descriptor</w:t>
            </w:r>
          </w:p>
        </w:tc>
      </w:tr>
      <w:tr w:rsidR="00CA7016" w:rsidRPr="000F0253" w14:paraId="63E0E79E" w14:textId="77777777" w:rsidTr="003C3F6A">
        <w:tc>
          <w:tcPr>
            <w:tcW w:w="988" w:type="dxa"/>
          </w:tcPr>
          <w:p w14:paraId="04E78EA1" w14:textId="77777777" w:rsidR="00CA7016" w:rsidRPr="00A0513E" w:rsidRDefault="00CA7016" w:rsidP="003C3F6A">
            <w:pPr>
              <w:pStyle w:val="02Tabletext"/>
            </w:pPr>
            <w:r w:rsidRPr="00A0513E">
              <w:t>69300</w:t>
            </w:r>
          </w:p>
        </w:tc>
        <w:tc>
          <w:tcPr>
            <w:tcW w:w="3969" w:type="dxa"/>
          </w:tcPr>
          <w:p w14:paraId="425766AB" w14:textId="77777777" w:rsidR="00CA7016" w:rsidRPr="00A0513E" w:rsidRDefault="00CA7016" w:rsidP="003C3F6A">
            <w:pPr>
              <w:pStyle w:val="02Tabletext"/>
            </w:pPr>
            <w:r w:rsidRPr="00A0513E">
              <w:t>Microscopy of wet film material other than blood, from 1 or more sites, obtained directly from a patient (not cultures) including: (a) differential cell count (if performed); or (b) examination for dermatophytes; or (c) dark ground illumination; or (d) stained preparation or preparations using any relevant stain or stains; 1 or more tests</w:t>
            </w:r>
          </w:p>
        </w:tc>
        <w:tc>
          <w:tcPr>
            <w:tcW w:w="4059" w:type="dxa"/>
          </w:tcPr>
          <w:p w14:paraId="2E0A8018" w14:textId="77777777" w:rsidR="00CA7016" w:rsidRPr="00A0513E" w:rsidRDefault="00CA7016" w:rsidP="003C3F6A">
            <w:pPr>
              <w:pStyle w:val="02Tabletext"/>
            </w:pPr>
            <w:r w:rsidRPr="00A0513E">
              <w:t>Microscopy of wet film material other than blood, from 1 or more sites, obtained directly from a patient (not cultures) including: (a) differential cell count (if performed); or (b) stained preparation or preparations using any relevant stain or stains; 1 or more tests.</w:t>
            </w:r>
          </w:p>
        </w:tc>
      </w:tr>
    </w:tbl>
    <w:p w14:paraId="46227C81" w14:textId="77777777" w:rsidR="00CA7016" w:rsidRPr="00A0513E" w:rsidRDefault="00CA7016" w:rsidP="00CA7016">
      <w:pPr>
        <w:pStyle w:val="Heading3"/>
      </w:pPr>
      <w:bookmarkStart w:id="310" w:name="_Ref487785712"/>
      <w:bookmarkStart w:id="311" w:name="_Toc12886588"/>
      <w:r w:rsidRPr="00A0513E">
        <w:t>Rationale</w:t>
      </w:r>
      <w:r>
        <w:t xml:space="preserve"> 14</w:t>
      </w:r>
      <w:bookmarkEnd w:id="310"/>
      <w:bookmarkEnd w:id="311"/>
    </w:p>
    <w:p w14:paraId="340F2E1E" w14:textId="77777777" w:rsidR="00CA7016" w:rsidRPr="00B96BC0" w:rsidRDefault="00CA7016" w:rsidP="00CA7016">
      <w:r w:rsidRPr="00B96BC0">
        <w:t>The recommendations focus on modernising the MBS and are based on the following recommendations.</w:t>
      </w:r>
    </w:p>
    <w:p w14:paraId="4568F2CA" w14:textId="77777777" w:rsidR="00CA7016" w:rsidRPr="00A0513E" w:rsidRDefault="00CA7016" w:rsidP="00CA7016">
      <w:pPr>
        <w:pStyle w:val="01squarebullet"/>
      </w:pPr>
      <w:r w:rsidRPr="00A0513E">
        <w:t>Dark ground illumination is a microscopy technique rarely performed</w:t>
      </w:r>
      <w:r>
        <w:t>,</w:t>
      </w:r>
      <w:r w:rsidRPr="00A0513E">
        <w:t xml:space="preserve"> as it has been superseded by more contemporary methods such as </w:t>
      </w:r>
      <w:r>
        <w:t>polymerase chain reaction (</w:t>
      </w:r>
      <w:r w:rsidRPr="00A0513E">
        <w:t>PCR</w:t>
      </w:r>
      <w:r>
        <w:t>)</w:t>
      </w:r>
      <w:r w:rsidRPr="00A0513E">
        <w:t xml:space="preserve">. </w:t>
      </w:r>
    </w:p>
    <w:p w14:paraId="66370A92" w14:textId="77777777" w:rsidR="00CA7016" w:rsidRPr="00A0513E" w:rsidRDefault="00CA7016" w:rsidP="00CA7016">
      <w:pPr>
        <w:pStyle w:val="01squarebullet"/>
      </w:pPr>
      <w:r w:rsidRPr="00A0513E">
        <w:t>Microscopy alone for dermatophytes is very insensitive and usually requires additional culture using either item 69309 or PCR.</w:t>
      </w:r>
      <w:r>
        <w:t xml:space="preserve"> </w:t>
      </w:r>
      <w:r w:rsidRPr="00A0513E">
        <w:t xml:space="preserve">MBS data do not indicate that this service is being used extensively in remote Australia, so removal would not impact patient care. </w:t>
      </w:r>
    </w:p>
    <w:p w14:paraId="689D5F0D" w14:textId="77777777" w:rsidR="00CA7016" w:rsidRPr="00A0513E" w:rsidRDefault="00CA7016" w:rsidP="00CA7016">
      <w:pPr>
        <w:pStyle w:val="01squarebullet"/>
      </w:pPr>
      <w:r w:rsidRPr="00A0513E">
        <w:t xml:space="preserve">The Committee recommended that this item should not be co-claimed with the proposed revised item for complicated hospital specimens (see </w:t>
      </w:r>
      <w:r w:rsidRPr="004E6AFD">
        <w:t>section 4.</w:t>
      </w:r>
      <w:r>
        <w:t>11</w:t>
      </w:r>
      <w:r w:rsidRPr="00A0513E">
        <w:t>), as this item is intended for less complicated tissue or fluid samples.</w:t>
      </w:r>
    </w:p>
    <w:p w14:paraId="785451A8" w14:textId="77777777" w:rsidR="00CA7016" w:rsidRPr="00A0513E" w:rsidRDefault="00CA7016" w:rsidP="00CA7016">
      <w:pPr>
        <w:pStyle w:val="01squarebullet"/>
      </w:pPr>
      <w:r w:rsidRPr="00A0513E">
        <w:t xml:space="preserve">The change to the descriptor should produce minimal changes to the </w:t>
      </w:r>
      <w:proofErr w:type="spellStart"/>
      <w:r w:rsidRPr="00A0513E">
        <w:t>utilisation</w:t>
      </w:r>
      <w:proofErr w:type="spellEnd"/>
      <w:r w:rsidRPr="00A0513E">
        <w:t xml:space="preserve"> of the item.</w:t>
      </w:r>
    </w:p>
    <w:p w14:paraId="55CD955D" w14:textId="77777777" w:rsidR="00CA7016" w:rsidRPr="00A0513E" w:rsidRDefault="00CA7016" w:rsidP="00CA7016">
      <w:pPr>
        <w:pStyle w:val="01squarebullet"/>
      </w:pPr>
      <w:r w:rsidRPr="00A0513E">
        <w:t>There will be little impact on access for patients</w:t>
      </w:r>
      <w:r>
        <w:t>,</w:t>
      </w:r>
      <w:r w:rsidRPr="00A0513E">
        <w:t xml:space="preserve"> as superior, more sensitive test methods are now available. </w:t>
      </w:r>
    </w:p>
    <w:p w14:paraId="4AE7EA06" w14:textId="77777777" w:rsidR="00CA7016" w:rsidRPr="00A0513E" w:rsidRDefault="00CA7016" w:rsidP="00CA7016">
      <w:pPr>
        <w:pStyle w:val="Heading2"/>
      </w:pPr>
      <w:bookmarkStart w:id="312" w:name="_Toc487621077"/>
      <w:bookmarkStart w:id="313" w:name="_Toc483989380"/>
      <w:bookmarkStart w:id="314" w:name="_Toc486939197"/>
      <w:bookmarkStart w:id="315" w:name="_Ref487788064"/>
      <w:bookmarkStart w:id="316" w:name="_Ref487788181"/>
      <w:bookmarkStart w:id="317" w:name="_Ref487790617"/>
      <w:bookmarkStart w:id="318" w:name="_Toc12886589"/>
      <w:bookmarkEnd w:id="312"/>
      <w:r w:rsidRPr="00A0513E">
        <w:t>Antenatal bundle 69415, 69333</w:t>
      </w:r>
      <w:bookmarkEnd w:id="313"/>
      <w:bookmarkEnd w:id="314"/>
      <w:bookmarkEnd w:id="315"/>
      <w:bookmarkEnd w:id="316"/>
      <w:bookmarkEnd w:id="317"/>
      <w:bookmarkEnd w:id="318"/>
    </w:p>
    <w:p w14:paraId="3E09CED5" w14:textId="77777777" w:rsidR="00CA7016" w:rsidRPr="00A0513E" w:rsidRDefault="00CA7016" w:rsidP="00CA7016">
      <w:pPr>
        <w:pStyle w:val="Heading3"/>
      </w:pPr>
      <w:bookmarkStart w:id="319" w:name="_Toc12886590"/>
      <w:r w:rsidRPr="00A0513E">
        <w:t xml:space="preserve">Recommendation </w:t>
      </w:r>
      <w:r>
        <w:t>15</w:t>
      </w:r>
      <w:bookmarkEnd w:id="319"/>
    </w:p>
    <w:p w14:paraId="19509560" w14:textId="77777777" w:rsidR="00CA7016" w:rsidRPr="00A0513E" w:rsidRDefault="00CA7016" w:rsidP="00CA7016">
      <w:pPr>
        <w:pStyle w:val="01squarebullet"/>
      </w:pPr>
      <w:r w:rsidRPr="00A0513E">
        <w:t xml:space="preserve">The Committee </w:t>
      </w:r>
      <w:r>
        <w:t>proposes the development of an antenatal bundle of items</w:t>
      </w:r>
      <w:r w:rsidRPr="00A0513E">
        <w:t xml:space="preserve"> to include items 69415 and 69333</w:t>
      </w:r>
      <w:r>
        <w:t>.</w:t>
      </w:r>
      <w:r w:rsidRPr="00A0513E">
        <w:t xml:space="preserve"> </w:t>
      </w:r>
    </w:p>
    <w:p w14:paraId="437F4F1A" w14:textId="77777777" w:rsidR="00CA7016" w:rsidRPr="00A0513E" w:rsidRDefault="00CA7016" w:rsidP="00CA7016">
      <w:pPr>
        <w:pStyle w:val="01squarebullet"/>
      </w:pPr>
      <w:r w:rsidRPr="00A0513E">
        <w:t xml:space="preserve">Delete items 69405, 69408, 69411, 69413 </w:t>
      </w:r>
      <w:r>
        <w:t>(see section 4.16</w:t>
      </w:r>
      <w:r w:rsidRPr="004E6AFD">
        <w:t>.2</w:t>
      </w:r>
      <w:r w:rsidRPr="00A0513E">
        <w:t>).</w:t>
      </w:r>
    </w:p>
    <w:p w14:paraId="060A8060" w14:textId="77777777" w:rsidR="00CA7016" w:rsidRPr="00BD68EC" w:rsidRDefault="00CA7016" w:rsidP="00CA7016">
      <w:pPr>
        <w:pStyle w:val="Caption"/>
      </w:pPr>
      <w:bookmarkStart w:id="320" w:name="_Toc484598362"/>
      <w:bookmarkStart w:id="321" w:name="_Toc486935624"/>
      <w:bookmarkStart w:id="322" w:name="_Toc12953477"/>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27</w:t>
      </w:r>
      <w:r w:rsidR="00BB490A">
        <w:rPr>
          <w:noProof/>
        </w:rPr>
        <w:fldChar w:fldCharType="end"/>
      </w:r>
      <w:r>
        <w:t xml:space="preserve">: </w:t>
      </w:r>
      <w:r w:rsidRPr="00BD68EC">
        <w:t>Proposed descriptor recommended by the Committee</w:t>
      </w:r>
      <w:bookmarkEnd w:id="320"/>
      <w:bookmarkEnd w:id="321"/>
      <w:bookmarkEnd w:id="322"/>
    </w:p>
    <w:tbl>
      <w:tblPr>
        <w:tblStyle w:val="TableGrid"/>
        <w:tblW w:w="0" w:type="auto"/>
        <w:tblLook w:val="04A0" w:firstRow="1" w:lastRow="0" w:firstColumn="1" w:lastColumn="0" w:noHBand="0" w:noVBand="1"/>
        <w:tblDescription w:val="This table lists Item number, and Proposed changes to descriptors for an &#10;antenatal bundle."/>
      </w:tblPr>
      <w:tblGrid>
        <w:gridCol w:w="988"/>
        <w:gridCol w:w="7512"/>
      </w:tblGrid>
      <w:tr w:rsidR="00CA7016" w:rsidRPr="001F3B5B" w14:paraId="27E06526" w14:textId="77777777" w:rsidTr="00F20089">
        <w:trPr>
          <w:tblHeader/>
        </w:trPr>
        <w:tc>
          <w:tcPr>
            <w:tcW w:w="988" w:type="dxa"/>
            <w:shd w:val="clear" w:color="auto" w:fill="EEECE1" w:themeFill="background2"/>
            <w:vAlign w:val="bottom"/>
          </w:tcPr>
          <w:p w14:paraId="5BEB93E0" w14:textId="77777777" w:rsidR="00CA7016" w:rsidRPr="00A0513E" w:rsidRDefault="00CA7016" w:rsidP="003C3F6A">
            <w:pPr>
              <w:pStyle w:val="01Tableheaderrow"/>
            </w:pPr>
            <w:r w:rsidRPr="00A0513E">
              <w:t>Item</w:t>
            </w:r>
          </w:p>
        </w:tc>
        <w:tc>
          <w:tcPr>
            <w:tcW w:w="7512" w:type="dxa"/>
            <w:shd w:val="clear" w:color="auto" w:fill="EEECE1" w:themeFill="background2"/>
            <w:vAlign w:val="bottom"/>
          </w:tcPr>
          <w:p w14:paraId="7794F0A2" w14:textId="77777777" w:rsidR="00CA7016" w:rsidRPr="00A0513E" w:rsidRDefault="00CA7016" w:rsidP="003C3F6A">
            <w:pPr>
              <w:pStyle w:val="01Tableheaderrow"/>
            </w:pPr>
            <w:r w:rsidRPr="00A0513E">
              <w:t>Proposed change to descriptor</w:t>
            </w:r>
          </w:p>
        </w:tc>
      </w:tr>
      <w:tr w:rsidR="00CA7016" w:rsidRPr="001F3B5B" w14:paraId="2CE58902" w14:textId="77777777" w:rsidTr="003C3F6A">
        <w:tc>
          <w:tcPr>
            <w:tcW w:w="988" w:type="dxa"/>
          </w:tcPr>
          <w:p w14:paraId="669524AA" w14:textId="77777777" w:rsidR="00CA7016" w:rsidRPr="00A0513E" w:rsidRDefault="00CA7016" w:rsidP="003C3F6A">
            <w:pPr>
              <w:pStyle w:val="02Tabletext"/>
            </w:pPr>
            <w:r w:rsidRPr="00A0513E">
              <w:t xml:space="preserve">New item </w:t>
            </w:r>
          </w:p>
        </w:tc>
        <w:tc>
          <w:tcPr>
            <w:tcW w:w="7512" w:type="dxa"/>
          </w:tcPr>
          <w:p w14:paraId="02AC8100" w14:textId="77777777" w:rsidR="00CA7016" w:rsidRPr="00A0513E" w:rsidRDefault="00CA7016" w:rsidP="003C3F6A">
            <w:pPr>
              <w:pStyle w:val="02Tabletext"/>
            </w:pPr>
            <w:r w:rsidRPr="00A0513E">
              <w:t xml:space="preserve">First trimester antenatal screen including </w:t>
            </w:r>
            <w:proofErr w:type="gramStart"/>
            <w:r w:rsidRPr="00A0513E">
              <w:t>all of</w:t>
            </w:r>
            <w:proofErr w:type="gramEnd"/>
            <w:r w:rsidRPr="00A0513E">
              <w:t xml:space="preserve"> the following:</w:t>
            </w:r>
          </w:p>
          <w:p w14:paraId="2EDD9E6A" w14:textId="77777777" w:rsidR="00CA7016" w:rsidRPr="00A0513E" w:rsidRDefault="00CA7016" w:rsidP="003C3F6A">
            <w:pPr>
              <w:pStyle w:val="02Tabletext"/>
            </w:pPr>
            <w:r w:rsidRPr="00A0513E">
              <w:t>1) Erythrocyte count, haematocrit, haemoglobin, calculation or measurement of red cell index or indices, platelet count, leucocyte</w:t>
            </w:r>
            <w:r>
              <w:t xml:space="preserve"> </w:t>
            </w:r>
            <w:r w:rsidRPr="00A0513E">
              <w:t>count and manual or instrument</w:t>
            </w:r>
            <w:r>
              <w:t>-</w:t>
            </w:r>
            <w:r w:rsidRPr="00A0513E">
              <w:t xml:space="preserve">generated differential count - not being a service </w:t>
            </w:r>
            <w:r w:rsidR="004B6EB9">
              <w:t xml:space="preserve">in which </w:t>
            </w:r>
            <w:r w:rsidRPr="00A0513E">
              <w:t>haemoglobin only is requested - one or more instrument</w:t>
            </w:r>
            <w:r>
              <w:t>-</w:t>
            </w:r>
            <w:r w:rsidRPr="00A0513E">
              <w:t>generated set of results from a single sample; and (if performed) a morphological assessment of a blood film</w:t>
            </w:r>
            <w:r>
              <w:t xml:space="preserve">; </w:t>
            </w:r>
            <w:r w:rsidRPr="00A0513E">
              <w:t>and</w:t>
            </w:r>
          </w:p>
          <w:p w14:paraId="071311F2" w14:textId="77777777" w:rsidR="00CA7016" w:rsidRPr="00A0513E" w:rsidRDefault="00CA7016" w:rsidP="003C3F6A">
            <w:pPr>
              <w:pStyle w:val="02Tabletext"/>
            </w:pPr>
            <w:r w:rsidRPr="00A0513E">
              <w:t>2) Blood grouping (including back-grouping if performed), and examination of serum for Rh and other blood group antibodies,</w:t>
            </w:r>
            <w:r>
              <w:t xml:space="preserve"> </w:t>
            </w:r>
            <w:r w:rsidRPr="00A0513E">
              <w:t xml:space="preserve">including identification and quantitation of any antibodies </w:t>
            </w:r>
            <w:proofErr w:type="gramStart"/>
            <w:r w:rsidRPr="00A0513E">
              <w:t>detected</w:t>
            </w:r>
            <w:r>
              <w:t>;</w:t>
            </w:r>
            <w:proofErr w:type="gramEnd"/>
            <w:r w:rsidRPr="00A0513E">
              <w:t> </w:t>
            </w:r>
          </w:p>
          <w:p w14:paraId="01A41555" w14:textId="77777777" w:rsidR="00CA7016" w:rsidRPr="00A0513E" w:rsidRDefault="00CA7016" w:rsidP="003C3F6A">
            <w:pPr>
              <w:pStyle w:val="02Tabletext"/>
            </w:pPr>
            <w:r w:rsidRPr="00A0513E">
              <w:t>and</w:t>
            </w:r>
          </w:p>
          <w:p w14:paraId="0ED31BFF" w14:textId="77777777" w:rsidR="00CA7016" w:rsidRPr="00A0513E" w:rsidRDefault="00CA7016" w:rsidP="003C3F6A">
            <w:pPr>
              <w:pStyle w:val="02Tabletext"/>
            </w:pPr>
            <w:r w:rsidRPr="00A0513E">
              <w:t xml:space="preserve">Urine examination (including serial examination) by any means other than simple culture by dip slide, including: </w:t>
            </w:r>
          </w:p>
          <w:p w14:paraId="53E5CF5E" w14:textId="77777777" w:rsidR="00CA7016" w:rsidRPr="00A0513E" w:rsidRDefault="00CA7016" w:rsidP="003C3F6A">
            <w:pPr>
              <w:pStyle w:val="02Tabletext"/>
            </w:pPr>
            <w:r w:rsidRPr="00A0513E">
              <w:t xml:space="preserve">(a) cell count; and </w:t>
            </w:r>
          </w:p>
          <w:p w14:paraId="3251244D" w14:textId="77777777" w:rsidR="00CA7016" w:rsidRPr="00A0513E" w:rsidRDefault="00CA7016" w:rsidP="003C3F6A">
            <w:pPr>
              <w:pStyle w:val="02Tabletext"/>
            </w:pPr>
            <w:r w:rsidRPr="00A0513E">
              <w:t xml:space="preserve">(b) culture; and </w:t>
            </w:r>
          </w:p>
          <w:p w14:paraId="6DEA635B" w14:textId="77777777" w:rsidR="00CA7016" w:rsidRPr="00A0513E" w:rsidRDefault="00CA7016" w:rsidP="003C3F6A">
            <w:pPr>
              <w:pStyle w:val="02Tabletext"/>
            </w:pPr>
            <w:r w:rsidRPr="00A0513E">
              <w:t xml:space="preserve">(c) colony count; and </w:t>
            </w:r>
          </w:p>
          <w:p w14:paraId="53F27B8A" w14:textId="77777777" w:rsidR="00CA7016" w:rsidRPr="00A0513E" w:rsidRDefault="00CA7016" w:rsidP="003C3F6A">
            <w:pPr>
              <w:pStyle w:val="02Tabletext"/>
            </w:pPr>
            <w:r w:rsidRPr="00A0513E">
              <w:t xml:space="preserve">(d) (if performed) stained preparations; and </w:t>
            </w:r>
          </w:p>
          <w:p w14:paraId="187A431D" w14:textId="77777777" w:rsidR="00CA7016" w:rsidRPr="00A0513E" w:rsidRDefault="00CA7016" w:rsidP="003C3F6A">
            <w:pPr>
              <w:pStyle w:val="02Tabletext"/>
            </w:pPr>
            <w:r w:rsidRPr="00A0513E">
              <w:t xml:space="preserve">(e) (if performed) identification of cultured pathogens; and </w:t>
            </w:r>
          </w:p>
          <w:p w14:paraId="256D6B2E" w14:textId="77777777" w:rsidR="00CA7016" w:rsidRPr="00A0513E" w:rsidRDefault="00CA7016" w:rsidP="003C3F6A">
            <w:pPr>
              <w:pStyle w:val="02Tabletext"/>
            </w:pPr>
            <w:r w:rsidRPr="00A0513E">
              <w:lastRenderedPageBreak/>
              <w:t xml:space="preserve">(f) (if performed) antibiotic susceptibility testing; and </w:t>
            </w:r>
          </w:p>
          <w:p w14:paraId="71B58DAA" w14:textId="77777777" w:rsidR="00CA7016" w:rsidRPr="00A0513E" w:rsidRDefault="00CA7016" w:rsidP="003C3F6A">
            <w:pPr>
              <w:pStyle w:val="02Tabletext"/>
            </w:pPr>
            <w:r w:rsidRPr="00A0513E">
              <w:t xml:space="preserve">(g) (if performed) examination for pH, specific gravity, blood, protein, urobilinogen, sugar, acetone or bile </w:t>
            </w:r>
            <w:proofErr w:type="gramStart"/>
            <w:r w:rsidRPr="00A0513E">
              <w:t>salts</w:t>
            </w:r>
            <w:r>
              <w:t>;</w:t>
            </w:r>
            <w:proofErr w:type="gramEnd"/>
          </w:p>
          <w:p w14:paraId="5D08974F" w14:textId="77777777" w:rsidR="00CA7016" w:rsidRPr="00A0513E" w:rsidRDefault="00CA7016" w:rsidP="003C3F6A">
            <w:pPr>
              <w:pStyle w:val="02Tabletext"/>
            </w:pPr>
            <w:r w:rsidRPr="00A0513E">
              <w:t>and</w:t>
            </w:r>
          </w:p>
          <w:p w14:paraId="2DA1A8E9" w14:textId="77777777" w:rsidR="00CA7016" w:rsidRPr="00A0513E" w:rsidRDefault="00CA7016" w:rsidP="003C3F6A">
            <w:pPr>
              <w:pStyle w:val="02Tabletext"/>
            </w:pPr>
            <w:r w:rsidRPr="00A0513E">
              <w:t>Microbiological serology during a pregnancy (except in the investigation of a clinically apparent intercurrent microbial illness or</w:t>
            </w:r>
            <w:r>
              <w:t xml:space="preserve"> </w:t>
            </w:r>
            <w:r w:rsidRPr="00A0513E">
              <w:t xml:space="preserve">close contact with a patient </w:t>
            </w:r>
            <w:r>
              <w:t xml:space="preserve">with </w:t>
            </w:r>
            <w:r w:rsidRPr="00A0513E">
              <w:t>parvovirus infection or varicella during that pregnancy)</w:t>
            </w:r>
            <w:r>
              <w:t>,</w:t>
            </w:r>
            <w:r w:rsidRPr="00A0513E">
              <w:t xml:space="preserve"> including the determination of all 5 of the following - rubella immune status, specific syphilis serology, carriage of </w:t>
            </w:r>
            <w:r>
              <w:t>h</w:t>
            </w:r>
            <w:r w:rsidRPr="00A0513E">
              <w:t xml:space="preserve">epatitis B, </w:t>
            </w:r>
            <w:r>
              <w:t>h</w:t>
            </w:r>
            <w:r w:rsidRPr="00A0513E">
              <w:t>epatitis C antibody, HIV antibody.</w:t>
            </w:r>
          </w:p>
          <w:p w14:paraId="2DD9CC1C" w14:textId="77777777" w:rsidR="00CA7016" w:rsidRPr="00A0513E" w:rsidRDefault="00CA7016" w:rsidP="003C3F6A">
            <w:pPr>
              <w:pStyle w:val="02Tabletext"/>
            </w:pPr>
            <w:r w:rsidRPr="00A0513E">
              <w:t>This item includes (if performed) any test described in 65060, 65070, 65072, 65096, 69333, 69415 and 69384.</w:t>
            </w:r>
          </w:p>
          <w:p w14:paraId="1778235E" w14:textId="77777777" w:rsidR="00CA7016" w:rsidRPr="00A0513E" w:rsidRDefault="00CA7016" w:rsidP="003C3F6A">
            <w:pPr>
              <w:pStyle w:val="02Tabletext"/>
            </w:pPr>
            <w:r w:rsidRPr="00A0513E">
              <w:t>(Item is subject to rule 25</w:t>
            </w:r>
            <w:r>
              <w:t>.</w:t>
            </w:r>
            <w:r w:rsidRPr="00A0513E">
              <w:t>) </w:t>
            </w:r>
          </w:p>
          <w:p w14:paraId="76F194C7" w14:textId="77777777" w:rsidR="00CA7016" w:rsidRPr="00A0513E" w:rsidRDefault="00CA7016" w:rsidP="003C3F6A">
            <w:pPr>
              <w:pStyle w:val="02Tabletext"/>
            </w:pPr>
            <w:r w:rsidRPr="00A0513E">
              <w:t>Rule 25 would be once per year per pregnancy.</w:t>
            </w:r>
          </w:p>
        </w:tc>
      </w:tr>
    </w:tbl>
    <w:p w14:paraId="7CC5EF29" w14:textId="77777777" w:rsidR="00CA7016" w:rsidRPr="00A0513E" w:rsidRDefault="00CA7016" w:rsidP="00CA7016">
      <w:pPr>
        <w:pStyle w:val="Heading3"/>
      </w:pPr>
      <w:bookmarkStart w:id="323" w:name="_Toc487621080"/>
      <w:bookmarkStart w:id="324" w:name="_Toc12886591"/>
      <w:bookmarkEnd w:id="323"/>
      <w:r w:rsidRPr="00A0513E">
        <w:lastRenderedPageBreak/>
        <w:t>Rationale</w:t>
      </w:r>
      <w:r>
        <w:t xml:space="preserve"> 15</w:t>
      </w:r>
      <w:bookmarkEnd w:id="324"/>
    </w:p>
    <w:p w14:paraId="5074E524" w14:textId="77777777" w:rsidR="00CA7016" w:rsidRPr="00A0513E" w:rsidRDefault="00CA7016" w:rsidP="00CA7016">
      <w:pPr>
        <w:pStyle w:val="NormalBulleted"/>
        <w:numPr>
          <w:ilvl w:val="0"/>
          <w:numId w:val="17"/>
        </w:numPr>
        <w:spacing w:before="120" w:after="60" w:line="240" w:lineRule="auto"/>
        <w:ind w:right="142"/>
        <w:contextualSpacing w:val="0"/>
      </w:pPr>
      <w:r w:rsidRPr="00A0513E">
        <w:t>The Committee has recommended that there should be one item that includes the basic pathology tests that all pregnant women should have in the first trimester. This will standardise antenatal pathology screening in line with national guidelines and improve health outcomes for pregnant women and their babies. The Obstetrics Clinical Committee</w:t>
      </w:r>
      <w:r>
        <w:t xml:space="preserve"> have also</w:t>
      </w:r>
      <w:r w:rsidRPr="00A0513E">
        <w:t xml:space="preserve"> endors</w:t>
      </w:r>
      <w:r>
        <w:t>ed</w:t>
      </w:r>
      <w:r w:rsidRPr="00A0513E">
        <w:t xml:space="preserve"> this recommendation.</w:t>
      </w:r>
    </w:p>
    <w:p w14:paraId="2F8769A0" w14:textId="77777777" w:rsidR="00CA7016" w:rsidRPr="00A0513E" w:rsidRDefault="00CA7016" w:rsidP="00CA7016">
      <w:pPr>
        <w:pStyle w:val="NormalBulleted"/>
        <w:numPr>
          <w:ilvl w:val="0"/>
          <w:numId w:val="17"/>
        </w:numPr>
        <w:spacing w:before="120" w:after="60" w:line="240" w:lineRule="auto"/>
        <w:ind w:right="142"/>
        <w:contextualSpacing w:val="0"/>
      </w:pPr>
      <w:r w:rsidRPr="00B96BC0">
        <w:t>The tests to be included in this ‘panel’ are:</w:t>
      </w:r>
    </w:p>
    <w:p w14:paraId="78EBE6E7" w14:textId="77777777" w:rsidR="00CA7016" w:rsidRPr="00A0513E" w:rsidRDefault="00CA7016" w:rsidP="00CA7016">
      <w:pPr>
        <w:pStyle w:val="NormalBulleted"/>
        <w:numPr>
          <w:ilvl w:val="1"/>
          <w:numId w:val="17"/>
        </w:numPr>
        <w:spacing w:before="120" w:after="60" w:line="240" w:lineRule="auto"/>
        <w:ind w:right="142"/>
        <w:contextualSpacing w:val="0"/>
      </w:pPr>
      <w:r w:rsidRPr="00B96BC0">
        <w:t>65070</w:t>
      </w:r>
      <w:r>
        <w:t>:</w:t>
      </w:r>
      <w:r w:rsidRPr="00B96BC0">
        <w:t xml:space="preserve"> Full blood count</w:t>
      </w:r>
    </w:p>
    <w:p w14:paraId="0D062C93" w14:textId="77777777" w:rsidR="00CA7016" w:rsidRPr="00A0513E" w:rsidRDefault="00CA7016" w:rsidP="00CA7016">
      <w:pPr>
        <w:pStyle w:val="NormalBulleted"/>
        <w:numPr>
          <w:ilvl w:val="1"/>
          <w:numId w:val="17"/>
        </w:numPr>
        <w:spacing w:before="120" w:after="60" w:line="240" w:lineRule="auto"/>
        <w:ind w:right="142"/>
        <w:contextualSpacing w:val="0"/>
      </w:pPr>
      <w:r w:rsidRPr="00B96BC0">
        <w:t>65096</w:t>
      </w:r>
      <w:r>
        <w:t>:</w:t>
      </w:r>
      <w:r w:rsidRPr="00B96BC0">
        <w:t xml:space="preserve"> </w:t>
      </w:r>
      <w:r w:rsidRPr="00A0513E">
        <w:t>Blood grouping and examination of serum for Rh and other blood group antibodies</w:t>
      </w:r>
    </w:p>
    <w:p w14:paraId="40E8B23C" w14:textId="77777777" w:rsidR="00CA7016" w:rsidRPr="00A0513E" w:rsidRDefault="00CA7016" w:rsidP="00CA7016">
      <w:pPr>
        <w:pStyle w:val="NormalBulleted"/>
        <w:numPr>
          <w:ilvl w:val="1"/>
          <w:numId w:val="17"/>
        </w:numPr>
        <w:spacing w:before="120" w:after="60" w:line="240" w:lineRule="auto"/>
        <w:ind w:right="142"/>
        <w:contextualSpacing w:val="0"/>
      </w:pPr>
      <w:r w:rsidRPr="00B96BC0">
        <w:t>69333</w:t>
      </w:r>
      <w:r>
        <w:t>:</w:t>
      </w:r>
      <w:r w:rsidRPr="00B96BC0">
        <w:t xml:space="preserve"> Urinalysis </w:t>
      </w:r>
    </w:p>
    <w:p w14:paraId="3A0A6F6E" w14:textId="77777777" w:rsidR="00CA7016" w:rsidRDefault="00CA7016" w:rsidP="00CA7016">
      <w:pPr>
        <w:pStyle w:val="NormalBulleted"/>
        <w:numPr>
          <w:ilvl w:val="1"/>
          <w:numId w:val="17"/>
        </w:numPr>
        <w:spacing w:before="120" w:after="60" w:line="240" w:lineRule="auto"/>
        <w:ind w:right="142"/>
        <w:contextualSpacing w:val="0"/>
      </w:pPr>
      <w:r w:rsidRPr="00B96BC0">
        <w:t>69415</w:t>
      </w:r>
      <w:r>
        <w:t>:</w:t>
      </w:r>
      <w:r w:rsidRPr="00B96BC0">
        <w:t xml:space="preserve"> Hepatitis B, </w:t>
      </w:r>
      <w:r>
        <w:t>h</w:t>
      </w:r>
      <w:r w:rsidRPr="00B96BC0">
        <w:t>epatitis C, HIV, rubella, syphilis (item is for testing all five)</w:t>
      </w:r>
      <w:r>
        <w:t>.</w:t>
      </w:r>
    </w:p>
    <w:p w14:paraId="3D619B50" w14:textId="77777777" w:rsidR="00CA7016" w:rsidRPr="00A0513E" w:rsidRDefault="00CA7016" w:rsidP="00CA7016">
      <w:pPr>
        <w:pStyle w:val="01squarebullet"/>
      </w:pPr>
      <w:r w:rsidRPr="00A0513E">
        <w:t xml:space="preserve">There are currently five item numbers covering antenatal serology – </w:t>
      </w:r>
      <w:bookmarkStart w:id="325" w:name="_Hlk482566886"/>
      <w:r w:rsidRPr="00A0513E">
        <w:t>69405, 69408, 69411, 69413</w:t>
      </w:r>
      <w:bookmarkEnd w:id="325"/>
      <w:r w:rsidRPr="00A0513E">
        <w:t xml:space="preserve"> and 69415. The inclusion of the five-test item (69415) into the antenatal bundle would mean the items covering one, two, three or four of the serology tests will be redundant. If additional tests are required throughout the pregnancy, the bundle does not exclude the option of claiming for the individual items separately if clinically appropriate. Similarly, the urinalysis item 69333 would be included in this standard set of tests. The option for additional urinalysis requests outside the bundle is available if clinically indicated.</w:t>
      </w:r>
    </w:p>
    <w:p w14:paraId="6490296C" w14:textId="77777777" w:rsidR="00CA7016" w:rsidRPr="00A0513E" w:rsidRDefault="00CA7016" w:rsidP="00CA7016">
      <w:pPr>
        <w:pStyle w:val="Heading2"/>
      </w:pPr>
      <w:bookmarkStart w:id="326" w:name="_Toc483989381"/>
      <w:bookmarkStart w:id="327" w:name="_Toc486939198"/>
      <w:bookmarkStart w:id="328" w:name="_Toc12886592"/>
      <w:r w:rsidRPr="00A0513E">
        <w:t>Items to be removed</w:t>
      </w:r>
      <w:bookmarkEnd w:id="326"/>
      <w:bookmarkEnd w:id="327"/>
      <w:bookmarkEnd w:id="328"/>
    </w:p>
    <w:p w14:paraId="0991FA84" w14:textId="77777777" w:rsidR="00CA7016" w:rsidRPr="00A0513E" w:rsidRDefault="00CA7016" w:rsidP="00CA7016">
      <w:pPr>
        <w:pStyle w:val="Heading3"/>
      </w:pPr>
      <w:bookmarkStart w:id="329" w:name="_Toc483989382"/>
      <w:bookmarkStart w:id="330" w:name="_Toc486939199"/>
      <w:bookmarkStart w:id="331" w:name="_Ref487790146"/>
      <w:bookmarkStart w:id="332" w:name="_Toc12886593"/>
      <w:r w:rsidRPr="00A0513E">
        <w:t>Low</w:t>
      </w:r>
      <w:r>
        <w:t>-</w:t>
      </w:r>
      <w:r w:rsidRPr="00A0513E">
        <w:t>volume items 73828, 73834, 73835, 73837</w:t>
      </w:r>
      <w:bookmarkEnd w:id="329"/>
      <w:bookmarkEnd w:id="330"/>
      <w:bookmarkEnd w:id="331"/>
      <w:bookmarkEnd w:id="332"/>
      <w:r w:rsidRPr="00A0513E">
        <w:t xml:space="preserve"> </w:t>
      </w:r>
    </w:p>
    <w:p w14:paraId="40444B1B" w14:textId="77777777" w:rsidR="00CA7016" w:rsidRPr="00B96BC0" w:rsidRDefault="00CA7016" w:rsidP="00CA7016">
      <w:pPr>
        <w:pStyle w:val="Caption"/>
      </w:pPr>
      <w:bookmarkStart w:id="333" w:name="_Toc484598363"/>
      <w:bookmarkStart w:id="334" w:name="_Toc486935625"/>
      <w:bookmarkStart w:id="335" w:name="_Toc12953478"/>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28</w:t>
      </w:r>
      <w:r w:rsidR="00BB490A">
        <w:rPr>
          <w:noProof/>
        </w:rPr>
        <w:fldChar w:fldCharType="end"/>
      </w:r>
      <w:r>
        <w:t xml:space="preserve">: </w:t>
      </w:r>
      <w:r w:rsidRPr="00B96BC0">
        <w:t>Item introduction table for items 73828, 73834, 73835, 73837</w:t>
      </w:r>
      <w:bookmarkEnd w:id="333"/>
      <w:bookmarkEnd w:id="334"/>
      <w:bookmarkEnd w:id="335"/>
    </w:p>
    <w:tbl>
      <w:tblPr>
        <w:tblStyle w:val="TableGrid"/>
        <w:tblW w:w="8784" w:type="dxa"/>
        <w:tblLayout w:type="fixed"/>
        <w:tblLook w:val="04A0" w:firstRow="1" w:lastRow="0" w:firstColumn="1" w:lastColumn="0" w:noHBand="0" w:noVBand="1"/>
        <w:tblDescription w:val="This table shows the Item number, Item descriptor, Schedule fee and Services (2014–15) for low-volume items to be deleted from the Schedule."/>
      </w:tblPr>
      <w:tblGrid>
        <w:gridCol w:w="959"/>
        <w:gridCol w:w="4990"/>
        <w:gridCol w:w="1559"/>
        <w:gridCol w:w="1276"/>
      </w:tblGrid>
      <w:tr w:rsidR="00CA7016" w:rsidRPr="00B96BC0" w14:paraId="4FD651BE" w14:textId="77777777" w:rsidTr="003C3F6A">
        <w:trPr>
          <w:tblHeader/>
        </w:trPr>
        <w:tc>
          <w:tcPr>
            <w:tcW w:w="959" w:type="dxa"/>
            <w:shd w:val="clear" w:color="auto" w:fill="EEECE1" w:themeFill="background2"/>
            <w:vAlign w:val="bottom"/>
          </w:tcPr>
          <w:p w14:paraId="17022AA5" w14:textId="77777777" w:rsidR="00CA7016" w:rsidRPr="00A0513E" w:rsidRDefault="00CA7016" w:rsidP="003C3F6A">
            <w:pPr>
              <w:pStyle w:val="01Tableheaderrow"/>
            </w:pPr>
            <w:bookmarkStart w:id="336" w:name="_Hlk484557291"/>
            <w:r w:rsidRPr="00A0513E">
              <w:t>Item</w:t>
            </w:r>
          </w:p>
        </w:tc>
        <w:tc>
          <w:tcPr>
            <w:tcW w:w="4990" w:type="dxa"/>
            <w:shd w:val="clear" w:color="auto" w:fill="EEECE1" w:themeFill="background2"/>
            <w:vAlign w:val="bottom"/>
          </w:tcPr>
          <w:p w14:paraId="492ABBA1" w14:textId="77777777" w:rsidR="00CA7016" w:rsidRPr="00A0513E" w:rsidRDefault="00CA7016" w:rsidP="003C3F6A">
            <w:pPr>
              <w:pStyle w:val="01Tableheaderrow"/>
            </w:pPr>
            <w:r w:rsidRPr="00A0513E">
              <w:t>Item descriptor</w:t>
            </w:r>
          </w:p>
        </w:tc>
        <w:tc>
          <w:tcPr>
            <w:tcW w:w="1559" w:type="dxa"/>
            <w:shd w:val="clear" w:color="auto" w:fill="EEECE1" w:themeFill="background2"/>
            <w:vAlign w:val="bottom"/>
          </w:tcPr>
          <w:p w14:paraId="076CF877" w14:textId="77777777" w:rsidR="00CA7016" w:rsidRPr="00A0513E" w:rsidRDefault="00CA7016" w:rsidP="003C3F6A">
            <w:pPr>
              <w:pStyle w:val="01Tableheaderrow"/>
            </w:pPr>
            <w:r w:rsidRPr="00A0513E">
              <w:t xml:space="preserve">Schedule fee </w:t>
            </w:r>
          </w:p>
        </w:tc>
        <w:tc>
          <w:tcPr>
            <w:tcW w:w="1276" w:type="dxa"/>
            <w:shd w:val="clear" w:color="auto" w:fill="EEECE1" w:themeFill="background2"/>
            <w:vAlign w:val="bottom"/>
          </w:tcPr>
          <w:p w14:paraId="7A84B30F" w14:textId="77777777" w:rsidR="00CA7016" w:rsidRPr="00A0513E" w:rsidRDefault="00CA7016" w:rsidP="003C3F6A">
            <w:pPr>
              <w:pStyle w:val="01Tableheaderrow"/>
            </w:pPr>
            <w:r w:rsidRPr="00A0513E">
              <w:t>Services (2014–15)</w:t>
            </w:r>
          </w:p>
        </w:tc>
      </w:tr>
      <w:tr w:rsidR="00CA7016" w:rsidRPr="00B96BC0" w14:paraId="4D6F3AC9" w14:textId="77777777" w:rsidTr="003C3F6A">
        <w:tc>
          <w:tcPr>
            <w:tcW w:w="959" w:type="dxa"/>
          </w:tcPr>
          <w:p w14:paraId="6C0AB346" w14:textId="77777777" w:rsidR="00CA7016" w:rsidRPr="00A0513E" w:rsidRDefault="00CA7016" w:rsidP="003C3F6A">
            <w:pPr>
              <w:pStyle w:val="02Tabletext"/>
            </w:pPr>
            <w:r w:rsidRPr="00A0513E">
              <w:t>73828</w:t>
            </w:r>
          </w:p>
        </w:tc>
        <w:tc>
          <w:tcPr>
            <w:tcW w:w="4990" w:type="dxa"/>
            <w:shd w:val="clear" w:color="auto" w:fill="FFFFFF" w:themeFill="background1"/>
          </w:tcPr>
          <w:p w14:paraId="718C68AE" w14:textId="77777777" w:rsidR="00CA7016" w:rsidRPr="00A0513E" w:rsidRDefault="00CA7016" w:rsidP="003C3F6A">
            <w:pPr>
              <w:pStyle w:val="02Tabletext"/>
            </w:pPr>
            <w:r w:rsidRPr="00A0513E">
              <w:t>Semen examination for presence of spermatozoa by a participating nurse practitioner</w:t>
            </w:r>
          </w:p>
        </w:tc>
        <w:tc>
          <w:tcPr>
            <w:tcW w:w="1559" w:type="dxa"/>
          </w:tcPr>
          <w:p w14:paraId="3298DCEA" w14:textId="77777777" w:rsidR="00CA7016" w:rsidRPr="00A0513E" w:rsidRDefault="00CA7016" w:rsidP="003C3F6A">
            <w:pPr>
              <w:pStyle w:val="02Tabletext"/>
              <w:jc w:val="right"/>
            </w:pPr>
            <w:r w:rsidRPr="00A0513E">
              <w:t>$6.90</w:t>
            </w:r>
          </w:p>
        </w:tc>
        <w:tc>
          <w:tcPr>
            <w:tcW w:w="1276" w:type="dxa"/>
          </w:tcPr>
          <w:p w14:paraId="2D5FC0AB" w14:textId="77777777" w:rsidR="00CA7016" w:rsidRPr="00A0513E" w:rsidRDefault="00CA7016" w:rsidP="003C3F6A">
            <w:pPr>
              <w:pStyle w:val="02Tabletext"/>
              <w:jc w:val="right"/>
            </w:pPr>
            <w:r w:rsidRPr="00A0513E">
              <w:t>0</w:t>
            </w:r>
          </w:p>
        </w:tc>
      </w:tr>
      <w:tr w:rsidR="00CA7016" w:rsidRPr="00B96BC0" w14:paraId="337E25B8" w14:textId="77777777" w:rsidTr="003C3F6A">
        <w:tc>
          <w:tcPr>
            <w:tcW w:w="959" w:type="dxa"/>
          </w:tcPr>
          <w:p w14:paraId="3F2F029E" w14:textId="77777777" w:rsidR="00CA7016" w:rsidRPr="00A0513E" w:rsidRDefault="00CA7016" w:rsidP="003C3F6A">
            <w:pPr>
              <w:pStyle w:val="02Tabletext"/>
            </w:pPr>
            <w:r w:rsidRPr="00A0513E">
              <w:t>73834</w:t>
            </w:r>
          </w:p>
        </w:tc>
        <w:tc>
          <w:tcPr>
            <w:tcW w:w="4990" w:type="dxa"/>
            <w:shd w:val="clear" w:color="auto" w:fill="FFFFFF" w:themeFill="background1"/>
          </w:tcPr>
          <w:p w14:paraId="098439D3" w14:textId="77777777" w:rsidR="00CA7016" w:rsidRPr="00A0513E" w:rsidRDefault="00CA7016" w:rsidP="003C3F6A">
            <w:pPr>
              <w:pStyle w:val="02Tabletext"/>
            </w:pPr>
            <w:r w:rsidRPr="00A0513E">
              <w:t>Microscopy for wet film other than urine, including any relevant stain by a participating nurse practitioner</w:t>
            </w:r>
          </w:p>
        </w:tc>
        <w:tc>
          <w:tcPr>
            <w:tcW w:w="1559" w:type="dxa"/>
          </w:tcPr>
          <w:p w14:paraId="30AAFFA3" w14:textId="77777777" w:rsidR="00CA7016" w:rsidRPr="00A0513E" w:rsidRDefault="00CA7016" w:rsidP="003C3F6A">
            <w:pPr>
              <w:pStyle w:val="02Tabletext"/>
              <w:jc w:val="right"/>
            </w:pPr>
            <w:r w:rsidRPr="00A0513E">
              <w:t>$6.90</w:t>
            </w:r>
          </w:p>
        </w:tc>
        <w:tc>
          <w:tcPr>
            <w:tcW w:w="1276" w:type="dxa"/>
          </w:tcPr>
          <w:p w14:paraId="2B1DDB98" w14:textId="77777777" w:rsidR="00CA7016" w:rsidRPr="00A0513E" w:rsidRDefault="00CA7016" w:rsidP="003C3F6A">
            <w:pPr>
              <w:pStyle w:val="02Tabletext"/>
              <w:jc w:val="right"/>
            </w:pPr>
            <w:r w:rsidRPr="00A0513E">
              <w:t>1</w:t>
            </w:r>
          </w:p>
        </w:tc>
      </w:tr>
      <w:tr w:rsidR="00CA7016" w:rsidRPr="00B96BC0" w14:paraId="268B65E1" w14:textId="77777777" w:rsidTr="003C3F6A">
        <w:tc>
          <w:tcPr>
            <w:tcW w:w="959" w:type="dxa"/>
          </w:tcPr>
          <w:p w14:paraId="0979D2F9" w14:textId="77777777" w:rsidR="00CA7016" w:rsidRPr="00A0513E" w:rsidRDefault="00CA7016" w:rsidP="003C3F6A">
            <w:pPr>
              <w:pStyle w:val="02Tabletext"/>
            </w:pPr>
            <w:r w:rsidRPr="00A0513E">
              <w:t>73835</w:t>
            </w:r>
          </w:p>
        </w:tc>
        <w:tc>
          <w:tcPr>
            <w:tcW w:w="4990" w:type="dxa"/>
            <w:shd w:val="clear" w:color="auto" w:fill="FFFFFF" w:themeFill="background1"/>
          </w:tcPr>
          <w:p w14:paraId="219F46BE" w14:textId="77777777" w:rsidR="00CA7016" w:rsidRPr="00A0513E" w:rsidRDefault="00CA7016" w:rsidP="003C3F6A">
            <w:pPr>
              <w:pStyle w:val="02Tabletext"/>
            </w:pPr>
            <w:r w:rsidRPr="00A0513E">
              <w:t>Microscopy of Gram-stained film, including (if performed) a service described in item 73832 or 73834 by a participating nurse practitioner</w:t>
            </w:r>
          </w:p>
        </w:tc>
        <w:tc>
          <w:tcPr>
            <w:tcW w:w="1559" w:type="dxa"/>
          </w:tcPr>
          <w:p w14:paraId="7669A7E9" w14:textId="77777777" w:rsidR="00CA7016" w:rsidRPr="00A0513E" w:rsidRDefault="00CA7016" w:rsidP="003C3F6A">
            <w:pPr>
              <w:pStyle w:val="02Tabletext"/>
              <w:jc w:val="right"/>
            </w:pPr>
            <w:r w:rsidRPr="00A0513E">
              <w:t>$6.90</w:t>
            </w:r>
          </w:p>
        </w:tc>
        <w:tc>
          <w:tcPr>
            <w:tcW w:w="1276" w:type="dxa"/>
          </w:tcPr>
          <w:p w14:paraId="4E5B7B06" w14:textId="77777777" w:rsidR="00CA7016" w:rsidRPr="00A0513E" w:rsidRDefault="00CA7016" w:rsidP="003C3F6A">
            <w:pPr>
              <w:pStyle w:val="02Tabletext"/>
              <w:jc w:val="right"/>
            </w:pPr>
            <w:r w:rsidRPr="00A0513E">
              <w:t>5</w:t>
            </w:r>
          </w:p>
        </w:tc>
      </w:tr>
      <w:tr w:rsidR="00CA7016" w:rsidRPr="00B96BC0" w14:paraId="2BA3860D" w14:textId="77777777" w:rsidTr="003C3F6A">
        <w:tc>
          <w:tcPr>
            <w:tcW w:w="959" w:type="dxa"/>
          </w:tcPr>
          <w:p w14:paraId="4CD03444" w14:textId="77777777" w:rsidR="00CA7016" w:rsidRPr="00A0513E" w:rsidRDefault="00CA7016" w:rsidP="003C3F6A">
            <w:pPr>
              <w:pStyle w:val="02Tabletext"/>
            </w:pPr>
            <w:r w:rsidRPr="00A0513E">
              <w:t>73837</w:t>
            </w:r>
          </w:p>
        </w:tc>
        <w:tc>
          <w:tcPr>
            <w:tcW w:w="4990" w:type="dxa"/>
            <w:shd w:val="clear" w:color="auto" w:fill="FFFFFF" w:themeFill="background1"/>
          </w:tcPr>
          <w:p w14:paraId="6A71F223" w14:textId="77777777" w:rsidR="00CA7016" w:rsidRPr="00A0513E" w:rsidRDefault="00CA7016" w:rsidP="003C3F6A">
            <w:pPr>
              <w:pStyle w:val="02Tabletext"/>
            </w:pPr>
            <w:r w:rsidRPr="00A0513E">
              <w:t xml:space="preserve">Microscopy for fungi in skin, hair or nails by a participating nurse practitioner </w:t>
            </w:r>
            <w:r>
              <w:t>-</w:t>
            </w:r>
            <w:r w:rsidRPr="00A0513E">
              <w:t xml:space="preserve"> 1 or more sites</w:t>
            </w:r>
          </w:p>
        </w:tc>
        <w:tc>
          <w:tcPr>
            <w:tcW w:w="1559" w:type="dxa"/>
          </w:tcPr>
          <w:p w14:paraId="306315F6" w14:textId="77777777" w:rsidR="00CA7016" w:rsidRPr="00A0513E" w:rsidRDefault="00CA7016" w:rsidP="003C3F6A">
            <w:pPr>
              <w:pStyle w:val="02Tabletext"/>
              <w:jc w:val="right"/>
            </w:pPr>
            <w:r w:rsidRPr="00A0513E">
              <w:t>$6.90</w:t>
            </w:r>
          </w:p>
        </w:tc>
        <w:tc>
          <w:tcPr>
            <w:tcW w:w="1276" w:type="dxa"/>
          </w:tcPr>
          <w:p w14:paraId="644E51C3" w14:textId="77777777" w:rsidR="00CA7016" w:rsidRPr="00A0513E" w:rsidRDefault="00CA7016" w:rsidP="003C3F6A">
            <w:pPr>
              <w:pStyle w:val="02Tabletext"/>
              <w:jc w:val="right"/>
            </w:pPr>
            <w:r w:rsidRPr="00A0513E">
              <w:t>1</w:t>
            </w:r>
          </w:p>
        </w:tc>
      </w:tr>
    </w:tbl>
    <w:bookmarkEnd w:id="336"/>
    <w:p w14:paraId="3B5A5CE4" w14:textId="77777777" w:rsidR="00CA7016" w:rsidRPr="00B10C58" w:rsidRDefault="00CA7016">
      <w:pPr>
        <w:pStyle w:val="Heading4"/>
      </w:pPr>
      <w:r w:rsidRPr="00B10C58">
        <w:lastRenderedPageBreak/>
        <w:t>Recommendation</w:t>
      </w:r>
      <w:r>
        <w:t xml:space="preserve"> 16</w:t>
      </w:r>
      <w:r w:rsidRPr="00B10C58">
        <w:t>.1</w:t>
      </w:r>
    </w:p>
    <w:p w14:paraId="14AA6B33" w14:textId="77777777" w:rsidR="00CA7016" w:rsidRPr="00A0513E" w:rsidRDefault="00CA7016" w:rsidP="00CA7016">
      <w:pPr>
        <w:pStyle w:val="01squarebullet"/>
      </w:pPr>
      <w:r w:rsidRPr="00A0513E">
        <w:t>Delete items 73828, 73834, 73835 and 73837</w:t>
      </w:r>
      <w:r>
        <w:t>.</w:t>
      </w:r>
    </w:p>
    <w:p w14:paraId="68DF4B3B" w14:textId="77777777" w:rsidR="00CA7016" w:rsidRPr="00A0513E" w:rsidRDefault="00CA7016">
      <w:pPr>
        <w:pStyle w:val="Heading4"/>
      </w:pPr>
      <w:r w:rsidRPr="00A0513E">
        <w:t>Rationale</w:t>
      </w:r>
      <w:r>
        <w:t xml:space="preserve"> 16.1</w:t>
      </w:r>
    </w:p>
    <w:p w14:paraId="5956101E" w14:textId="77777777" w:rsidR="00CA7016" w:rsidRPr="00A0513E" w:rsidRDefault="00CA7016" w:rsidP="00CA7016">
      <w:pPr>
        <w:pStyle w:val="01squarebullet"/>
      </w:pPr>
      <w:r w:rsidRPr="00A0513E">
        <w:t xml:space="preserve">These items are low-volume services provided by nurse practitioners. MBS data confirm that these are not services being provided exclusively in rural or remote areas. Given the volume of these services is so low, it is recommended that they be removed from the Schedule. The Committee considered that these services are more appropriately performed by laboratories </w:t>
      </w:r>
      <w:r>
        <w:t xml:space="preserve">in which </w:t>
      </w:r>
      <w:r w:rsidRPr="00A0513E">
        <w:t>staff have experience in doing these types of tests routinely and in significant volumes. Practitioners who only perform these tests occasionally may lack the quality assurance required to ensure best practice. These services will still be available on the Schedule via existing item numbers, albeit at a higher fee. Given the low volume of services provided in 2014–15, the impact of this shift will be negligible.</w:t>
      </w:r>
    </w:p>
    <w:p w14:paraId="55B52823" w14:textId="77777777" w:rsidR="00CA7016" w:rsidRPr="00A0513E" w:rsidRDefault="00CA7016" w:rsidP="00CA7016">
      <w:pPr>
        <w:pStyle w:val="01squarebullet"/>
      </w:pPr>
      <w:r w:rsidRPr="00A0513E">
        <w:t>Removal will have little impact on access for patients</w:t>
      </w:r>
      <w:r>
        <w:t>,</w:t>
      </w:r>
      <w:r w:rsidRPr="00A0513E">
        <w:t xml:space="preserve"> as these services are still available on the Schedule when provided by laboratories. The quality assurance provided by laboratories routinely providing these types of tests will benefit patients because of the expertise in performing these tests in greater numbers. From the provider’s perspective, this will mean that samples will need to be sent to laboratories for review. Given the low volume, this is unlikely to be a disadvantage to the few patients receiving these services.</w:t>
      </w:r>
    </w:p>
    <w:p w14:paraId="21D1AD5E" w14:textId="77777777" w:rsidR="00CA7016" w:rsidRPr="00A0513E" w:rsidRDefault="00CA7016" w:rsidP="00CA7016">
      <w:pPr>
        <w:pStyle w:val="Heading3"/>
      </w:pPr>
      <w:bookmarkStart w:id="337" w:name="_Toc483989383"/>
      <w:bookmarkStart w:id="338" w:name="_Toc486939200"/>
      <w:bookmarkStart w:id="339" w:name="_Ref487788077"/>
      <w:bookmarkStart w:id="340" w:name="_Toc12886594"/>
      <w:r w:rsidRPr="00A0513E">
        <w:lastRenderedPageBreak/>
        <w:t>Obsolete items 69405, 69408, 69411, 69413</w:t>
      </w:r>
      <w:bookmarkEnd w:id="337"/>
      <w:bookmarkEnd w:id="338"/>
      <w:bookmarkEnd w:id="339"/>
      <w:bookmarkEnd w:id="340"/>
    </w:p>
    <w:p w14:paraId="03F4C326" w14:textId="77777777" w:rsidR="00CA7016" w:rsidRPr="00B96BC0" w:rsidRDefault="00CA7016" w:rsidP="00CA7016">
      <w:pPr>
        <w:pStyle w:val="Caption"/>
      </w:pPr>
      <w:bookmarkStart w:id="341" w:name="_Toc484598364"/>
      <w:bookmarkStart w:id="342" w:name="_Toc486935626"/>
      <w:bookmarkStart w:id="343" w:name="_Toc12953479"/>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29</w:t>
      </w:r>
      <w:r w:rsidR="00BB490A">
        <w:rPr>
          <w:noProof/>
        </w:rPr>
        <w:fldChar w:fldCharType="end"/>
      </w:r>
      <w:r>
        <w:t xml:space="preserve">: </w:t>
      </w:r>
      <w:r w:rsidRPr="00B96BC0">
        <w:t>Item introduction table for items 69405, 69408, 69411, 69413</w:t>
      </w:r>
      <w:bookmarkEnd w:id="341"/>
      <w:bookmarkEnd w:id="342"/>
      <w:bookmarkEnd w:id="343"/>
    </w:p>
    <w:tbl>
      <w:tblPr>
        <w:tblStyle w:val="TableGrid"/>
        <w:tblpPr w:leftFromText="181" w:rightFromText="181" w:vertAnchor="text" w:tblpXSpec="center" w:tblpY="1"/>
        <w:tblOverlap w:val="never"/>
        <w:tblW w:w="9356" w:type="dxa"/>
        <w:tblLayout w:type="fixed"/>
        <w:tblLook w:val="04A0" w:firstRow="1" w:lastRow="0" w:firstColumn="1" w:lastColumn="0" w:noHBand="0" w:noVBand="1"/>
        <w:tblDescription w:val="This table shows the item number, descriptor, schedule fee and number of services in 2014-15 for items the Committee deemed obsolete. "/>
      </w:tblPr>
      <w:tblGrid>
        <w:gridCol w:w="993"/>
        <w:gridCol w:w="5244"/>
        <w:gridCol w:w="1560"/>
        <w:gridCol w:w="1559"/>
      </w:tblGrid>
      <w:tr w:rsidR="00CA7016" w:rsidRPr="00B96BC0" w14:paraId="14673045" w14:textId="77777777" w:rsidTr="003C3F6A">
        <w:trPr>
          <w:tblHeader/>
        </w:trPr>
        <w:tc>
          <w:tcPr>
            <w:tcW w:w="993" w:type="dxa"/>
            <w:shd w:val="clear" w:color="auto" w:fill="EEECE1" w:themeFill="background2"/>
            <w:vAlign w:val="bottom"/>
          </w:tcPr>
          <w:p w14:paraId="5FEF2DAB" w14:textId="77777777" w:rsidR="00CA7016" w:rsidRPr="00A0513E" w:rsidRDefault="00CA7016" w:rsidP="003C3F6A">
            <w:pPr>
              <w:pStyle w:val="01Tableheaderrow"/>
            </w:pPr>
            <w:r w:rsidRPr="00A0513E">
              <w:t>Item</w:t>
            </w:r>
          </w:p>
        </w:tc>
        <w:tc>
          <w:tcPr>
            <w:tcW w:w="5244" w:type="dxa"/>
            <w:shd w:val="clear" w:color="auto" w:fill="EEECE1" w:themeFill="background2"/>
            <w:vAlign w:val="bottom"/>
          </w:tcPr>
          <w:p w14:paraId="75B7E10B" w14:textId="77777777" w:rsidR="00CA7016" w:rsidRPr="00A0513E" w:rsidRDefault="00CA7016" w:rsidP="003C3F6A">
            <w:pPr>
              <w:pStyle w:val="01Tableheaderrow"/>
            </w:pPr>
            <w:r w:rsidRPr="00A0513E">
              <w:t>Item descriptor</w:t>
            </w:r>
          </w:p>
        </w:tc>
        <w:tc>
          <w:tcPr>
            <w:tcW w:w="1560" w:type="dxa"/>
            <w:shd w:val="clear" w:color="auto" w:fill="EEECE1" w:themeFill="background2"/>
            <w:vAlign w:val="bottom"/>
          </w:tcPr>
          <w:p w14:paraId="2A4160BA" w14:textId="77777777" w:rsidR="00CA7016" w:rsidRPr="00A0513E" w:rsidRDefault="00CA7016" w:rsidP="003C3F6A">
            <w:pPr>
              <w:pStyle w:val="01Tableheaderrow"/>
            </w:pPr>
            <w:r w:rsidRPr="00A0513E">
              <w:t xml:space="preserve">Schedule fee </w:t>
            </w:r>
          </w:p>
        </w:tc>
        <w:tc>
          <w:tcPr>
            <w:tcW w:w="1559" w:type="dxa"/>
            <w:shd w:val="clear" w:color="auto" w:fill="EEECE1" w:themeFill="background2"/>
            <w:vAlign w:val="bottom"/>
          </w:tcPr>
          <w:p w14:paraId="2928919E" w14:textId="77777777" w:rsidR="00CA7016" w:rsidRPr="00A0513E" w:rsidRDefault="00CA7016" w:rsidP="003C3F6A">
            <w:pPr>
              <w:pStyle w:val="01Tableheaderrow"/>
            </w:pPr>
            <w:r w:rsidRPr="00A0513E">
              <w:t xml:space="preserve">Services </w:t>
            </w:r>
            <w:r>
              <w:br/>
            </w:r>
            <w:r w:rsidRPr="00A0513E">
              <w:t>(2014–15)</w:t>
            </w:r>
          </w:p>
        </w:tc>
      </w:tr>
      <w:tr w:rsidR="00CA7016" w:rsidRPr="00B96BC0" w14:paraId="0C8E4370" w14:textId="77777777" w:rsidTr="003C3F6A">
        <w:trPr>
          <w:tblHeader/>
        </w:trPr>
        <w:tc>
          <w:tcPr>
            <w:tcW w:w="993" w:type="dxa"/>
          </w:tcPr>
          <w:p w14:paraId="55B380AF" w14:textId="77777777" w:rsidR="00CA7016" w:rsidRPr="00A0513E" w:rsidRDefault="00CA7016" w:rsidP="003C3F6A">
            <w:pPr>
              <w:pStyle w:val="02Tabletext"/>
            </w:pPr>
            <w:r w:rsidRPr="00A0513E">
              <w:t>69405</w:t>
            </w:r>
          </w:p>
        </w:tc>
        <w:tc>
          <w:tcPr>
            <w:tcW w:w="5244" w:type="dxa"/>
          </w:tcPr>
          <w:p w14:paraId="625CAD90" w14:textId="77777777" w:rsidR="00CA7016" w:rsidRPr="00A0513E" w:rsidRDefault="00CA7016" w:rsidP="003C3F6A">
            <w:pPr>
              <w:pStyle w:val="02Tabletext"/>
            </w:pPr>
            <w:r w:rsidRPr="00A0513E">
              <w:t>Microbiological serology during a pregnancy (except in the investigation of a clinically apparent intercurrent microbial illness or close contact with a patient suffering from parvovirus infection or varicella during that pregnancy) including:</w:t>
            </w:r>
            <w:r w:rsidRPr="00A0513E">
              <w:br/>
              <w:t>(a) the determination of 1 of the following – rubella immune status, specific syphilis serology, carriage of hepatitis B, hepatitis C antibody, HIV antibody and</w:t>
            </w:r>
            <w:r w:rsidRPr="00A0513E">
              <w:br/>
              <w:t>(b) (if performed) a service described in 1 or more of items 69384, 69475, 69478 and 69481</w:t>
            </w:r>
          </w:p>
        </w:tc>
        <w:tc>
          <w:tcPr>
            <w:tcW w:w="1560" w:type="dxa"/>
          </w:tcPr>
          <w:p w14:paraId="187B4E0C" w14:textId="77777777" w:rsidR="00CA7016" w:rsidRPr="00A0513E" w:rsidRDefault="00CA7016" w:rsidP="003C3F6A">
            <w:pPr>
              <w:pStyle w:val="02Tabletext"/>
              <w:jc w:val="right"/>
            </w:pPr>
            <w:r w:rsidRPr="00A0513E">
              <w:t xml:space="preserve">$15.65 </w:t>
            </w:r>
          </w:p>
        </w:tc>
        <w:tc>
          <w:tcPr>
            <w:tcW w:w="1559" w:type="dxa"/>
          </w:tcPr>
          <w:p w14:paraId="4D6DE8F1" w14:textId="77777777" w:rsidR="00CA7016" w:rsidRPr="00A0513E" w:rsidRDefault="00CA7016" w:rsidP="003C3F6A">
            <w:pPr>
              <w:pStyle w:val="02Tabletext"/>
              <w:jc w:val="right"/>
            </w:pPr>
            <w:r w:rsidRPr="00A0513E">
              <w:t>18</w:t>
            </w:r>
            <w:r>
              <w:t xml:space="preserve"> </w:t>
            </w:r>
            <w:r w:rsidRPr="00A0513E">
              <w:t>545</w:t>
            </w:r>
          </w:p>
        </w:tc>
      </w:tr>
      <w:tr w:rsidR="00CA7016" w:rsidRPr="00B96BC0" w14:paraId="33243188" w14:textId="77777777" w:rsidTr="003C3F6A">
        <w:trPr>
          <w:tblHeader/>
        </w:trPr>
        <w:tc>
          <w:tcPr>
            <w:tcW w:w="993" w:type="dxa"/>
          </w:tcPr>
          <w:p w14:paraId="48BDEA04" w14:textId="77777777" w:rsidR="00CA7016" w:rsidRPr="00A0513E" w:rsidRDefault="00CA7016" w:rsidP="003C3F6A">
            <w:pPr>
              <w:pStyle w:val="02Tabletext"/>
            </w:pPr>
            <w:r w:rsidRPr="00A0513E">
              <w:t>69408</w:t>
            </w:r>
          </w:p>
        </w:tc>
        <w:tc>
          <w:tcPr>
            <w:tcW w:w="5244" w:type="dxa"/>
          </w:tcPr>
          <w:p w14:paraId="38C77C7C" w14:textId="77777777" w:rsidR="00CA7016" w:rsidRPr="00A0513E" w:rsidRDefault="00CA7016" w:rsidP="003C3F6A">
            <w:pPr>
              <w:pStyle w:val="02Tabletext"/>
            </w:pPr>
            <w:r w:rsidRPr="00A0513E">
              <w:t>Microbiological serology during a pregnancy (except in the investigation of a clinically apparent intercurrent microbial illness or close contact with a patient suffering from parvovirus infection or varicella during that pregnancy) including:</w:t>
            </w:r>
            <w:r>
              <w:t xml:space="preserve"> </w:t>
            </w:r>
            <w:r w:rsidRPr="00A0513E">
              <w:t>(a) the determination of 2 of the following – rubella immune status, specific syphilis serology, carriage of hepatitis B, hepatitis C antibody, HIV antibody and (b) (if performed) a service described in 1 or more of items 69384, 69475, 69478 and 69481</w:t>
            </w:r>
          </w:p>
        </w:tc>
        <w:tc>
          <w:tcPr>
            <w:tcW w:w="1560" w:type="dxa"/>
          </w:tcPr>
          <w:p w14:paraId="57FF8380" w14:textId="77777777" w:rsidR="00CA7016" w:rsidRPr="00A0513E" w:rsidRDefault="00CA7016" w:rsidP="003C3F6A">
            <w:pPr>
              <w:pStyle w:val="02Tabletext"/>
              <w:jc w:val="right"/>
            </w:pPr>
            <w:r w:rsidRPr="00A0513E">
              <w:t xml:space="preserve">$29.00 </w:t>
            </w:r>
          </w:p>
        </w:tc>
        <w:tc>
          <w:tcPr>
            <w:tcW w:w="1559" w:type="dxa"/>
          </w:tcPr>
          <w:p w14:paraId="0064B945" w14:textId="77777777" w:rsidR="00CA7016" w:rsidRPr="00A0513E" w:rsidRDefault="00CA7016" w:rsidP="003C3F6A">
            <w:pPr>
              <w:pStyle w:val="02Tabletext"/>
              <w:jc w:val="right"/>
            </w:pPr>
            <w:r w:rsidRPr="00A0513E">
              <w:t>9</w:t>
            </w:r>
            <w:r>
              <w:t xml:space="preserve"> </w:t>
            </w:r>
            <w:r w:rsidRPr="00A0513E">
              <w:t>977</w:t>
            </w:r>
          </w:p>
        </w:tc>
      </w:tr>
      <w:tr w:rsidR="00CA7016" w:rsidRPr="00B96BC0" w14:paraId="6698241D" w14:textId="77777777" w:rsidTr="003C3F6A">
        <w:trPr>
          <w:tblHeader/>
        </w:trPr>
        <w:tc>
          <w:tcPr>
            <w:tcW w:w="993" w:type="dxa"/>
          </w:tcPr>
          <w:p w14:paraId="0E8D015B" w14:textId="77777777" w:rsidR="00CA7016" w:rsidRPr="00A0513E" w:rsidRDefault="00CA7016" w:rsidP="003C3F6A">
            <w:pPr>
              <w:pStyle w:val="02Tabletext"/>
            </w:pPr>
            <w:r w:rsidRPr="00A0513E">
              <w:t>69411</w:t>
            </w:r>
          </w:p>
        </w:tc>
        <w:tc>
          <w:tcPr>
            <w:tcW w:w="5244" w:type="dxa"/>
          </w:tcPr>
          <w:p w14:paraId="5279C4D8" w14:textId="77777777" w:rsidR="00CA7016" w:rsidRPr="00A0513E" w:rsidRDefault="00CA7016" w:rsidP="003C3F6A">
            <w:pPr>
              <w:pStyle w:val="02Tabletext"/>
            </w:pPr>
            <w:r w:rsidRPr="00A0513E">
              <w:t>Microbiological serology during a pregnancy (except in the investigation of a clinically apparent intercurrent microbial illness or close contact with a patient suffering from parvovirus infection or varicella during that pregnancy) including: (a) the determination of 3 of the following – rubella immune status, specific syphilis serology, carriage of hepatitis B, hepatitis C antibody, HIV antibody and (b) (if performed) a service described in 1 or more of items 69384, 69475, 69478 and 69481</w:t>
            </w:r>
          </w:p>
        </w:tc>
        <w:tc>
          <w:tcPr>
            <w:tcW w:w="1560" w:type="dxa"/>
          </w:tcPr>
          <w:p w14:paraId="24816292" w14:textId="77777777" w:rsidR="00CA7016" w:rsidRPr="00A0513E" w:rsidRDefault="00CA7016" w:rsidP="003C3F6A">
            <w:pPr>
              <w:pStyle w:val="02Tabletext"/>
              <w:jc w:val="right"/>
            </w:pPr>
            <w:r w:rsidRPr="00A0513E">
              <w:t xml:space="preserve">$42.35 </w:t>
            </w:r>
          </w:p>
        </w:tc>
        <w:tc>
          <w:tcPr>
            <w:tcW w:w="1559" w:type="dxa"/>
          </w:tcPr>
          <w:p w14:paraId="12AF3530" w14:textId="77777777" w:rsidR="00CA7016" w:rsidRPr="00A0513E" w:rsidRDefault="00CA7016" w:rsidP="003C3F6A">
            <w:pPr>
              <w:pStyle w:val="02Tabletext"/>
              <w:jc w:val="right"/>
            </w:pPr>
            <w:r w:rsidRPr="00A0513E">
              <w:t>17</w:t>
            </w:r>
            <w:r>
              <w:t xml:space="preserve"> </w:t>
            </w:r>
            <w:r w:rsidRPr="00A0513E">
              <w:t>555</w:t>
            </w:r>
          </w:p>
        </w:tc>
      </w:tr>
      <w:tr w:rsidR="00CA7016" w:rsidRPr="00B96BC0" w14:paraId="67CB0AC5" w14:textId="77777777" w:rsidTr="003C3F6A">
        <w:trPr>
          <w:tblHeader/>
        </w:trPr>
        <w:tc>
          <w:tcPr>
            <w:tcW w:w="993" w:type="dxa"/>
          </w:tcPr>
          <w:p w14:paraId="75AE56C8" w14:textId="77777777" w:rsidR="00CA7016" w:rsidRPr="00A0513E" w:rsidRDefault="00CA7016" w:rsidP="003C3F6A">
            <w:pPr>
              <w:pStyle w:val="02Tabletext"/>
            </w:pPr>
            <w:r w:rsidRPr="00A0513E">
              <w:t>69413</w:t>
            </w:r>
          </w:p>
        </w:tc>
        <w:tc>
          <w:tcPr>
            <w:tcW w:w="5244" w:type="dxa"/>
          </w:tcPr>
          <w:p w14:paraId="3C44263A" w14:textId="77777777" w:rsidR="00CA7016" w:rsidRPr="00A0513E" w:rsidRDefault="00CA7016" w:rsidP="003C3F6A">
            <w:pPr>
              <w:pStyle w:val="02Tabletext"/>
            </w:pPr>
            <w:r w:rsidRPr="00A0513E">
              <w:t>Microbiological serology during a pregnancy (except in the investigation of a clinically apparent intercurrent microbial illness or close contact with a patient suffering from parvovirus infection or varicella during that pregnancy) including: (a) the determination of 4 of the following – rubella immune status, specific syphilis serology, carriage of hepatitis B, hepatitis C antibody, HIV antibody and (b) (if performed) a service described in 1 or more of items 69384, 69475, 69478 and 69481</w:t>
            </w:r>
          </w:p>
        </w:tc>
        <w:tc>
          <w:tcPr>
            <w:tcW w:w="1560" w:type="dxa"/>
          </w:tcPr>
          <w:p w14:paraId="1D7B4462" w14:textId="77777777" w:rsidR="00CA7016" w:rsidRPr="00A0513E" w:rsidRDefault="00CA7016" w:rsidP="003C3F6A">
            <w:pPr>
              <w:pStyle w:val="02Tabletext"/>
              <w:jc w:val="right"/>
            </w:pPr>
            <w:r w:rsidRPr="00A0513E">
              <w:t xml:space="preserve">$55.70 </w:t>
            </w:r>
          </w:p>
        </w:tc>
        <w:tc>
          <w:tcPr>
            <w:tcW w:w="1559" w:type="dxa"/>
          </w:tcPr>
          <w:p w14:paraId="1CFB17C1" w14:textId="77777777" w:rsidR="00CA7016" w:rsidRPr="00A0513E" w:rsidRDefault="00CA7016" w:rsidP="003C3F6A">
            <w:pPr>
              <w:pStyle w:val="02Tabletext"/>
              <w:jc w:val="right"/>
            </w:pPr>
            <w:r w:rsidRPr="00A0513E">
              <w:t>52</w:t>
            </w:r>
            <w:r>
              <w:t xml:space="preserve"> </w:t>
            </w:r>
            <w:r w:rsidRPr="00A0513E">
              <w:t>191</w:t>
            </w:r>
          </w:p>
        </w:tc>
      </w:tr>
    </w:tbl>
    <w:p w14:paraId="73692897" w14:textId="77777777" w:rsidR="00CA7016" w:rsidRPr="00A0513E" w:rsidRDefault="00CA7016">
      <w:pPr>
        <w:pStyle w:val="Heading4"/>
      </w:pPr>
      <w:r w:rsidRPr="00A0513E">
        <w:t>Recommendation</w:t>
      </w:r>
      <w:r>
        <w:t xml:space="preserve"> 16.2</w:t>
      </w:r>
    </w:p>
    <w:p w14:paraId="244720D1" w14:textId="77777777" w:rsidR="00CA7016" w:rsidRPr="00A0513E" w:rsidRDefault="00CA7016" w:rsidP="00CA7016">
      <w:pPr>
        <w:pStyle w:val="01squarebullet"/>
      </w:pPr>
      <w:r w:rsidRPr="00A0513E">
        <w:t xml:space="preserve">Delete items 69405, 69408, 69411 and 69413 </w:t>
      </w:r>
      <w:r>
        <w:t xml:space="preserve">after </w:t>
      </w:r>
      <w:r w:rsidRPr="00A0513E">
        <w:t>inclusion of the five-test microbiological serology item 65415 in the antenatal bundle recommended by the Obstetrics Clinical Committee.</w:t>
      </w:r>
    </w:p>
    <w:p w14:paraId="57C2C46C" w14:textId="77777777" w:rsidR="00CA7016" w:rsidRPr="00A0513E" w:rsidRDefault="00CA7016">
      <w:pPr>
        <w:pStyle w:val="Heading4"/>
      </w:pPr>
      <w:r w:rsidRPr="00A0513E">
        <w:t>Rationale</w:t>
      </w:r>
      <w:r>
        <w:t xml:space="preserve"> 16.2</w:t>
      </w:r>
    </w:p>
    <w:p w14:paraId="65F63C8C" w14:textId="77777777" w:rsidR="00CA7016" w:rsidRPr="00A0513E" w:rsidRDefault="00CA7016" w:rsidP="00CA7016">
      <w:pPr>
        <w:pStyle w:val="01squarebullet"/>
      </w:pPr>
      <w:r w:rsidRPr="00A0513E">
        <w:t>The Committee ha</w:t>
      </w:r>
      <w:r>
        <w:t>s</w:t>
      </w:r>
      <w:r w:rsidRPr="00A0513E">
        <w:t xml:space="preserve"> recommended the inclusion of the five-test microbiological serology item (69415) for </w:t>
      </w:r>
      <w:r>
        <w:t>h</w:t>
      </w:r>
      <w:r w:rsidRPr="00A0513E">
        <w:t xml:space="preserve">epatitis B, </w:t>
      </w:r>
      <w:r>
        <w:t>h</w:t>
      </w:r>
      <w:r w:rsidRPr="00A0513E">
        <w:t>epatitis C, HIV, rubella and syphilis into an antenatal bundle.</w:t>
      </w:r>
      <w:r>
        <w:t xml:space="preserve"> As outlined in section 4.15</w:t>
      </w:r>
      <w:r w:rsidRPr="00A0513E">
        <w:t xml:space="preserve">, the </w:t>
      </w:r>
      <w:r>
        <w:t xml:space="preserve">Obstetrics Clinical </w:t>
      </w:r>
      <w:r w:rsidRPr="00A0513E">
        <w:t xml:space="preserve">Committee endorses this recommendation. If the recommendation is accepted by the MBS Review Taskforce, the individual item numbers for </w:t>
      </w:r>
      <w:r>
        <w:t xml:space="preserve">fewer </w:t>
      </w:r>
      <w:r w:rsidRPr="00A0513E">
        <w:t xml:space="preserve">than five tests, listed in Table </w:t>
      </w:r>
      <w:r>
        <w:t>30</w:t>
      </w:r>
      <w:r w:rsidRPr="00A0513E">
        <w:t xml:space="preserve">, will be redundant. The inclusion of the five tests is in keeping with best practice and will ensure the minimum number of tests for each pregnancy. </w:t>
      </w:r>
    </w:p>
    <w:p w14:paraId="327DB47B" w14:textId="77777777" w:rsidR="00CA7016" w:rsidRPr="00A0513E" w:rsidRDefault="00CA7016" w:rsidP="00CA7016">
      <w:pPr>
        <w:pStyle w:val="01squarebullet"/>
      </w:pPr>
      <w:r w:rsidRPr="00A0513E">
        <w:t>Removal of these items is not expected to have a negative impact on providers or patients. The inclusion of the minimum number of appropriate tests in the antenatal bundle will benefit patients and support clinicians to provide evidence-based practice.</w:t>
      </w:r>
    </w:p>
    <w:p w14:paraId="1B81A28F" w14:textId="77777777" w:rsidR="00CA7016" w:rsidRPr="00A0513E" w:rsidRDefault="00CA7016" w:rsidP="00CA7016">
      <w:pPr>
        <w:pStyle w:val="Heading3"/>
      </w:pPr>
      <w:bookmarkStart w:id="344" w:name="_Toc483989384"/>
      <w:bookmarkStart w:id="345" w:name="_Toc486939201"/>
      <w:bookmarkStart w:id="346" w:name="_Ref487788209"/>
      <w:bookmarkStart w:id="347" w:name="_Ref487788218"/>
      <w:bookmarkStart w:id="348" w:name="_Toc12886595"/>
      <w:r w:rsidRPr="00A0513E">
        <w:lastRenderedPageBreak/>
        <w:t>HPV items 69418 and 69419</w:t>
      </w:r>
      <w:bookmarkEnd w:id="344"/>
      <w:bookmarkEnd w:id="345"/>
      <w:bookmarkEnd w:id="346"/>
      <w:bookmarkEnd w:id="347"/>
      <w:bookmarkEnd w:id="348"/>
    </w:p>
    <w:p w14:paraId="5746138D" w14:textId="77777777" w:rsidR="00CA7016" w:rsidRPr="00B96BC0" w:rsidRDefault="00CA7016" w:rsidP="00CA7016">
      <w:pPr>
        <w:pStyle w:val="Caption"/>
      </w:pPr>
      <w:bookmarkStart w:id="349" w:name="_Toc484598365"/>
      <w:bookmarkStart w:id="350" w:name="_Toc486935627"/>
      <w:bookmarkStart w:id="351" w:name="_Toc12953480"/>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30</w:t>
      </w:r>
      <w:r w:rsidR="00BB490A">
        <w:rPr>
          <w:noProof/>
        </w:rPr>
        <w:fldChar w:fldCharType="end"/>
      </w:r>
      <w:r>
        <w:t xml:space="preserve">: </w:t>
      </w:r>
      <w:r w:rsidRPr="00B96BC0">
        <w:t>Item introduction table for items 69418 and 69419</w:t>
      </w:r>
      <w:bookmarkEnd w:id="349"/>
      <w:bookmarkEnd w:id="350"/>
      <w:bookmarkEnd w:id="351"/>
    </w:p>
    <w:tbl>
      <w:tblPr>
        <w:tblStyle w:val="TableGrid"/>
        <w:tblpPr w:leftFromText="180" w:rightFromText="180" w:vertAnchor="text" w:tblpXSpec="center" w:tblpY="1"/>
        <w:tblOverlap w:val="never"/>
        <w:tblW w:w="9356" w:type="dxa"/>
        <w:jc w:val="center"/>
        <w:tblLayout w:type="fixed"/>
        <w:tblLook w:val="04A0" w:firstRow="1" w:lastRow="0" w:firstColumn="1" w:lastColumn="0" w:noHBand="0" w:noVBand="1"/>
        <w:tblDescription w:val="This table shows the descriptor, schedule fee and number of services in 2014-15 for HPV items the Committee deemed obsolete."/>
      </w:tblPr>
      <w:tblGrid>
        <w:gridCol w:w="993"/>
        <w:gridCol w:w="4961"/>
        <w:gridCol w:w="1843"/>
        <w:gridCol w:w="1559"/>
      </w:tblGrid>
      <w:tr w:rsidR="00CA7016" w:rsidRPr="00B96BC0" w14:paraId="2F85AC88" w14:textId="77777777" w:rsidTr="003C3F6A">
        <w:trPr>
          <w:tblHeader/>
          <w:jc w:val="center"/>
        </w:trPr>
        <w:tc>
          <w:tcPr>
            <w:tcW w:w="993" w:type="dxa"/>
            <w:shd w:val="clear" w:color="auto" w:fill="EEECE1" w:themeFill="background2"/>
            <w:vAlign w:val="bottom"/>
          </w:tcPr>
          <w:p w14:paraId="3668ECA1" w14:textId="77777777" w:rsidR="00CA7016" w:rsidRPr="00A0513E" w:rsidRDefault="00CA7016" w:rsidP="003C3F6A">
            <w:pPr>
              <w:pStyle w:val="01Tableheaderrow"/>
            </w:pPr>
            <w:r w:rsidRPr="00A0513E">
              <w:t>Item</w:t>
            </w:r>
          </w:p>
        </w:tc>
        <w:tc>
          <w:tcPr>
            <w:tcW w:w="4961" w:type="dxa"/>
            <w:shd w:val="clear" w:color="auto" w:fill="EEECE1" w:themeFill="background2"/>
            <w:vAlign w:val="bottom"/>
          </w:tcPr>
          <w:p w14:paraId="724A9F3F" w14:textId="77777777" w:rsidR="00CA7016" w:rsidRPr="00A0513E" w:rsidRDefault="00CA7016" w:rsidP="003C3F6A">
            <w:pPr>
              <w:pStyle w:val="01Tableheaderrow"/>
            </w:pPr>
            <w:r w:rsidRPr="00A0513E">
              <w:t>Item descriptor</w:t>
            </w:r>
          </w:p>
        </w:tc>
        <w:tc>
          <w:tcPr>
            <w:tcW w:w="1843" w:type="dxa"/>
            <w:shd w:val="clear" w:color="auto" w:fill="EEECE1" w:themeFill="background2"/>
            <w:vAlign w:val="bottom"/>
          </w:tcPr>
          <w:p w14:paraId="33CC2E05" w14:textId="77777777" w:rsidR="00CA7016" w:rsidRPr="00A0513E" w:rsidRDefault="00CA7016" w:rsidP="003C3F6A">
            <w:pPr>
              <w:pStyle w:val="01Tableheaderrow"/>
            </w:pPr>
            <w:r w:rsidRPr="00A0513E">
              <w:t xml:space="preserve">Schedule fee </w:t>
            </w:r>
          </w:p>
        </w:tc>
        <w:tc>
          <w:tcPr>
            <w:tcW w:w="1559" w:type="dxa"/>
            <w:shd w:val="clear" w:color="auto" w:fill="EEECE1" w:themeFill="background2"/>
          </w:tcPr>
          <w:p w14:paraId="3B0E52A7" w14:textId="77777777" w:rsidR="00CA7016" w:rsidRPr="00A0513E" w:rsidDel="005014C9" w:rsidRDefault="00CA7016" w:rsidP="003C3F6A">
            <w:pPr>
              <w:pStyle w:val="01Tableheaderrow"/>
            </w:pPr>
            <w:r>
              <w:t>Services</w:t>
            </w:r>
            <w:r>
              <w:br/>
            </w:r>
            <w:r w:rsidRPr="00A0513E">
              <w:t>(2014–15)</w:t>
            </w:r>
          </w:p>
        </w:tc>
      </w:tr>
      <w:tr w:rsidR="00CA7016" w:rsidRPr="00B96BC0" w14:paraId="0E7755D5" w14:textId="77777777" w:rsidTr="003C3F6A">
        <w:trPr>
          <w:jc w:val="center"/>
        </w:trPr>
        <w:tc>
          <w:tcPr>
            <w:tcW w:w="993" w:type="dxa"/>
          </w:tcPr>
          <w:p w14:paraId="3638AB68" w14:textId="77777777" w:rsidR="00CA7016" w:rsidRPr="00A0513E" w:rsidRDefault="00CA7016" w:rsidP="003C3F6A">
            <w:pPr>
              <w:pStyle w:val="02Tabletext"/>
            </w:pPr>
            <w:r w:rsidRPr="00A0513E">
              <w:t>69418</w:t>
            </w:r>
          </w:p>
        </w:tc>
        <w:tc>
          <w:tcPr>
            <w:tcW w:w="4961" w:type="dxa"/>
          </w:tcPr>
          <w:p w14:paraId="371491FE" w14:textId="77777777" w:rsidR="00CA7016" w:rsidRPr="00A0513E" w:rsidRDefault="00CA7016" w:rsidP="003C3F6A">
            <w:pPr>
              <w:pStyle w:val="02Tabletext"/>
            </w:pPr>
            <w:r w:rsidRPr="00A0513E">
              <w:t>A test for high risk human papillomaviruses (HPV) in a patient who:</w:t>
            </w:r>
            <w:r>
              <w:t xml:space="preserve"> </w:t>
            </w:r>
            <w:r w:rsidRPr="00A0513E">
              <w:t>– has received excisional or ablative treatment for high grade squamous intraepithelial lesions (HSIL) of the cervix within the last two years; or</w:t>
            </w:r>
            <w:r>
              <w:t xml:space="preserve"> </w:t>
            </w:r>
            <w:r w:rsidRPr="00A0513E">
              <w:t>– who within the last two years has had a positive HPV test after excisional or ablative treatment for HSIL of the cervix; or – is already undergoing annual cytological review for the follow-up of a previously treated HSIL</w:t>
            </w:r>
            <w:r>
              <w:t xml:space="preserve"> </w:t>
            </w:r>
            <w:r w:rsidRPr="00A0513E">
              <w:t>– to a maximum of 2 of this item in a 24 month period (Item is subject to rule 25)</w:t>
            </w:r>
          </w:p>
        </w:tc>
        <w:tc>
          <w:tcPr>
            <w:tcW w:w="1843" w:type="dxa"/>
          </w:tcPr>
          <w:p w14:paraId="2B31959E" w14:textId="77777777" w:rsidR="00CA7016" w:rsidRPr="00A0513E" w:rsidRDefault="00CA7016" w:rsidP="003C3F6A">
            <w:pPr>
              <w:pStyle w:val="02Tabletext"/>
              <w:jc w:val="right"/>
            </w:pPr>
            <w:r w:rsidRPr="00A0513E">
              <w:t xml:space="preserve">$63.55 </w:t>
            </w:r>
          </w:p>
        </w:tc>
        <w:tc>
          <w:tcPr>
            <w:tcW w:w="1559" w:type="dxa"/>
          </w:tcPr>
          <w:p w14:paraId="284587CC" w14:textId="77777777" w:rsidR="00CA7016" w:rsidRPr="00A0513E" w:rsidRDefault="00CA7016" w:rsidP="003C3F6A">
            <w:pPr>
              <w:pStyle w:val="02Tabletext"/>
              <w:jc w:val="right"/>
            </w:pPr>
            <w:r w:rsidRPr="00A0513E">
              <w:t>41</w:t>
            </w:r>
            <w:r>
              <w:t xml:space="preserve"> </w:t>
            </w:r>
            <w:r w:rsidRPr="00A0513E">
              <w:t>508</w:t>
            </w:r>
          </w:p>
        </w:tc>
      </w:tr>
      <w:tr w:rsidR="00CA7016" w:rsidRPr="00B96BC0" w14:paraId="08EFC311" w14:textId="77777777" w:rsidTr="003C3F6A">
        <w:trPr>
          <w:jc w:val="center"/>
        </w:trPr>
        <w:tc>
          <w:tcPr>
            <w:tcW w:w="993" w:type="dxa"/>
          </w:tcPr>
          <w:p w14:paraId="1324931D" w14:textId="77777777" w:rsidR="00CA7016" w:rsidRPr="00A0513E" w:rsidRDefault="00CA7016" w:rsidP="003C3F6A">
            <w:pPr>
              <w:pStyle w:val="02Tabletext"/>
            </w:pPr>
            <w:r w:rsidRPr="00A0513E">
              <w:t>69419</w:t>
            </w:r>
          </w:p>
        </w:tc>
        <w:tc>
          <w:tcPr>
            <w:tcW w:w="4961" w:type="dxa"/>
          </w:tcPr>
          <w:p w14:paraId="7D2C84FE" w14:textId="77777777" w:rsidR="00CA7016" w:rsidRPr="00A0513E" w:rsidRDefault="00CA7016" w:rsidP="003C3F6A">
            <w:pPr>
              <w:pStyle w:val="02Tabletext"/>
            </w:pPr>
            <w:r w:rsidRPr="00A0513E">
              <w:t>A test described in item 69418 if rendered by a receiving APP – 1 test (Item is subject to rule 18 and 25)</w:t>
            </w:r>
          </w:p>
        </w:tc>
        <w:tc>
          <w:tcPr>
            <w:tcW w:w="1843" w:type="dxa"/>
          </w:tcPr>
          <w:p w14:paraId="2FF6ECBA" w14:textId="77777777" w:rsidR="00CA7016" w:rsidRPr="00A0513E" w:rsidRDefault="00CA7016" w:rsidP="003C3F6A">
            <w:pPr>
              <w:pStyle w:val="02Tabletext"/>
              <w:jc w:val="right"/>
            </w:pPr>
            <w:r w:rsidRPr="00A0513E">
              <w:t xml:space="preserve">$63.55 </w:t>
            </w:r>
          </w:p>
        </w:tc>
        <w:tc>
          <w:tcPr>
            <w:tcW w:w="1559" w:type="dxa"/>
          </w:tcPr>
          <w:p w14:paraId="2EE45724" w14:textId="77777777" w:rsidR="00CA7016" w:rsidRPr="00A0513E" w:rsidRDefault="00CA7016" w:rsidP="003C3F6A">
            <w:pPr>
              <w:pStyle w:val="02Tabletext"/>
              <w:jc w:val="right"/>
            </w:pPr>
            <w:r w:rsidRPr="00A0513E">
              <w:t>405</w:t>
            </w:r>
          </w:p>
        </w:tc>
      </w:tr>
    </w:tbl>
    <w:p w14:paraId="711B257C" w14:textId="77777777" w:rsidR="00CA7016" w:rsidRPr="00A0513E" w:rsidRDefault="00CA7016">
      <w:pPr>
        <w:pStyle w:val="Heading4"/>
      </w:pPr>
      <w:r w:rsidRPr="00A0513E">
        <w:t>Recommendation</w:t>
      </w:r>
      <w:r>
        <w:t xml:space="preserve"> 16.3</w:t>
      </w:r>
    </w:p>
    <w:p w14:paraId="3979FCBC" w14:textId="77777777" w:rsidR="00CA7016" w:rsidRPr="00A0513E" w:rsidRDefault="00CA7016" w:rsidP="00CA7016">
      <w:pPr>
        <w:pStyle w:val="01squarebullet"/>
      </w:pPr>
      <w:r w:rsidRPr="00A0513E">
        <w:t xml:space="preserve">The Committee recommends the deletion of items 69418 and 69419 for follow-up for testing </w:t>
      </w:r>
      <w:r>
        <w:t xml:space="preserve">for </w:t>
      </w:r>
      <w:r w:rsidRPr="00A0513E">
        <w:t xml:space="preserve">human papillomaviruses (HPV) </w:t>
      </w:r>
      <w:r>
        <w:t xml:space="preserve">after </w:t>
      </w:r>
      <w:r w:rsidRPr="00A0513E">
        <w:t>the introduction of the National Cervical Screening Program in December 2017.</w:t>
      </w:r>
    </w:p>
    <w:p w14:paraId="17E18759" w14:textId="77777777" w:rsidR="00CA7016" w:rsidRPr="00A0513E" w:rsidRDefault="00CA7016">
      <w:pPr>
        <w:pStyle w:val="Heading4"/>
      </w:pPr>
      <w:r w:rsidRPr="00174510">
        <w:t>Rationale</w:t>
      </w:r>
      <w:r>
        <w:t xml:space="preserve"> 16.3</w:t>
      </w:r>
    </w:p>
    <w:p w14:paraId="42122D03" w14:textId="77777777" w:rsidR="00CA7016" w:rsidRPr="00A0513E" w:rsidRDefault="00CA7016" w:rsidP="00CA7016">
      <w:pPr>
        <w:pStyle w:val="01squarebullet"/>
      </w:pPr>
      <w:r w:rsidRPr="00A0513E">
        <w:t>Recommendations contained within the draft National Cervical Screening Program, due for implementation in December 2017, will render these existing items for testing for high-risk human papillomaviruses (HPV) obsolete. The Program will include a new item for follow-up testing of patients.</w:t>
      </w:r>
    </w:p>
    <w:p w14:paraId="4E559119" w14:textId="77777777" w:rsidR="00CA7016" w:rsidRDefault="00CA7016" w:rsidP="00CA7016">
      <w:pPr>
        <w:pStyle w:val="Heading3"/>
      </w:pPr>
      <w:bookmarkStart w:id="352" w:name="_Toc486939202"/>
      <w:bookmarkStart w:id="353" w:name="_Ref487786258"/>
      <w:bookmarkStart w:id="354" w:name="_Toc12886596"/>
      <w:r>
        <w:t>HIV viral RNA in cerebrospinal fluid</w:t>
      </w:r>
      <w:bookmarkEnd w:id="352"/>
      <w:bookmarkEnd w:id="353"/>
      <w:bookmarkEnd w:id="354"/>
    </w:p>
    <w:p w14:paraId="43AC5116" w14:textId="77777777" w:rsidR="00CA7016" w:rsidRPr="001B4622" w:rsidRDefault="00CA7016" w:rsidP="00CA7016">
      <w:pPr>
        <w:pStyle w:val="Caption"/>
      </w:pPr>
      <w:bookmarkStart w:id="355" w:name="_Toc484598366"/>
      <w:bookmarkStart w:id="356" w:name="_Toc486935628"/>
      <w:bookmarkStart w:id="357" w:name="_Toc12953481"/>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31</w:t>
      </w:r>
      <w:r w:rsidR="00BB490A">
        <w:rPr>
          <w:noProof/>
        </w:rPr>
        <w:fldChar w:fldCharType="end"/>
      </w:r>
      <w:r>
        <w:t xml:space="preserve">: </w:t>
      </w:r>
      <w:r w:rsidRPr="00B96BC0">
        <w:t xml:space="preserve">Item introduction table for </w:t>
      </w:r>
      <w:r>
        <w:t>item 69382</w:t>
      </w:r>
      <w:bookmarkEnd w:id="355"/>
      <w:bookmarkEnd w:id="356"/>
      <w:bookmarkEnd w:id="357"/>
    </w:p>
    <w:tbl>
      <w:tblPr>
        <w:tblStyle w:val="TableGrid"/>
        <w:tblW w:w="9242" w:type="dxa"/>
        <w:tblLayout w:type="fixed"/>
        <w:tblLook w:val="04A0" w:firstRow="1" w:lastRow="0" w:firstColumn="1" w:lastColumn="0" w:noHBand="0" w:noVBand="1"/>
        <w:tblDescription w:val="This table shows the Item number, Item descriptor, Schedule fee and Services (2014–15) for item 69382 HIV viral RNA in cerebrospinal fluid which the Committee deemed obsolete."/>
      </w:tblPr>
      <w:tblGrid>
        <w:gridCol w:w="959"/>
        <w:gridCol w:w="5386"/>
        <w:gridCol w:w="1560"/>
        <w:gridCol w:w="1337"/>
      </w:tblGrid>
      <w:tr w:rsidR="00CA7016" w:rsidRPr="00B96BC0" w14:paraId="1D1EF18D" w14:textId="77777777" w:rsidTr="003C3F6A">
        <w:trPr>
          <w:tblHeader/>
        </w:trPr>
        <w:tc>
          <w:tcPr>
            <w:tcW w:w="959" w:type="dxa"/>
            <w:shd w:val="clear" w:color="auto" w:fill="EEECE1" w:themeFill="background2"/>
            <w:vAlign w:val="bottom"/>
          </w:tcPr>
          <w:p w14:paraId="44AF8D23" w14:textId="77777777" w:rsidR="00CA7016" w:rsidRPr="00A0513E" w:rsidRDefault="00CA7016" w:rsidP="003C3F6A">
            <w:pPr>
              <w:pStyle w:val="01Tableheaderrow"/>
            </w:pPr>
            <w:bookmarkStart w:id="358" w:name="_Hlk485155928"/>
            <w:r w:rsidRPr="00A0513E">
              <w:t>Item</w:t>
            </w:r>
          </w:p>
        </w:tc>
        <w:tc>
          <w:tcPr>
            <w:tcW w:w="5386" w:type="dxa"/>
            <w:shd w:val="clear" w:color="auto" w:fill="EEECE1" w:themeFill="background2"/>
            <w:vAlign w:val="bottom"/>
          </w:tcPr>
          <w:p w14:paraId="1DC650E2" w14:textId="77777777" w:rsidR="00CA7016" w:rsidRPr="00A0513E" w:rsidRDefault="00CA7016" w:rsidP="003C3F6A">
            <w:pPr>
              <w:pStyle w:val="01Tableheaderrow"/>
            </w:pPr>
            <w:r w:rsidRPr="00A0513E">
              <w:t>Item descriptor</w:t>
            </w:r>
          </w:p>
        </w:tc>
        <w:tc>
          <w:tcPr>
            <w:tcW w:w="1560" w:type="dxa"/>
            <w:shd w:val="clear" w:color="auto" w:fill="EEECE1" w:themeFill="background2"/>
            <w:vAlign w:val="bottom"/>
          </w:tcPr>
          <w:p w14:paraId="5C19A76C" w14:textId="77777777" w:rsidR="00CA7016" w:rsidRPr="00A0513E" w:rsidRDefault="00CA7016" w:rsidP="003C3F6A">
            <w:pPr>
              <w:pStyle w:val="01Tableheaderrow"/>
            </w:pPr>
            <w:r w:rsidRPr="00A0513E">
              <w:t xml:space="preserve">Schedule fee </w:t>
            </w:r>
          </w:p>
        </w:tc>
        <w:tc>
          <w:tcPr>
            <w:tcW w:w="1337" w:type="dxa"/>
            <w:shd w:val="clear" w:color="auto" w:fill="EEECE1" w:themeFill="background2"/>
            <w:vAlign w:val="bottom"/>
          </w:tcPr>
          <w:p w14:paraId="5F38B259" w14:textId="77777777" w:rsidR="00CA7016" w:rsidRPr="00A0513E" w:rsidRDefault="00CA7016" w:rsidP="003C3F6A">
            <w:pPr>
              <w:pStyle w:val="01Tableheaderrow"/>
            </w:pPr>
            <w:r w:rsidRPr="00A0513E">
              <w:t>Services (2014–15)</w:t>
            </w:r>
          </w:p>
        </w:tc>
      </w:tr>
      <w:tr w:rsidR="00CA7016" w:rsidRPr="00B96BC0" w14:paraId="2DADE18E" w14:textId="77777777" w:rsidTr="003C3F6A">
        <w:tc>
          <w:tcPr>
            <w:tcW w:w="959" w:type="dxa"/>
          </w:tcPr>
          <w:p w14:paraId="4725734E" w14:textId="77777777" w:rsidR="00CA7016" w:rsidRPr="00A0513E" w:rsidRDefault="00CA7016" w:rsidP="003C3F6A">
            <w:pPr>
              <w:pStyle w:val="02Tabletext"/>
            </w:pPr>
            <w:r w:rsidRPr="00A0513E">
              <w:t>69382</w:t>
            </w:r>
          </w:p>
        </w:tc>
        <w:tc>
          <w:tcPr>
            <w:tcW w:w="5386" w:type="dxa"/>
            <w:shd w:val="clear" w:color="auto" w:fill="FFFFFF" w:themeFill="background1"/>
          </w:tcPr>
          <w:p w14:paraId="02C56350" w14:textId="77777777" w:rsidR="00CA7016" w:rsidRPr="00A0513E" w:rsidRDefault="00CA7016" w:rsidP="003C3F6A">
            <w:pPr>
              <w:pStyle w:val="02Tabletext"/>
            </w:pPr>
            <w:r w:rsidRPr="00A0513E">
              <w:t>Quantitation of HIV viral RNA load in cerebrospinal fluid in a HIV seropositive patient - 1 or more tests on 1 or more specimens</w:t>
            </w:r>
          </w:p>
        </w:tc>
        <w:tc>
          <w:tcPr>
            <w:tcW w:w="1560" w:type="dxa"/>
          </w:tcPr>
          <w:p w14:paraId="697F9DB8" w14:textId="77777777" w:rsidR="00CA7016" w:rsidRPr="00A0513E" w:rsidRDefault="00CA7016" w:rsidP="003C3F6A">
            <w:pPr>
              <w:pStyle w:val="02Tabletext"/>
              <w:jc w:val="right"/>
            </w:pPr>
            <w:r w:rsidRPr="00A0513E">
              <w:t>$180.25</w:t>
            </w:r>
          </w:p>
        </w:tc>
        <w:tc>
          <w:tcPr>
            <w:tcW w:w="1337" w:type="dxa"/>
          </w:tcPr>
          <w:p w14:paraId="5FD29BBF" w14:textId="77777777" w:rsidR="00CA7016" w:rsidRPr="00A0513E" w:rsidRDefault="00CA7016" w:rsidP="003C3F6A">
            <w:pPr>
              <w:pStyle w:val="02Tabletext"/>
              <w:jc w:val="right"/>
            </w:pPr>
            <w:r w:rsidRPr="00A0513E">
              <w:t>1</w:t>
            </w:r>
          </w:p>
        </w:tc>
      </w:tr>
    </w:tbl>
    <w:bookmarkEnd w:id="358"/>
    <w:p w14:paraId="02B2BF09" w14:textId="77777777" w:rsidR="00CA7016" w:rsidRPr="00CA36F0" w:rsidRDefault="00CA7016">
      <w:pPr>
        <w:pStyle w:val="Heading4"/>
      </w:pPr>
      <w:r w:rsidRPr="00CA36F0">
        <w:t>Recommendation</w:t>
      </w:r>
      <w:r>
        <w:t xml:space="preserve"> 16</w:t>
      </w:r>
      <w:r w:rsidRPr="00CA36F0">
        <w:t>.4</w:t>
      </w:r>
    </w:p>
    <w:p w14:paraId="1E576376" w14:textId="77777777" w:rsidR="00CA7016" w:rsidRDefault="00CA7016" w:rsidP="00CA7016">
      <w:pPr>
        <w:pStyle w:val="NormalBulleted"/>
        <w:numPr>
          <w:ilvl w:val="0"/>
          <w:numId w:val="17"/>
        </w:numPr>
        <w:spacing w:before="120" w:after="60" w:line="240" w:lineRule="auto"/>
        <w:ind w:right="142"/>
        <w:contextualSpacing w:val="0"/>
      </w:pPr>
      <w:r>
        <w:t xml:space="preserve">Delete item </w:t>
      </w:r>
      <w:r w:rsidRPr="00A0513E">
        <w:t>69382</w:t>
      </w:r>
      <w:r>
        <w:t>.</w:t>
      </w:r>
    </w:p>
    <w:p w14:paraId="198F5946" w14:textId="77777777" w:rsidR="00CA7016" w:rsidRDefault="00CA7016">
      <w:pPr>
        <w:pStyle w:val="Heading4"/>
      </w:pPr>
      <w:r>
        <w:t>Rationale 16.4</w:t>
      </w:r>
    </w:p>
    <w:p w14:paraId="2B608DC6" w14:textId="77777777" w:rsidR="00CA7016" w:rsidRDefault="00CA7016" w:rsidP="00CA7016">
      <w:pPr>
        <w:pStyle w:val="01squarebullet"/>
      </w:pPr>
      <w:r w:rsidRPr="00A0513E">
        <w:t xml:space="preserve">The Committee considered that </w:t>
      </w:r>
      <w:r>
        <w:t>a separate item for the</w:t>
      </w:r>
      <w:r w:rsidRPr="00A0513E">
        <w:t xml:space="preserve"> quantification in cerebrospinal fluid, is an obsolete item, with only one service provided in 2014</w:t>
      </w:r>
      <w:r>
        <w:t>–</w:t>
      </w:r>
      <w:r w:rsidRPr="00A0513E">
        <w:t>15.</w:t>
      </w:r>
    </w:p>
    <w:p w14:paraId="322BB960" w14:textId="77777777" w:rsidR="00CA7016" w:rsidRPr="00A0513E" w:rsidRDefault="00CA7016" w:rsidP="00CA7016">
      <w:pPr>
        <w:pStyle w:val="01squarebullet"/>
      </w:pPr>
      <w:r>
        <w:t>Proposed changes to items 69378 and 69381 (see section 4.18.3) will enable this test to be funded if required.</w:t>
      </w:r>
    </w:p>
    <w:p w14:paraId="5273668D" w14:textId="77777777" w:rsidR="00CA7016" w:rsidRPr="00F15695" w:rsidRDefault="00CA7016" w:rsidP="00CA7016">
      <w:pPr>
        <w:pStyle w:val="Heading3"/>
      </w:pPr>
      <w:bookmarkStart w:id="359" w:name="_Toc486939203"/>
      <w:bookmarkStart w:id="360" w:name="_Toc12886597"/>
      <w:r>
        <w:t>NAAT testing (not specified elsewhere in the Schedule)</w:t>
      </w:r>
      <w:bookmarkEnd w:id="359"/>
      <w:bookmarkEnd w:id="360"/>
    </w:p>
    <w:p w14:paraId="3031FE6C" w14:textId="77777777" w:rsidR="00CA7016" w:rsidRPr="00A0513E" w:rsidRDefault="00CA7016" w:rsidP="00CA7016">
      <w:pPr>
        <w:pStyle w:val="Caption"/>
      </w:pPr>
      <w:bookmarkStart w:id="361" w:name="_Toc486935629"/>
      <w:bookmarkStart w:id="362" w:name="_Toc12953482"/>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32</w:t>
      </w:r>
      <w:r w:rsidR="00BB490A">
        <w:rPr>
          <w:noProof/>
        </w:rPr>
        <w:fldChar w:fldCharType="end"/>
      </w:r>
      <w:r>
        <w:t xml:space="preserve">: </w:t>
      </w:r>
      <w:r w:rsidRPr="00B96BC0">
        <w:t xml:space="preserve">Item introduction table for </w:t>
      </w:r>
      <w:r>
        <w:t>items 69495 and 69496</w:t>
      </w:r>
      <w:bookmarkEnd w:id="361"/>
      <w:bookmarkEnd w:id="362"/>
    </w:p>
    <w:tbl>
      <w:tblPr>
        <w:tblStyle w:val="TableGrid"/>
        <w:tblW w:w="9242" w:type="dxa"/>
        <w:tblLayout w:type="fixed"/>
        <w:tblLook w:val="04A0" w:firstRow="1" w:lastRow="0" w:firstColumn="1" w:lastColumn="0" w:noHBand="0" w:noVBand="1"/>
        <w:tblDescription w:val="This table shows the Item number, Item descriptor, Schedule fee and Services (2014–15) for items involcing NAAT testing that are not specified elsewhere in the Schedule and which the Committee deemed obsolete."/>
      </w:tblPr>
      <w:tblGrid>
        <w:gridCol w:w="959"/>
        <w:gridCol w:w="5386"/>
        <w:gridCol w:w="1560"/>
        <w:gridCol w:w="1337"/>
      </w:tblGrid>
      <w:tr w:rsidR="00CA7016" w:rsidRPr="00B96BC0" w14:paraId="4A7CFC1A" w14:textId="77777777" w:rsidTr="003C3F6A">
        <w:trPr>
          <w:tblHeader/>
        </w:trPr>
        <w:tc>
          <w:tcPr>
            <w:tcW w:w="959" w:type="dxa"/>
            <w:shd w:val="clear" w:color="auto" w:fill="EEECE1" w:themeFill="background2"/>
            <w:vAlign w:val="bottom"/>
          </w:tcPr>
          <w:p w14:paraId="08FA4EDA" w14:textId="77777777" w:rsidR="00CA7016" w:rsidRPr="00A0513E" w:rsidRDefault="00CA7016" w:rsidP="003C3F6A">
            <w:pPr>
              <w:pStyle w:val="01Tableheaderrow"/>
            </w:pPr>
            <w:r w:rsidRPr="00A0513E">
              <w:t>Item</w:t>
            </w:r>
          </w:p>
        </w:tc>
        <w:tc>
          <w:tcPr>
            <w:tcW w:w="5386" w:type="dxa"/>
            <w:shd w:val="clear" w:color="auto" w:fill="EEECE1" w:themeFill="background2"/>
            <w:vAlign w:val="bottom"/>
          </w:tcPr>
          <w:p w14:paraId="05AFBDF7" w14:textId="77777777" w:rsidR="00CA7016" w:rsidRPr="00A0513E" w:rsidRDefault="00CA7016" w:rsidP="003C3F6A">
            <w:pPr>
              <w:pStyle w:val="01Tableheaderrow"/>
            </w:pPr>
            <w:r w:rsidRPr="00A0513E">
              <w:t>Item descriptor</w:t>
            </w:r>
          </w:p>
        </w:tc>
        <w:tc>
          <w:tcPr>
            <w:tcW w:w="1560" w:type="dxa"/>
            <w:shd w:val="clear" w:color="auto" w:fill="EEECE1" w:themeFill="background2"/>
            <w:vAlign w:val="bottom"/>
          </w:tcPr>
          <w:p w14:paraId="42176C1F" w14:textId="77777777" w:rsidR="00CA7016" w:rsidRPr="00A0513E" w:rsidRDefault="00CA7016" w:rsidP="003C3F6A">
            <w:pPr>
              <w:pStyle w:val="01Tableheaderrow"/>
            </w:pPr>
            <w:r w:rsidRPr="00A0513E">
              <w:t xml:space="preserve">Schedule fee </w:t>
            </w:r>
          </w:p>
        </w:tc>
        <w:tc>
          <w:tcPr>
            <w:tcW w:w="1337" w:type="dxa"/>
            <w:shd w:val="clear" w:color="auto" w:fill="EEECE1" w:themeFill="background2"/>
            <w:vAlign w:val="bottom"/>
          </w:tcPr>
          <w:p w14:paraId="179BAE5E" w14:textId="77777777" w:rsidR="00CA7016" w:rsidRPr="00A0513E" w:rsidRDefault="00CA7016" w:rsidP="003C3F6A">
            <w:pPr>
              <w:pStyle w:val="01Tableheaderrow"/>
            </w:pPr>
            <w:r w:rsidRPr="00A0513E">
              <w:t>Services (2014–15)</w:t>
            </w:r>
          </w:p>
        </w:tc>
      </w:tr>
      <w:tr w:rsidR="00CA7016" w:rsidRPr="00B96BC0" w14:paraId="32C7D387" w14:textId="77777777" w:rsidTr="003C3F6A">
        <w:tc>
          <w:tcPr>
            <w:tcW w:w="959" w:type="dxa"/>
          </w:tcPr>
          <w:p w14:paraId="37E054E0" w14:textId="77777777" w:rsidR="00CA7016" w:rsidRPr="00A0513E" w:rsidRDefault="00CA7016" w:rsidP="003C3F6A">
            <w:pPr>
              <w:pStyle w:val="02Tabletext"/>
            </w:pPr>
            <w:r w:rsidRPr="00A0513E">
              <w:t>69495</w:t>
            </w:r>
          </w:p>
        </w:tc>
        <w:tc>
          <w:tcPr>
            <w:tcW w:w="5386" w:type="dxa"/>
          </w:tcPr>
          <w:p w14:paraId="3424F0A4" w14:textId="77777777" w:rsidR="00CA7016" w:rsidRPr="00A0513E" w:rsidRDefault="00CA7016" w:rsidP="003C3F6A">
            <w:pPr>
              <w:pStyle w:val="02Tabletext"/>
            </w:pPr>
            <w:r w:rsidRPr="00A0513E">
              <w:t xml:space="preserve">2 tests described in 69494 (Item is subject to rule 6 and 26) </w:t>
            </w:r>
          </w:p>
        </w:tc>
        <w:tc>
          <w:tcPr>
            <w:tcW w:w="1560" w:type="dxa"/>
          </w:tcPr>
          <w:p w14:paraId="08308033" w14:textId="77777777" w:rsidR="00CA7016" w:rsidRPr="00A0513E" w:rsidRDefault="00CA7016" w:rsidP="003C3F6A">
            <w:pPr>
              <w:pStyle w:val="02Tabletext"/>
              <w:jc w:val="right"/>
            </w:pPr>
            <w:r w:rsidRPr="00A0513E">
              <w:t xml:space="preserve">$35.85 </w:t>
            </w:r>
          </w:p>
        </w:tc>
        <w:tc>
          <w:tcPr>
            <w:tcW w:w="1337" w:type="dxa"/>
          </w:tcPr>
          <w:p w14:paraId="47B2D5FB" w14:textId="77777777" w:rsidR="00CA7016" w:rsidRPr="00A0513E" w:rsidRDefault="00CA7016" w:rsidP="003C3F6A">
            <w:pPr>
              <w:pStyle w:val="02Tabletext"/>
              <w:jc w:val="right"/>
            </w:pPr>
            <w:r w:rsidRPr="00A0513E">
              <w:t>189</w:t>
            </w:r>
            <w:r>
              <w:t xml:space="preserve"> </w:t>
            </w:r>
            <w:r w:rsidRPr="00A0513E">
              <w:t>173</w:t>
            </w:r>
          </w:p>
        </w:tc>
      </w:tr>
      <w:tr w:rsidR="00CA7016" w:rsidRPr="00B96BC0" w14:paraId="051FAC2D" w14:textId="77777777" w:rsidTr="003C3F6A">
        <w:tc>
          <w:tcPr>
            <w:tcW w:w="959" w:type="dxa"/>
          </w:tcPr>
          <w:p w14:paraId="370AB79D" w14:textId="77777777" w:rsidR="00CA7016" w:rsidRPr="00A0513E" w:rsidRDefault="00CA7016" w:rsidP="003C3F6A">
            <w:pPr>
              <w:pStyle w:val="02Tabletext"/>
            </w:pPr>
            <w:r w:rsidRPr="00A0513E">
              <w:t>69496</w:t>
            </w:r>
          </w:p>
        </w:tc>
        <w:tc>
          <w:tcPr>
            <w:tcW w:w="5386" w:type="dxa"/>
          </w:tcPr>
          <w:p w14:paraId="3132C625" w14:textId="77777777" w:rsidR="00CA7016" w:rsidRPr="00A0513E" w:rsidRDefault="00CA7016" w:rsidP="003C3F6A">
            <w:pPr>
              <w:pStyle w:val="02Tabletext"/>
            </w:pPr>
            <w:r w:rsidRPr="00A0513E">
              <w:t xml:space="preserve">3 or more tests described in 69494 (Item is subject to rule 6 and 26) </w:t>
            </w:r>
          </w:p>
        </w:tc>
        <w:tc>
          <w:tcPr>
            <w:tcW w:w="1560" w:type="dxa"/>
          </w:tcPr>
          <w:p w14:paraId="03E8578E" w14:textId="77777777" w:rsidR="00CA7016" w:rsidRPr="00A0513E" w:rsidRDefault="00CA7016" w:rsidP="003C3F6A">
            <w:pPr>
              <w:pStyle w:val="02Tabletext"/>
              <w:jc w:val="right"/>
            </w:pPr>
            <w:r w:rsidRPr="00A0513E">
              <w:t xml:space="preserve">$43.05 </w:t>
            </w:r>
          </w:p>
        </w:tc>
        <w:tc>
          <w:tcPr>
            <w:tcW w:w="1337" w:type="dxa"/>
          </w:tcPr>
          <w:p w14:paraId="03739B76" w14:textId="77777777" w:rsidR="00CA7016" w:rsidRPr="00A0513E" w:rsidRDefault="00CA7016" w:rsidP="003C3F6A">
            <w:pPr>
              <w:pStyle w:val="02Tabletext"/>
              <w:jc w:val="right"/>
            </w:pPr>
            <w:r w:rsidRPr="00A0513E">
              <w:t>734</w:t>
            </w:r>
            <w:r>
              <w:t xml:space="preserve"> </w:t>
            </w:r>
            <w:r w:rsidRPr="00A0513E">
              <w:t>647</w:t>
            </w:r>
          </w:p>
        </w:tc>
      </w:tr>
      <w:tr w:rsidR="00CA7016" w:rsidRPr="00B96BC0" w14:paraId="402FBAEE" w14:textId="77777777" w:rsidTr="003C3F6A">
        <w:tc>
          <w:tcPr>
            <w:tcW w:w="959" w:type="dxa"/>
          </w:tcPr>
          <w:p w14:paraId="2B1CF791" w14:textId="77777777" w:rsidR="00CA7016" w:rsidRPr="00A0513E" w:rsidRDefault="00CA7016" w:rsidP="003C3F6A">
            <w:pPr>
              <w:pStyle w:val="02Tabletext"/>
            </w:pPr>
            <w:r w:rsidRPr="00A0513E">
              <w:lastRenderedPageBreak/>
              <w:t>69498</w:t>
            </w:r>
          </w:p>
        </w:tc>
        <w:tc>
          <w:tcPr>
            <w:tcW w:w="5386" w:type="dxa"/>
          </w:tcPr>
          <w:p w14:paraId="11523884" w14:textId="77777777" w:rsidR="00CA7016" w:rsidRPr="00A0513E" w:rsidRDefault="00CA7016" w:rsidP="003C3F6A">
            <w:pPr>
              <w:pStyle w:val="02Tabletext"/>
            </w:pPr>
            <w:r w:rsidRPr="00A0513E">
              <w:t xml:space="preserve">A test described in item 69494, other than that described in 69497, if rendered by a receiving APP - each test to a maximum of 2 tests (Item is subject to rule 6, 18 and 26) </w:t>
            </w:r>
          </w:p>
        </w:tc>
        <w:tc>
          <w:tcPr>
            <w:tcW w:w="1560" w:type="dxa"/>
          </w:tcPr>
          <w:p w14:paraId="1A4ED455" w14:textId="77777777" w:rsidR="00CA7016" w:rsidRPr="00A0513E" w:rsidRDefault="00CA7016" w:rsidP="003C3F6A">
            <w:pPr>
              <w:pStyle w:val="02Tabletext"/>
              <w:jc w:val="right"/>
            </w:pPr>
            <w:r w:rsidRPr="00A0513E">
              <w:t xml:space="preserve">$7.20 </w:t>
            </w:r>
          </w:p>
        </w:tc>
        <w:tc>
          <w:tcPr>
            <w:tcW w:w="1337" w:type="dxa"/>
          </w:tcPr>
          <w:p w14:paraId="5D347314" w14:textId="77777777" w:rsidR="00CA7016" w:rsidRPr="00A0513E" w:rsidRDefault="00CA7016" w:rsidP="003C3F6A">
            <w:pPr>
              <w:pStyle w:val="02Tabletext"/>
              <w:jc w:val="right"/>
            </w:pPr>
            <w:r w:rsidRPr="00A0513E">
              <w:t>90</w:t>
            </w:r>
            <w:r>
              <w:t xml:space="preserve"> </w:t>
            </w:r>
            <w:r w:rsidRPr="00A0513E">
              <w:t>106</w:t>
            </w:r>
          </w:p>
        </w:tc>
      </w:tr>
    </w:tbl>
    <w:p w14:paraId="02230F30" w14:textId="77777777" w:rsidR="00CA7016" w:rsidRPr="00D56F12" w:rsidRDefault="00CA7016">
      <w:pPr>
        <w:pStyle w:val="Heading4"/>
      </w:pPr>
      <w:r>
        <w:t>Recommendation 16.5</w:t>
      </w:r>
    </w:p>
    <w:p w14:paraId="160A45EF" w14:textId="77777777" w:rsidR="00CA7016" w:rsidRPr="00A0513E" w:rsidRDefault="00CA7016" w:rsidP="00CA7016">
      <w:pPr>
        <w:pStyle w:val="01squarebullet"/>
      </w:pPr>
      <w:r w:rsidRPr="00A0513E">
        <w:t>Delete items 69495 and 69496.</w:t>
      </w:r>
    </w:p>
    <w:p w14:paraId="23299CB9" w14:textId="77777777" w:rsidR="00CA7016" w:rsidRPr="00A0513E" w:rsidRDefault="00CA7016" w:rsidP="00CA7016">
      <w:pPr>
        <w:pStyle w:val="01squarebullet"/>
      </w:pPr>
      <w:r w:rsidRPr="00A0513E">
        <w:t>Delete item 69498.</w:t>
      </w:r>
    </w:p>
    <w:p w14:paraId="0E6E26D9" w14:textId="77777777" w:rsidR="00CA7016" w:rsidRDefault="00CA7016">
      <w:pPr>
        <w:pStyle w:val="Heading4"/>
      </w:pPr>
      <w:r w:rsidRPr="008B029E">
        <w:rPr>
          <w:rStyle w:val="lexicon-term"/>
        </w:rPr>
        <w:t>Rationale</w:t>
      </w:r>
      <w:r>
        <w:rPr>
          <w:rStyle w:val="lexicon-term"/>
        </w:rPr>
        <w:t xml:space="preserve"> 16.5</w:t>
      </w:r>
    </w:p>
    <w:p w14:paraId="32D50ACE" w14:textId="77777777" w:rsidR="00CA7016" w:rsidRPr="00A0513E" w:rsidRDefault="00CA7016" w:rsidP="00CA7016">
      <w:pPr>
        <w:pStyle w:val="01squarebullet"/>
      </w:pPr>
      <w:r>
        <w:t xml:space="preserve">The introduction of </w:t>
      </w:r>
      <w:r w:rsidRPr="00A0513E">
        <w:t>anatomical and physiological system-based items should significantly reduce the need for items to be claimed using the generic items not specif</w:t>
      </w:r>
      <w:r>
        <w:t>ied elsewhere (see section 4.8</w:t>
      </w:r>
      <w:r w:rsidRPr="00A0513E">
        <w:t xml:space="preserve">. There may be some circumstances </w:t>
      </w:r>
      <w:r>
        <w:t xml:space="preserve">in which </w:t>
      </w:r>
      <w:r w:rsidRPr="00A0513E">
        <w:t xml:space="preserve">one test may be required, but it would be unlikely that </w:t>
      </w:r>
      <w:r>
        <w:t>two</w:t>
      </w:r>
      <w:r w:rsidRPr="00A0513E">
        <w:t xml:space="preserve"> or more tests would be required using this item. </w:t>
      </w:r>
    </w:p>
    <w:p w14:paraId="320C4E9D" w14:textId="77777777" w:rsidR="00CA7016" w:rsidRPr="00A0513E" w:rsidRDefault="00CA7016" w:rsidP="00CA7016">
      <w:pPr>
        <w:pStyle w:val="01squarebullet"/>
      </w:pPr>
      <w:r>
        <w:t xml:space="preserve">There will be some circumstances in which tests may need to be referred to another provider, but it is expected that it would be rare for two tests to be required. Most tests should be able to be covered by the </w:t>
      </w:r>
      <w:r w:rsidRPr="00A0513E">
        <w:t>anatomical and physiological system-based items.</w:t>
      </w:r>
    </w:p>
    <w:p w14:paraId="1D30A558" w14:textId="77777777" w:rsidR="00CA7016" w:rsidRPr="00A0513E" w:rsidRDefault="00CA7016" w:rsidP="00CA7016">
      <w:pPr>
        <w:pStyle w:val="Heading3"/>
      </w:pPr>
      <w:bookmarkStart w:id="363" w:name="_Toc486939204"/>
      <w:bookmarkStart w:id="364" w:name="_Ref487639943"/>
      <w:bookmarkStart w:id="365" w:name="_Ref487641857"/>
      <w:bookmarkStart w:id="366" w:name="_Toc12886598"/>
      <w:r w:rsidRPr="00A0513E">
        <w:t>Urogenital items</w:t>
      </w:r>
      <w:bookmarkEnd w:id="363"/>
      <w:bookmarkEnd w:id="364"/>
      <w:bookmarkEnd w:id="365"/>
      <w:bookmarkEnd w:id="366"/>
    </w:p>
    <w:p w14:paraId="6E43DF4E" w14:textId="77777777" w:rsidR="00CA7016" w:rsidRDefault="00CA7016" w:rsidP="00CA7016">
      <w:pPr>
        <w:pStyle w:val="Caption"/>
      </w:pPr>
      <w:bookmarkStart w:id="367" w:name="_Toc486935630"/>
      <w:bookmarkStart w:id="368" w:name="_Toc12953483"/>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33</w:t>
      </w:r>
      <w:r w:rsidR="00BB490A">
        <w:rPr>
          <w:noProof/>
        </w:rPr>
        <w:fldChar w:fldCharType="end"/>
      </w:r>
      <w:r w:rsidRPr="00B024F7">
        <w:t>: Item introduction table for items 69316, 69317 and 69319</w:t>
      </w:r>
      <w:bookmarkEnd w:id="367"/>
      <w:bookmarkEnd w:id="368"/>
    </w:p>
    <w:tbl>
      <w:tblPr>
        <w:tblStyle w:val="TableGrid2"/>
        <w:tblW w:w="0" w:type="auto"/>
        <w:tblLook w:val="04A0" w:firstRow="1" w:lastRow="0" w:firstColumn="1" w:lastColumn="0" w:noHBand="0" w:noVBand="1"/>
        <w:tblDescription w:val="This table lists Item numbers, Long item descriptors, Schedule fees, Benefits for FY 2014–15, Services for FY 2014–15, Patient count 2014–15, and 5-year service change (CAGR) for urogenital items.&#10;"/>
      </w:tblPr>
      <w:tblGrid>
        <w:gridCol w:w="772"/>
        <w:gridCol w:w="2783"/>
        <w:gridCol w:w="1193"/>
        <w:gridCol w:w="1207"/>
        <w:gridCol w:w="1201"/>
        <w:gridCol w:w="953"/>
        <w:gridCol w:w="907"/>
      </w:tblGrid>
      <w:tr w:rsidR="00CA7016" w:rsidRPr="00B96BC0" w14:paraId="734878F5" w14:textId="77777777" w:rsidTr="00F20089">
        <w:trPr>
          <w:trHeight w:val="729"/>
          <w:tblHeader/>
        </w:trPr>
        <w:tc>
          <w:tcPr>
            <w:tcW w:w="779" w:type="dxa"/>
            <w:shd w:val="clear" w:color="auto" w:fill="EEECE1" w:themeFill="background2"/>
            <w:vAlign w:val="bottom"/>
            <w:hideMark/>
          </w:tcPr>
          <w:p w14:paraId="3CDAB856" w14:textId="77777777" w:rsidR="00CA7016" w:rsidRPr="00A0513E" w:rsidRDefault="00CA7016" w:rsidP="003C3F6A">
            <w:pPr>
              <w:pStyle w:val="01Tableheaderrow"/>
            </w:pPr>
            <w:r w:rsidRPr="00A0513E">
              <w:t>Item</w:t>
            </w:r>
          </w:p>
        </w:tc>
        <w:tc>
          <w:tcPr>
            <w:tcW w:w="2810" w:type="dxa"/>
            <w:shd w:val="clear" w:color="auto" w:fill="EEECE1" w:themeFill="background2"/>
            <w:vAlign w:val="bottom"/>
            <w:hideMark/>
          </w:tcPr>
          <w:p w14:paraId="2DDE7E9B" w14:textId="77777777" w:rsidR="00CA7016" w:rsidRPr="00A0513E" w:rsidRDefault="00CA7016" w:rsidP="003C3F6A">
            <w:pPr>
              <w:pStyle w:val="01Tableheaderrow"/>
            </w:pPr>
            <w:r w:rsidRPr="00A0513E">
              <w:t>Long item descriptor</w:t>
            </w:r>
          </w:p>
        </w:tc>
        <w:tc>
          <w:tcPr>
            <w:tcW w:w="1203" w:type="dxa"/>
            <w:shd w:val="clear" w:color="auto" w:fill="EEECE1" w:themeFill="background2"/>
            <w:vAlign w:val="bottom"/>
            <w:hideMark/>
          </w:tcPr>
          <w:p w14:paraId="4BABBF19" w14:textId="77777777" w:rsidR="00CA7016" w:rsidRPr="00A67521" w:rsidRDefault="00CA7016" w:rsidP="003C3F6A">
            <w:pPr>
              <w:pStyle w:val="01Tableheaderrow"/>
            </w:pPr>
            <w:r w:rsidRPr="00940AFD">
              <w:t>Schedule fee</w:t>
            </w:r>
          </w:p>
        </w:tc>
        <w:tc>
          <w:tcPr>
            <w:tcW w:w="1138" w:type="dxa"/>
            <w:shd w:val="clear" w:color="auto" w:fill="EEECE1" w:themeFill="background2"/>
            <w:vAlign w:val="bottom"/>
            <w:hideMark/>
          </w:tcPr>
          <w:p w14:paraId="16CF042A" w14:textId="77777777" w:rsidR="00CA7016" w:rsidRPr="00A67521" w:rsidRDefault="00CA7016" w:rsidP="003C3F6A">
            <w:pPr>
              <w:pStyle w:val="01Tableheaderrow"/>
            </w:pPr>
            <w:r w:rsidRPr="0048334B">
              <w:t xml:space="preserve">Benefits </w:t>
            </w:r>
            <w:r>
              <w:br/>
            </w:r>
            <w:r w:rsidRPr="0048334B">
              <w:t>FY 2014–15</w:t>
            </w:r>
          </w:p>
        </w:tc>
        <w:tc>
          <w:tcPr>
            <w:tcW w:w="1211" w:type="dxa"/>
            <w:shd w:val="clear" w:color="auto" w:fill="EEECE1" w:themeFill="background2"/>
            <w:vAlign w:val="bottom"/>
            <w:hideMark/>
          </w:tcPr>
          <w:p w14:paraId="1EDF902F" w14:textId="77777777" w:rsidR="00CA7016" w:rsidRPr="00A67521" w:rsidRDefault="00CA7016" w:rsidP="003C3F6A">
            <w:pPr>
              <w:pStyle w:val="01Tableheaderrow"/>
            </w:pPr>
            <w:r w:rsidRPr="0048334B">
              <w:t xml:space="preserve">Services </w:t>
            </w:r>
            <w:r>
              <w:br/>
            </w:r>
            <w:r w:rsidRPr="0048334B">
              <w:t>FY 2014–15</w:t>
            </w:r>
          </w:p>
        </w:tc>
        <w:tc>
          <w:tcPr>
            <w:tcW w:w="961" w:type="dxa"/>
            <w:shd w:val="clear" w:color="auto" w:fill="EEECE1" w:themeFill="background2"/>
            <w:vAlign w:val="bottom"/>
            <w:hideMark/>
          </w:tcPr>
          <w:p w14:paraId="01AB1526" w14:textId="77777777" w:rsidR="00CA7016" w:rsidRPr="00A67521" w:rsidRDefault="00CA7016" w:rsidP="003C3F6A">
            <w:pPr>
              <w:pStyle w:val="01Tableheaderrow"/>
            </w:pPr>
            <w:r w:rsidRPr="0048334B">
              <w:t>Patient count 2014–15</w:t>
            </w:r>
          </w:p>
        </w:tc>
        <w:tc>
          <w:tcPr>
            <w:tcW w:w="914" w:type="dxa"/>
            <w:shd w:val="clear" w:color="auto" w:fill="EEECE1" w:themeFill="background2"/>
            <w:vAlign w:val="bottom"/>
            <w:hideMark/>
          </w:tcPr>
          <w:p w14:paraId="1B56FD84" w14:textId="77777777" w:rsidR="00CA7016" w:rsidRPr="00A67521" w:rsidRDefault="00CA7016" w:rsidP="003C3F6A">
            <w:pPr>
              <w:pStyle w:val="01Tableheaderrow"/>
            </w:pPr>
            <w:r w:rsidRPr="0048334B">
              <w:t xml:space="preserve">5-year </w:t>
            </w:r>
            <w:r>
              <w:t>service change (CAGR)</w:t>
            </w:r>
          </w:p>
        </w:tc>
      </w:tr>
      <w:tr w:rsidR="00CA7016" w:rsidRPr="00B96BC0" w14:paraId="51DBD1C1" w14:textId="77777777" w:rsidTr="00D5426A">
        <w:trPr>
          <w:trHeight w:val="300"/>
        </w:trPr>
        <w:tc>
          <w:tcPr>
            <w:tcW w:w="779" w:type="dxa"/>
            <w:noWrap/>
          </w:tcPr>
          <w:p w14:paraId="3E555533" w14:textId="77777777" w:rsidR="00CA7016" w:rsidRPr="00A0513E" w:rsidRDefault="00CA7016" w:rsidP="003C3F6A">
            <w:pPr>
              <w:pStyle w:val="02Tabletext"/>
            </w:pPr>
            <w:r w:rsidRPr="00A0513E">
              <w:t>69316</w:t>
            </w:r>
          </w:p>
        </w:tc>
        <w:tc>
          <w:tcPr>
            <w:tcW w:w="2810" w:type="dxa"/>
            <w:noWrap/>
          </w:tcPr>
          <w:p w14:paraId="6AB26BA7" w14:textId="77777777" w:rsidR="00CA7016" w:rsidRPr="00A0513E" w:rsidRDefault="00CA7016" w:rsidP="003C3F6A">
            <w:pPr>
              <w:pStyle w:val="02Tabletext"/>
            </w:pPr>
            <w:r w:rsidRPr="00A0513E">
              <w:t xml:space="preserve">Detection of chlamydia trachomatis by any method </w:t>
            </w:r>
            <w:r>
              <w:t>–</w:t>
            </w:r>
            <w:r w:rsidRPr="00A0513E">
              <w:t xml:space="preserve"> 1</w:t>
            </w:r>
            <w:r>
              <w:t> </w:t>
            </w:r>
            <w:r w:rsidRPr="00A0513E">
              <w:t>test (Item is subject to rule</w:t>
            </w:r>
            <w:r>
              <w:t xml:space="preserve"> </w:t>
            </w:r>
            <w:r w:rsidRPr="00A0513E">
              <w:t>26)</w:t>
            </w:r>
          </w:p>
        </w:tc>
        <w:tc>
          <w:tcPr>
            <w:tcW w:w="1203" w:type="dxa"/>
            <w:noWrap/>
          </w:tcPr>
          <w:p w14:paraId="59D8D59C" w14:textId="77777777" w:rsidR="00CA7016" w:rsidRPr="00A0513E" w:rsidRDefault="00CA7016" w:rsidP="003C3F6A">
            <w:pPr>
              <w:pStyle w:val="02Tabletext"/>
              <w:jc w:val="right"/>
            </w:pPr>
            <w:r w:rsidRPr="00A0513E">
              <w:t>$28.65</w:t>
            </w:r>
          </w:p>
        </w:tc>
        <w:tc>
          <w:tcPr>
            <w:tcW w:w="1138" w:type="dxa"/>
            <w:noWrap/>
          </w:tcPr>
          <w:p w14:paraId="6E87A9BF" w14:textId="77777777" w:rsidR="00CA7016" w:rsidRPr="00A0513E" w:rsidRDefault="00CA7016" w:rsidP="003C3F6A">
            <w:pPr>
              <w:pStyle w:val="02Tabletext"/>
              <w:jc w:val="right"/>
            </w:pPr>
            <w:r w:rsidRPr="00A0513E">
              <w:t>$4,287,428</w:t>
            </w:r>
          </w:p>
        </w:tc>
        <w:tc>
          <w:tcPr>
            <w:tcW w:w="1211" w:type="dxa"/>
            <w:noWrap/>
          </w:tcPr>
          <w:p w14:paraId="6587E9B0" w14:textId="77777777" w:rsidR="00CA7016" w:rsidRPr="00A0513E" w:rsidRDefault="00CA7016" w:rsidP="003C3F6A">
            <w:pPr>
              <w:pStyle w:val="02Tabletext"/>
              <w:jc w:val="right"/>
            </w:pPr>
            <w:r w:rsidRPr="00A0513E">
              <w:t>175</w:t>
            </w:r>
            <w:r>
              <w:t xml:space="preserve"> </w:t>
            </w:r>
            <w:r w:rsidRPr="00A0513E">
              <w:t>172</w:t>
            </w:r>
          </w:p>
        </w:tc>
        <w:tc>
          <w:tcPr>
            <w:tcW w:w="961" w:type="dxa"/>
            <w:noWrap/>
          </w:tcPr>
          <w:p w14:paraId="2A1CF4F5" w14:textId="77777777" w:rsidR="00CA7016" w:rsidRPr="00A0513E" w:rsidRDefault="00CA7016" w:rsidP="003C3F6A">
            <w:pPr>
              <w:pStyle w:val="02Tabletext"/>
              <w:jc w:val="right"/>
            </w:pPr>
            <w:r w:rsidRPr="00A0513E">
              <w:t>162</w:t>
            </w:r>
            <w:r>
              <w:t xml:space="preserve"> </w:t>
            </w:r>
            <w:r w:rsidRPr="00A0513E">
              <w:t>785</w:t>
            </w:r>
          </w:p>
        </w:tc>
        <w:tc>
          <w:tcPr>
            <w:tcW w:w="914" w:type="dxa"/>
            <w:noWrap/>
          </w:tcPr>
          <w:p w14:paraId="33EE23AF" w14:textId="77777777" w:rsidR="00CA7016" w:rsidRPr="00A0513E" w:rsidRDefault="00CA7016" w:rsidP="003C3F6A">
            <w:pPr>
              <w:pStyle w:val="02Tabletext"/>
              <w:jc w:val="right"/>
            </w:pPr>
            <w:r>
              <w:t>–</w:t>
            </w:r>
            <w:r w:rsidRPr="00A0513E">
              <w:t>9.8%</w:t>
            </w:r>
          </w:p>
        </w:tc>
      </w:tr>
      <w:tr w:rsidR="00CA7016" w:rsidRPr="00B96BC0" w14:paraId="2CDEBC2F" w14:textId="77777777" w:rsidTr="00D5426A">
        <w:trPr>
          <w:trHeight w:val="300"/>
        </w:trPr>
        <w:tc>
          <w:tcPr>
            <w:tcW w:w="779" w:type="dxa"/>
            <w:noWrap/>
          </w:tcPr>
          <w:p w14:paraId="790AC981" w14:textId="77777777" w:rsidR="00CA7016" w:rsidRPr="00A0513E" w:rsidRDefault="00CA7016" w:rsidP="003C3F6A">
            <w:pPr>
              <w:pStyle w:val="02Tabletext"/>
            </w:pPr>
            <w:r w:rsidRPr="00A0513E">
              <w:t>69317</w:t>
            </w:r>
          </w:p>
        </w:tc>
        <w:tc>
          <w:tcPr>
            <w:tcW w:w="2810" w:type="dxa"/>
            <w:noWrap/>
          </w:tcPr>
          <w:p w14:paraId="2DE14563" w14:textId="77777777" w:rsidR="00CA7016" w:rsidRPr="00A0513E" w:rsidRDefault="00CA7016" w:rsidP="003C3F6A">
            <w:pPr>
              <w:pStyle w:val="02Tabletext"/>
            </w:pPr>
            <w:r w:rsidRPr="00A0513E">
              <w:t>1 test described in item 69494 and a test described in 69316.</w:t>
            </w:r>
            <w:r>
              <w:t xml:space="preserve"> </w:t>
            </w:r>
            <w:r w:rsidRPr="00A0513E">
              <w:t>(Item is subject to rule</w:t>
            </w:r>
            <w:r>
              <w:t xml:space="preserve"> </w:t>
            </w:r>
            <w:r w:rsidRPr="00A0513E">
              <w:t>26)</w:t>
            </w:r>
          </w:p>
        </w:tc>
        <w:tc>
          <w:tcPr>
            <w:tcW w:w="1203" w:type="dxa"/>
            <w:noWrap/>
          </w:tcPr>
          <w:p w14:paraId="362FB39E" w14:textId="77777777" w:rsidR="00CA7016" w:rsidRPr="00A0513E" w:rsidRDefault="00CA7016" w:rsidP="003C3F6A">
            <w:pPr>
              <w:pStyle w:val="02Tabletext"/>
              <w:jc w:val="right"/>
            </w:pPr>
            <w:r w:rsidRPr="00A0513E">
              <w:t>$35.85</w:t>
            </w:r>
          </w:p>
        </w:tc>
        <w:tc>
          <w:tcPr>
            <w:tcW w:w="1138" w:type="dxa"/>
            <w:noWrap/>
          </w:tcPr>
          <w:p w14:paraId="5F0A8744" w14:textId="77777777" w:rsidR="00CA7016" w:rsidRPr="00A0513E" w:rsidRDefault="00CA7016" w:rsidP="003C3F6A">
            <w:pPr>
              <w:pStyle w:val="02Tabletext"/>
              <w:jc w:val="right"/>
            </w:pPr>
            <w:r w:rsidRPr="00A0513E">
              <w:t>$22,175,424</w:t>
            </w:r>
          </w:p>
        </w:tc>
        <w:tc>
          <w:tcPr>
            <w:tcW w:w="1211" w:type="dxa"/>
            <w:noWrap/>
          </w:tcPr>
          <w:p w14:paraId="31F437DC" w14:textId="77777777" w:rsidR="00CA7016" w:rsidRPr="00A0513E" w:rsidRDefault="00CA7016" w:rsidP="003C3F6A">
            <w:pPr>
              <w:pStyle w:val="02Tabletext"/>
              <w:jc w:val="right"/>
            </w:pPr>
            <w:r w:rsidRPr="00A0513E">
              <w:t>723</w:t>
            </w:r>
            <w:r>
              <w:t xml:space="preserve"> </w:t>
            </w:r>
            <w:r w:rsidRPr="00A0513E">
              <w:t>841</w:t>
            </w:r>
          </w:p>
        </w:tc>
        <w:tc>
          <w:tcPr>
            <w:tcW w:w="961" w:type="dxa"/>
            <w:noWrap/>
          </w:tcPr>
          <w:p w14:paraId="010FCBF1" w14:textId="77777777" w:rsidR="00CA7016" w:rsidRPr="00A0513E" w:rsidRDefault="00CA7016" w:rsidP="003C3F6A">
            <w:pPr>
              <w:pStyle w:val="02Tabletext"/>
              <w:jc w:val="right"/>
            </w:pPr>
            <w:r w:rsidRPr="00A0513E">
              <w:t>629</w:t>
            </w:r>
            <w:r>
              <w:t xml:space="preserve"> </w:t>
            </w:r>
            <w:r w:rsidRPr="00A0513E">
              <w:t>963</w:t>
            </w:r>
          </w:p>
        </w:tc>
        <w:tc>
          <w:tcPr>
            <w:tcW w:w="914" w:type="dxa"/>
            <w:noWrap/>
          </w:tcPr>
          <w:p w14:paraId="560F87EF" w14:textId="77777777" w:rsidR="00CA7016" w:rsidRPr="00A0513E" w:rsidRDefault="00CA7016" w:rsidP="003C3F6A">
            <w:pPr>
              <w:pStyle w:val="02Tabletext"/>
              <w:jc w:val="right"/>
            </w:pPr>
            <w:r w:rsidRPr="00A0513E">
              <w:t>12.8%</w:t>
            </w:r>
          </w:p>
        </w:tc>
      </w:tr>
      <w:tr w:rsidR="00CA7016" w:rsidRPr="00B96BC0" w14:paraId="39D328F7" w14:textId="77777777" w:rsidTr="00D5426A">
        <w:trPr>
          <w:trHeight w:val="300"/>
        </w:trPr>
        <w:tc>
          <w:tcPr>
            <w:tcW w:w="779" w:type="dxa"/>
            <w:noWrap/>
          </w:tcPr>
          <w:p w14:paraId="77E62CA4" w14:textId="77777777" w:rsidR="00CA7016" w:rsidRPr="00A0513E" w:rsidRDefault="00CA7016" w:rsidP="003C3F6A">
            <w:pPr>
              <w:pStyle w:val="02Tabletext"/>
            </w:pPr>
            <w:r w:rsidRPr="00A0513E">
              <w:t>69319</w:t>
            </w:r>
          </w:p>
        </w:tc>
        <w:tc>
          <w:tcPr>
            <w:tcW w:w="2810" w:type="dxa"/>
            <w:noWrap/>
          </w:tcPr>
          <w:p w14:paraId="544B7A0D" w14:textId="77777777" w:rsidR="00CA7016" w:rsidRPr="00A0513E" w:rsidRDefault="00CA7016" w:rsidP="003C3F6A">
            <w:pPr>
              <w:pStyle w:val="02Tabletext"/>
            </w:pPr>
            <w:r w:rsidRPr="00A0513E">
              <w:t>2 tests described in item 69494 and a test described in 69316. (Item is subject to rule</w:t>
            </w:r>
            <w:r>
              <w:t xml:space="preserve"> </w:t>
            </w:r>
            <w:r w:rsidRPr="00A0513E">
              <w:t>26)</w:t>
            </w:r>
          </w:p>
        </w:tc>
        <w:tc>
          <w:tcPr>
            <w:tcW w:w="1203" w:type="dxa"/>
            <w:noWrap/>
          </w:tcPr>
          <w:p w14:paraId="6E9622E8" w14:textId="77777777" w:rsidR="00CA7016" w:rsidRPr="00A0513E" w:rsidRDefault="00CA7016" w:rsidP="003C3F6A">
            <w:pPr>
              <w:pStyle w:val="02Tabletext"/>
              <w:jc w:val="right"/>
            </w:pPr>
            <w:r w:rsidRPr="00A0513E">
              <w:t>$42.95</w:t>
            </w:r>
          </w:p>
        </w:tc>
        <w:tc>
          <w:tcPr>
            <w:tcW w:w="1138" w:type="dxa"/>
            <w:noWrap/>
          </w:tcPr>
          <w:p w14:paraId="10C6047D" w14:textId="77777777" w:rsidR="00CA7016" w:rsidRPr="00A0513E" w:rsidRDefault="00CA7016" w:rsidP="003C3F6A">
            <w:pPr>
              <w:pStyle w:val="02Tabletext"/>
              <w:jc w:val="right"/>
            </w:pPr>
            <w:r w:rsidRPr="00A0513E">
              <w:t>$11,525,384</w:t>
            </w:r>
          </w:p>
        </w:tc>
        <w:tc>
          <w:tcPr>
            <w:tcW w:w="1211" w:type="dxa"/>
            <w:noWrap/>
          </w:tcPr>
          <w:p w14:paraId="17A6D999" w14:textId="77777777" w:rsidR="00CA7016" w:rsidRPr="00A0513E" w:rsidRDefault="00CA7016" w:rsidP="003C3F6A">
            <w:pPr>
              <w:pStyle w:val="02Tabletext"/>
              <w:jc w:val="right"/>
            </w:pPr>
            <w:r w:rsidRPr="00A0513E">
              <w:t>314</w:t>
            </w:r>
            <w:r>
              <w:t xml:space="preserve"> </w:t>
            </w:r>
            <w:r w:rsidRPr="00A0513E">
              <w:t>080</w:t>
            </w:r>
          </w:p>
        </w:tc>
        <w:tc>
          <w:tcPr>
            <w:tcW w:w="961" w:type="dxa"/>
            <w:noWrap/>
          </w:tcPr>
          <w:p w14:paraId="76F6802C" w14:textId="77777777" w:rsidR="00CA7016" w:rsidRPr="00A0513E" w:rsidRDefault="00CA7016" w:rsidP="003C3F6A">
            <w:pPr>
              <w:pStyle w:val="02Tabletext"/>
              <w:jc w:val="right"/>
            </w:pPr>
            <w:r w:rsidRPr="00A0513E">
              <w:t>269</w:t>
            </w:r>
            <w:r>
              <w:t xml:space="preserve"> </w:t>
            </w:r>
            <w:r w:rsidRPr="00A0513E">
              <w:t>568</w:t>
            </w:r>
          </w:p>
        </w:tc>
        <w:tc>
          <w:tcPr>
            <w:tcW w:w="914" w:type="dxa"/>
            <w:noWrap/>
          </w:tcPr>
          <w:p w14:paraId="699FFDA9" w14:textId="77777777" w:rsidR="00CA7016" w:rsidRPr="00A0513E" w:rsidRDefault="00CA7016" w:rsidP="003C3F6A">
            <w:pPr>
              <w:pStyle w:val="02Tabletext"/>
              <w:jc w:val="right"/>
            </w:pPr>
            <w:r w:rsidRPr="00A0513E">
              <w:t>37.4%</w:t>
            </w:r>
          </w:p>
        </w:tc>
      </w:tr>
    </w:tbl>
    <w:p w14:paraId="74D76D22" w14:textId="77777777" w:rsidR="00CA7016" w:rsidRPr="00A0513E" w:rsidRDefault="00CA7016">
      <w:pPr>
        <w:pStyle w:val="Heading4"/>
      </w:pPr>
      <w:r w:rsidRPr="00A0513E">
        <w:t xml:space="preserve">Recommendation </w:t>
      </w:r>
      <w:r>
        <w:t>16.6</w:t>
      </w:r>
    </w:p>
    <w:p w14:paraId="0782B6A7" w14:textId="77777777" w:rsidR="00CA7016" w:rsidRPr="00A0513E" w:rsidRDefault="00CA7016" w:rsidP="00CA7016">
      <w:pPr>
        <w:pStyle w:val="01squarebullet"/>
      </w:pPr>
      <w:r>
        <w:t>Delete item</w:t>
      </w:r>
      <w:r w:rsidRPr="00A0513E">
        <w:t>s 69316, 69317and 69319.</w:t>
      </w:r>
    </w:p>
    <w:p w14:paraId="3CA5DD8A" w14:textId="77777777" w:rsidR="00CA7016" w:rsidRPr="00A0513E" w:rsidRDefault="00CA7016">
      <w:pPr>
        <w:pStyle w:val="Heading4"/>
      </w:pPr>
      <w:r w:rsidRPr="00A0513E">
        <w:t>Rationale</w:t>
      </w:r>
      <w:r>
        <w:t xml:space="preserve"> 16.6</w:t>
      </w:r>
    </w:p>
    <w:p w14:paraId="4230CBCD" w14:textId="77777777" w:rsidR="00CA7016" w:rsidRPr="00A0513E" w:rsidRDefault="00CA7016" w:rsidP="00CA7016">
      <w:pPr>
        <w:pStyle w:val="01squarebullet"/>
      </w:pPr>
      <w:r w:rsidRPr="00A0513E">
        <w:t>The introduction of two new item numbers (693X</w:t>
      </w:r>
      <w:r>
        <w:t>E</w:t>
      </w:r>
      <w:r w:rsidRPr="00A0513E">
        <w:t xml:space="preserve"> and 693X</w:t>
      </w:r>
      <w:r>
        <w:t>F</w:t>
      </w:r>
      <w:r w:rsidRPr="00A0513E">
        <w:t xml:space="preserve">) for the detection of </w:t>
      </w:r>
      <w:r w:rsidRPr="00EA522E">
        <w:rPr>
          <w:i/>
        </w:rPr>
        <w:t>Chlamydia trachomatis</w:t>
      </w:r>
      <w:r w:rsidRPr="00A0513E">
        <w:t xml:space="preserve"> and </w:t>
      </w:r>
      <w:r w:rsidRPr="00EA522E">
        <w:rPr>
          <w:i/>
        </w:rPr>
        <w:t>Neisseria gonorrhoeae</w:t>
      </w:r>
      <w:r w:rsidRPr="00A0513E">
        <w:t xml:space="preserve"> by NAAT</w:t>
      </w:r>
      <w:r>
        <w:t>—</w:t>
      </w:r>
      <w:r w:rsidRPr="00A0513E">
        <w:t>2 tests (Item is subject to rule 26) 1, or 2 or more specimens.</w:t>
      </w:r>
    </w:p>
    <w:p w14:paraId="65075B0D" w14:textId="77777777" w:rsidR="00CA7016" w:rsidRPr="00A0513E" w:rsidRDefault="00CA7016" w:rsidP="00CA7016">
      <w:pPr>
        <w:pStyle w:val="01squarebullet"/>
      </w:pPr>
      <w:r w:rsidRPr="00A0513E">
        <w:t xml:space="preserve">See </w:t>
      </w:r>
      <w:r>
        <w:t>s</w:t>
      </w:r>
      <w:r w:rsidRPr="00A0513E">
        <w:t xml:space="preserve">ection </w:t>
      </w:r>
      <w:r w:rsidRPr="00D153E2">
        <w:t>4.</w:t>
      </w:r>
      <w:r>
        <w:t>3.</w:t>
      </w:r>
    </w:p>
    <w:p w14:paraId="663CEAEC" w14:textId="77777777" w:rsidR="00CA7016" w:rsidRPr="00A0513E" w:rsidRDefault="00CA7016" w:rsidP="00CA7016">
      <w:pPr>
        <w:pStyle w:val="Heading2"/>
      </w:pPr>
      <w:bookmarkStart w:id="369" w:name="_Toc483989385"/>
      <w:bookmarkStart w:id="370" w:name="_Toc486939205"/>
      <w:bookmarkStart w:id="371" w:name="_Ref487789595"/>
      <w:bookmarkStart w:id="372" w:name="_Toc12886599"/>
      <w:r w:rsidRPr="00A0513E">
        <w:t>Minor changes</w:t>
      </w:r>
      <w:bookmarkEnd w:id="369"/>
      <w:bookmarkEnd w:id="370"/>
      <w:bookmarkEnd w:id="371"/>
      <w:bookmarkEnd w:id="372"/>
      <w:r w:rsidRPr="00A0513E">
        <w:t xml:space="preserve"> </w:t>
      </w:r>
    </w:p>
    <w:p w14:paraId="4A0D3A79" w14:textId="77777777" w:rsidR="00CA7016" w:rsidRDefault="00CA7016" w:rsidP="00CA7016">
      <w:r w:rsidRPr="00B96BC0">
        <w:t xml:space="preserve">The Committee has made recommendations for minor changes to the items in the following table. The changes relate to removing </w:t>
      </w:r>
      <w:r>
        <w:t>restrictions</w:t>
      </w:r>
      <w:r w:rsidRPr="00B96BC0">
        <w:t xml:space="preserve"> no longer </w:t>
      </w:r>
      <w:r>
        <w:t>required and</w:t>
      </w:r>
      <w:r w:rsidRPr="00B96BC0">
        <w:t xml:space="preserve"> simplifying </w:t>
      </w:r>
      <w:r>
        <w:t>items.</w:t>
      </w:r>
      <w:r w:rsidRPr="00B96BC0">
        <w:t xml:space="preserve"> Proposed changes are underlined.</w:t>
      </w:r>
    </w:p>
    <w:p w14:paraId="78890C85" w14:textId="77777777" w:rsidR="00CA7016" w:rsidRPr="001B4622" w:rsidRDefault="00CA7016" w:rsidP="00CA7016">
      <w:pPr>
        <w:pStyle w:val="Heading3"/>
      </w:pPr>
      <w:bookmarkStart w:id="373" w:name="_Toc486939206"/>
      <w:bookmarkStart w:id="374" w:name="_Toc12886600"/>
      <w:r w:rsidRPr="001B4622">
        <w:lastRenderedPageBreak/>
        <w:t>Item 694</w:t>
      </w:r>
      <w:r>
        <w:t>88</w:t>
      </w:r>
      <w:bookmarkEnd w:id="373"/>
      <w:bookmarkEnd w:id="374"/>
    </w:p>
    <w:p w14:paraId="3CB23EFB" w14:textId="77777777" w:rsidR="00CA7016" w:rsidRPr="00A0513E" w:rsidRDefault="00CA7016" w:rsidP="00CA7016">
      <w:pPr>
        <w:pStyle w:val="NormalBulleted"/>
        <w:numPr>
          <w:ilvl w:val="0"/>
          <w:numId w:val="17"/>
        </w:numPr>
        <w:spacing w:before="120" w:after="60" w:line="240" w:lineRule="auto"/>
        <w:ind w:right="142"/>
        <w:contextualSpacing w:val="0"/>
      </w:pPr>
      <w:r>
        <w:t>Changes to guidelines for hepatitis C infection have removed the requirement for a specialist or consultant physician to manage treatment.</w:t>
      </w:r>
      <w:r w:rsidRPr="00A0513E">
        <w:fldChar w:fldCharType="begin"/>
      </w:r>
      <w:r w:rsidR="00365487">
        <w:instrText xml:space="preserve"> ADDIN EN.CITE &lt;EndNote&gt;&lt;Cite&gt;&lt;Author&gt;Hepatitis C Virus Infection Consensus Statement Working Group&lt;/Author&gt;&lt;Year&gt;August 2017&lt;/Year&gt;&lt;RecNum&gt;24&lt;/RecNum&gt;&lt;DisplayText&gt; [24]&lt;/DisplayText&gt;&lt;record&gt;&lt;rec-number&gt;24&lt;/rec-number&gt;&lt;foreign-keys&gt;&lt;key app="EN" db-id="9rerxxddifw5xaewxvlxffw2vsfzrarx0vva" timestamp="1506991302"&gt;24&lt;/key&gt;&lt;/foreign-keys&gt;&lt;ref-type name="Report"&gt;27&lt;/ref-type&gt;&lt;contributors&gt;&lt;authors&gt;&lt;author&gt;Hepatitis C Virus Infection Consensus Statement Working Group,&lt;/author&gt;&lt;/authors&gt;&lt;/contributors&gt;&lt;titles&gt;&lt;title&gt;Australian recommendations for the management of hepatitis C virus infection: a consensus statement (January 2017)&lt;/title&gt;&lt;/titles&gt;&lt;dates&gt;&lt;year&gt;August 2017&lt;/year&gt;&lt;/dates&gt;&lt;pub-location&gt;Melbourne&lt;/pub-location&gt;&lt;publisher&gt;Gastroenterological Society of Australia&lt;/publisher&gt;&lt;urls&gt;&lt;related-urls&gt;&lt;url&gt;http://www.gesa.org.au/public/13/files/Hepatitis%20C/Hepatitis%20C%20virus%20infection%20a%20consensus%20statement%202017.pdf&lt;/url&gt;&lt;/related-urls&gt;&lt;/urls&gt;&lt;access-date&gt;31 October 2017&lt;/access-date&gt;&lt;/record&gt;&lt;/Cite&gt;&lt;/EndNote&gt;</w:instrText>
      </w:r>
      <w:r w:rsidRPr="00A0513E">
        <w:fldChar w:fldCharType="separate"/>
      </w:r>
      <w:r w:rsidR="00EE147F">
        <w:rPr>
          <w:noProof/>
        </w:rPr>
        <w:t xml:space="preserve"> [24]</w:t>
      </w:r>
      <w:r w:rsidRPr="00A0513E">
        <w:fldChar w:fldCharType="end"/>
      </w:r>
      <w:r w:rsidRPr="00A0513E">
        <w:t xml:space="preserve"> These words should be removed from the descriptor. </w:t>
      </w:r>
    </w:p>
    <w:p w14:paraId="1D26F5FB" w14:textId="77777777" w:rsidR="00CA7016" w:rsidRPr="001B4622" w:rsidRDefault="00CA7016" w:rsidP="00CA7016">
      <w:pPr>
        <w:pStyle w:val="Heading3"/>
      </w:pPr>
      <w:bookmarkStart w:id="375" w:name="_Toc12886601"/>
      <w:bookmarkStart w:id="376" w:name="_Toc486939207"/>
      <w:bookmarkStart w:id="377" w:name="_Ref487789688"/>
      <w:bookmarkStart w:id="378" w:name="_Ref487789698"/>
      <w:r w:rsidRPr="001B4622">
        <w:t>Items 69491</w:t>
      </w:r>
      <w:bookmarkEnd w:id="375"/>
      <w:r w:rsidRPr="001B4622">
        <w:t xml:space="preserve"> </w:t>
      </w:r>
      <w:bookmarkEnd w:id="376"/>
      <w:bookmarkEnd w:id="377"/>
      <w:bookmarkEnd w:id="378"/>
    </w:p>
    <w:p w14:paraId="7AB76D01" w14:textId="77777777" w:rsidR="00CA7016" w:rsidRPr="00A0513E" w:rsidRDefault="00CA7016" w:rsidP="00CA7016">
      <w:pPr>
        <w:pStyle w:val="01squarebullet"/>
      </w:pPr>
      <w:r w:rsidRPr="00A0513E">
        <w:t>As for the item 69488, above, Australian consensus guidelines for management of hepatitis C infection and PBS recommendations for monitoring of new HCV treatments have removed the requirement for specialist review.</w:t>
      </w:r>
      <w:r w:rsidRPr="00A0513E">
        <w:fldChar w:fldCharType="begin"/>
      </w:r>
      <w:r w:rsidR="00365487">
        <w:instrText xml:space="preserve"> ADDIN EN.CITE &lt;EndNote&gt;&lt;Cite&gt;&lt;Author&gt;Hepatitis C Virus Infection Consensus Statement Working Group&lt;/Author&gt;&lt;Year&gt;August 2017&lt;/Year&gt;&lt;RecNum&gt;24&lt;/RecNum&gt;&lt;DisplayText&gt; [24]&lt;/DisplayText&gt;&lt;record&gt;&lt;rec-number&gt;24&lt;/rec-number&gt;&lt;foreign-keys&gt;&lt;key app="EN" db-id="9rerxxddifw5xaewxvlxffw2vsfzrarx0vva" timestamp="1506991302"&gt;24&lt;/key&gt;&lt;/foreign-keys&gt;&lt;ref-type name="Report"&gt;27&lt;/ref-type&gt;&lt;contributors&gt;&lt;authors&gt;&lt;author&gt;Hepatitis C Virus Infection Consensus Statement Working Group,&lt;/author&gt;&lt;/authors&gt;&lt;/contributors&gt;&lt;titles&gt;&lt;title&gt;Australian recommendations for the management of hepatitis C virus infection: a consensus statement (January 2017)&lt;/title&gt;&lt;/titles&gt;&lt;dates&gt;&lt;year&gt;August 2017&lt;/year&gt;&lt;/dates&gt;&lt;pub-location&gt;Melbourne&lt;/pub-location&gt;&lt;publisher&gt;Gastroenterological Society of Australia&lt;/publisher&gt;&lt;urls&gt;&lt;related-urls&gt;&lt;url&gt;http://www.gesa.org.au/public/13/files/Hepatitis%20C/Hepatitis%20C%20virus%20infection%20a%20consensus%20statement%202017.pdf&lt;/url&gt;&lt;/related-urls&gt;&lt;/urls&gt;&lt;access-date&gt;31 October 2017&lt;/access-date&gt;&lt;/record&gt;&lt;/Cite&gt;&lt;/EndNote&gt;</w:instrText>
      </w:r>
      <w:r w:rsidRPr="00A0513E">
        <w:fldChar w:fldCharType="separate"/>
      </w:r>
      <w:r w:rsidR="00EE147F">
        <w:rPr>
          <w:noProof/>
        </w:rPr>
        <w:t xml:space="preserve"> [24]</w:t>
      </w:r>
      <w:r w:rsidRPr="00A0513E">
        <w:fldChar w:fldCharType="end"/>
      </w:r>
    </w:p>
    <w:p w14:paraId="69DDC2DC" w14:textId="77777777" w:rsidR="00CA7016" w:rsidRPr="00A0513E" w:rsidRDefault="00CA7016" w:rsidP="00CA7016">
      <w:pPr>
        <w:pStyle w:val="01squarebullet"/>
      </w:pPr>
      <w:r w:rsidRPr="00A0513E">
        <w:t>Item 69491 may become redundant in the future</w:t>
      </w:r>
      <w:r>
        <w:t>,</w:t>
      </w:r>
      <w:r w:rsidRPr="00A0513E">
        <w:t xml:space="preserve"> as the newer drug HCV treatments are not genotype-specific and for these agents this test is not relevant. There will, however, be a transition period </w:t>
      </w:r>
      <w:r>
        <w:t xml:space="preserve">in which </w:t>
      </w:r>
      <w:r w:rsidRPr="00A0513E">
        <w:t>existing therapies will still be used, and these items still required.</w:t>
      </w:r>
    </w:p>
    <w:p w14:paraId="7B8969BB" w14:textId="77777777" w:rsidR="00CA7016" w:rsidRPr="00A0513E" w:rsidRDefault="00CA7016" w:rsidP="00CA7016">
      <w:pPr>
        <w:pStyle w:val="01squarebullet"/>
      </w:pPr>
      <w:r w:rsidRPr="00A0513E">
        <w:t xml:space="preserve">The Committee acknowledged that this is a changing area of </w:t>
      </w:r>
      <w:proofErr w:type="gramStart"/>
      <w:r w:rsidRPr="00A0513E">
        <w:t>practice, and</w:t>
      </w:r>
      <w:proofErr w:type="gramEnd"/>
      <w:r w:rsidRPr="00A0513E">
        <w:t xml:space="preserve"> recommended a regular review of these items using expertise such as ASHM or the ASID Hepatitis Special Interest Group to ensure the Schedule reflects the practice changes.</w:t>
      </w:r>
    </w:p>
    <w:p w14:paraId="61AA15C8" w14:textId="77777777" w:rsidR="00CA7016" w:rsidRPr="001B4622" w:rsidRDefault="00CA7016" w:rsidP="00CA7016">
      <w:pPr>
        <w:pStyle w:val="Heading3"/>
      </w:pPr>
      <w:bookmarkStart w:id="379" w:name="_Toc486939208"/>
      <w:bookmarkStart w:id="380" w:name="_Ref487786083"/>
      <w:bookmarkStart w:id="381" w:name="_Ref487786200"/>
      <w:bookmarkStart w:id="382" w:name="_Toc12886602"/>
      <w:r w:rsidRPr="001B4622">
        <w:t>Items 69378 and 69381</w:t>
      </w:r>
      <w:bookmarkEnd w:id="379"/>
      <w:bookmarkEnd w:id="380"/>
      <w:bookmarkEnd w:id="381"/>
      <w:r>
        <w:t>, 69379 and 69383</w:t>
      </w:r>
      <w:bookmarkEnd w:id="382"/>
    </w:p>
    <w:p w14:paraId="55127465" w14:textId="77777777" w:rsidR="00CA7016" w:rsidRDefault="00CA7016" w:rsidP="00CA7016">
      <w:pPr>
        <w:pStyle w:val="01squarebullet"/>
      </w:pPr>
      <w:r w:rsidRPr="007210D5">
        <w:t xml:space="preserve">Merging </w:t>
      </w:r>
      <w:r w:rsidRPr="00A0513E">
        <w:t xml:space="preserve">items 69378 and 69381 will make the Schedule more contemporary. Historically it may have been relevant whether a patient was receiving antiretroviral treatment or not, but now it is not meaningful to keep these items separate. These items have the same fee </w:t>
      </w:r>
      <w:proofErr w:type="gramStart"/>
      <w:r w:rsidRPr="00A0513E">
        <w:t>and also</w:t>
      </w:r>
      <w:proofErr w:type="gramEnd"/>
      <w:r w:rsidRPr="00A0513E">
        <w:t xml:space="preserve"> the same allowable frequency of testing. </w:t>
      </w:r>
    </w:p>
    <w:p w14:paraId="40081F42" w14:textId="77777777" w:rsidR="00CA7016" w:rsidRDefault="00CA7016" w:rsidP="00CA7016">
      <w:pPr>
        <w:pStyle w:val="NormalBulleted"/>
        <w:numPr>
          <w:ilvl w:val="0"/>
          <w:numId w:val="17"/>
        </w:numPr>
        <w:spacing w:before="120" w:after="60" w:line="240" w:lineRule="auto"/>
        <w:ind w:right="142"/>
        <w:contextualSpacing w:val="0"/>
      </w:pPr>
      <w:r>
        <w:t xml:space="preserve">The quantification of HIV viral RNA may be done rarely in fluids other than plasma or serum, so it is recommended that the descriptor for merged Items 69378 and 69381 is broadened to encompass ‘other body fluids including CSF’. This will negate the need for a separate Item </w:t>
      </w:r>
      <w:r w:rsidRPr="00A0513E">
        <w:t>69382</w:t>
      </w:r>
      <w:r>
        <w:t xml:space="preserve"> (see section 4.16.4)</w:t>
      </w:r>
    </w:p>
    <w:p w14:paraId="12A3F548" w14:textId="77777777" w:rsidR="00CA7016" w:rsidRPr="00A0513E" w:rsidRDefault="00CA7016" w:rsidP="00D5426A">
      <w:pPr>
        <w:pStyle w:val="01squarebullet"/>
      </w:pPr>
      <w:r>
        <w:t>Changing these items will require changes in the associated approved pathology practitioner (APP) items 69383 and 69379.</w:t>
      </w:r>
    </w:p>
    <w:p w14:paraId="37057784" w14:textId="77777777" w:rsidR="00CA7016" w:rsidRPr="00305405" w:rsidRDefault="00CA7016" w:rsidP="00CA7016">
      <w:pPr>
        <w:pStyle w:val="Caption"/>
      </w:pPr>
      <w:bookmarkStart w:id="383" w:name="_Toc484598367"/>
      <w:bookmarkStart w:id="384" w:name="_Toc486935631"/>
      <w:bookmarkStart w:id="385" w:name="_Toc12953484"/>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34</w:t>
      </w:r>
      <w:r w:rsidR="00BB490A">
        <w:rPr>
          <w:noProof/>
        </w:rPr>
        <w:fldChar w:fldCharType="end"/>
      </w:r>
      <w:r>
        <w:t xml:space="preserve">: </w:t>
      </w:r>
      <w:r w:rsidRPr="00305405">
        <w:t>Minor changes recommended</w:t>
      </w:r>
      <w:r>
        <w:t xml:space="preserve"> (key changes underlined)</w:t>
      </w:r>
      <w:bookmarkEnd w:id="383"/>
      <w:bookmarkEnd w:id="384"/>
      <w:bookmarkEnd w:id="385"/>
    </w:p>
    <w:tbl>
      <w:tblPr>
        <w:tblStyle w:val="TableGrid"/>
        <w:tblW w:w="9209" w:type="dxa"/>
        <w:tblLook w:val="04A0" w:firstRow="1" w:lastRow="0" w:firstColumn="1" w:lastColumn="0" w:noHBand="0" w:noVBand="1"/>
        <w:tblDescription w:val="This table shows the Item numbers, Item descriptors, and Proposed amendments for items with minor changes recommended."/>
      </w:tblPr>
      <w:tblGrid>
        <w:gridCol w:w="987"/>
        <w:gridCol w:w="3828"/>
        <w:gridCol w:w="4394"/>
      </w:tblGrid>
      <w:tr w:rsidR="00CA7016" w:rsidRPr="00B96BC0" w14:paraId="2153F2E7" w14:textId="77777777" w:rsidTr="003C3F6A">
        <w:trPr>
          <w:tblHeader/>
        </w:trPr>
        <w:tc>
          <w:tcPr>
            <w:tcW w:w="987" w:type="dxa"/>
            <w:shd w:val="clear" w:color="auto" w:fill="EEECE1" w:themeFill="background2"/>
            <w:vAlign w:val="bottom"/>
          </w:tcPr>
          <w:p w14:paraId="67C6CACF" w14:textId="77777777" w:rsidR="00CA7016" w:rsidRPr="00A0513E" w:rsidRDefault="00CA7016" w:rsidP="003C3F6A">
            <w:pPr>
              <w:pStyle w:val="01Tableheaderrow"/>
            </w:pPr>
            <w:r w:rsidRPr="00A0513E">
              <w:t>Item</w:t>
            </w:r>
          </w:p>
        </w:tc>
        <w:tc>
          <w:tcPr>
            <w:tcW w:w="3828" w:type="dxa"/>
            <w:shd w:val="clear" w:color="auto" w:fill="EEECE1" w:themeFill="background2"/>
            <w:vAlign w:val="bottom"/>
          </w:tcPr>
          <w:p w14:paraId="505F4875" w14:textId="77777777" w:rsidR="00CA7016" w:rsidRPr="00A0513E" w:rsidRDefault="00CA7016" w:rsidP="003C3F6A">
            <w:pPr>
              <w:pStyle w:val="01Tableheaderrow"/>
            </w:pPr>
            <w:r w:rsidRPr="00A0513E">
              <w:t>Item descriptor</w:t>
            </w:r>
          </w:p>
        </w:tc>
        <w:tc>
          <w:tcPr>
            <w:tcW w:w="4394" w:type="dxa"/>
            <w:shd w:val="clear" w:color="auto" w:fill="EEECE1" w:themeFill="background2"/>
            <w:vAlign w:val="bottom"/>
          </w:tcPr>
          <w:p w14:paraId="726B8180" w14:textId="77777777" w:rsidR="00CA7016" w:rsidRPr="00A0513E" w:rsidRDefault="00CA7016" w:rsidP="003C3F6A">
            <w:pPr>
              <w:pStyle w:val="01Tableheaderrow"/>
            </w:pPr>
            <w:r w:rsidRPr="00A0513E">
              <w:t>Proposed amendment</w:t>
            </w:r>
          </w:p>
        </w:tc>
      </w:tr>
      <w:tr w:rsidR="00CA7016" w:rsidRPr="00B96BC0" w14:paraId="4530D183" w14:textId="77777777" w:rsidTr="003C3F6A">
        <w:trPr>
          <w:trHeight w:val="300"/>
        </w:trPr>
        <w:tc>
          <w:tcPr>
            <w:tcW w:w="987" w:type="dxa"/>
            <w:noWrap/>
          </w:tcPr>
          <w:p w14:paraId="2C9A54DF" w14:textId="77777777" w:rsidR="00CA7016" w:rsidRPr="00A0513E" w:rsidRDefault="00CA7016" w:rsidP="003C3F6A">
            <w:pPr>
              <w:pStyle w:val="02Tabletext"/>
            </w:pPr>
            <w:r w:rsidRPr="00A0513E">
              <w:t>69488</w:t>
            </w:r>
          </w:p>
        </w:tc>
        <w:tc>
          <w:tcPr>
            <w:tcW w:w="3828" w:type="dxa"/>
            <w:noWrap/>
          </w:tcPr>
          <w:p w14:paraId="37B6B765" w14:textId="77777777" w:rsidR="00CA7016" w:rsidRPr="00A0513E" w:rsidRDefault="00CA7016" w:rsidP="003C3F6A">
            <w:pPr>
              <w:pStyle w:val="02Tabletext"/>
            </w:pPr>
            <w:r w:rsidRPr="00A0513E">
              <w:t xml:space="preserve">Quantitation of HCV RNA load in plasma or serum in the pre-treatment evaluation or the assessment of efficacy of antiviral therapy of a patient with chronic HCV hepatitis - </w:t>
            </w:r>
            <w:r w:rsidRPr="00EA522E">
              <w:rPr>
                <w:u w:val="single"/>
              </w:rPr>
              <w:t>where any request for the test is made by or on the advice of the specialist or consultant physician who manages the treatment of the patient with chronic HCV hepatitis</w:t>
            </w:r>
            <w:r w:rsidRPr="00A0513E">
              <w:t xml:space="preserve"> (including a service in item 69499 or 69445) (Item is subject to rule 18 and 25)</w:t>
            </w:r>
          </w:p>
        </w:tc>
        <w:tc>
          <w:tcPr>
            <w:tcW w:w="4394" w:type="dxa"/>
            <w:noWrap/>
          </w:tcPr>
          <w:p w14:paraId="77A662FF" w14:textId="77777777" w:rsidR="00CA7016" w:rsidRPr="00A0513E" w:rsidRDefault="00CA7016" w:rsidP="003C3F6A">
            <w:pPr>
              <w:pStyle w:val="02Tabletext"/>
            </w:pPr>
            <w:r w:rsidRPr="00A0513E">
              <w:t>Quantitation of HCV RNA load in plasma or serum in the pre-treatment evaluation or the assessment of efficacy of antiviral therapy of a patient with chronic HCV hepatitis (including a service in item 69499 or 69445</w:t>
            </w:r>
            <w:r>
              <w:t>.</w:t>
            </w:r>
            <w:r w:rsidRPr="00A0513E">
              <w:t>) (Item is subject to rule 18 and 25</w:t>
            </w:r>
            <w:r>
              <w:t>.</w:t>
            </w:r>
            <w:r w:rsidRPr="00A0513E">
              <w:t>)</w:t>
            </w:r>
          </w:p>
        </w:tc>
      </w:tr>
      <w:tr w:rsidR="00CA7016" w:rsidRPr="00B96BC0" w14:paraId="2B42A14A" w14:textId="77777777" w:rsidTr="003C3F6A">
        <w:trPr>
          <w:trHeight w:val="300"/>
        </w:trPr>
        <w:tc>
          <w:tcPr>
            <w:tcW w:w="987" w:type="dxa"/>
            <w:noWrap/>
          </w:tcPr>
          <w:p w14:paraId="7CE2789C" w14:textId="77777777" w:rsidR="00CA7016" w:rsidRPr="00A0513E" w:rsidRDefault="00CA7016" w:rsidP="003C3F6A">
            <w:pPr>
              <w:pStyle w:val="02Tabletext"/>
            </w:pPr>
            <w:r w:rsidRPr="00A0513E">
              <w:t>69491</w:t>
            </w:r>
          </w:p>
        </w:tc>
        <w:tc>
          <w:tcPr>
            <w:tcW w:w="3828" w:type="dxa"/>
            <w:noWrap/>
          </w:tcPr>
          <w:p w14:paraId="1739F9B4" w14:textId="77777777" w:rsidR="00CA7016" w:rsidRPr="00A0513E" w:rsidRDefault="00CA7016" w:rsidP="003C3F6A">
            <w:pPr>
              <w:pStyle w:val="02Tabletext"/>
            </w:pPr>
            <w:r w:rsidRPr="00A0513E">
              <w:t xml:space="preserve">Nucleic acid amplification and determination of hepatitis C virus (HCV) genotype if: (a) the patient is HCV RNA positive and is being evaluated for antiviral therapy of chronic HCV hepatitis; and (b) </w:t>
            </w:r>
            <w:r w:rsidRPr="00EA522E">
              <w:rPr>
                <w:u w:val="single"/>
              </w:rPr>
              <w:t>the request for the test is made by, or on the advice of, the specialist or consultant physician managing the treatment of the patient;</w:t>
            </w:r>
            <w:r w:rsidRPr="00A0513E">
              <w:t xml:space="preserve"> To a maximum of 1 of this item in a </w:t>
            </w:r>
            <w:r w:rsidRPr="00EA522E">
              <w:rPr>
                <w:u w:val="single"/>
              </w:rPr>
              <w:t>12</w:t>
            </w:r>
            <w:r>
              <w:rPr>
                <w:u w:val="single"/>
              </w:rPr>
              <w:t>-</w:t>
            </w:r>
            <w:r w:rsidRPr="00EA522E">
              <w:rPr>
                <w:u w:val="single"/>
              </w:rPr>
              <w:t>month</w:t>
            </w:r>
            <w:r w:rsidRPr="00A0513E">
              <w:t xml:space="preserve"> period</w:t>
            </w:r>
          </w:p>
        </w:tc>
        <w:tc>
          <w:tcPr>
            <w:tcW w:w="4394" w:type="dxa"/>
            <w:noWrap/>
          </w:tcPr>
          <w:p w14:paraId="262D19C7" w14:textId="77777777" w:rsidR="00CA7016" w:rsidRPr="00A0513E" w:rsidRDefault="00CA7016" w:rsidP="003C3F6A">
            <w:pPr>
              <w:pStyle w:val="02Tabletext"/>
            </w:pPr>
            <w:r w:rsidRPr="00A0513E">
              <w:t xml:space="preserve">Nucleic acid amplification and determination of hepatitis C virus (HCV) genotype if: (a) the patient is HCV RNA positive and is being evaluated for antiviral therapy of chronic HCV hepatitis; </w:t>
            </w:r>
            <w:r>
              <w:t>t</w:t>
            </w:r>
            <w:r w:rsidRPr="00A0513E">
              <w:t xml:space="preserve">o a maximum of 1 of this </w:t>
            </w:r>
            <w:proofErr w:type="gramStart"/>
            <w:r w:rsidRPr="00A0513E">
              <w:t>item</w:t>
            </w:r>
            <w:proofErr w:type="gramEnd"/>
            <w:r w:rsidRPr="00A0513E">
              <w:t xml:space="preserve"> in a 12</w:t>
            </w:r>
            <w:r>
              <w:t>-</w:t>
            </w:r>
            <w:r w:rsidRPr="00A0513E">
              <w:t>month period</w:t>
            </w:r>
            <w:r>
              <w:t>.</w:t>
            </w:r>
          </w:p>
        </w:tc>
      </w:tr>
      <w:tr w:rsidR="00CA7016" w:rsidRPr="00B96BC0" w14:paraId="20725C3B" w14:textId="77777777" w:rsidTr="003C3F6A">
        <w:trPr>
          <w:trHeight w:val="300"/>
        </w:trPr>
        <w:tc>
          <w:tcPr>
            <w:tcW w:w="987" w:type="dxa"/>
            <w:noWrap/>
          </w:tcPr>
          <w:p w14:paraId="36325DFD" w14:textId="77777777" w:rsidR="00CA7016" w:rsidRDefault="00CA7016" w:rsidP="003C3F6A">
            <w:pPr>
              <w:pStyle w:val="02Tabletext"/>
            </w:pPr>
            <w:r w:rsidRPr="00A0513E">
              <w:t>69378</w:t>
            </w:r>
          </w:p>
          <w:p w14:paraId="454C7F0A" w14:textId="77777777" w:rsidR="00CA7016" w:rsidRDefault="00CA7016" w:rsidP="003C3F6A">
            <w:pPr>
              <w:pStyle w:val="02Tabletext"/>
            </w:pPr>
            <w:r w:rsidRPr="00A0513E">
              <w:t xml:space="preserve">and </w:t>
            </w:r>
          </w:p>
          <w:p w14:paraId="22B26B17" w14:textId="77777777" w:rsidR="00CA7016" w:rsidRDefault="00CA7016" w:rsidP="003C3F6A">
            <w:pPr>
              <w:pStyle w:val="02Tabletext"/>
            </w:pPr>
          </w:p>
          <w:p w14:paraId="31C31DA2" w14:textId="77777777" w:rsidR="00CA7016" w:rsidRPr="00A0513E" w:rsidRDefault="00CA7016" w:rsidP="003C3F6A">
            <w:pPr>
              <w:pStyle w:val="02Tabletext"/>
            </w:pPr>
            <w:r w:rsidRPr="00A0513E">
              <w:lastRenderedPageBreak/>
              <w:t>69381 (merge)</w:t>
            </w:r>
          </w:p>
        </w:tc>
        <w:tc>
          <w:tcPr>
            <w:tcW w:w="3828" w:type="dxa"/>
            <w:noWrap/>
          </w:tcPr>
          <w:p w14:paraId="2554A63F" w14:textId="77777777" w:rsidR="00CA7016" w:rsidRDefault="00CA7016" w:rsidP="003C3F6A">
            <w:pPr>
              <w:pStyle w:val="02Tabletext"/>
            </w:pPr>
            <w:r w:rsidRPr="00C32BFD">
              <w:lastRenderedPageBreak/>
              <w:t>Quantitation of HIV viral RNA load in plasma or serum in the monitoring of a HIV seropositive patient not on antiretroviral therapy - 1 or more tests</w:t>
            </w:r>
          </w:p>
          <w:p w14:paraId="3B7A82EC" w14:textId="77777777" w:rsidR="00CA7016" w:rsidRPr="00A0513E" w:rsidRDefault="00CA7016" w:rsidP="003C3F6A">
            <w:pPr>
              <w:pStyle w:val="02Tabletext"/>
            </w:pPr>
            <w:r w:rsidRPr="00A0513E">
              <w:lastRenderedPageBreak/>
              <w:t>and</w:t>
            </w:r>
          </w:p>
          <w:p w14:paraId="65FD6EE0" w14:textId="77777777" w:rsidR="00CA7016" w:rsidRPr="00A0513E" w:rsidRDefault="00CA7016" w:rsidP="003C3F6A">
            <w:pPr>
              <w:pStyle w:val="02Tabletext"/>
            </w:pPr>
            <w:r w:rsidRPr="00A0513E">
              <w:t xml:space="preserve">Quantitation of HIV viral RNA load in plasma or serum </w:t>
            </w:r>
            <w:r w:rsidRPr="00EA522E">
              <w:rPr>
                <w:u w:val="single"/>
              </w:rPr>
              <w:t>in the monitoring of antiretroviral therapy</w:t>
            </w:r>
            <w:r w:rsidRPr="00A0513E">
              <w:t xml:space="preserve"> in a HIV seropositive patient - 1 or more tests on 1 or more specimens</w:t>
            </w:r>
          </w:p>
        </w:tc>
        <w:tc>
          <w:tcPr>
            <w:tcW w:w="4394" w:type="dxa"/>
            <w:noWrap/>
          </w:tcPr>
          <w:p w14:paraId="46936ABB" w14:textId="77777777" w:rsidR="00CA7016" w:rsidRPr="00A0513E" w:rsidRDefault="00CA7016" w:rsidP="003C3F6A">
            <w:pPr>
              <w:pStyle w:val="02Tabletext"/>
            </w:pPr>
            <w:r w:rsidRPr="00A0513E">
              <w:lastRenderedPageBreak/>
              <w:t>Quantitation of HIV viral RNA load in plasma or serum or other body fluids</w:t>
            </w:r>
            <w:r>
              <w:t>,</w:t>
            </w:r>
            <w:r w:rsidRPr="00A0513E">
              <w:t xml:space="preserve"> including CSF in a</w:t>
            </w:r>
            <w:r>
              <w:t>n</w:t>
            </w:r>
            <w:r w:rsidRPr="00A0513E">
              <w:t xml:space="preserve"> HIV</w:t>
            </w:r>
            <w:r>
              <w:t>-</w:t>
            </w:r>
            <w:r w:rsidRPr="00A0513E">
              <w:t>seropositive patient - 1 or more tests on 1 or more specimens.</w:t>
            </w:r>
          </w:p>
        </w:tc>
      </w:tr>
      <w:tr w:rsidR="00CA7016" w:rsidRPr="00B96BC0" w14:paraId="01149C99" w14:textId="77777777" w:rsidTr="003C3F6A">
        <w:trPr>
          <w:trHeight w:val="300"/>
        </w:trPr>
        <w:tc>
          <w:tcPr>
            <w:tcW w:w="987" w:type="dxa"/>
            <w:noWrap/>
          </w:tcPr>
          <w:p w14:paraId="5E49042C" w14:textId="77777777" w:rsidR="00CA7016" w:rsidRDefault="00CA7016" w:rsidP="003C3F6A">
            <w:pPr>
              <w:pStyle w:val="02Tabletext"/>
            </w:pPr>
            <w:r>
              <w:t xml:space="preserve">69379 </w:t>
            </w:r>
          </w:p>
          <w:p w14:paraId="3231E36D" w14:textId="77777777" w:rsidR="00CA7016" w:rsidRDefault="00CA7016" w:rsidP="003C3F6A">
            <w:pPr>
              <w:pStyle w:val="02Tabletext"/>
            </w:pPr>
          </w:p>
          <w:p w14:paraId="3EEEA577" w14:textId="77777777" w:rsidR="00CA7016" w:rsidRDefault="00CA7016" w:rsidP="003C3F6A">
            <w:pPr>
              <w:pStyle w:val="02Tabletext"/>
            </w:pPr>
            <w:r>
              <w:t xml:space="preserve">and </w:t>
            </w:r>
          </w:p>
          <w:p w14:paraId="644E8A0A" w14:textId="77777777" w:rsidR="00CA7016" w:rsidRDefault="00CA7016" w:rsidP="003C3F6A">
            <w:pPr>
              <w:pStyle w:val="02Tabletext"/>
            </w:pPr>
          </w:p>
          <w:p w14:paraId="34128A3C" w14:textId="77777777" w:rsidR="00CA7016" w:rsidRPr="00C32BFD" w:rsidRDefault="00CA7016" w:rsidP="003C3F6A">
            <w:pPr>
              <w:pStyle w:val="02Tabletext"/>
            </w:pPr>
            <w:r>
              <w:t>69383 (merge)</w:t>
            </w:r>
          </w:p>
        </w:tc>
        <w:tc>
          <w:tcPr>
            <w:tcW w:w="3828" w:type="dxa"/>
            <w:noWrap/>
          </w:tcPr>
          <w:p w14:paraId="464DE927" w14:textId="77777777" w:rsidR="00CA7016" w:rsidRPr="00A0513E" w:rsidRDefault="00CA7016" w:rsidP="003C3F6A">
            <w:pPr>
              <w:pStyle w:val="02Tabletext"/>
            </w:pPr>
            <w:r w:rsidRPr="00A0513E">
              <w:t xml:space="preserve">A test described in </w:t>
            </w:r>
            <w:r w:rsidRPr="00312A4D">
              <w:rPr>
                <w:u w:val="single"/>
              </w:rPr>
              <w:t>item 69378</w:t>
            </w:r>
            <w:r w:rsidRPr="00A0513E">
              <w:t xml:space="preserve"> if rendered by a receiving APP -1 or more tests (Item is subject to rule 18</w:t>
            </w:r>
            <w:proofErr w:type="gramStart"/>
            <w:r w:rsidRPr="00A0513E">
              <w:t>);</w:t>
            </w:r>
            <w:proofErr w:type="gramEnd"/>
          </w:p>
          <w:p w14:paraId="35F65057" w14:textId="77777777" w:rsidR="00CA7016" w:rsidRDefault="00CA7016" w:rsidP="003C3F6A">
            <w:pPr>
              <w:pStyle w:val="02Tabletext"/>
            </w:pPr>
            <w:r>
              <w:t xml:space="preserve">and </w:t>
            </w:r>
          </w:p>
          <w:p w14:paraId="4574E4E9" w14:textId="77777777" w:rsidR="00CA7016" w:rsidRPr="00C32BFD" w:rsidRDefault="00CA7016" w:rsidP="003C3F6A">
            <w:pPr>
              <w:pStyle w:val="02Tabletext"/>
            </w:pPr>
            <w:r>
              <w:t xml:space="preserve">A </w:t>
            </w:r>
            <w:r w:rsidRPr="00C32BFD">
              <w:t xml:space="preserve">test described in </w:t>
            </w:r>
            <w:r w:rsidRPr="00312A4D">
              <w:rPr>
                <w:u w:val="single"/>
              </w:rPr>
              <w:t>item 69381</w:t>
            </w:r>
            <w:r w:rsidRPr="00C32BFD">
              <w:t xml:space="preserve"> if rendered by a receiving APP - 1 or more tests on 1 or more specimens (Item is subject to rule 18)</w:t>
            </w:r>
          </w:p>
        </w:tc>
        <w:tc>
          <w:tcPr>
            <w:tcW w:w="4394" w:type="dxa"/>
            <w:noWrap/>
          </w:tcPr>
          <w:p w14:paraId="307E872D" w14:textId="77777777" w:rsidR="00CA7016" w:rsidRPr="00A0513E" w:rsidRDefault="00CA7016" w:rsidP="003C3F6A">
            <w:pPr>
              <w:pStyle w:val="02Tabletext"/>
            </w:pPr>
            <w:r w:rsidRPr="00C32BFD">
              <w:t xml:space="preserve">A test described in item </w:t>
            </w:r>
            <w:r>
              <w:t>(merged 69378 and 69381)</w:t>
            </w:r>
            <w:r w:rsidRPr="00C32BFD">
              <w:t xml:space="preserve"> if rendered by a receiving APP - 1 or more tests on 1 or more specimens (Item is subject to rule 18)</w:t>
            </w:r>
          </w:p>
        </w:tc>
      </w:tr>
    </w:tbl>
    <w:p w14:paraId="0EC8457E" w14:textId="77777777" w:rsidR="00CA7016" w:rsidRPr="00A0513E" w:rsidRDefault="00CA7016" w:rsidP="00CA7016">
      <w:pPr>
        <w:pStyle w:val="Heading2"/>
      </w:pPr>
      <w:bookmarkStart w:id="386" w:name="_Toc487621093"/>
      <w:bookmarkStart w:id="387" w:name="_Toc483989386"/>
      <w:bookmarkStart w:id="388" w:name="_Toc486939209"/>
      <w:bookmarkStart w:id="389" w:name="_Ref487642236"/>
      <w:bookmarkStart w:id="390" w:name="_Ref487643281"/>
      <w:bookmarkStart w:id="391" w:name="_Ref487786134"/>
      <w:bookmarkStart w:id="392" w:name="_Ref487786168"/>
      <w:bookmarkStart w:id="393" w:name="_Ref487788001"/>
      <w:bookmarkStart w:id="394" w:name="_Ref487788023"/>
      <w:bookmarkStart w:id="395" w:name="_Ref487788281"/>
      <w:bookmarkStart w:id="396" w:name="_Ref487788288"/>
      <w:bookmarkStart w:id="397" w:name="_Ref487789433"/>
      <w:bookmarkStart w:id="398" w:name="_Ref487789440"/>
      <w:bookmarkStart w:id="399" w:name="_Ref487789637"/>
      <w:bookmarkStart w:id="400" w:name="_Ref487790029"/>
      <w:bookmarkStart w:id="401" w:name="_Ref487790039"/>
      <w:bookmarkStart w:id="402" w:name="_Toc12886603"/>
      <w:bookmarkEnd w:id="386"/>
      <w:r w:rsidRPr="00A0513E">
        <w:t>No changes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41EB72F" w14:textId="77777777" w:rsidR="00CA7016" w:rsidRPr="00B96BC0" w:rsidRDefault="00CA7016" w:rsidP="00CA7016">
      <w:r w:rsidRPr="00B96BC0">
        <w:t xml:space="preserve">The Committee recommends that the MBS items listed below do not require amendment, as they are clinically appropriate. </w:t>
      </w:r>
    </w:p>
    <w:p w14:paraId="19666533" w14:textId="77777777" w:rsidR="00CA7016" w:rsidRPr="00B96BC0" w:rsidRDefault="00CA7016" w:rsidP="00CA7016">
      <w:pPr>
        <w:pStyle w:val="Caption"/>
      </w:pPr>
      <w:bookmarkStart w:id="403" w:name="_Toc484598368"/>
      <w:bookmarkStart w:id="404" w:name="_Toc486935632"/>
      <w:bookmarkStart w:id="405" w:name="_Toc12953485"/>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35</w:t>
      </w:r>
      <w:r w:rsidR="00BB490A">
        <w:rPr>
          <w:noProof/>
        </w:rPr>
        <w:fldChar w:fldCharType="end"/>
      </w:r>
      <w:r>
        <w:t xml:space="preserve">: </w:t>
      </w:r>
      <w:r w:rsidRPr="00B96BC0">
        <w:t>Item introduction table for items requiring no changes</w:t>
      </w:r>
      <w:bookmarkEnd w:id="403"/>
      <w:bookmarkEnd w:id="404"/>
      <w:bookmarkEnd w:id="405"/>
    </w:p>
    <w:tbl>
      <w:tblPr>
        <w:tblStyle w:val="TableGrid"/>
        <w:tblW w:w="9322" w:type="dxa"/>
        <w:tblLayout w:type="fixed"/>
        <w:tblLook w:val="04A0" w:firstRow="1" w:lastRow="0" w:firstColumn="1" w:lastColumn="0" w:noHBand="0" w:noVBand="1"/>
        <w:tblDescription w:val="This table lists the descriptors, schedule fees and numbers of services provided in 2014-15 for items that do not require amendment."/>
      </w:tblPr>
      <w:tblGrid>
        <w:gridCol w:w="965"/>
        <w:gridCol w:w="5522"/>
        <w:gridCol w:w="1701"/>
        <w:gridCol w:w="1134"/>
      </w:tblGrid>
      <w:tr w:rsidR="00CA7016" w:rsidRPr="00B96BC0" w14:paraId="1AC975A1" w14:textId="77777777" w:rsidTr="003C3F6A">
        <w:trPr>
          <w:tblHeader/>
        </w:trPr>
        <w:tc>
          <w:tcPr>
            <w:tcW w:w="965" w:type="dxa"/>
            <w:shd w:val="clear" w:color="auto" w:fill="EEECE1" w:themeFill="background2"/>
            <w:vAlign w:val="bottom"/>
          </w:tcPr>
          <w:p w14:paraId="08450C91" w14:textId="77777777" w:rsidR="00CA7016" w:rsidRPr="00A0513E" w:rsidRDefault="00CA7016" w:rsidP="003C3F6A">
            <w:pPr>
              <w:pStyle w:val="01Tableheaderrow"/>
            </w:pPr>
            <w:r w:rsidRPr="00A0513E">
              <w:t>Item</w:t>
            </w:r>
          </w:p>
        </w:tc>
        <w:tc>
          <w:tcPr>
            <w:tcW w:w="5522" w:type="dxa"/>
            <w:shd w:val="clear" w:color="auto" w:fill="EEECE1" w:themeFill="background2"/>
            <w:vAlign w:val="bottom"/>
          </w:tcPr>
          <w:p w14:paraId="5BFFC6E4" w14:textId="77777777" w:rsidR="00CA7016" w:rsidRPr="00A0513E" w:rsidRDefault="00CA7016" w:rsidP="003C3F6A">
            <w:pPr>
              <w:pStyle w:val="01Tableheaderrow"/>
            </w:pPr>
            <w:r w:rsidRPr="00A0513E">
              <w:t>Item descriptor</w:t>
            </w:r>
          </w:p>
        </w:tc>
        <w:tc>
          <w:tcPr>
            <w:tcW w:w="1701" w:type="dxa"/>
            <w:shd w:val="clear" w:color="auto" w:fill="EEECE1" w:themeFill="background2"/>
            <w:vAlign w:val="bottom"/>
          </w:tcPr>
          <w:p w14:paraId="7E7E0176" w14:textId="77777777" w:rsidR="00CA7016" w:rsidRPr="00A0513E" w:rsidRDefault="00CA7016" w:rsidP="003C3F6A">
            <w:pPr>
              <w:pStyle w:val="01Tableheaderrow"/>
            </w:pPr>
            <w:r w:rsidRPr="00A0513E">
              <w:t>Schedule fee</w:t>
            </w:r>
          </w:p>
        </w:tc>
        <w:tc>
          <w:tcPr>
            <w:tcW w:w="1134" w:type="dxa"/>
            <w:shd w:val="clear" w:color="auto" w:fill="EEECE1" w:themeFill="background2"/>
            <w:vAlign w:val="bottom"/>
          </w:tcPr>
          <w:p w14:paraId="430B124A" w14:textId="77777777" w:rsidR="00CA7016" w:rsidRPr="00A0513E" w:rsidRDefault="00CA7016" w:rsidP="003C3F6A">
            <w:pPr>
              <w:pStyle w:val="01Tableheaderrow"/>
            </w:pPr>
            <w:r w:rsidRPr="00A0513E">
              <w:t>Services (2014–15)</w:t>
            </w:r>
          </w:p>
        </w:tc>
      </w:tr>
      <w:tr w:rsidR="00CA7016" w:rsidRPr="00B96BC0" w14:paraId="4796A8A3" w14:textId="77777777" w:rsidTr="003C3F6A">
        <w:tc>
          <w:tcPr>
            <w:tcW w:w="965" w:type="dxa"/>
          </w:tcPr>
          <w:p w14:paraId="3DB265AC" w14:textId="77777777" w:rsidR="00CA7016" w:rsidRPr="00A0513E" w:rsidRDefault="00CA7016" w:rsidP="003C3F6A">
            <w:pPr>
              <w:pStyle w:val="02Tabletext"/>
            </w:pPr>
            <w:r>
              <w:t>69309</w:t>
            </w:r>
          </w:p>
        </w:tc>
        <w:tc>
          <w:tcPr>
            <w:tcW w:w="5522" w:type="dxa"/>
          </w:tcPr>
          <w:p w14:paraId="7FF35C8F" w14:textId="77777777" w:rsidR="00CA7016" w:rsidRPr="00A0513E" w:rsidRDefault="00CA7016" w:rsidP="003C3F6A">
            <w:pPr>
              <w:pStyle w:val="02Tabletext"/>
            </w:pPr>
            <w:r w:rsidRPr="00A0513E">
              <w:t>Microscopy and culture to detect dermatophytes and other fungi causing cutaneous disease from skin scrapings, skin biopsies, hair and nails (excluding swab specimens) and including (if performed): (a) the detection of antigens not elsewhere specified in this Table; or (b) a service described in items 69300, 69303, 69306, 69312, 69318; 1 or more tests on 1 or more specimens</w:t>
            </w:r>
          </w:p>
        </w:tc>
        <w:tc>
          <w:tcPr>
            <w:tcW w:w="1701" w:type="dxa"/>
          </w:tcPr>
          <w:p w14:paraId="3632DB6D" w14:textId="77777777" w:rsidR="00CA7016" w:rsidRPr="00A0513E" w:rsidRDefault="00CA7016" w:rsidP="003C3F6A">
            <w:pPr>
              <w:pStyle w:val="02Tabletext"/>
              <w:jc w:val="right"/>
            </w:pPr>
            <w:r>
              <w:t>$48.15</w:t>
            </w:r>
          </w:p>
        </w:tc>
        <w:tc>
          <w:tcPr>
            <w:tcW w:w="1134" w:type="dxa"/>
          </w:tcPr>
          <w:p w14:paraId="5818B9A4" w14:textId="77777777" w:rsidR="00CA7016" w:rsidRPr="00A0513E" w:rsidRDefault="00CA7016">
            <w:pPr>
              <w:pStyle w:val="02Tabletext"/>
              <w:jc w:val="right"/>
            </w:pPr>
            <w:r w:rsidRPr="002B4370">
              <w:t>215 051</w:t>
            </w:r>
          </w:p>
        </w:tc>
      </w:tr>
      <w:tr w:rsidR="00CA7016" w:rsidRPr="00B96BC0" w14:paraId="4BF8974C" w14:textId="77777777" w:rsidTr="003C3F6A">
        <w:tc>
          <w:tcPr>
            <w:tcW w:w="965" w:type="dxa"/>
          </w:tcPr>
          <w:p w14:paraId="79D049CE" w14:textId="77777777" w:rsidR="00CA7016" w:rsidRPr="00A0513E" w:rsidRDefault="00CA7016" w:rsidP="003C3F6A">
            <w:pPr>
              <w:pStyle w:val="02Tabletext"/>
            </w:pPr>
            <w:r w:rsidRPr="00A0513E">
              <w:t>69324</w:t>
            </w:r>
          </w:p>
        </w:tc>
        <w:tc>
          <w:tcPr>
            <w:tcW w:w="5522" w:type="dxa"/>
          </w:tcPr>
          <w:p w14:paraId="46AC66CF" w14:textId="77777777" w:rsidR="00CA7016" w:rsidRPr="00A0513E" w:rsidRDefault="00CA7016" w:rsidP="003C3F6A">
            <w:pPr>
              <w:pStyle w:val="02Tabletext"/>
            </w:pPr>
            <w:r w:rsidRPr="00A0513E">
              <w:t>Microscopy (with appropriate stains) and culture for mycobacteria - 1 specimen of sputum, urine, or other body fluid or 1 operative or biopsy specimen, including (if performed):</w:t>
            </w:r>
            <w:r w:rsidRPr="00A0513E">
              <w:br/>
              <w:t>(a) microscopy and culture of other bacterial pathogens isolated as a result of this procedure; or</w:t>
            </w:r>
            <w:r w:rsidRPr="00A0513E">
              <w:br/>
              <w:t>(b) pathogen identification and antibiotic susceptibility testing; including a service mentioned in item 69300</w:t>
            </w:r>
          </w:p>
        </w:tc>
        <w:tc>
          <w:tcPr>
            <w:tcW w:w="1701" w:type="dxa"/>
          </w:tcPr>
          <w:p w14:paraId="5EF10085" w14:textId="77777777" w:rsidR="00CA7016" w:rsidRPr="00A0513E" w:rsidRDefault="00CA7016" w:rsidP="003C3F6A">
            <w:pPr>
              <w:pStyle w:val="02Tabletext"/>
              <w:jc w:val="right"/>
            </w:pPr>
            <w:r w:rsidRPr="00A0513E">
              <w:t>$43.00</w:t>
            </w:r>
          </w:p>
        </w:tc>
        <w:tc>
          <w:tcPr>
            <w:tcW w:w="1134" w:type="dxa"/>
          </w:tcPr>
          <w:p w14:paraId="5EADC8AE" w14:textId="77777777" w:rsidR="00CA7016" w:rsidRPr="00A0513E" w:rsidRDefault="00CA7016" w:rsidP="003C3F6A">
            <w:pPr>
              <w:pStyle w:val="02Tabletext"/>
              <w:jc w:val="right"/>
            </w:pPr>
            <w:r w:rsidRPr="00A0513E">
              <w:t>30</w:t>
            </w:r>
            <w:r>
              <w:t xml:space="preserve"> </w:t>
            </w:r>
            <w:r w:rsidRPr="00A0513E">
              <w:t>782</w:t>
            </w:r>
          </w:p>
        </w:tc>
      </w:tr>
      <w:tr w:rsidR="00CA7016" w:rsidRPr="00B96BC0" w14:paraId="57C5553B" w14:textId="77777777" w:rsidTr="003C3F6A">
        <w:tc>
          <w:tcPr>
            <w:tcW w:w="965" w:type="dxa"/>
          </w:tcPr>
          <w:p w14:paraId="1AD12184" w14:textId="77777777" w:rsidR="00CA7016" w:rsidRPr="00A0513E" w:rsidRDefault="00CA7016" w:rsidP="003C3F6A">
            <w:pPr>
              <w:pStyle w:val="02Tabletext"/>
            </w:pPr>
            <w:r w:rsidRPr="00A0513E">
              <w:t>69325</w:t>
            </w:r>
          </w:p>
        </w:tc>
        <w:tc>
          <w:tcPr>
            <w:tcW w:w="5522" w:type="dxa"/>
          </w:tcPr>
          <w:p w14:paraId="63FF95CD" w14:textId="77777777" w:rsidR="00CA7016" w:rsidRPr="00A0513E" w:rsidRDefault="00CA7016" w:rsidP="003C3F6A">
            <w:pPr>
              <w:pStyle w:val="02Tabletext"/>
            </w:pPr>
            <w:r w:rsidRPr="00A0513E">
              <w:t>A test described in item 69324 if rendered by a receiving APP (Item is subject to rule 18)</w:t>
            </w:r>
          </w:p>
        </w:tc>
        <w:tc>
          <w:tcPr>
            <w:tcW w:w="1701" w:type="dxa"/>
          </w:tcPr>
          <w:p w14:paraId="5F22B2EF" w14:textId="77777777" w:rsidR="00CA7016" w:rsidRPr="00A0513E" w:rsidRDefault="00CA7016" w:rsidP="003C3F6A">
            <w:pPr>
              <w:pStyle w:val="02Tabletext"/>
              <w:jc w:val="right"/>
            </w:pPr>
            <w:r w:rsidRPr="00A0513E">
              <w:t xml:space="preserve">$43.00 </w:t>
            </w:r>
          </w:p>
        </w:tc>
        <w:tc>
          <w:tcPr>
            <w:tcW w:w="1134" w:type="dxa"/>
          </w:tcPr>
          <w:p w14:paraId="51377661" w14:textId="77777777" w:rsidR="00CA7016" w:rsidRPr="00A0513E" w:rsidRDefault="00CA7016" w:rsidP="003C3F6A">
            <w:pPr>
              <w:pStyle w:val="02Tabletext"/>
              <w:jc w:val="right"/>
            </w:pPr>
            <w:r w:rsidRPr="00A0513E">
              <w:t>3</w:t>
            </w:r>
            <w:r>
              <w:t xml:space="preserve"> </w:t>
            </w:r>
            <w:r w:rsidRPr="00A0513E">
              <w:t>790</w:t>
            </w:r>
          </w:p>
        </w:tc>
      </w:tr>
      <w:tr w:rsidR="00CA7016" w:rsidRPr="00B96BC0" w14:paraId="5DD0325A" w14:textId="77777777" w:rsidTr="003C3F6A">
        <w:tc>
          <w:tcPr>
            <w:tcW w:w="965" w:type="dxa"/>
          </w:tcPr>
          <w:p w14:paraId="4863AB26" w14:textId="77777777" w:rsidR="00CA7016" w:rsidRPr="00A0513E" w:rsidRDefault="00CA7016" w:rsidP="003C3F6A">
            <w:pPr>
              <w:pStyle w:val="02Tabletext"/>
            </w:pPr>
            <w:r w:rsidRPr="00A0513E">
              <w:t>69327</w:t>
            </w:r>
          </w:p>
        </w:tc>
        <w:tc>
          <w:tcPr>
            <w:tcW w:w="5522" w:type="dxa"/>
          </w:tcPr>
          <w:p w14:paraId="32A9AE2B" w14:textId="77777777" w:rsidR="00CA7016" w:rsidRPr="00A0513E" w:rsidRDefault="00CA7016" w:rsidP="003C3F6A">
            <w:pPr>
              <w:pStyle w:val="02Tabletext"/>
            </w:pPr>
            <w:r w:rsidRPr="00A0513E">
              <w:t>Microscopy (with appropriate stains) and culture for mycobacteria - 2 specimens of sputum, urine, or other body fluid or 2 operative or biopsy specimens, including (if performed):</w:t>
            </w:r>
            <w:r w:rsidRPr="00A0513E">
              <w:br/>
              <w:t>(a) microscopy and culture of other bacterial pathogens isolated as a result of this procedure; or</w:t>
            </w:r>
            <w:r w:rsidRPr="00A0513E">
              <w:br/>
              <w:t>(b) pathogen identification and antibiotic susceptibility testing; including a service mentioned in item 69300</w:t>
            </w:r>
          </w:p>
        </w:tc>
        <w:tc>
          <w:tcPr>
            <w:tcW w:w="1701" w:type="dxa"/>
          </w:tcPr>
          <w:p w14:paraId="328B6789" w14:textId="77777777" w:rsidR="00CA7016" w:rsidRPr="00A0513E" w:rsidRDefault="00CA7016" w:rsidP="003C3F6A">
            <w:pPr>
              <w:pStyle w:val="02Tabletext"/>
              <w:jc w:val="right"/>
            </w:pPr>
            <w:r w:rsidRPr="00A0513E">
              <w:t xml:space="preserve">$85.00 </w:t>
            </w:r>
          </w:p>
        </w:tc>
        <w:tc>
          <w:tcPr>
            <w:tcW w:w="1134" w:type="dxa"/>
          </w:tcPr>
          <w:p w14:paraId="290FCA4A" w14:textId="77777777" w:rsidR="00CA7016" w:rsidRPr="00A0513E" w:rsidRDefault="00CA7016" w:rsidP="003C3F6A">
            <w:pPr>
              <w:pStyle w:val="02Tabletext"/>
              <w:jc w:val="right"/>
            </w:pPr>
            <w:r w:rsidRPr="00A0513E">
              <w:t>4</w:t>
            </w:r>
            <w:r>
              <w:t xml:space="preserve"> </w:t>
            </w:r>
            <w:r w:rsidRPr="00A0513E">
              <w:t>510</w:t>
            </w:r>
          </w:p>
        </w:tc>
      </w:tr>
      <w:tr w:rsidR="00CA7016" w:rsidRPr="00B96BC0" w14:paraId="3A257EB1" w14:textId="77777777" w:rsidTr="003C3F6A">
        <w:tc>
          <w:tcPr>
            <w:tcW w:w="965" w:type="dxa"/>
          </w:tcPr>
          <w:p w14:paraId="17288CC0" w14:textId="77777777" w:rsidR="00CA7016" w:rsidRPr="00A0513E" w:rsidRDefault="00CA7016" w:rsidP="003C3F6A">
            <w:pPr>
              <w:pStyle w:val="02Tabletext"/>
            </w:pPr>
            <w:r w:rsidRPr="00A0513E">
              <w:t>69328</w:t>
            </w:r>
          </w:p>
        </w:tc>
        <w:tc>
          <w:tcPr>
            <w:tcW w:w="5522" w:type="dxa"/>
          </w:tcPr>
          <w:p w14:paraId="09AC645D" w14:textId="77777777" w:rsidR="00CA7016" w:rsidRPr="00A0513E" w:rsidRDefault="00CA7016" w:rsidP="003C3F6A">
            <w:pPr>
              <w:pStyle w:val="02Tabletext"/>
            </w:pPr>
            <w:r w:rsidRPr="00A0513E">
              <w:t>A test described in item 69327 if rendered by a receiving APP (Item is subject to rule 18)</w:t>
            </w:r>
          </w:p>
        </w:tc>
        <w:tc>
          <w:tcPr>
            <w:tcW w:w="1701" w:type="dxa"/>
          </w:tcPr>
          <w:p w14:paraId="3593099F" w14:textId="77777777" w:rsidR="00CA7016" w:rsidRPr="00A0513E" w:rsidRDefault="00CA7016" w:rsidP="003C3F6A">
            <w:pPr>
              <w:pStyle w:val="02Tabletext"/>
              <w:jc w:val="right"/>
            </w:pPr>
            <w:r w:rsidRPr="00A0513E">
              <w:t xml:space="preserve">$85.00 </w:t>
            </w:r>
          </w:p>
        </w:tc>
        <w:tc>
          <w:tcPr>
            <w:tcW w:w="1134" w:type="dxa"/>
          </w:tcPr>
          <w:p w14:paraId="64E4D753" w14:textId="77777777" w:rsidR="00CA7016" w:rsidRPr="00A0513E" w:rsidRDefault="00CA7016" w:rsidP="003C3F6A">
            <w:pPr>
              <w:pStyle w:val="02Tabletext"/>
              <w:jc w:val="right"/>
            </w:pPr>
            <w:r w:rsidRPr="00A0513E">
              <w:t>398</w:t>
            </w:r>
          </w:p>
        </w:tc>
      </w:tr>
      <w:tr w:rsidR="00CA7016" w:rsidRPr="00B96BC0" w14:paraId="4BCCA110" w14:textId="77777777" w:rsidTr="003C3F6A">
        <w:tc>
          <w:tcPr>
            <w:tcW w:w="965" w:type="dxa"/>
          </w:tcPr>
          <w:p w14:paraId="4B7A2996" w14:textId="77777777" w:rsidR="00CA7016" w:rsidRPr="00A0513E" w:rsidRDefault="00CA7016" w:rsidP="003C3F6A">
            <w:pPr>
              <w:pStyle w:val="02Tabletext"/>
            </w:pPr>
            <w:r w:rsidRPr="00A0513E">
              <w:t>69330</w:t>
            </w:r>
          </w:p>
        </w:tc>
        <w:tc>
          <w:tcPr>
            <w:tcW w:w="5522" w:type="dxa"/>
          </w:tcPr>
          <w:p w14:paraId="289A3ECD" w14:textId="77777777" w:rsidR="00CA7016" w:rsidRPr="00A0513E" w:rsidRDefault="00CA7016" w:rsidP="003C3F6A">
            <w:pPr>
              <w:pStyle w:val="02Tabletext"/>
            </w:pPr>
            <w:r w:rsidRPr="00A0513E">
              <w:t>Microscopy (with appropriate stains) and culture for mycobacteria - 3 specimens of sputum, urine, or other body fluid or 3 operative or biopsy specimens, including (if performed):</w:t>
            </w:r>
            <w:r w:rsidRPr="00A0513E">
              <w:br/>
              <w:t>(a) microscopy and culture of other bacterial pathogens isolated as a result of this procedure; or</w:t>
            </w:r>
            <w:r w:rsidRPr="00A0513E">
              <w:br/>
              <w:t>(b) pathogen identification and antibiotic susceptibility testing; including a service mentioned in item 69300</w:t>
            </w:r>
          </w:p>
        </w:tc>
        <w:tc>
          <w:tcPr>
            <w:tcW w:w="1701" w:type="dxa"/>
          </w:tcPr>
          <w:p w14:paraId="40681A1C" w14:textId="77777777" w:rsidR="00CA7016" w:rsidRPr="00A0513E" w:rsidRDefault="00CA7016" w:rsidP="003C3F6A">
            <w:pPr>
              <w:pStyle w:val="02Tabletext"/>
              <w:jc w:val="right"/>
            </w:pPr>
            <w:r w:rsidRPr="00A0513E">
              <w:t xml:space="preserve">$128.00 </w:t>
            </w:r>
          </w:p>
        </w:tc>
        <w:tc>
          <w:tcPr>
            <w:tcW w:w="1134" w:type="dxa"/>
          </w:tcPr>
          <w:p w14:paraId="74BE83A1" w14:textId="77777777" w:rsidR="00CA7016" w:rsidRPr="00A0513E" w:rsidRDefault="00CA7016" w:rsidP="003C3F6A">
            <w:pPr>
              <w:pStyle w:val="02Tabletext"/>
              <w:jc w:val="right"/>
            </w:pPr>
            <w:r w:rsidRPr="00A0513E">
              <w:t>7</w:t>
            </w:r>
            <w:r>
              <w:t xml:space="preserve"> </w:t>
            </w:r>
            <w:r w:rsidRPr="00A0513E">
              <w:t>948</w:t>
            </w:r>
          </w:p>
        </w:tc>
      </w:tr>
      <w:tr w:rsidR="00CA7016" w:rsidRPr="00B96BC0" w14:paraId="4A13E9A4" w14:textId="77777777" w:rsidTr="003C3F6A">
        <w:tc>
          <w:tcPr>
            <w:tcW w:w="965" w:type="dxa"/>
          </w:tcPr>
          <w:p w14:paraId="044BBA1C" w14:textId="77777777" w:rsidR="00CA7016" w:rsidRPr="00A0513E" w:rsidRDefault="00CA7016" w:rsidP="003C3F6A">
            <w:pPr>
              <w:pStyle w:val="02Tabletext"/>
            </w:pPr>
            <w:r w:rsidRPr="00A0513E">
              <w:t>69331</w:t>
            </w:r>
          </w:p>
        </w:tc>
        <w:tc>
          <w:tcPr>
            <w:tcW w:w="5522" w:type="dxa"/>
          </w:tcPr>
          <w:p w14:paraId="682F68BC" w14:textId="77777777" w:rsidR="00CA7016" w:rsidRPr="00A0513E" w:rsidRDefault="00CA7016" w:rsidP="003C3F6A">
            <w:pPr>
              <w:pStyle w:val="02Tabletext"/>
            </w:pPr>
            <w:r w:rsidRPr="00A0513E">
              <w:t>A test described in item 69330 if rendered by a receiving APP (Item is subject to rule 18)</w:t>
            </w:r>
          </w:p>
        </w:tc>
        <w:tc>
          <w:tcPr>
            <w:tcW w:w="1701" w:type="dxa"/>
          </w:tcPr>
          <w:p w14:paraId="7DD1E6B5" w14:textId="77777777" w:rsidR="00CA7016" w:rsidRPr="00A0513E" w:rsidRDefault="00CA7016" w:rsidP="003C3F6A">
            <w:pPr>
              <w:pStyle w:val="02Tabletext"/>
              <w:jc w:val="right"/>
            </w:pPr>
            <w:r w:rsidRPr="00A0513E">
              <w:t xml:space="preserve">$128.00 </w:t>
            </w:r>
          </w:p>
        </w:tc>
        <w:tc>
          <w:tcPr>
            <w:tcW w:w="1134" w:type="dxa"/>
          </w:tcPr>
          <w:p w14:paraId="788CBBF7" w14:textId="77777777" w:rsidR="00CA7016" w:rsidRPr="00A0513E" w:rsidRDefault="00CA7016" w:rsidP="003C3F6A">
            <w:pPr>
              <w:pStyle w:val="02Tabletext"/>
              <w:jc w:val="right"/>
            </w:pPr>
            <w:r w:rsidRPr="00A0513E">
              <w:t>208</w:t>
            </w:r>
          </w:p>
        </w:tc>
      </w:tr>
      <w:tr w:rsidR="00CA7016" w:rsidRPr="00B96BC0" w14:paraId="3752A305" w14:textId="77777777" w:rsidTr="003C3F6A">
        <w:tc>
          <w:tcPr>
            <w:tcW w:w="965" w:type="dxa"/>
          </w:tcPr>
          <w:p w14:paraId="78F71C9B" w14:textId="77777777" w:rsidR="00CA7016" w:rsidRPr="00A0513E" w:rsidRDefault="00CA7016" w:rsidP="003C3F6A">
            <w:pPr>
              <w:pStyle w:val="02Tabletext"/>
            </w:pPr>
            <w:r w:rsidRPr="00A0513E">
              <w:t>69333</w:t>
            </w:r>
          </w:p>
        </w:tc>
        <w:tc>
          <w:tcPr>
            <w:tcW w:w="5522" w:type="dxa"/>
          </w:tcPr>
          <w:p w14:paraId="3B1152F5" w14:textId="77777777" w:rsidR="00CA7016" w:rsidRPr="00A0513E" w:rsidRDefault="00CA7016" w:rsidP="003C3F6A">
            <w:pPr>
              <w:pStyle w:val="02Tabletext"/>
            </w:pPr>
            <w:r w:rsidRPr="00A0513E">
              <w:t>Urine examination (including serial examination) by any means other than simple culture by dip slide, including: (a) cell count; and (b) culture; and (c) colony count; and (d) (if performed) stained preparations; and (e) (if performed) identification of cultured pathogens; and (f) (if performed) antibiotic susceptibility testing; and (g) (if performed) examination for pH, specific gravity, blood, protein, urobilinogen, sugar, acetone or bile salts</w:t>
            </w:r>
          </w:p>
        </w:tc>
        <w:tc>
          <w:tcPr>
            <w:tcW w:w="1701" w:type="dxa"/>
          </w:tcPr>
          <w:p w14:paraId="22A8432B" w14:textId="77777777" w:rsidR="00CA7016" w:rsidRPr="00A0513E" w:rsidRDefault="00CA7016" w:rsidP="003C3F6A">
            <w:pPr>
              <w:pStyle w:val="02Tabletext"/>
              <w:jc w:val="right"/>
            </w:pPr>
            <w:r w:rsidRPr="00A0513E">
              <w:t xml:space="preserve">$20.55 </w:t>
            </w:r>
          </w:p>
        </w:tc>
        <w:tc>
          <w:tcPr>
            <w:tcW w:w="1134" w:type="dxa"/>
          </w:tcPr>
          <w:p w14:paraId="2C258B02" w14:textId="77777777" w:rsidR="00CA7016" w:rsidRPr="00A0513E" w:rsidRDefault="00CA7016" w:rsidP="003C3F6A">
            <w:pPr>
              <w:pStyle w:val="02Tabletext"/>
              <w:jc w:val="right"/>
            </w:pPr>
            <w:r w:rsidRPr="00A0513E">
              <w:t>4</w:t>
            </w:r>
            <w:r>
              <w:t xml:space="preserve"> </w:t>
            </w:r>
            <w:r w:rsidRPr="00A0513E">
              <w:t>371</w:t>
            </w:r>
            <w:r>
              <w:t xml:space="preserve"> </w:t>
            </w:r>
            <w:r w:rsidRPr="00A0513E">
              <w:t>099</w:t>
            </w:r>
          </w:p>
        </w:tc>
      </w:tr>
      <w:tr w:rsidR="00CA7016" w:rsidRPr="00B96BC0" w14:paraId="70B54AC7" w14:textId="77777777" w:rsidTr="003C3F6A">
        <w:tc>
          <w:tcPr>
            <w:tcW w:w="965" w:type="dxa"/>
          </w:tcPr>
          <w:p w14:paraId="7844C1BE" w14:textId="77777777" w:rsidR="00CA7016" w:rsidRPr="00A0513E" w:rsidRDefault="00CA7016" w:rsidP="003C3F6A">
            <w:pPr>
              <w:pStyle w:val="02Tabletext"/>
            </w:pPr>
            <w:r w:rsidRPr="00A0513E">
              <w:lastRenderedPageBreak/>
              <w:t>69354</w:t>
            </w:r>
          </w:p>
        </w:tc>
        <w:tc>
          <w:tcPr>
            <w:tcW w:w="5522" w:type="dxa"/>
          </w:tcPr>
          <w:p w14:paraId="00C98871" w14:textId="77777777" w:rsidR="00CA7016" w:rsidRPr="00A0513E" w:rsidRDefault="00CA7016" w:rsidP="003C3F6A">
            <w:pPr>
              <w:pStyle w:val="02Tabletext"/>
            </w:pPr>
            <w:r w:rsidRPr="00A0513E">
              <w:t>Blood culture for pathogenic microorganisms (other than viruses), including sub-cultures and (if performed): (a)identification of any cultured pathogen; and (b) necessary antibiotic susceptibility testing; to a maximum of 3 sets of cultures - 1 set of cultures</w:t>
            </w:r>
          </w:p>
        </w:tc>
        <w:tc>
          <w:tcPr>
            <w:tcW w:w="1701" w:type="dxa"/>
          </w:tcPr>
          <w:p w14:paraId="4E84189D" w14:textId="77777777" w:rsidR="00CA7016" w:rsidRPr="00A0513E" w:rsidRDefault="00CA7016" w:rsidP="003C3F6A">
            <w:pPr>
              <w:pStyle w:val="02Tabletext"/>
              <w:jc w:val="right"/>
            </w:pPr>
            <w:r w:rsidRPr="00A0513E">
              <w:t>$30.75</w:t>
            </w:r>
          </w:p>
        </w:tc>
        <w:tc>
          <w:tcPr>
            <w:tcW w:w="1134" w:type="dxa"/>
          </w:tcPr>
          <w:p w14:paraId="3CB11667" w14:textId="77777777" w:rsidR="00CA7016" w:rsidRPr="00A0513E" w:rsidRDefault="00CA7016" w:rsidP="003C3F6A">
            <w:pPr>
              <w:pStyle w:val="02Tabletext"/>
              <w:jc w:val="right"/>
            </w:pPr>
            <w:r w:rsidRPr="00A0513E">
              <w:t>188</w:t>
            </w:r>
            <w:r>
              <w:t xml:space="preserve"> </w:t>
            </w:r>
            <w:r w:rsidRPr="00A0513E">
              <w:t>443</w:t>
            </w:r>
          </w:p>
        </w:tc>
      </w:tr>
      <w:tr w:rsidR="00CA7016" w:rsidRPr="00B96BC0" w14:paraId="42B867CD" w14:textId="77777777" w:rsidTr="003C3F6A">
        <w:tc>
          <w:tcPr>
            <w:tcW w:w="965" w:type="dxa"/>
          </w:tcPr>
          <w:p w14:paraId="76029A91" w14:textId="77777777" w:rsidR="00CA7016" w:rsidRPr="00A0513E" w:rsidRDefault="00CA7016" w:rsidP="003C3F6A">
            <w:pPr>
              <w:pStyle w:val="02Tabletext"/>
            </w:pPr>
            <w:r w:rsidRPr="00A0513E">
              <w:t>69357</w:t>
            </w:r>
          </w:p>
        </w:tc>
        <w:tc>
          <w:tcPr>
            <w:tcW w:w="5522" w:type="dxa"/>
          </w:tcPr>
          <w:p w14:paraId="5CF0AAA1" w14:textId="77777777" w:rsidR="00CA7016" w:rsidRPr="00A0513E" w:rsidRDefault="00CA7016" w:rsidP="003C3F6A">
            <w:pPr>
              <w:pStyle w:val="02Tabletext"/>
            </w:pPr>
            <w:r w:rsidRPr="00A0513E">
              <w:t>2 sets of cultures described in item 69354</w:t>
            </w:r>
          </w:p>
        </w:tc>
        <w:tc>
          <w:tcPr>
            <w:tcW w:w="1701" w:type="dxa"/>
          </w:tcPr>
          <w:p w14:paraId="17CEC95E" w14:textId="77777777" w:rsidR="00CA7016" w:rsidRPr="00A0513E" w:rsidRDefault="00CA7016" w:rsidP="003C3F6A">
            <w:pPr>
              <w:pStyle w:val="02Tabletext"/>
              <w:jc w:val="right"/>
            </w:pPr>
            <w:r w:rsidRPr="00A0513E">
              <w:t>$61.45</w:t>
            </w:r>
          </w:p>
        </w:tc>
        <w:tc>
          <w:tcPr>
            <w:tcW w:w="1134" w:type="dxa"/>
          </w:tcPr>
          <w:p w14:paraId="730FDDAF" w14:textId="77777777" w:rsidR="00CA7016" w:rsidRPr="00A0513E" w:rsidRDefault="00CA7016" w:rsidP="003C3F6A">
            <w:pPr>
              <w:pStyle w:val="02Tabletext"/>
              <w:jc w:val="right"/>
            </w:pPr>
            <w:r w:rsidRPr="00A0513E">
              <w:t>33</w:t>
            </w:r>
            <w:r>
              <w:t xml:space="preserve"> </w:t>
            </w:r>
            <w:r w:rsidRPr="00A0513E">
              <w:t>262</w:t>
            </w:r>
          </w:p>
        </w:tc>
      </w:tr>
      <w:tr w:rsidR="00CA7016" w:rsidRPr="00B96BC0" w14:paraId="434BEC49" w14:textId="77777777" w:rsidTr="003C3F6A">
        <w:tc>
          <w:tcPr>
            <w:tcW w:w="965" w:type="dxa"/>
          </w:tcPr>
          <w:p w14:paraId="37730C99" w14:textId="77777777" w:rsidR="00CA7016" w:rsidRPr="00A0513E" w:rsidRDefault="00CA7016" w:rsidP="003C3F6A">
            <w:pPr>
              <w:pStyle w:val="02Tabletext"/>
            </w:pPr>
            <w:r w:rsidRPr="00A0513E">
              <w:t>69360</w:t>
            </w:r>
          </w:p>
        </w:tc>
        <w:tc>
          <w:tcPr>
            <w:tcW w:w="5522" w:type="dxa"/>
          </w:tcPr>
          <w:p w14:paraId="53B71D5A" w14:textId="77777777" w:rsidR="00CA7016" w:rsidRPr="00A0513E" w:rsidRDefault="00CA7016" w:rsidP="003C3F6A">
            <w:pPr>
              <w:pStyle w:val="02Tabletext"/>
            </w:pPr>
            <w:r w:rsidRPr="00A0513E">
              <w:t>3 sets of cultures described in item 69354</w:t>
            </w:r>
          </w:p>
        </w:tc>
        <w:tc>
          <w:tcPr>
            <w:tcW w:w="1701" w:type="dxa"/>
          </w:tcPr>
          <w:p w14:paraId="32EDE262" w14:textId="77777777" w:rsidR="00CA7016" w:rsidRPr="00A0513E" w:rsidRDefault="00CA7016" w:rsidP="003C3F6A">
            <w:pPr>
              <w:pStyle w:val="02Tabletext"/>
              <w:jc w:val="right"/>
            </w:pPr>
            <w:r w:rsidRPr="00A0513E">
              <w:t>$92.90</w:t>
            </w:r>
          </w:p>
        </w:tc>
        <w:tc>
          <w:tcPr>
            <w:tcW w:w="1134" w:type="dxa"/>
          </w:tcPr>
          <w:p w14:paraId="6B129786" w14:textId="77777777" w:rsidR="00CA7016" w:rsidRPr="00A0513E" w:rsidRDefault="00CA7016" w:rsidP="003C3F6A">
            <w:pPr>
              <w:pStyle w:val="02Tabletext"/>
              <w:jc w:val="right"/>
            </w:pPr>
            <w:r w:rsidRPr="00A0513E">
              <w:t>8</w:t>
            </w:r>
            <w:r>
              <w:t xml:space="preserve"> </w:t>
            </w:r>
            <w:r w:rsidRPr="00A0513E">
              <w:t>595</w:t>
            </w:r>
          </w:p>
        </w:tc>
      </w:tr>
      <w:tr w:rsidR="00CA7016" w:rsidRPr="00B96BC0" w14:paraId="4FE62CF6" w14:textId="77777777" w:rsidTr="003C3F6A">
        <w:tc>
          <w:tcPr>
            <w:tcW w:w="965" w:type="dxa"/>
          </w:tcPr>
          <w:p w14:paraId="52B4890E" w14:textId="77777777" w:rsidR="00CA7016" w:rsidRPr="00A0513E" w:rsidRDefault="00CA7016" w:rsidP="003C3F6A">
            <w:pPr>
              <w:pStyle w:val="02Tabletext"/>
            </w:pPr>
            <w:r w:rsidRPr="00A0513E">
              <w:t>69380</w:t>
            </w:r>
          </w:p>
        </w:tc>
        <w:tc>
          <w:tcPr>
            <w:tcW w:w="5522" w:type="dxa"/>
          </w:tcPr>
          <w:p w14:paraId="72FAC46F" w14:textId="77777777" w:rsidR="00CA7016" w:rsidRPr="00A0513E" w:rsidRDefault="00CA7016" w:rsidP="003C3F6A">
            <w:pPr>
              <w:pStyle w:val="02Tabletext"/>
            </w:pPr>
            <w:r w:rsidRPr="00A0513E">
              <w:t>Genotypic testing for HIV antiretroviral resistance in a patient with confirmed HIV infection if the patient's viral load is greater than 1,000 copies per ml at any of the following times: at presentation; or before antiretroviral therapy: or when treatment with combination antiretroviral agents fails; maximum of 2 tests in a 12 month period</w:t>
            </w:r>
          </w:p>
        </w:tc>
        <w:tc>
          <w:tcPr>
            <w:tcW w:w="1701" w:type="dxa"/>
          </w:tcPr>
          <w:p w14:paraId="194EDB2D" w14:textId="77777777" w:rsidR="00CA7016" w:rsidRPr="00A0513E" w:rsidRDefault="00CA7016" w:rsidP="003C3F6A">
            <w:pPr>
              <w:pStyle w:val="02Tabletext"/>
              <w:jc w:val="right"/>
            </w:pPr>
            <w:r w:rsidRPr="00A0513E">
              <w:t>$770.30</w:t>
            </w:r>
          </w:p>
        </w:tc>
        <w:tc>
          <w:tcPr>
            <w:tcW w:w="1134" w:type="dxa"/>
          </w:tcPr>
          <w:p w14:paraId="013B02C7" w14:textId="77777777" w:rsidR="00CA7016" w:rsidRPr="00A0513E" w:rsidRDefault="00CA7016" w:rsidP="003C3F6A">
            <w:pPr>
              <w:pStyle w:val="02Tabletext"/>
              <w:jc w:val="right"/>
            </w:pPr>
            <w:r w:rsidRPr="00A0513E">
              <w:t>782</w:t>
            </w:r>
          </w:p>
        </w:tc>
      </w:tr>
      <w:tr w:rsidR="00CA7016" w:rsidRPr="00B96BC0" w14:paraId="4597FFE4" w14:textId="77777777" w:rsidTr="003C3F6A">
        <w:tc>
          <w:tcPr>
            <w:tcW w:w="965" w:type="dxa"/>
          </w:tcPr>
          <w:p w14:paraId="4C57BAB3" w14:textId="77777777" w:rsidR="00CA7016" w:rsidRPr="00A0513E" w:rsidRDefault="00CA7016" w:rsidP="003C3F6A">
            <w:pPr>
              <w:pStyle w:val="02Tabletext"/>
            </w:pPr>
            <w:r>
              <w:t>69387</w:t>
            </w:r>
          </w:p>
        </w:tc>
        <w:tc>
          <w:tcPr>
            <w:tcW w:w="5522" w:type="dxa"/>
          </w:tcPr>
          <w:p w14:paraId="5CA24875" w14:textId="77777777" w:rsidR="00CA7016" w:rsidRPr="00A0513E" w:rsidRDefault="00CA7016" w:rsidP="003C3F6A">
            <w:pPr>
              <w:pStyle w:val="02Tabletext"/>
            </w:pPr>
            <w:r w:rsidRPr="00A0513E">
              <w:t>2 tests described in item 69384 (This fee applies where 1 laboratory, or more than 1 laboratory belonging to the same APA, performs 2 of the antibody estimations specified on the request form and refers the remainder to the laboratory of a separate APA.) (Item is subject to rule 6)</w:t>
            </w:r>
          </w:p>
        </w:tc>
        <w:tc>
          <w:tcPr>
            <w:tcW w:w="1701" w:type="dxa"/>
          </w:tcPr>
          <w:p w14:paraId="58C28BC4" w14:textId="77777777" w:rsidR="00CA7016" w:rsidRPr="00A0513E" w:rsidRDefault="00CA7016" w:rsidP="003C3F6A">
            <w:pPr>
              <w:pStyle w:val="02Tabletext"/>
              <w:jc w:val="right"/>
            </w:pPr>
            <w:r w:rsidRPr="00A0513E">
              <w:t>$29.00</w:t>
            </w:r>
          </w:p>
        </w:tc>
        <w:tc>
          <w:tcPr>
            <w:tcW w:w="1134" w:type="dxa"/>
          </w:tcPr>
          <w:p w14:paraId="3A78C12F" w14:textId="77777777" w:rsidR="00CA7016" w:rsidRPr="00A0513E" w:rsidRDefault="00CA7016" w:rsidP="003C3F6A">
            <w:pPr>
              <w:pStyle w:val="02Tabletext"/>
              <w:jc w:val="right"/>
            </w:pPr>
            <w:r>
              <w:t>558 456</w:t>
            </w:r>
          </w:p>
        </w:tc>
      </w:tr>
      <w:tr w:rsidR="00CA7016" w:rsidRPr="00B96BC0" w14:paraId="5D4D57F2" w14:textId="77777777" w:rsidTr="003C3F6A">
        <w:tc>
          <w:tcPr>
            <w:tcW w:w="965" w:type="dxa"/>
          </w:tcPr>
          <w:p w14:paraId="7340A32B" w14:textId="77777777" w:rsidR="00CA7016" w:rsidRPr="00A0513E" w:rsidRDefault="00CA7016" w:rsidP="003C3F6A">
            <w:pPr>
              <w:pStyle w:val="02Tabletext"/>
            </w:pPr>
            <w:r w:rsidRPr="00A0513E">
              <w:t>69400</w:t>
            </w:r>
          </w:p>
        </w:tc>
        <w:tc>
          <w:tcPr>
            <w:tcW w:w="5522" w:type="dxa"/>
          </w:tcPr>
          <w:p w14:paraId="11C0A48E" w14:textId="77777777" w:rsidR="00CA7016" w:rsidRPr="00A0513E" w:rsidRDefault="00CA7016" w:rsidP="003C3F6A">
            <w:pPr>
              <w:pStyle w:val="02Tabletext"/>
            </w:pPr>
            <w:r w:rsidRPr="00A0513E">
              <w:t>A test described in item 69384, if rendered by a receiving APP, where no tests in the item have been rendered by the referring APP - 1 test (Item is subject to rules 6 and 18)</w:t>
            </w:r>
          </w:p>
        </w:tc>
        <w:tc>
          <w:tcPr>
            <w:tcW w:w="1701" w:type="dxa"/>
          </w:tcPr>
          <w:p w14:paraId="26759FD9" w14:textId="77777777" w:rsidR="00CA7016" w:rsidRPr="00A0513E" w:rsidRDefault="00CA7016" w:rsidP="003C3F6A">
            <w:pPr>
              <w:pStyle w:val="02Tabletext"/>
              <w:jc w:val="right"/>
            </w:pPr>
            <w:r w:rsidRPr="00A0513E">
              <w:t>$15.65</w:t>
            </w:r>
          </w:p>
        </w:tc>
        <w:tc>
          <w:tcPr>
            <w:tcW w:w="1134" w:type="dxa"/>
          </w:tcPr>
          <w:p w14:paraId="09820D85" w14:textId="77777777" w:rsidR="00CA7016" w:rsidRPr="00A0513E" w:rsidRDefault="00CA7016" w:rsidP="003C3F6A">
            <w:pPr>
              <w:pStyle w:val="02Tabletext"/>
              <w:jc w:val="right"/>
            </w:pPr>
            <w:r w:rsidRPr="00A0513E">
              <w:t>40</w:t>
            </w:r>
            <w:r>
              <w:t xml:space="preserve"> </w:t>
            </w:r>
            <w:r w:rsidRPr="00A0513E">
              <w:t>122</w:t>
            </w:r>
          </w:p>
        </w:tc>
      </w:tr>
      <w:tr w:rsidR="00CA7016" w:rsidRPr="00B96BC0" w14:paraId="7CB89288" w14:textId="77777777" w:rsidTr="003C3F6A">
        <w:tc>
          <w:tcPr>
            <w:tcW w:w="965" w:type="dxa"/>
          </w:tcPr>
          <w:p w14:paraId="7B33B454" w14:textId="77777777" w:rsidR="00CA7016" w:rsidRPr="00A0513E" w:rsidRDefault="00CA7016" w:rsidP="003C3F6A">
            <w:pPr>
              <w:pStyle w:val="02Tabletext"/>
            </w:pPr>
            <w:r w:rsidRPr="00A0513E">
              <w:t>69401</w:t>
            </w:r>
          </w:p>
        </w:tc>
        <w:tc>
          <w:tcPr>
            <w:tcW w:w="5522" w:type="dxa"/>
          </w:tcPr>
          <w:p w14:paraId="0999FD6B" w14:textId="77777777" w:rsidR="00CA7016" w:rsidRPr="00A0513E" w:rsidRDefault="00CA7016" w:rsidP="003C3F6A">
            <w:pPr>
              <w:pStyle w:val="02Tabletext"/>
            </w:pPr>
            <w:r w:rsidRPr="00A0513E">
              <w:t>A test described in item 69384, other than that described in 69400, if rendered by a receiving APP - each test to a maximum of 4 tests (Item is subject to rule 6, 18 and 18A)</w:t>
            </w:r>
          </w:p>
        </w:tc>
        <w:tc>
          <w:tcPr>
            <w:tcW w:w="1701" w:type="dxa"/>
          </w:tcPr>
          <w:p w14:paraId="739BB1EF" w14:textId="77777777" w:rsidR="00CA7016" w:rsidRPr="00A0513E" w:rsidRDefault="00CA7016" w:rsidP="003C3F6A">
            <w:pPr>
              <w:pStyle w:val="02Tabletext"/>
              <w:jc w:val="right"/>
            </w:pPr>
            <w:r w:rsidRPr="00A0513E">
              <w:t>$13.35</w:t>
            </w:r>
          </w:p>
        </w:tc>
        <w:tc>
          <w:tcPr>
            <w:tcW w:w="1134" w:type="dxa"/>
          </w:tcPr>
          <w:p w14:paraId="37060347" w14:textId="77777777" w:rsidR="00CA7016" w:rsidRPr="00A0513E" w:rsidRDefault="00CA7016" w:rsidP="003C3F6A">
            <w:pPr>
              <w:pStyle w:val="02Tabletext"/>
              <w:jc w:val="right"/>
            </w:pPr>
            <w:r w:rsidRPr="00A0513E">
              <w:t>162</w:t>
            </w:r>
            <w:r>
              <w:t xml:space="preserve"> </w:t>
            </w:r>
            <w:r w:rsidRPr="00A0513E">
              <w:t>836</w:t>
            </w:r>
          </w:p>
        </w:tc>
      </w:tr>
      <w:tr w:rsidR="00CA7016" w:rsidRPr="00B96BC0" w14:paraId="24E9D602" w14:textId="77777777" w:rsidTr="003C3F6A">
        <w:tc>
          <w:tcPr>
            <w:tcW w:w="965" w:type="dxa"/>
          </w:tcPr>
          <w:p w14:paraId="4FDA6025" w14:textId="77777777" w:rsidR="00CA7016" w:rsidRPr="00A0513E" w:rsidRDefault="00CA7016" w:rsidP="003C3F6A">
            <w:pPr>
              <w:pStyle w:val="02Tabletext"/>
            </w:pPr>
            <w:r w:rsidRPr="00A0513E">
              <w:t>69415</w:t>
            </w:r>
          </w:p>
        </w:tc>
        <w:tc>
          <w:tcPr>
            <w:tcW w:w="5522" w:type="dxa"/>
          </w:tcPr>
          <w:p w14:paraId="07A74549" w14:textId="77777777" w:rsidR="00CA7016" w:rsidRPr="00A0513E" w:rsidRDefault="00CA7016" w:rsidP="003C3F6A">
            <w:pPr>
              <w:pStyle w:val="02Tabletext"/>
            </w:pPr>
            <w:r w:rsidRPr="00A0513E">
              <w:t>Microbiological serology during a pregnancy (except in the investigation of a clinically apparent intercurrent microbial illness or close contact with a patient suffering from parvovirus infection or varicella during that pregnancy) including: (a) the determination of all 5 of the following - rubella immune status, specific syphilis serology, carriage of Hepatitis b, Hepatitis c antibody, HIV antibody and (b) (if performed) a service described in 1 or more of items 69384, 69475, 69478 and 69481</w:t>
            </w:r>
          </w:p>
        </w:tc>
        <w:tc>
          <w:tcPr>
            <w:tcW w:w="1701" w:type="dxa"/>
          </w:tcPr>
          <w:p w14:paraId="3719ACD4" w14:textId="77777777" w:rsidR="00CA7016" w:rsidRPr="00A0513E" w:rsidRDefault="00CA7016" w:rsidP="003C3F6A">
            <w:pPr>
              <w:pStyle w:val="02Tabletext"/>
              <w:jc w:val="right"/>
            </w:pPr>
            <w:r w:rsidRPr="00A0513E">
              <w:t>$69.10</w:t>
            </w:r>
          </w:p>
        </w:tc>
        <w:tc>
          <w:tcPr>
            <w:tcW w:w="1134" w:type="dxa"/>
          </w:tcPr>
          <w:p w14:paraId="6F081A67" w14:textId="77777777" w:rsidR="00CA7016" w:rsidRPr="00A0513E" w:rsidRDefault="00CA7016" w:rsidP="003C3F6A">
            <w:pPr>
              <w:pStyle w:val="02Tabletext"/>
              <w:jc w:val="right"/>
            </w:pPr>
            <w:r w:rsidRPr="00A0513E">
              <w:t>182</w:t>
            </w:r>
            <w:r>
              <w:t xml:space="preserve"> </w:t>
            </w:r>
            <w:r w:rsidRPr="00A0513E">
              <w:t>349</w:t>
            </w:r>
          </w:p>
        </w:tc>
      </w:tr>
      <w:tr w:rsidR="00CA7016" w:rsidRPr="00B96BC0" w14:paraId="2EBA16B5" w14:textId="77777777" w:rsidTr="003C3F6A">
        <w:tc>
          <w:tcPr>
            <w:tcW w:w="965" w:type="dxa"/>
          </w:tcPr>
          <w:p w14:paraId="39C3D67B" w14:textId="77777777" w:rsidR="00CA7016" w:rsidRPr="00A0513E" w:rsidRDefault="00CA7016" w:rsidP="003C3F6A">
            <w:pPr>
              <w:pStyle w:val="02Tabletext"/>
            </w:pPr>
            <w:r w:rsidRPr="00A0513E">
              <w:t>69445</w:t>
            </w:r>
          </w:p>
        </w:tc>
        <w:tc>
          <w:tcPr>
            <w:tcW w:w="5522" w:type="dxa"/>
          </w:tcPr>
          <w:p w14:paraId="2907F8AA" w14:textId="77777777" w:rsidR="00CA7016" w:rsidRPr="00A0513E" w:rsidRDefault="00CA7016" w:rsidP="003C3F6A">
            <w:pPr>
              <w:pStyle w:val="02Tabletext"/>
            </w:pPr>
            <w:r w:rsidRPr="00A0513E">
              <w:t xml:space="preserve">Detection of hepatitis C viral RNA in a patient undertaking antiviral therapy for chronic HCV hepatitis (including a service described in item 69499) - 1 test. To a maximum of 4 of this </w:t>
            </w:r>
            <w:proofErr w:type="gramStart"/>
            <w:r w:rsidRPr="00A0513E">
              <w:t>item</w:t>
            </w:r>
            <w:proofErr w:type="gramEnd"/>
            <w:r w:rsidRPr="00A0513E">
              <w:t xml:space="preserve"> in a 12 month period (Item is subject to rule 25)</w:t>
            </w:r>
          </w:p>
        </w:tc>
        <w:tc>
          <w:tcPr>
            <w:tcW w:w="1701" w:type="dxa"/>
          </w:tcPr>
          <w:p w14:paraId="31DB4C47" w14:textId="77777777" w:rsidR="00CA7016" w:rsidRPr="00A0513E" w:rsidRDefault="00CA7016" w:rsidP="003C3F6A">
            <w:pPr>
              <w:pStyle w:val="02Tabletext"/>
              <w:jc w:val="right"/>
            </w:pPr>
            <w:r w:rsidRPr="00A0513E">
              <w:t>$92.20</w:t>
            </w:r>
          </w:p>
        </w:tc>
        <w:tc>
          <w:tcPr>
            <w:tcW w:w="1134" w:type="dxa"/>
          </w:tcPr>
          <w:p w14:paraId="450A1450" w14:textId="77777777" w:rsidR="00CA7016" w:rsidRPr="00A0513E" w:rsidRDefault="00CA7016" w:rsidP="003C3F6A">
            <w:pPr>
              <w:pStyle w:val="02Tabletext"/>
              <w:jc w:val="right"/>
            </w:pPr>
            <w:r w:rsidRPr="00A0513E">
              <w:t>5</w:t>
            </w:r>
            <w:r>
              <w:t xml:space="preserve"> </w:t>
            </w:r>
            <w:r w:rsidRPr="00A0513E">
              <w:t>633</w:t>
            </w:r>
          </w:p>
        </w:tc>
      </w:tr>
      <w:tr w:rsidR="00CA7016" w:rsidRPr="00B96BC0" w14:paraId="650BDE2C" w14:textId="77777777" w:rsidTr="003C3F6A">
        <w:tc>
          <w:tcPr>
            <w:tcW w:w="965" w:type="dxa"/>
          </w:tcPr>
          <w:p w14:paraId="3405E8D5" w14:textId="77777777" w:rsidR="00CA7016" w:rsidRPr="00A0513E" w:rsidRDefault="00CA7016" w:rsidP="003C3F6A">
            <w:pPr>
              <w:pStyle w:val="02Tabletext"/>
            </w:pPr>
            <w:r w:rsidRPr="00A0513E">
              <w:t>69451</w:t>
            </w:r>
          </w:p>
        </w:tc>
        <w:tc>
          <w:tcPr>
            <w:tcW w:w="5522" w:type="dxa"/>
          </w:tcPr>
          <w:p w14:paraId="61C20D5E" w14:textId="77777777" w:rsidR="00CA7016" w:rsidRPr="00A0513E" w:rsidRDefault="00CA7016" w:rsidP="003C3F6A">
            <w:pPr>
              <w:pStyle w:val="02Tabletext"/>
            </w:pPr>
            <w:r w:rsidRPr="00A0513E">
              <w:t>A test described in item 69445 if rendered by a receiving APP - 1 test. (Item is subject to rule 18 and 25)</w:t>
            </w:r>
          </w:p>
        </w:tc>
        <w:tc>
          <w:tcPr>
            <w:tcW w:w="1701" w:type="dxa"/>
          </w:tcPr>
          <w:p w14:paraId="6C87AEC1" w14:textId="77777777" w:rsidR="00CA7016" w:rsidRPr="00A0513E" w:rsidRDefault="00CA7016" w:rsidP="003C3F6A">
            <w:pPr>
              <w:pStyle w:val="02Tabletext"/>
              <w:jc w:val="right"/>
            </w:pPr>
            <w:r w:rsidRPr="00A0513E">
              <w:t>$92.20</w:t>
            </w:r>
          </w:p>
        </w:tc>
        <w:tc>
          <w:tcPr>
            <w:tcW w:w="1134" w:type="dxa"/>
          </w:tcPr>
          <w:p w14:paraId="2C4819A0" w14:textId="77777777" w:rsidR="00CA7016" w:rsidRPr="00A0513E" w:rsidRDefault="00CA7016" w:rsidP="003C3F6A">
            <w:pPr>
              <w:pStyle w:val="02Tabletext"/>
              <w:jc w:val="right"/>
            </w:pPr>
            <w:r w:rsidRPr="00A0513E">
              <w:t>266</w:t>
            </w:r>
          </w:p>
        </w:tc>
      </w:tr>
      <w:tr w:rsidR="00CA7016" w:rsidRPr="00B96BC0" w14:paraId="7DD46324" w14:textId="77777777" w:rsidTr="003C3F6A">
        <w:tc>
          <w:tcPr>
            <w:tcW w:w="965" w:type="dxa"/>
          </w:tcPr>
          <w:p w14:paraId="13573007" w14:textId="77777777" w:rsidR="00CA7016" w:rsidRPr="00A0513E" w:rsidRDefault="00CA7016" w:rsidP="003C3F6A">
            <w:pPr>
              <w:pStyle w:val="02Tabletext"/>
            </w:pPr>
            <w:r w:rsidRPr="00A0513E">
              <w:t>69482</w:t>
            </w:r>
          </w:p>
        </w:tc>
        <w:tc>
          <w:tcPr>
            <w:tcW w:w="5522" w:type="dxa"/>
          </w:tcPr>
          <w:p w14:paraId="12DA418E" w14:textId="77777777" w:rsidR="00CA7016" w:rsidRPr="00A0513E" w:rsidRDefault="00CA7016" w:rsidP="003C3F6A">
            <w:pPr>
              <w:pStyle w:val="02Tabletext"/>
            </w:pPr>
            <w:r w:rsidRPr="00A0513E">
              <w:t>Quantitation of hepatitis B viral DNA in patients who are hepatitis B surface antigen positive and have chronic hepatitis B, but are not receiving antiviral therapy - 1 test (item is subject to rule 25)</w:t>
            </w:r>
          </w:p>
        </w:tc>
        <w:tc>
          <w:tcPr>
            <w:tcW w:w="1701" w:type="dxa"/>
          </w:tcPr>
          <w:p w14:paraId="5A11A33A" w14:textId="77777777" w:rsidR="00CA7016" w:rsidRPr="00A0513E" w:rsidRDefault="00CA7016" w:rsidP="003C3F6A">
            <w:pPr>
              <w:pStyle w:val="02Tabletext"/>
              <w:jc w:val="right"/>
            </w:pPr>
            <w:r w:rsidRPr="00A0513E">
              <w:t>$152.10</w:t>
            </w:r>
          </w:p>
        </w:tc>
        <w:tc>
          <w:tcPr>
            <w:tcW w:w="1134" w:type="dxa"/>
          </w:tcPr>
          <w:p w14:paraId="71AFBC36" w14:textId="77777777" w:rsidR="00CA7016" w:rsidRPr="00A0513E" w:rsidRDefault="00CA7016" w:rsidP="003C3F6A">
            <w:pPr>
              <w:pStyle w:val="02Tabletext"/>
              <w:jc w:val="right"/>
            </w:pPr>
            <w:r w:rsidRPr="00A0513E">
              <w:t>21</w:t>
            </w:r>
            <w:r>
              <w:t xml:space="preserve"> </w:t>
            </w:r>
            <w:r w:rsidRPr="00A0513E">
              <w:t>829</w:t>
            </w:r>
          </w:p>
        </w:tc>
      </w:tr>
      <w:tr w:rsidR="00CA7016" w:rsidRPr="00B96BC0" w14:paraId="03FC3B35" w14:textId="77777777" w:rsidTr="003C3F6A">
        <w:tc>
          <w:tcPr>
            <w:tcW w:w="965" w:type="dxa"/>
          </w:tcPr>
          <w:p w14:paraId="57EC6246" w14:textId="77777777" w:rsidR="00CA7016" w:rsidRPr="00A0513E" w:rsidRDefault="00CA7016" w:rsidP="003C3F6A">
            <w:pPr>
              <w:pStyle w:val="02Tabletext"/>
            </w:pPr>
            <w:r w:rsidRPr="00A0513E">
              <w:t>69483</w:t>
            </w:r>
          </w:p>
        </w:tc>
        <w:tc>
          <w:tcPr>
            <w:tcW w:w="5522" w:type="dxa"/>
          </w:tcPr>
          <w:p w14:paraId="2282FD8F" w14:textId="77777777" w:rsidR="00CA7016" w:rsidRPr="00A0513E" w:rsidRDefault="00CA7016" w:rsidP="003C3F6A">
            <w:pPr>
              <w:pStyle w:val="02Tabletext"/>
            </w:pPr>
            <w:r w:rsidRPr="00A0513E">
              <w:t>Quantitation of hepatitis B viral DNA in patients who are hepatitis B surface antigen positive and who have chronic hepatitis B and are receiving antiviral therapy - 1 test (item is subject to rule 25)</w:t>
            </w:r>
          </w:p>
        </w:tc>
        <w:tc>
          <w:tcPr>
            <w:tcW w:w="1701" w:type="dxa"/>
          </w:tcPr>
          <w:p w14:paraId="16462088" w14:textId="77777777" w:rsidR="00CA7016" w:rsidRPr="00A0513E" w:rsidRDefault="00CA7016" w:rsidP="003C3F6A">
            <w:pPr>
              <w:pStyle w:val="02Tabletext"/>
              <w:jc w:val="right"/>
            </w:pPr>
            <w:r w:rsidRPr="00A0513E">
              <w:t>$152.10</w:t>
            </w:r>
          </w:p>
        </w:tc>
        <w:tc>
          <w:tcPr>
            <w:tcW w:w="1134" w:type="dxa"/>
          </w:tcPr>
          <w:p w14:paraId="1B5AC31F" w14:textId="77777777" w:rsidR="00CA7016" w:rsidRPr="00A0513E" w:rsidRDefault="00CA7016" w:rsidP="003C3F6A">
            <w:pPr>
              <w:pStyle w:val="02Tabletext"/>
              <w:jc w:val="right"/>
            </w:pPr>
            <w:r w:rsidRPr="00A0513E">
              <w:t>24</w:t>
            </w:r>
            <w:r>
              <w:t xml:space="preserve"> </w:t>
            </w:r>
            <w:r w:rsidRPr="00A0513E">
              <w:t>847</w:t>
            </w:r>
          </w:p>
        </w:tc>
      </w:tr>
      <w:tr w:rsidR="00CA7016" w:rsidRPr="00B96BC0" w14:paraId="5203C371" w14:textId="77777777" w:rsidTr="003C3F6A">
        <w:tc>
          <w:tcPr>
            <w:tcW w:w="965" w:type="dxa"/>
          </w:tcPr>
          <w:p w14:paraId="7E78038B" w14:textId="77777777" w:rsidR="00CA7016" w:rsidRPr="00A0513E" w:rsidRDefault="00CA7016" w:rsidP="003C3F6A">
            <w:pPr>
              <w:pStyle w:val="02Tabletext"/>
            </w:pPr>
            <w:r>
              <w:t>69484</w:t>
            </w:r>
          </w:p>
        </w:tc>
        <w:tc>
          <w:tcPr>
            <w:tcW w:w="5522" w:type="dxa"/>
          </w:tcPr>
          <w:p w14:paraId="5D2CDA8A" w14:textId="77777777" w:rsidR="00CA7016" w:rsidRPr="00A0513E" w:rsidRDefault="00CA7016" w:rsidP="003C3F6A">
            <w:pPr>
              <w:pStyle w:val="02Tabletext"/>
            </w:pPr>
            <w:r>
              <w:t xml:space="preserve"> </w:t>
            </w:r>
            <w:r w:rsidRPr="00D545B3">
              <w:t>Suppl</w:t>
            </w:r>
            <w:r>
              <w:t>ementary testing for hepatitis B surface antigen or hepatitis C</w:t>
            </w:r>
            <w:r w:rsidRPr="00D545B3">
              <w:t xml:space="preserve"> antibody using a different assay on the specimen which yielded a reactive result on initial testing (Item is subject to rule 18)</w:t>
            </w:r>
          </w:p>
        </w:tc>
        <w:tc>
          <w:tcPr>
            <w:tcW w:w="1701" w:type="dxa"/>
          </w:tcPr>
          <w:p w14:paraId="1CC8C178" w14:textId="77777777" w:rsidR="00CA7016" w:rsidRPr="00A0513E" w:rsidRDefault="00CA7016" w:rsidP="003C3F6A">
            <w:pPr>
              <w:pStyle w:val="02Tabletext"/>
              <w:jc w:val="right"/>
            </w:pPr>
            <w:r w:rsidRPr="00A0513E">
              <w:t>$29.00</w:t>
            </w:r>
          </w:p>
        </w:tc>
        <w:tc>
          <w:tcPr>
            <w:tcW w:w="1134" w:type="dxa"/>
          </w:tcPr>
          <w:p w14:paraId="5CB2CA32" w14:textId="77777777" w:rsidR="00CA7016" w:rsidRPr="00A0513E" w:rsidRDefault="00CA7016" w:rsidP="003C3F6A">
            <w:pPr>
              <w:pStyle w:val="02Tabletext"/>
              <w:jc w:val="right"/>
            </w:pPr>
            <w:r>
              <w:t>47 439</w:t>
            </w:r>
          </w:p>
        </w:tc>
      </w:tr>
      <w:tr w:rsidR="00CA7016" w:rsidRPr="00B96BC0" w14:paraId="45B13C08" w14:textId="77777777" w:rsidTr="003C3F6A">
        <w:tc>
          <w:tcPr>
            <w:tcW w:w="965" w:type="dxa"/>
          </w:tcPr>
          <w:p w14:paraId="756DB9BD" w14:textId="77777777" w:rsidR="00CA7016" w:rsidRPr="00A0513E" w:rsidRDefault="00CA7016" w:rsidP="003C3F6A">
            <w:pPr>
              <w:pStyle w:val="02Tabletext"/>
            </w:pPr>
            <w:r w:rsidRPr="00A0513E">
              <w:t>69489</w:t>
            </w:r>
          </w:p>
        </w:tc>
        <w:tc>
          <w:tcPr>
            <w:tcW w:w="5522" w:type="dxa"/>
          </w:tcPr>
          <w:p w14:paraId="0D7B72E3" w14:textId="77777777" w:rsidR="00CA7016" w:rsidRPr="00A0513E" w:rsidRDefault="00CA7016" w:rsidP="003C3F6A">
            <w:pPr>
              <w:pStyle w:val="02Tabletext"/>
            </w:pPr>
            <w:r w:rsidRPr="00A0513E">
              <w:t>A test described in item 69488 if rendered by a receiving APP (Item is subject to rule 18 and 25)</w:t>
            </w:r>
          </w:p>
        </w:tc>
        <w:tc>
          <w:tcPr>
            <w:tcW w:w="1701" w:type="dxa"/>
          </w:tcPr>
          <w:p w14:paraId="53F31F3E" w14:textId="77777777" w:rsidR="00CA7016" w:rsidRPr="00A0513E" w:rsidRDefault="00CA7016" w:rsidP="003C3F6A">
            <w:pPr>
              <w:pStyle w:val="02Tabletext"/>
              <w:jc w:val="right"/>
            </w:pPr>
            <w:r w:rsidRPr="00A0513E">
              <w:t>$180.25</w:t>
            </w:r>
          </w:p>
        </w:tc>
        <w:tc>
          <w:tcPr>
            <w:tcW w:w="1134" w:type="dxa"/>
          </w:tcPr>
          <w:p w14:paraId="310270E1" w14:textId="77777777" w:rsidR="00CA7016" w:rsidRPr="00A0513E" w:rsidRDefault="00CA7016" w:rsidP="003C3F6A">
            <w:pPr>
              <w:pStyle w:val="02Tabletext"/>
              <w:jc w:val="right"/>
            </w:pPr>
            <w:r w:rsidRPr="00A0513E">
              <w:t>1</w:t>
            </w:r>
            <w:r>
              <w:t xml:space="preserve"> </w:t>
            </w:r>
            <w:r w:rsidRPr="00A0513E">
              <w:t>624</w:t>
            </w:r>
          </w:p>
        </w:tc>
      </w:tr>
      <w:tr w:rsidR="00CA7016" w:rsidRPr="00B96BC0" w14:paraId="47A703F2" w14:textId="77777777" w:rsidTr="003C3F6A">
        <w:tc>
          <w:tcPr>
            <w:tcW w:w="965" w:type="dxa"/>
          </w:tcPr>
          <w:p w14:paraId="3B58E602" w14:textId="77777777" w:rsidR="00CA7016" w:rsidRPr="00A0513E" w:rsidRDefault="00CA7016" w:rsidP="003C3F6A">
            <w:pPr>
              <w:pStyle w:val="02Tabletext"/>
            </w:pPr>
            <w:r w:rsidRPr="00A0513E">
              <w:t>69492</w:t>
            </w:r>
          </w:p>
        </w:tc>
        <w:tc>
          <w:tcPr>
            <w:tcW w:w="5522" w:type="dxa"/>
          </w:tcPr>
          <w:p w14:paraId="5C7CB22B" w14:textId="77777777" w:rsidR="00CA7016" w:rsidRPr="00A0513E" w:rsidRDefault="00CA7016" w:rsidP="003C3F6A">
            <w:pPr>
              <w:pStyle w:val="02Tabletext"/>
            </w:pPr>
            <w:r w:rsidRPr="00A0513E">
              <w:t>A test described in item 69491 if rendered by a receiving APP - 1 test (Item is subject to rule 18 and 25)</w:t>
            </w:r>
          </w:p>
        </w:tc>
        <w:tc>
          <w:tcPr>
            <w:tcW w:w="1701" w:type="dxa"/>
          </w:tcPr>
          <w:p w14:paraId="36CBF47D" w14:textId="77777777" w:rsidR="00CA7016" w:rsidRPr="00A0513E" w:rsidRDefault="00CA7016" w:rsidP="003C3F6A">
            <w:pPr>
              <w:pStyle w:val="02Tabletext"/>
              <w:jc w:val="right"/>
            </w:pPr>
            <w:r w:rsidRPr="00A0513E">
              <w:t xml:space="preserve">$204.80 </w:t>
            </w:r>
          </w:p>
        </w:tc>
        <w:tc>
          <w:tcPr>
            <w:tcW w:w="1134" w:type="dxa"/>
          </w:tcPr>
          <w:p w14:paraId="496F2338" w14:textId="77777777" w:rsidR="00CA7016" w:rsidRPr="00A0513E" w:rsidRDefault="00CA7016" w:rsidP="003C3F6A">
            <w:pPr>
              <w:pStyle w:val="02Tabletext"/>
              <w:jc w:val="right"/>
            </w:pPr>
            <w:r w:rsidRPr="00A0513E">
              <w:t>1</w:t>
            </w:r>
            <w:r>
              <w:t xml:space="preserve"> </w:t>
            </w:r>
            <w:r w:rsidRPr="00A0513E">
              <w:t>232</w:t>
            </w:r>
          </w:p>
        </w:tc>
      </w:tr>
      <w:tr w:rsidR="00CA7016" w:rsidRPr="00B96BC0" w14:paraId="772BC603" w14:textId="77777777" w:rsidTr="003C3F6A">
        <w:tc>
          <w:tcPr>
            <w:tcW w:w="965" w:type="dxa"/>
          </w:tcPr>
          <w:p w14:paraId="6D4F2444" w14:textId="77777777" w:rsidR="00CA7016" w:rsidRPr="00A0513E" w:rsidRDefault="00CA7016" w:rsidP="003C3F6A">
            <w:pPr>
              <w:pStyle w:val="02Tabletext"/>
            </w:pPr>
            <w:r w:rsidRPr="00A0513E">
              <w:t>69499</w:t>
            </w:r>
          </w:p>
        </w:tc>
        <w:tc>
          <w:tcPr>
            <w:tcW w:w="5522" w:type="dxa"/>
          </w:tcPr>
          <w:p w14:paraId="102F3E3D" w14:textId="77777777" w:rsidR="00CA7016" w:rsidRPr="00A0513E" w:rsidRDefault="00CA7016" w:rsidP="003C3F6A">
            <w:pPr>
              <w:pStyle w:val="02Tabletext"/>
            </w:pPr>
            <w:r w:rsidRPr="00A0513E">
              <w:t>Detection of hepatitis C viral RNA if at least 1 of the following criteria is satisfied: (a) the patient is hepatitis C seropositive; (b) the patient's serological status is uncertain after testing; (c) the test is performed for the purpose of:</w:t>
            </w:r>
            <w:r>
              <w:t xml:space="preserve"> </w:t>
            </w:r>
            <w:r w:rsidRPr="00A0513E">
              <w:t>(</w:t>
            </w:r>
            <w:proofErr w:type="spellStart"/>
            <w:r w:rsidRPr="00A0513E">
              <w:t>i</w:t>
            </w:r>
            <w:proofErr w:type="spellEnd"/>
            <w:r w:rsidRPr="00A0513E">
              <w:t>) determining the hepatitis C status of an immunosuppressed or immunocompromised patient; or</w:t>
            </w:r>
            <w:r>
              <w:t xml:space="preserve"> </w:t>
            </w:r>
            <w:r w:rsidRPr="00A0513E">
              <w:t>(ii) the detection of acute hepatitis C prior to seroconversion where considered necessary for the clinical</w:t>
            </w:r>
            <w:r>
              <w:t xml:space="preserve"> </w:t>
            </w:r>
            <w:r w:rsidRPr="00A0513E">
              <w:t>management of the patient; To a maximum of 1 of this item in a 12 month period (Item is subject to rule 19 and 25)</w:t>
            </w:r>
          </w:p>
        </w:tc>
        <w:tc>
          <w:tcPr>
            <w:tcW w:w="1701" w:type="dxa"/>
          </w:tcPr>
          <w:p w14:paraId="7F73759C" w14:textId="77777777" w:rsidR="00CA7016" w:rsidRPr="00A0513E" w:rsidRDefault="00CA7016" w:rsidP="003C3F6A">
            <w:pPr>
              <w:pStyle w:val="02Tabletext"/>
              <w:jc w:val="right"/>
            </w:pPr>
            <w:r w:rsidRPr="00A0513E">
              <w:t>$92.20</w:t>
            </w:r>
          </w:p>
        </w:tc>
        <w:tc>
          <w:tcPr>
            <w:tcW w:w="1134" w:type="dxa"/>
          </w:tcPr>
          <w:p w14:paraId="0B73DE82" w14:textId="77777777" w:rsidR="00CA7016" w:rsidRPr="00A0513E" w:rsidRDefault="00CA7016" w:rsidP="003C3F6A">
            <w:pPr>
              <w:pStyle w:val="02Tabletext"/>
              <w:jc w:val="right"/>
            </w:pPr>
            <w:r w:rsidRPr="00A0513E">
              <w:t>15</w:t>
            </w:r>
            <w:r>
              <w:t xml:space="preserve"> </w:t>
            </w:r>
            <w:r w:rsidRPr="00A0513E">
              <w:t>599</w:t>
            </w:r>
          </w:p>
        </w:tc>
      </w:tr>
      <w:tr w:rsidR="00CA7016" w:rsidRPr="00B96BC0" w14:paraId="3FC97664" w14:textId="77777777" w:rsidTr="003C3F6A">
        <w:tc>
          <w:tcPr>
            <w:tcW w:w="965" w:type="dxa"/>
          </w:tcPr>
          <w:p w14:paraId="65586869" w14:textId="77777777" w:rsidR="00CA7016" w:rsidRPr="00A0513E" w:rsidRDefault="00CA7016" w:rsidP="003C3F6A">
            <w:pPr>
              <w:pStyle w:val="02Tabletext"/>
            </w:pPr>
            <w:r w:rsidRPr="00A0513E">
              <w:t>69500</w:t>
            </w:r>
          </w:p>
        </w:tc>
        <w:tc>
          <w:tcPr>
            <w:tcW w:w="5522" w:type="dxa"/>
          </w:tcPr>
          <w:p w14:paraId="0BAA5FC9" w14:textId="77777777" w:rsidR="00CA7016" w:rsidRPr="00A0513E" w:rsidRDefault="00CA7016" w:rsidP="003C3F6A">
            <w:pPr>
              <w:pStyle w:val="02Tabletext"/>
            </w:pPr>
            <w:r w:rsidRPr="00A0513E">
              <w:t>A test described in item 69499 if rendered by a receiving APP</w:t>
            </w:r>
            <w:r>
              <w:t xml:space="preserve"> </w:t>
            </w:r>
            <w:r w:rsidRPr="00A0513E">
              <w:t>1 test (Item is subject to rule 18,19 and 25)</w:t>
            </w:r>
          </w:p>
        </w:tc>
        <w:tc>
          <w:tcPr>
            <w:tcW w:w="1701" w:type="dxa"/>
          </w:tcPr>
          <w:p w14:paraId="22295B1E" w14:textId="77777777" w:rsidR="00CA7016" w:rsidRPr="00A0513E" w:rsidRDefault="00CA7016" w:rsidP="003C3F6A">
            <w:pPr>
              <w:pStyle w:val="02Tabletext"/>
              <w:jc w:val="right"/>
            </w:pPr>
            <w:r w:rsidRPr="00A0513E">
              <w:t>$92.20</w:t>
            </w:r>
          </w:p>
        </w:tc>
        <w:tc>
          <w:tcPr>
            <w:tcW w:w="1134" w:type="dxa"/>
          </w:tcPr>
          <w:p w14:paraId="2799511C" w14:textId="77777777" w:rsidR="00CA7016" w:rsidRPr="00A0513E" w:rsidRDefault="00CA7016" w:rsidP="003C3F6A">
            <w:pPr>
              <w:pStyle w:val="02Tabletext"/>
              <w:jc w:val="right"/>
            </w:pPr>
            <w:r w:rsidRPr="00A0513E">
              <w:t>1</w:t>
            </w:r>
            <w:r>
              <w:t xml:space="preserve"> </w:t>
            </w:r>
            <w:r w:rsidRPr="00A0513E">
              <w:t>432</w:t>
            </w:r>
          </w:p>
        </w:tc>
      </w:tr>
    </w:tbl>
    <w:p w14:paraId="2ECF9E4A" w14:textId="77777777" w:rsidR="00CA7016" w:rsidRPr="00A0513E" w:rsidRDefault="00CA7016" w:rsidP="00CA7016">
      <w:pPr>
        <w:pStyle w:val="Heading1"/>
      </w:pPr>
      <w:bookmarkStart w:id="406" w:name="_Toc487621095"/>
      <w:bookmarkStart w:id="407" w:name="_Toc483989387"/>
      <w:bookmarkStart w:id="408" w:name="_Toc486939210"/>
      <w:bookmarkStart w:id="409" w:name="_Toc12886604"/>
      <w:bookmarkEnd w:id="406"/>
      <w:r w:rsidRPr="00A0513E">
        <w:lastRenderedPageBreak/>
        <w:t>Recommendations to other committees</w:t>
      </w:r>
      <w:bookmarkEnd w:id="407"/>
      <w:bookmarkEnd w:id="408"/>
      <w:bookmarkEnd w:id="409"/>
      <w:r w:rsidRPr="00A0513E">
        <w:t xml:space="preserve"> </w:t>
      </w:r>
    </w:p>
    <w:p w14:paraId="6DF84D0E" w14:textId="77777777" w:rsidR="00CA7016" w:rsidRPr="00A0513E" w:rsidRDefault="00CA7016" w:rsidP="00D87423">
      <w:pPr>
        <w:pStyle w:val="Heading2"/>
        <w:spacing w:before="160"/>
        <w:ind w:hanging="578"/>
      </w:pPr>
      <w:bookmarkStart w:id="410" w:name="_Toc483989388"/>
      <w:bookmarkStart w:id="411" w:name="_Toc486939211"/>
      <w:bookmarkStart w:id="412" w:name="_Toc12886605"/>
      <w:r w:rsidRPr="00A0513E">
        <w:t xml:space="preserve">Recommendations to </w:t>
      </w:r>
      <w:bookmarkEnd w:id="410"/>
      <w:r w:rsidRPr="00A0513E">
        <w:t>MSAC Executive</w:t>
      </w:r>
      <w:bookmarkEnd w:id="411"/>
      <w:bookmarkEnd w:id="412"/>
    </w:p>
    <w:p w14:paraId="69B0F98F" w14:textId="77777777" w:rsidR="00CA7016" w:rsidRPr="00A0513E" w:rsidRDefault="00CA7016" w:rsidP="00D87423">
      <w:pPr>
        <w:pStyle w:val="Heading3"/>
        <w:spacing w:before="180"/>
      </w:pPr>
      <w:bookmarkStart w:id="413" w:name="_Toc483989389"/>
      <w:bookmarkStart w:id="414" w:name="_Toc486939212"/>
      <w:bookmarkStart w:id="415" w:name="_Toc12886606"/>
      <w:proofErr w:type="spellStart"/>
      <w:r w:rsidRPr="00A0513E">
        <w:t>Orthopaedic</w:t>
      </w:r>
      <w:proofErr w:type="spellEnd"/>
      <w:r w:rsidRPr="00A0513E">
        <w:t xml:space="preserve"> tissues (new item</w:t>
      </w:r>
      <w:r w:rsidR="00AE4B00">
        <w:t>s</w:t>
      </w:r>
      <w:r w:rsidRPr="00A0513E">
        <w:t>)</w:t>
      </w:r>
      <w:bookmarkEnd w:id="413"/>
      <w:bookmarkEnd w:id="414"/>
      <w:bookmarkEnd w:id="415"/>
      <w:r w:rsidRPr="00A0513E">
        <w:t xml:space="preserve"> </w:t>
      </w:r>
    </w:p>
    <w:p w14:paraId="4562DD4F" w14:textId="77777777" w:rsidR="00CA7016" w:rsidRPr="00003DB3" w:rsidRDefault="00CA7016">
      <w:pPr>
        <w:pStyle w:val="Heading4"/>
      </w:pPr>
      <w:r w:rsidRPr="00003DB3">
        <w:t>Recommendation</w:t>
      </w:r>
    </w:p>
    <w:p w14:paraId="7CD0EAED" w14:textId="77777777" w:rsidR="00CA7016" w:rsidRPr="00A0513E" w:rsidRDefault="00CA7016" w:rsidP="00CA7016">
      <w:pPr>
        <w:pStyle w:val="01squarebullet"/>
      </w:pPr>
      <w:r w:rsidRPr="00A0513E">
        <w:t>Propose three new item numbers for the collection of &gt;</w:t>
      </w:r>
      <w:r>
        <w:t xml:space="preserve"> </w:t>
      </w:r>
      <w:r w:rsidRPr="00A0513E">
        <w:t>3 and ≤</w:t>
      </w:r>
      <w:r>
        <w:t xml:space="preserve"> </w:t>
      </w:r>
      <w:r w:rsidRPr="00A0513E">
        <w:t>5 samples to determine prosthetic joint infection</w:t>
      </w:r>
      <w:r>
        <w:t>.</w:t>
      </w:r>
    </w:p>
    <w:p w14:paraId="75D16E05" w14:textId="77777777" w:rsidR="00CA7016" w:rsidRPr="00A0513E" w:rsidRDefault="00CA7016" w:rsidP="00D87423">
      <w:pPr>
        <w:pStyle w:val="01squarebullet"/>
        <w:spacing w:before="240"/>
      </w:pPr>
      <w:r w:rsidRPr="00EA522E">
        <w:t>Tissue samples from all intraoperative biopsies should also be referred to anatomical pathology</w:t>
      </w:r>
      <w:r w:rsidR="00A9549B">
        <w:t>,</w:t>
      </w:r>
      <w:r w:rsidRPr="00EA522E">
        <w:t xml:space="preserve"> as a PMN</w:t>
      </w:r>
      <w:r w:rsidR="00D87423">
        <w:t xml:space="preserve"> (</w:t>
      </w:r>
      <w:r w:rsidR="00D87423" w:rsidRPr="00D87423">
        <w:rPr>
          <w:lang w:val="en-GB"/>
        </w:rPr>
        <w:t>polymorphonuclear cells</w:t>
      </w:r>
      <w:r w:rsidR="00D87423">
        <w:rPr>
          <w:lang w:val="en-GB"/>
        </w:rPr>
        <w:t xml:space="preserve">) </w:t>
      </w:r>
      <w:r w:rsidRPr="00EA522E">
        <w:t>count per high</w:t>
      </w:r>
      <w:r>
        <w:t>-</w:t>
      </w:r>
      <w:r w:rsidRPr="00EA522E">
        <w:t>power field provides additional information relating to determining the likelihood of infection versus loosening of prosthesis.</w:t>
      </w:r>
    </w:p>
    <w:p w14:paraId="7E76B39E" w14:textId="77777777" w:rsidR="00CA7016" w:rsidRPr="00B96BC0" w:rsidRDefault="00CA7016" w:rsidP="00CA7016">
      <w:pPr>
        <w:pStyle w:val="Caption"/>
      </w:pPr>
      <w:bookmarkStart w:id="416" w:name="_Toc484598369"/>
      <w:bookmarkStart w:id="417" w:name="_Toc486935633"/>
      <w:bookmarkStart w:id="418" w:name="_Toc12953486"/>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36</w:t>
      </w:r>
      <w:r w:rsidR="00BB490A">
        <w:rPr>
          <w:noProof/>
        </w:rPr>
        <w:fldChar w:fldCharType="end"/>
      </w:r>
      <w:r>
        <w:t>:</w:t>
      </w:r>
      <w:r w:rsidRPr="008B3C1F">
        <w:t xml:space="preserve"> </w:t>
      </w:r>
      <w:r w:rsidRPr="00B96BC0">
        <w:t xml:space="preserve">Proposed </w:t>
      </w:r>
      <w:r>
        <w:t>new items and descriptors for orthopaedic tissues</w:t>
      </w:r>
      <w:bookmarkEnd w:id="416"/>
      <w:bookmarkEnd w:id="417"/>
      <w:bookmarkEnd w:id="418"/>
    </w:p>
    <w:tbl>
      <w:tblPr>
        <w:tblStyle w:val="TableGrid"/>
        <w:tblW w:w="9571" w:type="dxa"/>
        <w:tblLook w:val="04A0" w:firstRow="1" w:lastRow="0" w:firstColumn="1" w:lastColumn="0" w:noHBand="0" w:noVBand="1"/>
        <w:tblDescription w:val="This table lists the new Item numbers, and Proposed changes to descriptors for new items relating to testing of orthopaedic tissues to be introduced into the Schedule."/>
      </w:tblPr>
      <w:tblGrid>
        <w:gridCol w:w="1980"/>
        <w:gridCol w:w="7591"/>
      </w:tblGrid>
      <w:tr w:rsidR="00CA7016" w:rsidRPr="00B96BC0" w14:paraId="5390F4F8" w14:textId="77777777" w:rsidTr="00F20089">
        <w:trPr>
          <w:trHeight w:val="445"/>
          <w:tblHeader/>
        </w:trPr>
        <w:tc>
          <w:tcPr>
            <w:tcW w:w="1980" w:type="dxa"/>
            <w:shd w:val="clear" w:color="auto" w:fill="EEECE1" w:themeFill="background2"/>
            <w:vAlign w:val="bottom"/>
          </w:tcPr>
          <w:p w14:paraId="2AD5B3B4" w14:textId="77777777" w:rsidR="00CA7016" w:rsidRPr="00A0513E" w:rsidRDefault="00CA7016" w:rsidP="003C3F6A">
            <w:pPr>
              <w:pStyle w:val="01Tableheaderrow"/>
            </w:pPr>
            <w:r w:rsidRPr="00A0513E">
              <w:t>Item</w:t>
            </w:r>
          </w:p>
        </w:tc>
        <w:tc>
          <w:tcPr>
            <w:tcW w:w="7591" w:type="dxa"/>
            <w:shd w:val="clear" w:color="auto" w:fill="EEECE1" w:themeFill="background2"/>
            <w:vAlign w:val="bottom"/>
          </w:tcPr>
          <w:p w14:paraId="635BCB3E" w14:textId="77777777" w:rsidR="00CA7016" w:rsidRPr="00A0513E" w:rsidRDefault="00CA7016" w:rsidP="003C3F6A">
            <w:pPr>
              <w:pStyle w:val="01Tableheaderrow"/>
            </w:pPr>
            <w:r w:rsidRPr="00A0513E">
              <w:t>Proposed descriptor</w:t>
            </w:r>
          </w:p>
        </w:tc>
      </w:tr>
      <w:tr w:rsidR="00CA7016" w:rsidRPr="00B96BC0" w14:paraId="4517F05E" w14:textId="77777777" w:rsidTr="00AE4B00">
        <w:trPr>
          <w:trHeight w:val="1516"/>
        </w:trPr>
        <w:tc>
          <w:tcPr>
            <w:tcW w:w="1980" w:type="dxa"/>
          </w:tcPr>
          <w:p w14:paraId="7B12BA10" w14:textId="77777777" w:rsidR="00CA7016" w:rsidRPr="00A0513E" w:rsidRDefault="00CA7016" w:rsidP="003C3F6A">
            <w:pPr>
              <w:pStyle w:val="02Tabletext"/>
            </w:pPr>
            <w:r w:rsidRPr="00A0513E">
              <w:t>New item</w:t>
            </w:r>
          </w:p>
          <w:p w14:paraId="1878EE34" w14:textId="77777777" w:rsidR="00CA7016" w:rsidRPr="00A0513E" w:rsidRDefault="00AE4B00" w:rsidP="003C3F6A">
            <w:pPr>
              <w:pStyle w:val="02Tabletext"/>
            </w:pPr>
            <w:r>
              <w:t>orthopaedic tissues 1</w:t>
            </w:r>
          </w:p>
          <w:p w14:paraId="7256F410" w14:textId="77777777" w:rsidR="00CA7016" w:rsidRPr="00A0513E" w:rsidRDefault="00CA7016" w:rsidP="003C3F6A">
            <w:pPr>
              <w:pStyle w:val="02Tabletext"/>
            </w:pPr>
          </w:p>
        </w:tc>
        <w:tc>
          <w:tcPr>
            <w:tcW w:w="7591" w:type="dxa"/>
          </w:tcPr>
          <w:p w14:paraId="0CDE0C57" w14:textId="77777777" w:rsidR="00CA7016" w:rsidRPr="00A0513E" w:rsidRDefault="00CA7016" w:rsidP="003C3F6A">
            <w:pPr>
              <w:pStyle w:val="02Tabletext"/>
            </w:pPr>
            <w:r w:rsidRPr="00A0513E">
              <w:t xml:space="preserve">Microscopy and culture of intraoperative biopsies in the assessment of prosthetic joint infections of </w:t>
            </w:r>
            <w:r>
              <w:t>3</w:t>
            </w:r>
            <w:r w:rsidRPr="00A0513E">
              <w:t xml:space="preserve"> specimens involving aerobic and anaerobic culture and including if performed:</w:t>
            </w:r>
          </w:p>
          <w:p w14:paraId="3D8C2944" w14:textId="77777777" w:rsidR="00CA7016" w:rsidRPr="00A0513E" w:rsidRDefault="00CA7016" w:rsidP="003C3F6A">
            <w:pPr>
              <w:pStyle w:val="02Tabletext"/>
            </w:pPr>
            <w:r w:rsidRPr="00A0513E">
              <w:t>Pathogen identification and antibiotic susceptibility testing to determine the significance based on indistinguishable isolates being detected from 2 or more specimens.</w:t>
            </w:r>
          </w:p>
        </w:tc>
      </w:tr>
      <w:tr w:rsidR="00CA7016" w:rsidRPr="00B96BC0" w14:paraId="1B91E10F" w14:textId="77777777" w:rsidTr="00AE4B00">
        <w:trPr>
          <w:trHeight w:val="198"/>
        </w:trPr>
        <w:tc>
          <w:tcPr>
            <w:tcW w:w="1980" w:type="dxa"/>
          </w:tcPr>
          <w:p w14:paraId="426D17BF" w14:textId="77777777" w:rsidR="00AE4B00" w:rsidRPr="00A0513E" w:rsidRDefault="00CA7016" w:rsidP="00AE4B00">
            <w:pPr>
              <w:pStyle w:val="02Tabletext"/>
            </w:pPr>
            <w:r w:rsidRPr="00A0513E">
              <w:t>New item</w:t>
            </w:r>
            <w:r w:rsidR="00AE4B00">
              <w:t xml:space="preserve"> orthopaedic tissues 2</w:t>
            </w:r>
          </w:p>
          <w:p w14:paraId="6E34CCCE" w14:textId="77777777" w:rsidR="00CA7016" w:rsidRPr="00A0513E" w:rsidRDefault="00CA7016" w:rsidP="003C3F6A">
            <w:pPr>
              <w:pStyle w:val="02Tabletext"/>
            </w:pPr>
          </w:p>
          <w:p w14:paraId="7AA1F38B" w14:textId="77777777" w:rsidR="00CA7016" w:rsidRPr="00A0513E" w:rsidRDefault="00CA7016" w:rsidP="00AE4B00">
            <w:pPr>
              <w:pStyle w:val="02Tabletext"/>
            </w:pPr>
          </w:p>
        </w:tc>
        <w:tc>
          <w:tcPr>
            <w:tcW w:w="7591" w:type="dxa"/>
          </w:tcPr>
          <w:p w14:paraId="32090D50" w14:textId="77777777" w:rsidR="00CA7016" w:rsidRPr="00A0513E" w:rsidRDefault="00CA7016" w:rsidP="003C3F6A">
            <w:pPr>
              <w:pStyle w:val="02Tabletext"/>
            </w:pPr>
            <w:r w:rsidRPr="00A0513E">
              <w:t xml:space="preserve">Microscopy and culture of intraoperative biopsies in the assessment of prosthetic joint infections of </w:t>
            </w:r>
            <w:r>
              <w:t>4</w:t>
            </w:r>
            <w:r w:rsidRPr="00A0513E">
              <w:t xml:space="preserve"> specimens involving aerobic and anaerobic culture and including if performed:</w:t>
            </w:r>
          </w:p>
          <w:p w14:paraId="20508C9B" w14:textId="77777777" w:rsidR="00CA7016" w:rsidRPr="00A0513E" w:rsidRDefault="00CA7016" w:rsidP="003C3F6A">
            <w:pPr>
              <w:pStyle w:val="02Tabletext"/>
            </w:pPr>
            <w:r w:rsidRPr="00A0513E">
              <w:t>(a) Pathogen identification and antibiotic susceptibility testing to determine the significance based on</w:t>
            </w:r>
            <w:r>
              <w:t xml:space="preserve"> </w:t>
            </w:r>
            <w:r w:rsidRPr="00A0513E">
              <w:t>indistinguishable isolates being detected from 2 or more specimens.</w:t>
            </w:r>
          </w:p>
          <w:p w14:paraId="4D2EE848" w14:textId="77777777" w:rsidR="00CA7016" w:rsidRPr="00A0513E" w:rsidRDefault="00CA7016" w:rsidP="003C3F6A">
            <w:pPr>
              <w:pStyle w:val="02Tabletext"/>
            </w:pPr>
            <w:r w:rsidRPr="00A0513E">
              <w:t xml:space="preserve">(b) A service described in </w:t>
            </w:r>
            <w:r w:rsidR="008302B1">
              <w:t xml:space="preserve">new </w:t>
            </w:r>
            <w:r w:rsidRPr="00A0513E">
              <w:t xml:space="preserve">item </w:t>
            </w:r>
            <w:r w:rsidR="008302B1">
              <w:t>orthopaedic tissues 1.</w:t>
            </w:r>
          </w:p>
        </w:tc>
      </w:tr>
      <w:tr w:rsidR="00CA7016" w:rsidRPr="00B96BC0" w14:paraId="1A94E551" w14:textId="77777777" w:rsidTr="00AE4B00">
        <w:trPr>
          <w:trHeight w:val="198"/>
        </w:trPr>
        <w:tc>
          <w:tcPr>
            <w:tcW w:w="1980" w:type="dxa"/>
          </w:tcPr>
          <w:p w14:paraId="4673BA31" w14:textId="77777777" w:rsidR="00AE4B00" w:rsidRPr="00A0513E" w:rsidRDefault="00CA7016" w:rsidP="00AE4B00">
            <w:pPr>
              <w:pStyle w:val="02Tabletext"/>
            </w:pPr>
            <w:r w:rsidRPr="00A0513E">
              <w:t>New item</w:t>
            </w:r>
            <w:r w:rsidR="00AE4B00">
              <w:t xml:space="preserve"> orthopaedic tissues 3</w:t>
            </w:r>
          </w:p>
          <w:p w14:paraId="60BAB70D" w14:textId="77777777" w:rsidR="00CA7016" w:rsidRPr="00A0513E" w:rsidRDefault="00CA7016" w:rsidP="003C3F6A">
            <w:pPr>
              <w:pStyle w:val="02Tabletext"/>
            </w:pPr>
          </w:p>
          <w:p w14:paraId="760D51F9" w14:textId="77777777" w:rsidR="00CA7016" w:rsidRPr="00A0513E" w:rsidRDefault="00CA7016" w:rsidP="00AE4B00">
            <w:pPr>
              <w:pStyle w:val="02Tabletext"/>
            </w:pPr>
          </w:p>
        </w:tc>
        <w:tc>
          <w:tcPr>
            <w:tcW w:w="7591" w:type="dxa"/>
          </w:tcPr>
          <w:p w14:paraId="780EBF01" w14:textId="77777777" w:rsidR="00CA7016" w:rsidRPr="00A0513E" w:rsidRDefault="00CA7016" w:rsidP="003C3F6A">
            <w:pPr>
              <w:pStyle w:val="02Tabletext"/>
            </w:pPr>
            <w:r w:rsidRPr="00A0513E">
              <w:t xml:space="preserve">Microscopy and culture of intraoperative biopsies in the assessment of prosthetic joint infections of </w:t>
            </w:r>
            <w:r>
              <w:t>5</w:t>
            </w:r>
            <w:r w:rsidRPr="00A0513E">
              <w:t xml:space="preserve"> or more specimens involving aerobic and anaerobic culture and including if performed:</w:t>
            </w:r>
          </w:p>
          <w:p w14:paraId="68C28BD0" w14:textId="77777777" w:rsidR="00CA7016" w:rsidRPr="00A0513E" w:rsidRDefault="00CA7016" w:rsidP="003C3F6A">
            <w:pPr>
              <w:pStyle w:val="02Tabletext"/>
            </w:pPr>
            <w:r w:rsidRPr="00A0513E">
              <w:t>(a) Pathogen identification and antibiotic susceptibility testing to determine the significance based on</w:t>
            </w:r>
            <w:r>
              <w:t xml:space="preserve"> </w:t>
            </w:r>
            <w:r w:rsidRPr="00A0513E">
              <w:t>indistinguishable isolates being detected from 2 or more specimens.</w:t>
            </w:r>
          </w:p>
          <w:p w14:paraId="0A7A8D8C" w14:textId="77777777" w:rsidR="00CA7016" w:rsidRPr="00A0513E" w:rsidRDefault="00CA7016" w:rsidP="003C3F6A">
            <w:pPr>
              <w:pStyle w:val="02Tabletext"/>
            </w:pPr>
            <w:r w:rsidRPr="00A0513E">
              <w:t xml:space="preserve">(b) A service described </w:t>
            </w:r>
            <w:r w:rsidR="008302B1">
              <w:t>in new item orthopaedic tissues 1 and new item orthopaedic tissues 2.</w:t>
            </w:r>
          </w:p>
        </w:tc>
      </w:tr>
    </w:tbl>
    <w:p w14:paraId="5D2E0368" w14:textId="77777777" w:rsidR="00CA7016" w:rsidRPr="00A0513E" w:rsidRDefault="00CA7016">
      <w:pPr>
        <w:pStyle w:val="Heading4"/>
      </w:pPr>
      <w:r w:rsidRPr="00A0513E">
        <w:t>Rationale</w:t>
      </w:r>
    </w:p>
    <w:p w14:paraId="49458259" w14:textId="77777777" w:rsidR="00CA7016" w:rsidRPr="00A0513E" w:rsidRDefault="00CA7016" w:rsidP="00CA7016">
      <w:pPr>
        <w:pStyle w:val="01squarebullet"/>
      </w:pPr>
      <w:r w:rsidRPr="00A0513E">
        <w:t>International consensus guidelines demonstrate there is clinical benefit in the collection of &gt;</w:t>
      </w:r>
      <w:r>
        <w:t> </w:t>
      </w:r>
      <w:r w:rsidRPr="00A0513E">
        <w:t>3 and ≤</w:t>
      </w:r>
      <w:r>
        <w:t> </w:t>
      </w:r>
      <w:r w:rsidRPr="00A0513E">
        <w:t xml:space="preserve">5 tissue specimens to monitor and manage infection in </w:t>
      </w:r>
      <w:proofErr w:type="spellStart"/>
      <w:r w:rsidRPr="00A0513E">
        <w:t>orthopaedic</w:t>
      </w:r>
      <w:proofErr w:type="spellEnd"/>
      <w:r w:rsidRPr="00A0513E">
        <w:t xml:space="preserve"> joint surgery. </w:t>
      </w:r>
    </w:p>
    <w:p w14:paraId="0AA67ACF" w14:textId="77777777" w:rsidR="00CA7016" w:rsidRPr="00A0513E" w:rsidRDefault="00CA7016" w:rsidP="00CA7016">
      <w:pPr>
        <w:pStyle w:val="01squarebullet"/>
      </w:pPr>
      <w:r w:rsidRPr="00A0513E">
        <w:t xml:space="preserve">The number of samples required to be </w:t>
      </w:r>
      <w:r>
        <w:t xml:space="preserve">processed </w:t>
      </w:r>
      <w:r w:rsidRPr="00A0513E">
        <w:t>and the histology workload required is significant. This is a growing area and increased demand is expected in the future. Preserving prosthetic joints in place is a benefit to the patient and reduces additional costs to health.</w:t>
      </w:r>
    </w:p>
    <w:p w14:paraId="2FC20EF2" w14:textId="77777777" w:rsidR="00CA7016" w:rsidRPr="00A0513E" w:rsidRDefault="00CA7016" w:rsidP="00CA7016">
      <w:pPr>
        <w:pStyle w:val="01squarebullet"/>
      </w:pPr>
      <w:r w:rsidRPr="00A0513E">
        <w:t>For intraoperative biopsy, guidelines suggest use of multiple samples as part of debridement and retention procedure or when a joint is being revised. Samples may include fluids, pus, synovium, granulation tissue and membrane (tissue that forms at the bone-cement or bone-prosthesis interface).</w:t>
      </w:r>
      <w:r w:rsidRPr="00A0513E">
        <w:fldChar w:fldCharType="begin"/>
      </w:r>
      <w:r w:rsidR="00861FFC">
        <w:instrText xml:space="preserve"> ADDIN EN.CITE &lt;EndNote&gt;&lt;Cite&gt;&lt;Author&gt;Osmon&lt;/Author&gt;&lt;Year&gt;2013&lt;/Year&gt;&lt;RecNum&gt;25&lt;/RecNum&gt;&lt;DisplayText&gt; [25]&lt;/DisplayText&gt;&lt;record&gt;&lt;rec-number&gt;25&lt;/rec-number&gt;&lt;foreign-keys&gt;&lt;key app="EN" db-id="9rerxxddifw5xaewxvlxffw2vsfzrarx0vva" timestamp="1506991304"&gt;25&lt;/key&gt;&lt;/foreign-keys&gt;&lt;ref-type name="Journal Article"&gt;17&lt;/ref-type&gt;&lt;contributors&gt;&lt;authors&gt;&lt;author&gt;Osmon, D. R.&lt;/author&gt;&lt;author&gt;Berbari, E. F.&lt;/author&gt;&lt;author&gt;Berendt, A. R.&lt;/author&gt;&lt;author&gt;Lew, D.&lt;/author&gt;&lt;author&gt;Zimmerli, W.&lt;/author&gt;&lt;author&gt;Steckelberg, J. M.&lt;/author&gt;&lt;author&gt;Rao, N.&lt;/author&gt;&lt;author&gt;Hanssen, A.&lt;/author&gt;&lt;author&gt;Wilson, W. R.&lt;/author&gt;&lt;/authors&gt;&lt;/contributors&gt;&lt;auth-address&gt;Division of Infectious Diseases, Mayo Clinic College of Medicine, Rochester, MN 55905, USA. osmon.douglas@mayo.edu&lt;/auth-address&gt;&lt;titles&gt;&lt;title&gt;Diagnosis and management of prosthetic joint infection: clinical practice guidelines by the Infectious Diseases Society of America&lt;/title&gt;&lt;secondary-title&gt;Clinical Infectious Diseases&lt;/secondary-title&gt;&lt;/titles&gt;&lt;periodical&gt;&lt;full-title&gt;Clinical Infectious Diseases&lt;/full-title&gt;&lt;/periodical&gt;&lt;pages&gt;e1-e25&lt;/pages&gt;&lt;volume&gt;56&lt;/volume&gt;&lt;number&gt;1&lt;/number&gt;&lt;keywords&gt;&lt;keyword&gt;Anti-Bacterial Agents/therapeutic use&lt;/keyword&gt;&lt;keyword&gt;Debridement&lt;/keyword&gt;&lt;keyword&gt;Humans&lt;/keyword&gt;&lt;keyword&gt;Joint Prosthesis/*microbiology/*standards&lt;/keyword&gt;&lt;keyword&gt;Prosthesis-Related Infections/*diagnosis/drug therapy/surgery/*therapy&lt;/keyword&gt;&lt;keyword&gt;United States&lt;/keyword&gt;&lt;/keywords&gt;&lt;dates&gt;&lt;year&gt;2013&lt;/year&gt;&lt;pub-dates&gt;&lt;date&gt;Jan&lt;/date&gt;&lt;/pub-dates&gt;&lt;/dates&gt;&lt;accession-num&gt;23223583&lt;/accession-num&gt;&lt;urls&gt;&lt;related-urls&gt;&lt;url&gt;https://www.ncbi.nlm.nih.gov/pubmed/23223583&lt;/url&gt;&lt;/related-urls&gt;&lt;/urls&gt;&lt;access-date&gt;&amp;lt;Date&amp;gt;&amp;lt;Month&amp;gt;&amp;lt;Year&amp;gt;&lt;/access-date&gt;&lt;/record&gt;&lt;/Cite&gt;&lt;/EndNote&gt;</w:instrText>
      </w:r>
      <w:r w:rsidRPr="00A0513E">
        <w:fldChar w:fldCharType="separate"/>
      </w:r>
      <w:r w:rsidR="00EE147F">
        <w:rPr>
          <w:noProof/>
        </w:rPr>
        <w:t xml:space="preserve"> [25]</w:t>
      </w:r>
      <w:r w:rsidRPr="00A0513E">
        <w:fldChar w:fldCharType="end"/>
      </w:r>
    </w:p>
    <w:p w14:paraId="42C43926" w14:textId="77777777" w:rsidR="00CA7016" w:rsidRPr="00A0513E" w:rsidRDefault="00CA7016" w:rsidP="00CA7016">
      <w:pPr>
        <w:pStyle w:val="01squarebullet"/>
      </w:pPr>
      <w:r w:rsidRPr="00A0513E">
        <w:t>There is currently no item in the Schedule that adequately covers this. Services are currently being billed under 69321</w:t>
      </w:r>
      <w:r>
        <w:t>,</w:t>
      </w:r>
      <w:r w:rsidRPr="00A0513E">
        <w:t xml:space="preserve"> which does not </w:t>
      </w:r>
      <w:proofErr w:type="spellStart"/>
      <w:r w:rsidRPr="00A0513E">
        <w:t>recognise</w:t>
      </w:r>
      <w:proofErr w:type="spellEnd"/>
      <w:r w:rsidRPr="00A0513E">
        <w:t xml:space="preserve"> the workload and materials required for this procedure. No new technology is involved (with the exclusion of</w:t>
      </w:r>
      <w:r>
        <w:t xml:space="preserve"> </w:t>
      </w:r>
      <w:r w:rsidRPr="00A0513E">
        <w:t>sonication, which is becoming less relevant with improved tissue sampling at time of revisions).</w:t>
      </w:r>
    </w:p>
    <w:p w14:paraId="7CD13B78" w14:textId="77777777" w:rsidR="00CA7016" w:rsidRPr="00A0513E" w:rsidRDefault="00CA7016" w:rsidP="00CA7016">
      <w:pPr>
        <w:pStyle w:val="01squarebullet"/>
      </w:pPr>
      <w:r w:rsidRPr="00A0513E">
        <w:lastRenderedPageBreak/>
        <w:t xml:space="preserve">Data provided by the Department linking Pathology item 69321 to various </w:t>
      </w:r>
      <w:proofErr w:type="spellStart"/>
      <w:r w:rsidRPr="00A0513E">
        <w:t>orthopaedic</w:t>
      </w:r>
      <w:proofErr w:type="spellEnd"/>
      <w:r w:rsidRPr="00A0513E">
        <w:t xml:space="preserve"> revision procedures indicate an increase in the number of these services being billed. Members felt that this was a growth area and the changes in practice required to meet best practice were not adequately addressed within the current Schedule.</w:t>
      </w:r>
    </w:p>
    <w:p w14:paraId="01E3748A" w14:textId="77777777" w:rsidR="00CA7016" w:rsidRPr="00A0513E" w:rsidRDefault="00CA7016" w:rsidP="00CA7016">
      <w:pPr>
        <w:pStyle w:val="01squarebullet"/>
      </w:pPr>
      <w:proofErr w:type="spellStart"/>
      <w:r w:rsidRPr="00A0513E">
        <w:t>Bemer</w:t>
      </w:r>
      <w:proofErr w:type="spellEnd"/>
      <w:r w:rsidRPr="00A0513E">
        <w:t xml:space="preserve"> et al demonstrated no impact on clinical effectiveness of microbiological diagnosis of prosthetic joint infection if </w:t>
      </w:r>
      <w:r>
        <w:t>four</w:t>
      </w:r>
      <w:r w:rsidRPr="00A0513E">
        <w:t xml:space="preserve"> rather than </w:t>
      </w:r>
      <w:r>
        <w:t>five</w:t>
      </w:r>
      <w:r w:rsidRPr="00A0513E">
        <w:t xml:space="preserve"> samples were assessed.</w:t>
      </w:r>
      <w:r w:rsidRPr="00A0513E">
        <w:fldChar w:fldCharType="begin">
          <w:fldData xml:space="preserve">PEVuZE5vdGU+PENpdGU+PEF1dGhvcj5CZW1lcjwvQXV0aG9yPjxZZWFyPjIwMTY8L1llYXI+PFJl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</w:fldData>
        </w:fldChar>
      </w:r>
      <w:r w:rsidR="00861FFC">
        <w:instrText xml:space="preserve"> ADDIN EN.CITE </w:instrText>
      </w:r>
      <w:r w:rsidR="00861FFC">
        <w:fldChar w:fldCharType="begin">
          <w:fldData xml:space="preserve">PEVuZE5vdGU+PENpdGU+PEF1dGhvcj5CZW1lcjwvQXV0aG9yPjxZZWFyPjIwMTY8L1llYXI+PFJl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</w:fldData>
        </w:fldChar>
      </w:r>
      <w:r w:rsidR="00861FFC">
        <w:instrText xml:space="preserve"> ADDIN EN.CITE.DATA </w:instrText>
      </w:r>
      <w:r w:rsidR="00861FFC">
        <w:fldChar w:fldCharType="end"/>
      </w:r>
      <w:r w:rsidRPr="00A0513E">
        <w:fldChar w:fldCharType="separate"/>
      </w:r>
      <w:r w:rsidR="00EE147F">
        <w:rPr>
          <w:noProof/>
        </w:rPr>
        <w:t xml:space="preserve"> [26]</w:t>
      </w:r>
      <w:r w:rsidRPr="00A0513E">
        <w:fldChar w:fldCharType="end"/>
      </w:r>
    </w:p>
    <w:p w14:paraId="0DFA950C" w14:textId="77777777" w:rsidR="00CA7016" w:rsidRPr="00A0513E" w:rsidRDefault="00CA7016" w:rsidP="00CA7016">
      <w:pPr>
        <w:pStyle w:val="01squarebullet"/>
      </w:pPr>
      <w:r w:rsidRPr="00A0513E">
        <w:t xml:space="preserve">This recommendation is supported by the </w:t>
      </w:r>
      <w:proofErr w:type="spellStart"/>
      <w:r w:rsidRPr="00A0513E">
        <w:t>Orthopaedic</w:t>
      </w:r>
      <w:proofErr w:type="spellEnd"/>
      <w:r w:rsidRPr="00A0513E">
        <w:t xml:space="preserve"> Clinical Committee</w:t>
      </w:r>
      <w:r>
        <w:t xml:space="preserve"> as contemporary best practice.</w:t>
      </w:r>
      <w:r w:rsidRPr="00A0513E">
        <w:fldChar w:fldCharType="begin">
          <w:fldData xml:space="preserve">PEVuZE5vdGU+PENpdGU+PEF1dGhvcj5EcmFnbzwvQXV0aG9yPjxZZWFyPjIwMTY8L1llYXI+PFJl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</w:fldData>
        </w:fldChar>
      </w:r>
      <w:r w:rsidR="00C10F95">
        <w:instrText xml:space="preserve"> ADDIN EN.CITE </w:instrText>
      </w:r>
      <w:r w:rsidR="00C10F95">
        <w:fldChar w:fldCharType="begin">
          <w:fldData xml:space="preserve">PEVuZE5vdGU+PENpdGU+PEF1dGhvcj5EcmFnbzwvQXV0aG9yPjxZZWFyPjIwMTY8L1llYXI+PFJl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</w:fldData>
        </w:fldChar>
      </w:r>
      <w:r w:rsidR="00C10F95">
        <w:instrText xml:space="preserve"> ADDIN EN.CITE.DATA </w:instrText>
      </w:r>
      <w:r w:rsidR="00C10F95">
        <w:fldChar w:fldCharType="end"/>
      </w:r>
      <w:r w:rsidRPr="00A0513E">
        <w:fldChar w:fldCharType="separate"/>
      </w:r>
      <w:r w:rsidR="00EE147F">
        <w:rPr>
          <w:noProof/>
        </w:rPr>
        <w:t xml:space="preserve"> [25</w:t>
      </w:r>
      <w:r w:rsidR="00DB6544">
        <w:rPr>
          <w:noProof/>
        </w:rPr>
        <w:t>]</w:t>
      </w:r>
      <w:r w:rsidR="00EE147F">
        <w:rPr>
          <w:noProof/>
        </w:rPr>
        <w:t>, [27</w:t>
      </w:r>
      <w:r w:rsidR="00DB6544">
        <w:rPr>
          <w:noProof/>
        </w:rPr>
        <w:t>]</w:t>
      </w:r>
      <w:r w:rsidR="00EE147F">
        <w:rPr>
          <w:noProof/>
        </w:rPr>
        <w:t>, [28</w:t>
      </w:r>
      <w:r w:rsidR="00DB6544">
        <w:rPr>
          <w:noProof/>
        </w:rPr>
        <w:t>]</w:t>
      </w:r>
      <w:r w:rsidR="00EE147F">
        <w:rPr>
          <w:noProof/>
        </w:rPr>
        <w:t>, [29]</w:t>
      </w:r>
      <w:r w:rsidRPr="00A0513E">
        <w:fldChar w:fldCharType="end"/>
      </w:r>
    </w:p>
    <w:p w14:paraId="6134A8B4" w14:textId="77777777" w:rsidR="00CA7016" w:rsidRPr="00A0513E" w:rsidRDefault="00CA7016" w:rsidP="00CA7016">
      <w:pPr>
        <w:pStyle w:val="Heading2"/>
      </w:pPr>
      <w:bookmarkStart w:id="419" w:name="_Toc487621099"/>
      <w:bookmarkStart w:id="420" w:name="_Toc487621100"/>
      <w:bookmarkStart w:id="421" w:name="_Toc487621101"/>
      <w:bookmarkStart w:id="422" w:name="_Toc487621102"/>
      <w:bookmarkStart w:id="423" w:name="_Toc487621103"/>
      <w:bookmarkStart w:id="424" w:name="_Toc487621104"/>
      <w:bookmarkStart w:id="425" w:name="_Toc486939213"/>
      <w:bookmarkStart w:id="426" w:name="_Toc12886607"/>
      <w:bookmarkEnd w:id="419"/>
      <w:bookmarkEnd w:id="420"/>
      <w:bookmarkEnd w:id="421"/>
      <w:bookmarkEnd w:id="422"/>
      <w:bookmarkEnd w:id="423"/>
      <w:bookmarkEnd w:id="424"/>
      <w:r>
        <w:t>Recommendations to MSAC</w:t>
      </w:r>
      <w:bookmarkEnd w:id="425"/>
      <w:bookmarkEnd w:id="426"/>
    </w:p>
    <w:p w14:paraId="3C38ECD7" w14:textId="77777777" w:rsidR="00CA7016" w:rsidRPr="00A0513E" w:rsidRDefault="00CA7016" w:rsidP="00D87423">
      <w:pPr>
        <w:pStyle w:val="Heading3"/>
        <w:spacing w:before="180"/>
      </w:pPr>
      <w:bookmarkStart w:id="427" w:name="_Toc486939214"/>
      <w:bookmarkStart w:id="428" w:name="_Toc483989390"/>
      <w:bookmarkStart w:id="429" w:name="_Toc12886608"/>
      <w:r w:rsidRPr="00A0513E">
        <w:t xml:space="preserve">Testing for </w:t>
      </w:r>
      <w:r w:rsidR="007E6AA2">
        <w:t>multi-resistant</w:t>
      </w:r>
      <w:r w:rsidRPr="00A0513E">
        <w:t xml:space="preserve"> </w:t>
      </w:r>
      <w:r>
        <w:t>o</w:t>
      </w:r>
      <w:r w:rsidRPr="00A0513E">
        <w:t>rganisms (MRO)</w:t>
      </w:r>
      <w:bookmarkEnd w:id="427"/>
      <w:bookmarkEnd w:id="428"/>
      <w:r>
        <w:t xml:space="preserve"> </w:t>
      </w:r>
      <w:r w:rsidR="00AE4B00">
        <w:t>– new items</w:t>
      </w:r>
      <w:bookmarkEnd w:id="429"/>
    </w:p>
    <w:p w14:paraId="6EE2B9B6" w14:textId="77777777" w:rsidR="00CA7016" w:rsidRPr="00A0513E" w:rsidRDefault="00CA7016">
      <w:pPr>
        <w:pStyle w:val="Heading4"/>
      </w:pPr>
      <w:r w:rsidRPr="00A0513E">
        <w:t>Recommendation</w:t>
      </w:r>
    </w:p>
    <w:p w14:paraId="0AFB7182" w14:textId="77777777" w:rsidR="00CA7016" w:rsidRPr="00A0513E" w:rsidRDefault="00CA7016" w:rsidP="00CA7016">
      <w:pPr>
        <w:pStyle w:val="01squarebullet"/>
      </w:pPr>
      <w:r w:rsidRPr="00A0513E">
        <w:t xml:space="preserve">Create a new item number to fund the testing for </w:t>
      </w:r>
      <w:r w:rsidR="007E6AA2">
        <w:t>multi-resistant</w:t>
      </w:r>
      <w:r w:rsidRPr="00A0513E">
        <w:t xml:space="preserve"> organisms (MRO) from appropriate sites. </w:t>
      </w:r>
    </w:p>
    <w:p w14:paraId="6B3E3B66" w14:textId="77777777" w:rsidR="00CA7016" w:rsidRPr="007D22FE" w:rsidRDefault="00CA7016" w:rsidP="00CA7016">
      <w:pPr>
        <w:pStyle w:val="Caption"/>
      </w:pPr>
      <w:bookmarkStart w:id="430" w:name="_Toc484598370"/>
      <w:bookmarkStart w:id="431" w:name="_Toc486935634"/>
      <w:bookmarkStart w:id="432" w:name="_Toc12953487"/>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37</w:t>
      </w:r>
      <w:r w:rsidR="00BB490A">
        <w:rPr>
          <w:noProof/>
        </w:rPr>
        <w:fldChar w:fldCharType="end"/>
      </w:r>
      <w:r>
        <w:t xml:space="preserve">: </w:t>
      </w:r>
      <w:r w:rsidRPr="00B96BC0">
        <w:t xml:space="preserve">Proposed </w:t>
      </w:r>
      <w:r>
        <w:t xml:space="preserve">new items and descriptors for </w:t>
      </w:r>
      <w:r w:rsidR="007E6AA2">
        <w:t>multi-resistant</w:t>
      </w:r>
      <w:r>
        <w:t xml:space="preserve"> organisms</w:t>
      </w:r>
      <w:bookmarkEnd w:id="430"/>
      <w:bookmarkEnd w:id="431"/>
      <w:bookmarkEnd w:id="432"/>
    </w:p>
    <w:tbl>
      <w:tblPr>
        <w:tblStyle w:val="TableGrid"/>
        <w:tblW w:w="9571" w:type="dxa"/>
        <w:tblLook w:val="04A0" w:firstRow="1" w:lastRow="0" w:firstColumn="1" w:lastColumn="0" w:noHBand="0" w:noVBand="1"/>
        <w:tblDescription w:val="This table lists the Item numbers and Proposed changes to descriptors for new items relating to testing for multiresistant organisms to be introduced into the Schedule."/>
      </w:tblPr>
      <w:tblGrid>
        <w:gridCol w:w="1873"/>
        <w:gridCol w:w="7698"/>
      </w:tblGrid>
      <w:tr w:rsidR="00CA7016" w:rsidRPr="0093500F" w14:paraId="2539850C" w14:textId="77777777" w:rsidTr="00F20089">
        <w:trPr>
          <w:trHeight w:val="445"/>
          <w:tblHeader/>
        </w:trPr>
        <w:tc>
          <w:tcPr>
            <w:tcW w:w="1873" w:type="dxa"/>
            <w:shd w:val="clear" w:color="auto" w:fill="EEECE1" w:themeFill="background2"/>
            <w:vAlign w:val="bottom"/>
          </w:tcPr>
          <w:p w14:paraId="4D79BA94" w14:textId="77777777" w:rsidR="00CA7016" w:rsidRPr="00A0513E" w:rsidRDefault="00CA7016" w:rsidP="003C3F6A">
            <w:pPr>
              <w:pStyle w:val="01Tableheaderrow"/>
            </w:pPr>
            <w:r w:rsidRPr="00A0513E">
              <w:t>Item</w:t>
            </w:r>
          </w:p>
        </w:tc>
        <w:tc>
          <w:tcPr>
            <w:tcW w:w="7698" w:type="dxa"/>
            <w:shd w:val="clear" w:color="auto" w:fill="EEECE1" w:themeFill="background2"/>
            <w:vAlign w:val="bottom"/>
          </w:tcPr>
          <w:p w14:paraId="51F7A9CA" w14:textId="77777777" w:rsidR="00CA7016" w:rsidRPr="00A0513E" w:rsidRDefault="00CA7016" w:rsidP="003C3F6A">
            <w:pPr>
              <w:pStyle w:val="01Tableheaderrow"/>
            </w:pPr>
            <w:r w:rsidRPr="00A0513E">
              <w:t>Proposed descriptor</w:t>
            </w:r>
          </w:p>
        </w:tc>
      </w:tr>
      <w:tr w:rsidR="00CA7016" w:rsidRPr="00C73C26" w14:paraId="04D819C0" w14:textId="77777777" w:rsidTr="003C3F6A">
        <w:trPr>
          <w:trHeight w:val="1064"/>
        </w:trPr>
        <w:tc>
          <w:tcPr>
            <w:tcW w:w="1873" w:type="dxa"/>
          </w:tcPr>
          <w:p w14:paraId="2AB1EEF5" w14:textId="77777777" w:rsidR="00CA7016" w:rsidRPr="00A0513E" w:rsidRDefault="00CA7016" w:rsidP="003C3F6A">
            <w:pPr>
              <w:pStyle w:val="02Tabletext"/>
            </w:pPr>
            <w:bookmarkStart w:id="433" w:name="_Hlk503731442"/>
            <w:r w:rsidRPr="00A0513E">
              <w:t>New item MRO 1</w:t>
            </w:r>
          </w:p>
        </w:tc>
        <w:tc>
          <w:tcPr>
            <w:tcW w:w="7698" w:type="dxa"/>
          </w:tcPr>
          <w:p w14:paraId="0728FF6E" w14:textId="77777777" w:rsidR="00CA7016" w:rsidRPr="00A0513E" w:rsidRDefault="00CA7016" w:rsidP="003C3F6A">
            <w:pPr>
              <w:pStyle w:val="02Tabletext"/>
            </w:pPr>
            <w:r>
              <w:t>Culture</w:t>
            </w:r>
            <w:r w:rsidRPr="00A0513E">
              <w:t xml:space="preserve"> of specimens (skin; nose, throat, groin, rectal swab, faeces) to determine the presence of </w:t>
            </w:r>
            <w:r w:rsidR="007E6AA2">
              <w:t>multi-resistant</w:t>
            </w:r>
            <w:r w:rsidRPr="00A0513E">
              <w:t xml:space="preserve"> organisms.</w:t>
            </w:r>
          </w:p>
          <w:p w14:paraId="4ADBCAF2" w14:textId="77777777" w:rsidR="00CA7016" w:rsidRPr="00A0513E" w:rsidRDefault="00CA7016" w:rsidP="003C3F6A">
            <w:pPr>
              <w:pStyle w:val="02Tabletext"/>
            </w:pPr>
            <w:r w:rsidRPr="00A0513E">
              <w:t xml:space="preserve">Including (if performed): </w:t>
            </w:r>
          </w:p>
          <w:p w14:paraId="6D05714A" w14:textId="77777777" w:rsidR="00CA7016" w:rsidRPr="00A0513E" w:rsidRDefault="00CA7016" w:rsidP="003C3F6A">
            <w:pPr>
              <w:pStyle w:val="02Tabletext"/>
            </w:pPr>
            <w:r w:rsidRPr="00A0513E">
              <w:t>pathogen identification and antibiotic susceptibility testing</w:t>
            </w:r>
            <w:r>
              <w:t>.</w:t>
            </w:r>
          </w:p>
        </w:tc>
      </w:tr>
      <w:tr w:rsidR="00CA7016" w:rsidRPr="00C73C26" w14:paraId="19A6D5F1" w14:textId="77777777" w:rsidTr="003C3F6A">
        <w:trPr>
          <w:trHeight w:val="816"/>
        </w:trPr>
        <w:tc>
          <w:tcPr>
            <w:tcW w:w="1873" w:type="dxa"/>
          </w:tcPr>
          <w:p w14:paraId="71608395" w14:textId="77777777" w:rsidR="00CA7016" w:rsidRPr="00A0513E" w:rsidRDefault="00CA7016" w:rsidP="003C3F6A">
            <w:pPr>
              <w:pStyle w:val="02Tabletext"/>
            </w:pPr>
            <w:r w:rsidRPr="00A0513E">
              <w:t>New item MRO2</w:t>
            </w:r>
          </w:p>
        </w:tc>
        <w:tc>
          <w:tcPr>
            <w:tcW w:w="7698" w:type="dxa"/>
          </w:tcPr>
          <w:p w14:paraId="1EA4EB1C" w14:textId="77777777" w:rsidR="00CA7016" w:rsidRPr="00A0513E" w:rsidRDefault="00CA7016" w:rsidP="003C3F6A">
            <w:pPr>
              <w:pStyle w:val="02Tabletext"/>
            </w:pPr>
            <w:r w:rsidRPr="00A0513E">
              <w:t>Confirmation of antibiotic resistant organisms using NAAT.</w:t>
            </w:r>
          </w:p>
          <w:p w14:paraId="37DC4DF1" w14:textId="77777777" w:rsidR="00CA7016" w:rsidRPr="00A0513E" w:rsidRDefault="00CA7016" w:rsidP="003C3F6A">
            <w:pPr>
              <w:pStyle w:val="02Tabletext"/>
            </w:pPr>
            <w:r w:rsidRPr="00A0513E">
              <w:t>This test should only be performed after item MRO1</w:t>
            </w:r>
            <w:r>
              <w:t>.</w:t>
            </w:r>
          </w:p>
        </w:tc>
      </w:tr>
    </w:tbl>
    <w:bookmarkEnd w:id="433"/>
    <w:p w14:paraId="306A4BA7" w14:textId="77777777" w:rsidR="00CA7016" w:rsidRPr="00A0513E" w:rsidRDefault="00CA7016">
      <w:pPr>
        <w:pStyle w:val="Heading4"/>
      </w:pPr>
      <w:r w:rsidRPr="00A0513E">
        <w:t>Rationale</w:t>
      </w:r>
    </w:p>
    <w:p w14:paraId="78E51BFB" w14:textId="77777777" w:rsidR="00CA7016" w:rsidRPr="00A0513E" w:rsidRDefault="00CA7016" w:rsidP="00CA7016">
      <w:pPr>
        <w:pStyle w:val="01squarebullet"/>
      </w:pPr>
      <w:r w:rsidRPr="00B96BC0">
        <w:t xml:space="preserve">Currently laboratories </w:t>
      </w:r>
      <w:r w:rsidRPr="00A0513E">
        <w:t xml:space="preserve">receive </w:t>
      </w:r>
      <w:proofErr w:type="gramStart"/>
      <w:r w:rsidRPr="00A0513E">
        <w:t>a large number of</w:t>
      </w:r>
      <w:proofErr w:type="gramEnd"/>
      <w:r w:rsidRPr="00A0513E">
        <w:t xml:space="preserve"> swabs for determining the presence of methicillin-resistant </w:t>
      </w:r>
      <w:r w:rsidRPr="00AE133F">
        <w:rPr>
          <w:i/>
        </w:rPr>
        <w:t>Staphylococcus aureus</w:t>
      </w:r>
      <w:r w:rsidRPr="00A0513E">
        <w:t xml:space="preserve"> (MRSA), vancomycin-resistant enterococci (VRE), and </w:t>
      </w:r>
      <w:proofErr w:type="spellStart"/>
      <w:r w:rsidRPr="00A0513E">
        <w:t>carbapenemase</w:t>
      </w:r>
      <w:proofErr w:type="spellEnd"/>
      <w:r w:rsidRPr="00A0513E">
        <w:t xml:space="preserve">-producing Enterobacteriaceae (CPE). These are expensive to process, requiring screening media, identification and susceptibility testing, confirmatory testing by </w:t>
      </w:r>
      <w:r>
        <w:t>polymerase chain reaction (</w:t>
      </w:r>
      <w:r w:rsidRPr="00A0513E">
        <w:t>PCR</w:t>
      </w:r>
      <w:r>
        <w:t>)</w:t>
      </w:r>
      <w:r w:rsidRPr="00A0513E">
        <w:t xml:space="preserve"> or other expensive assays. These investigations are not currently funded.</w:t>
      </w:r>
    </w:p>
    <w:p w14:paraId="086F75FB" w14:textId="77777777" w:rsidR="00CA7016" w:rsidRPr="00A0513E" w:rsidRDefault="00CA7016" w:rsidP="00CA7016">
      <w:pPr>
        <w:pStyle w:val="01squarebullet"/>
      </w:pPr>
      <w:r>
        <w:t>Early d</w:t>
      </w:r>
      <w:r w:rsidRPr="00A0513E">
        <w:t xml:space="preserve">etection of </w:t>
      </w:r>
      <w:r w:rsidR="007E6AA2">
        <w:t>multi-resistant</w:t>
      </w:r>
      <w:r w:rsidRPr="00A0513E">
        <w:t xml:space="preserve"> organisms significantly influences patient management and associated clinical outcomes in healthcare facilities, allowing for preoperative clearance and identifying when differing empiric</w:t>
      </w:r>
      <w:r>
        <w:t>al</w:t>
      </w:r>
      <w:r w:rsidRPr="00A0513E">
        <w:t xml:space="preserve"> antimicrobial therapy is required.</w:t>
      </w:r>
      <w:r>
        <w:t xml:space="preserve"> </w:t>
      </w:r>
      <w:r w:rsidRPr="00A0513E">
        <w:t>If a resistant organism is identified in a patient, appropriate treatment and/or infection control measures can be initiated.</w:t>
      </w:r>
      <w:r w:rsidRPr="00A0513E">
        <w:fldChar w:fldCharType="begin"/>
      </w:r>
      <w:r w:rsidR="00EE147F">
        <w:instrText xml:space="preserve"> ADDIN EN.CITE &lt;EndNote&gt;&lt;Cite&gt;&lt;Author&gt;Australian Commission on Safety and Quality in Health Care&lt;/Author&gt;&lt;Year&gt;2016&lt;/Year&gt;&lt;RecNum&gt;30&lt;/RecNum&gt;&lt;DisplayText&gt; [30]&lt;/DisplayText&gt;&lt;record&gt;&lt;rec-number&gt;30&lt;/rec-number&gt;&lt;foreign-keys&gt;&lt;key app="EN" db-id="9rerxxddifw5xaewxvlxffw2vsfzrarx0vva" timestamp="1506991311"&gt;30&lt;/key&gt;&lt;/foreign-keys&gt;&lt;ref-type name="Web Page"&gt;12&lt;/ref-type&gt;&lt;contributors&gt;&lt;authors&gt;&lt;author&gt;Australian Commission on Safety and Quality in Health Care,&lt;/author&gt;&lt;/authors&gt;&lt;/contributors&gt;&lt;titles&gt;&lt;title&gt;AURA: Antimicribial use and resistance in Australia&lt;/title&gt;&lt;/titles&gt;&lt;number&gt;4 July 2017&lt;/number&gt;&lt;dates&gt;&lt;year&gt;2016&lt;/year&gt;&lt;/dates&gt;&lt;pub-location&gt;Sydney&lt;/pub-location&gt;&lt;publisher&gt;ACSQHC&lt;/publisher&gt;&lt;urls&gt;&lt;related-urls&gt;&lt;url&gt;https://www.safetyandquality.gov.au/antimicrobial-use-and-resistance-in-australia/&lt;/url&gt;&lt;/related-urls&gt;&lt;/urls&gt;&lt;/record&gt;&lt;/Cite&gt;&lt;/EndNote&gt;</w:instrText>
      </w:r>
      <w:r w:rsidRPr="00A0513E">
        <w:fldChar w:fldCharType="separate"/>
      </w:r>
      <w:r w:rsidR="00EE147F">
        <w:rPr>
          <w:noProof/>
        </w:rPr>
        <w:t xml:space="preserve"> [30]</w:t>
      </w:r>
      <w:r w:rsidRPr="00A0513E">
        <w:fldChar w:fldCharType="end"/>
      </w:r>
    </w:p>
    <w:p w14:paraId="370DD329" w14:textId="77777777" w:rsidR="00CA7016" w:rsidRPr="00A0513E" w:rsidRDefault="00CA7016" w:rsidP="00CA7016">
      <w:pPr>
        <w:pStyle w:val="01squarebullet"/>
      </w:pPr>
      <w:r w:rsidRPr="00A0513E">
        <w:t>In addition, there are significant public health implications. In May 2017</w:t>
      </w:r>
      <w:r>
        <w:t>,</w:t>
      </w:r>
      <w:r w:rsidRPr="00A0513E">
        <w:t xml:space="preserve"> the Australian Commission on Safety and Quality in Health Care (the Commission) published </w:t>
      </w:r>
      <w:r w:rsidRPr="00AE133F">
        <w:rPr>
          <w:i/>
        </w:rPr>
        <w:t xml:space="preserve">Recommendations for the control of </w:t>
      </w:r>
      <w:proofErr w:type="spellStart"/>
      <w:r w:rsidRPr="00AE133F">
        <w:rPr>
          <w:i/>
        </w:rPr>
        <w:t>carbapenemase</w:t>
      </w:r>
      <w:proofErr w:type="spellEnd"/>
      <w:r w:rsidRPr="00AE133F">
        <w:rPr>
          <w:i/>
        </w:rPr>
        <w:t>-producing Enterobacteriaceae (CPE).</w:t>
      </w:r>
      <w:r w:rsidRPr="00A0513E">
        <w:t xml:space="preserve"> </w:t>
      </w:r>
      <w:r w:rsidRPr="00AE133F">
        <w:rPr>
          <w:i/>
        </w:rPr>
        <w:t>A</w:t>
      </w:r>
      <w:r>
        <w:rPr>
          <w:i/>
        </w:rPr>
        <w:t xml:space="preserve"> </w:t>
      </w:r>
      <w:r w:rsidRPr="00AE133F">
        <w:rPr>
          <w:i/>
        </w:rPr>
        <w:t>guide for acute care health facilities.</w:t>
      </w:r>
      <w:r w:rsidRPr="00A0513E">
        <w:fldChar w:fldCharType="begin"/>
      </w:r>
      <w:r w:rsidR="00365487">
        <w:instrText xml:space="preserve"> ADDIN EN.CITE &lt;EndNote&gt;&lt;Cite&gt;&lt;Author&gt;Australian Commission on Safety and Quality in Health Care&lt;/Author&gt;&lt;Year&gt;2017&lt;/Year&gt;&lt;RecNum&gt;31&lt;/RecNum&gt;&lt;DisplayText&gt; [31]&lt;/DisplayText&gt;&lt;record&gt;&lt;rec-number&gt;31&lt;/rec-number&gt;&lt;foreign-keys&gt;&lt;key app="EN" db-id="9rerxxddifw5xaewxvlxffw2vsfzrarx0vva" timestamp="1506991312"&gt;31&lt;/key&gt;&lt;/foreign-keys&gt;&lt;ref-type name="Report"&gt;27&lt;/ref-type&gt;&lt;contributors&gt;&lt;authors&gt;&lt;author&gt;Australian Commission on Safety and Quality in Health Care,&lt;/author&gt;&lt;/authors&gt;&lt;/contributors&gt;&lt;titles&gt;&lt;title&gt;Recommendations for the control of carbapenemase-producing Enterobacteriaceae (CPE). A guide for acute care health facilities.&lt;/title&gt;&lt;/titles&gt;&lt;dates&gt;&lt;year&gt;2017&lt;/year&gt;&lt;/dates&gt;&lt;pub-location&gt;Sydney&lt;/pub-location&gt;&lt;publisher&gt;ACSQHC&lt;/publisher&gt;&lt;urls&gt;&lt;related-urls&gt;&lt;url&gt;https://www.safetyandquality.gov.au/wp-content/uploads/2017/05/Recommendations-for-the-control-of-Carbapenemase-producing-Enterobacteriaceae.pdf&lt;/url&gt;&lt;/related-urls&gt;&lt;/urls&gt;&lt;access-date&gt;15 June 2017&lt;/access-date&gt;&lt;/record&gt;&lt;/Cite&gt;&lt;/EndNote&gt;</w:instrText>
      </w:r>
      <w:r w:rsidRPr="00A0513E">
        <w:fldChar w:fldCharType="separate"/>
      </w:r>
      <w:r w:rsidR="00EE147F">
        <w:rPr>
          <w:noProof/>
        </w:rPr>
        <w:t xml:space="preserve"> [31]</w:t>
      </w:r>
      <w:r w:rsidRPr="00A0513E">
        <w:fldChar w:fldCharType="end"/>
      </w:r>
      <w:r>
        <w:t xml:space="preserve"> </w:t>
      </w:r>
      <w:r w:rsidRPr="00A0513E">
        <w:t>This report, which recommends a range of screening strategies based on risk, notes:</w:t>
      </w:r>
    </w:p>
    <w:p w14:paraId="286A8F7B" w14:textId="77777777" w:rsidR="00CA7016" w:rsidRPr="00B024F7" w:rsidRDefault="00CA7016" w:rsidP="00CA7016">
      <w:pPr>
        <w:pStyle w:val="02dash"/>
        <w:numPr>
          <w:ilvl w:val="1"/>
          <w:numId w:val="28"/>
        </w:numPr>
        <w:tabs>
          <w:tab w:val="clear" w:pos="427"/>
          <w:tab w:val="num" w:pos="567"/>
        </w:tabs>
        <w:ind w:left="567" w:hanging="142"/>
      </w:pPr>
      <w:r w:rsidRPr="00B024F7">
        <w:t xml:space="preserve">Identification of </w:t>
      </w:r>
      <w:proofErr w:type="spellStart"/>
      <w:r w:rsidRPr="00B024F7">
        <w:t>colonised</w:t>
      </w:r>
      <w:proofErr w:type="spellEnd"/>
      <w:r w:rsidRPr="00B024F7">
        <w:t xml:space="preserve"> patients on entry to the health facility is important because transfer of </w:t>
      </w:r>
      <w:proofErr w:type="spellStart"/>
      <w:r w:rsidRPr="00B024F7">
        <w:t>colonised</w:t>
      </w:r>
      <w:proofErr w:type="spellEnd"/>
      <w:r w:rsidRPr="00B024F7">
        <w:t xml:space="preserve"> patients has been identified as a major risk factor for the introduction and spread of CPE. This has been clearly documented at a global level.</w:t>
      </w:r>
      <w:r w:rsidRPr="00B024F7">
        <w:fldChar w:fldCharType="begin"/>
      </w:r>
      <w:r w:rsidR="00365487">
        <w:instrText xml:space="preserve"> ADDIN EN.CITE &lt;EndNote&gt;&lt;Cite&gt;&lt;Author&gt;Australian Commission on Safety and Quality in Health Care&lt;/Author&gt;&lt;Year&gt;2017&lt;/Year&gt;&lt;RecNum&gt;31&lt;/RecNum&gt;&lt;DisplayText&gt; [31]&lt;/DisplayText&gt;&lt;record&gt;&lt;rec-number&gt;31&lt;/rec-number&gt;&lt;foreign-keys&gt;&lt;key app="EN" db-id="9rerxxddifw5xaewxvlxffw2vsfzrarx0vva" timestamp="1506991312"&gt;31&lt;/key&gt;&lt;/foreign-keys&gt;&lt;ref-type name="Report"&gt;27&lt;/ref-type&gt;&lt;contributors&gt;&lt;authors&gt;&lt;author&gt;Australian Commission on Safety and Quality in Health Care,&lt;/author&gt;&lt;/authors&gt;&lt;/contributors&gt;&lt;titles&gt;&lt;title&gt;Recommendations for the control of carbapenemase-producing Enterobacteriaceae (CPE). A guide for acute care health facilities.&lt;/title&gt;&lt;/titles&gt;&lt;dates&gt;&lt;year&gt;2017&lt;/year&gt;&lt;/dates&gt;&lt;pub-location&gt;Sydney&lt;/pub-location&gt;&lt;publisher&gt;ACSQHC&lt;/publisher&gt;&lt;urls&gt;&lt;related-urls&gt;&lt;url&gt;https://www.safetyandquality.gov.au/wp-content/uploads/2017/05/Recommendations-for-the-control-of-Carbapenemase-producing-Enterobacteriaceae.pdf&lt;/url&gt;&lt;/related-urls&gt;&lt;/urls&gt;&lt;access-date&gt;15 June 2017&lt;/access-date&gt;&lt;/record&gt;&lt;/Cite&gt;&lt;/EndNote&gt;</w:instrText>
      </w:r>
      <w:r w:rsidRPr="00B024F7">
        <w:fldChar w:fldCharType="separate"/>
      </w:r>
      <w:r w:rsidR="00EE147F">
        <w:rPr>
          <w:noProof/>
        </w:rPr>
        <w:t xml:space="preserve"> [31]</w:t>
      </w:r>
      <w:r w:rsidRPr="00B024F7">
        <w:fldChar w:fldCharType="end"/>
      </w:r>
    </w:p>
    <w:p w14:paraId="1B0F3562" w14:textId="77777777" w:rsidR="00CA7016" w:rsidRPr="00A0513E" w:rsidRDefault="00CA7016" w:rsidP="00CA7016">
      <w:pPr>
        <w:pStyle w:val="01squarebullet"/>
      </w:pPr>
      <w:r>
        <w:lastRenderedPageBreak/>
        <w:t>In June 2015</w:t>
      </w:r>
      <w:r w:rsidRPr="00A0513E">
        <w:t xml:space="preserve"> the Department of Health released its first National Antimicrobial Resistance Strategy (2015</w:t>
      </w:r>
      <w:r>
        <w:t>–</w:t>
      </w:r>
      <w:r w:rsidRPr="00A0513E">
        <w:t>2019)</w:t>
      </w:r>
      <w:r>
        <w:t>,</w:t>
      </w:r>
      <w:r w:rsidRPr="00A0513E">
        <w:t xml:space="preserve"> with seven objectives.</w:t>
      </w:r>
      <w:r w:rsidRPr="00A0513E">
        <w:fldChar w:fldCharType="begin"/>
      </w:r>
      <w:r w:rsidR="00861FFC">
        <w:instrText xml:space="preserve"> ADDIN EN.CITE &lt;EndNote&gt;&lt;Cite&gt;&lt;Author&gt;Department of Health&lt;/Author&gt;&lt;Year&gt;2015&lt;/Year&gt;&lt;RecNum&gt;32&lt;/RecNum&gt;&lt;DisplayText&gt; [32]&lt;/DisplayText&gt;&lt;record&gt;&lt;rec-number&gt;32&lt;/rec-number&gt;&lt;foreign-keys&gt;&lt;key app="EN" db-id="9rerxxddifw5xaewxvlxffw2vsfzrarx0vva" timestamp="1506991313"&gt;32&lt;/key&gt;&lt;/foreign-keys&gt;&lt;ref-type name="Report"&gt;27&lt;/ref-type&gt;&lt;contributors&gt;&lt;authors&gt;&lt;author&gt;Department of Health, Department of Agriculture,&lt;/author&gt;&lt;/authors&gt;&lt;/contributors&gt;&lt;titles&gt;&lt;title&gt;Responding to the threat of antimicrobial resistance.  Australia&amp;apos;s first national antimicrobial resistance strategy 2015-2019&lt;/title&gt;&lt;/titles&gt;&lt;dates&gt;&lt;year&gt;2015&lt;/year&gt;&lt;/dates&gt;&lt;pub-location&gt;Canberra&lt;/pub-location&gt;&lt;publisher&gt;Australian Government&lt;/publisher&gt;&lt;urls&gt;&lt;related-urls&gt;&lt;url&gt;http://www.health.gov.au/internet/main/publishing.nsf/Content/1803C433C71415CACA257C8400121B1F/$File/amr-strategy-2015-2019.pdf&lt;/url&gt;&lt;/related-urls&gt;&lt;/urls&gt;&lt;access-date&gt;4 July 2017&lt;/access-date&gt;&lt;/record&gt;&lt;/Cite&gt;&lt;/EndNote&gt;</w:instrText>
      </w:r>
      <w:r w:rsidRPr="00A0513E">
        <w:fldChar w:fldCharType="separate"/>
      </w:r>
      <w:r w:rsidR="00EE147F">
        <w:rPr>
          <w:noProof/>
        </w:rPr>
        <w:t xml:space="preserve"> [32]</w:t>
      </w:r>
      <w:r w:rsidRPr="00A0513E">
        <w:fldChar w:fldCharType="end"/>
      </w:r>
      <w:r w:rsidRPr="00A0513E">
        <w:t xml:space="preserve"> The third objective relates specifically to screening for </w:t>
      </w:r>
      <w:r w:rsidR="007E6AA2">
        <w:t>multi-resistant</w:t>
      </w:r>
      <w:r w:rsidRPr="00A0513E">
        <w:t xml:space="preserve"> organisms:</w:t>
      </w:r>
    </w:p>
    <w:p w14:paraId="317F9FF5" w14:textId="77777777" w:rsidR="00CA7016" w:rsidRPr="00A0513E" w:rsidRDefault="00CA7016" w:rsidP="00CA7016">
      <w:pPr>
        <w:pStyle w:val="02dash"/>
        <w:numPr>
          <w:ilvl w:val="1"/>
          <w:numId w:val="28"/>
        </w:numPr>
        <w:tabs>
          <w:tab w:val="clear" w:pos="427"/>
          <w:tab w:val="num" w:pos="567"/>
        </w:tabs>
        <w:ind w:left="567" w:hanging="142"/>
      </w:pPr>
      <w:r w:rsidRPr="00A0513E">
        <w:t>Develop nationally coordinated One Health surveillance of antimicrobial resistance and antimicrobial usage.</w:t>
      </w:r>
    </w:p>
    <w:p w14:paraId="08284C0E" w14:textId="77777777" w:rsidR="00CA7016" w:rsidRPr="00A0513E" w:rsidRDefault="00CA7016" w:rsidP="00CA7016">
      <w:pPr>
        <w:pStyle w:val="01squarebullet"/>
      </w:pPr>
      <w:r w:rsidRPr="004C2675">
        <w:t xml:space="preserve">The establishment of national surveillance programs will be guided by </w:t>
      </w:r>
      <w:r>
        <w:t>seven</w:t>
      </w:r>
      <w:r w:rsidRPr="00A0513E">
        <w:t xml:space="preserve"> identified objectives, the second of these being directly relevant to this MSAC recommendation:</w:t>
      </w:r>
    </w:p>
    <w:p w14:paraId="0CFA6498" w14:textId="77777777" w:rsidR="00CA7016" w:rsidRPr="00A0513E" w:rsidRDefault="00CA7016" w:rsidP="00CA7016">
      <w:pPr>
        <w:pStyle w:val="02dash"/>
        <w:numPr>
          <w:ilvl w:val="1"/>
          <w:numId w:val="28"/>
        </w:numPr>
        <w:tabs>
          <w:tab w:val="clear" w:pos="427"/>
          <w:tab w:val="num" w:pos="567"/>
        </w:tabs>
        <w:ind w:left="567" w:hanging="142"/>
      </w:pPr>
      <w:r w:rsidRPr="00A0513E">
        <w:t>Active and passive surveillance programs to determine the prevalence of antimicrobial resistance in organisms causing serious health problems in health care and</w:t>
      </w:r>
      <w:r>
        <w:t xml:space="preserve"> community</w:t>
      </w:r>
      <w:r w:rsidR="007E6AA2">
        <w:t>-</w:t>
      </w:r>
      <w:r>
        <w:t>acquired infections.</w:t>
      </w:r>
      <w:r w:rsidRPr="00A0513E">
        <w:fldChar w:fldCharType="begin"/>
      </w:r>
      <w:r w:rsidR="00861FFC">
        <w:instrText xml:space="preserve"> ADDIN EN.CITE &lt;EndNote&gt;&lt;Cite&gt;&lt;Author&gt;Department of Health&lt;/Author&gt;&lt;Year&gt;2015&lt;/Year&gt;&lt;RecNum&gt;32&lt;/RecNum&gt;&lt;DisplayText&gt; [32]&lt;/DisplayText&gt;&lt;record&gt;&lt;rec-number&gt;32&lt;/rec-number&gt;&lt;foreign-keys&gt;&lt;key app="EN" db-id="9rerxxddifw5xaewxvlxffw2vsfzrarx0vva" timestamp="1506991313"&gt;32&lt;/key&gt;&lt;/foreign-keys&gt;&lt;ref-type name="Report"&gt;27&lt;/ref-type&gt;&lt;contributors&gt;&lt;authors&gt;&lt;author&gt;Department of Health, Department of Agriculture,&lt;/author&gt;&lt;/authors&gt;&lt;/contributors&gt;&lt;titles&gt;&lt;title&gt;Responding to the threat of antimicrobial resistance.  Australia&amp;apos;s first national antimicrobial resistance strategy 2015-2019&lt;/title&gt;&lt;/titles&gt;&lt;dates&gt;&lt;year&gt;2015&lt;/year&gt;&lt;/dates&gt;&lt;pub-location&gt;Canberra&lt;/pub-location&gt;&lt;publisher&gt;Australian Government&lt;/publisher&gt;&lt;urls&gt;&lt;related-urls&gt;&lt;url&gt;http://www.health.gov.au/internet/main/publishing.nsf/Content/1803C433C71415CACA257C8400121B1F/$File/amr-strategy-2015-2019.pdf&lt;/url&gt;&lt;/related-urls&gt;&lt;/urls&gt;&lt;access-date&gt;4 July 2017&lt;/access-date&gt;&lt;/record&gt;&lt;/Cite&gt;&lt;/EndNote&gt;</w:instrText>
      </w:r>
      <w:r w:rsidRPr="00A0513E">
        <w:fldChar w:fldCharType="separate"/>
      </w:r>
      <w:r w:rsidR="00EE147F">
        <w:rPr>
          <w:noProof/>
        </w:rPr>
        <w:t xml:space="preserve"> [32]</w:t>
      </w:r>
      <w:r w:rsidRPr="00A0513E">
        <w:fldChar w:fldCharType="end"/>
      </w:r>
    </w:p>
    <w:p w14:paraId="7CF1D4D6" w14:textId="77777777" w:rsidR="00CA7016" w:rsidRPr="00A0513E" w:rsidRDefault="00CA7016" w:rsidP="00CA7016">
      <w:pPr>
        <w:pStyle w:val="01squarebullet"/>
      </w:pPr>
      <w:r>
        <w:t>P</w:t>
      </w:r>
      <w:r w:rsidRPr="00A0513E">
        <w:t>riority organisms are listed below.</w:t>
      </w:r>
    </w:p>
    <w:p w14:paraId="647F09BB" w14:textId="77777777" w:rsidR="00CA7016" w:rsidRPr="004C2675" w:rsidRDefault="00CA7016" w:rsidP="00CA7016">
      <w:pPr>
        <w:pStyle w:val="Caption"/>
      </w:pPr>
      <w:bookmarkStart w:id="434" w:name="_Toc484598371"/>
      <w:bookmarkStart w:id="435" w:name="_Toc486935635"/>
      <w:bookmarkStart w:id="436" w:name="_Toc12953488"/>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38</w:t>
      </w:r>
      <w:r w:rsidR="00BB490A">
        <w:rPr>
          <w:noProof/>
        </w:rPr>
        <w:fldChar w:fldCharType="end"/>
      </w:r>
      <w:r>
        <w:t>: Australia’s list of priority organisms</w:t>
      </w:r>
      <w:bookmarkEnd w:id="434"/>
      <w:bookmarkEnd w:id="435"/>
      <w:bookmarkEnd w:id="436"/>
    </w:p>
    <w:tbl>
      <w:tblPr>
        <w:tblStyle w:val="TableGrid"/>
        <w:tblW w:w="0" w:type="auto"/>
        <w:tblLayout w:type="fixed"/>
        <w:tblLook w:val="0620" w:firstRow="1" w:lastRow="0" w:firstColumn="0" w:lastColumn="0" w:noHBand="1" w:noVBand="1"/>
        <w:tblDescription w:val="This table shows Australia’s list of priority organisms for human health. "/>
      </w:tblPr>
      <w:tblGrid>
        <w:gridCol w:w="4808"/>
        <w:gridCol w:w="4808"/>
      </w:tblGrid>
      <w:tr w:rsidR="00CA7016" w:rsidRPr="004C2675" w14:paraId="6AACA86C" w14:textId="77777777" w:rsidTr="003C3F6A">
        <w:trPr>
          <w:trHeight w:val="118"/>
          <w:tblHeader/>
        </w:trPr>
        <w:tc>
          <w:tcPr>
            <w:tcW w:w="4808" w:type="dxa"/>
            <w:shd w:val="clear" w:color="auto" w:fill="EEECE1" w:themeFill="background2"/>
          </w:tcPr>
          <w:p w14:paraId="78A52BAA" w14:textId="77777777" w:rsidR="00CA7016" w:rsidRPr="00A0513E" w:rsidRDefault="00CA7016" w:rsidP="003C3F6A">
            <w:pPr>
              <w:pStyle w:val="01Tableheaderrow"/>
            </w:pPr>
            <w:r w:rsidRPr="00A0513E">
              <w:t xml:space="preserve">Rationale </w:t>
            </w:r>
          </w:p>
        </w:tc>
        <w:tc>
          <w:tcPr>
            <w:tcW w:w="4808" w:type="dxa"/>
            <w:shd w:val="clear" w:color="auto" w:fill="EEECE1" w:themeFill="background2"/>
          </w:tcPr>
          <w:p w14:paraId="738905B3" w14:textId="77777777" w:rsidR="00CA7016" w:rsidRPr="00A0513E" w:rsidRDefault="00CA7016" w:rsidP="003C3F6A">
            <w:pPr>
              <w:pStyle w:val="01Tableheaderrow"/>
            </w:pPr>
            <w:r w:rsidRPr="00A0513E">
              <w:t xml:space="preserve">Species </w:t>
            </w:r>
          </w:p>
        </w:tc>
      </w:tr>
      <w:tr w:rsidR="00CA7016" w:rsidRPr="004C2675" w14:paraId="4F127F73" w14:textId="77777777" w:rsidTr="003C3F6A">
        <w:trPr>
          <w:trHeight w:val="1547"/>
        </w:trPr>
        <w:tc>
          <w:tcPr>
            <w:tcW w:w="4808" w:type="dxa"/>
          </w:tcPr>
          <w:p w14:paraId="7CC635EF" w14:textId="77777777" w:rsidR="00CA7016" w:rsidRPr="00A0513E" w:rsidRDefault="00CA7016" w:rsidP="003C3F6A">
            <w:pPr>
              <w:pStyle w:val="02Tabletext"/>
            </w:pPr>
            <w:r w:rsidRPr="00A0513E">
              <w:t xml:space="preserve">Impact in both hospitals and the community </w:t>
            </w:r>
          </w:p>
        </w:tc>
        <w:tc>
          <w:tcPr>
            <w:tcW w:w="4808" w:type="dxa"/>
          </w:tcPr>
          <w:p w14:paraId="5B1017F2" w14:textId="77777777" w:rsidR="00CA7016" w:rsidRPr="00AE133F" w:rsidRDefault="00CA7016" w:rsidP="003C3F6A">
            <w:pPr>
              <w:pStyle w:val="02Tabletext"/>
              <w:rPr>
                <w:i/>
              </w:rPr>
            </w:pPr>
            <w:r w:rsidRPr="00AE133F">
              <w:rPr>
                <w:i/>
              </w:rPr>
              <w:t xml:space="preserve">Enterobacteriaceae (principally </w:t>
            </w:r>
            <w:r w:rsidRPr="00AE133F">
              <w:rPr>
                <w:b/>
                <w:i/>
              </w:rPr>
              <w:t>Escherichia coli</w:t>
            </w:r>
            <w:r w:rsidRPr="00AE133F">
              <w:rPr>
                <w:i/>
              </w:rPr>
              <w:t xml:space="preserve"> and </w:t>
            </w:r>
            <w:r w:rsidRPr="00AE133F">
              <w:rPr>
                <w:b/>
                <w:i/>
              </w:rPr>
              <w:t>Klebsiella species</w:t>
            </w:r>
            <w:r w:rsidRPr="00AE133F">
              <w:rPr>
                <w:i/>
              </w:rPr>
              <w:t xml:space="preserve">) </w:t>
            </w:r>
          </w:p>
          <w:p w14:paraId="13737E27" w14:textId="77777777" w:rsidR="00CA7016" w:rsidRPr="00AE133F" w:rsidRDefault="00CA7016" w:rsidP="003C3F6A">
            <w:pPr>
              <w:pStyle w:val="02Tabletext"/>
              <w:rPr>
                <w:i/>
              </w:rPr>
            </w:pPr>
            <w:r w:rsidRPr="00AE133F">
              <w:rPr>
                <w:i/>
              </w:rPr>
              <w:t xml:space="preserve">Enterococcus species </w:t>
            </w:r>
          </w:p>
          <w:p w14:paraId="50BB4C79" w14:textId="77777777" w:rsidR="00CA7016" w:rsidRPr="00AE133F" w:rsidRDefault="00CA7016" w:rsidP="003C3F6A">
            <w:pPr>
              <w:pStyle w:val="02Tabletext"/>
              <w:rPr>
                <w:i/>
              </w:rPr>
            </w:pPr>
            <w:r w:rsidRPr="00AE133F">
              <w:rPr>
                <w:i/>
              </w:rPr>
              <w:t xml:space="preserve">Mycobacterium tuberculosis </w:t>
            </w:r>
          </w:p>
          <w:p w14:paraId="3C71A18A" w14:textId="77777777" w:rsidR="00CA7016" w:rsidRPr="00AE133F" w:rsidRDefault="00CA7016" w:rsidP="003C3F6A">
            <w:pPr>
              <w:pStyle w:val="02Tabletext"/>
              <w:rPr>
                <w:b/>
                <w:i/>
              </w:rPr>
            </w:pPr>
            <w:r w:rsidRPr="00AE133F">
              <w:rPr>
                <w:b/>
                <w:i/>
              </w:rPr>
              <w:t xml:space="preserve">Neisseria gonorrhoeae </w:t>
            </w:r>
          </w:p>
          <w:p w14:paraId="6E4EEDF7" w14:textId="77777777" w:rsidR="00CA7016" w:rsidRPr="00AE133F" w:rsidRDefault="00CA7016" w:rsidP="003C3F6A">
            <w:pPr>
              <w:pStyle w:val="02Tabletext"/>
              <w:rPr>
                <w:i/>
              </w:rPr>
            </w:pPr>
            <w:r w:rsidRPr="00AE133F">
              <w:rPr>
                <w:i/>
              </w:rPr>
              <w:t xml:space="preserve">Neisseria meningitidis </w:t>
            </w:r>
          </w:p>
          <w:p w14:paraId="650C1DD4" w14:textId="77777777" w:rsidR="00CA7016" w:rsidRPr="00AE133F" w:rsidRDefault="00CA7016" w:rsidP="003C3F6A">
            <w:pPr>
              <w:pStyle w:val="02Tabletext"/>
              <w:rPr>
                <w:b/>
                <w:i/>
              </w:rPr>
            </w:pPr>
            <w:r w:rsidRPr="00AE133F">
              <w:rPr>
                <w:b/>
                <w:i/>
              </w:rPr>
              <w:t xml:space="preserve">Salmonella species </w:t>
            </w:r>
          </w:p>
          <w:p w14:paraId="1CE14D06" w14:textId="77777777" w:rsidR="00CA7016" w:rsidRPr="00AE133F" w:rsidRDefault="00CA7016" w:rsidP="003C3F6A">
            <w:pPr>
              <w:pStyle w:val="02Tabletext"/>
              <w:rPr>
                <w:b/>
                <w:i/>
              </w:rPr>
            </w:pPr>
            <w:r w:rsidRPr="00AE133F">
              <w:rPr>
                <w:b/>
                <w:i/>
              </w:rPr>
              <w:t xml:space="preserve">Shigella species </w:t>
            </w:r>
          </w:p>
          <w:p w14:paraId="0A548E17" w14:textId="77777777" w:rsidR="00CA7016" w:rsidRPr="00AE133F" w:rsidRDefault="00CA7016" w:rsidP="003C3F6A">
            <w:pPr>
              <w:pStyle w:val="02Tabletext"/>
              <w:rPr>
                <w:b/>
                <w:i/>
              </w:rPr>
            </w:pPr>
            <w:r w:rsidRPr="00AE133F">
              <w:rPr>
                <w:b/>
                <w:i/>
              </w:rPr>
              <w:t xml:space="preserve">Streptococcus pneumoniae </w:t>
            </w:r>
          </w:p>
          <w:p w14:paraId="68DBB097" w14:textId="77777777" w:rsidR="00CA7016" w:rsidRPr="00A0513E" w:rsidRDefault="00CA7016" w:rsidP="003C3F6A">
            <w:pPr>
              <w:pStyle w:val="02Tabletext"/>
            </w:pPr>
            <w:r w:rsidRPr="00AE133F">
              <w:rPr>
                <w:b/>
                <w:i/>
              </w:rPr>
              <w:t>Staphylococcus aureus</w:t>
            </w:r>
            <w:r w:rsidRPr="00AE133F">
              <w:rPr>
                <w:i/>
              </w:rPr>
              <w:t xml:space="preserve"> </w:t>
            </w:r>
          </w:p>
        </w:tc>
      </w:tr>
      <w:tr w:rsidR="00CA7016" w:rsidRPr="004C2675" w14:paraId="2568B8C0" w14:textId="77777777" w:rsidTr="003C3F6A">
        <w:trPr>
          <w:trHeight w:val="487"/>
        </w:trPr>
        <w:tc>
          <w:tcPr>
            <w:tcW w:w="4808" w:type="dxa"/>
          </w:tcPr>
          <w:p w14:paraId="13B03C84" w14:textId="77777777" w:rsidR="00CA7016" w:rsidRPr="00A0513E" w:rsidRDefault="00CA7016" w:rsidP="003C3F6A">
            <w:pPr>
              <w:pStyle w:val="02Tabletext"/>
            </w:pPr>
            <w:r w:rsidRPr="00A0513E">
              <w:t xml:space="preserve">Impact largely in hospitals </w:t>
            </w:r>
          </w:p>
        </w:tc>
        <w:tc>
          <w:tcPr>
            <w:tcW w:w="4808" w:type="dxa"/>
          </w:tcPr>
          <w:p w14:paraId="6B0E5058" w14:textId="77777777" w:rsidR="00CA7016" w:rsidRPr="00A0513E" w:rsidRDefault="00CA7016" w:rsidP="003C3F6A">
            <w:pPr>
              <w:pStyle w:val="02Tabletext"/>
            </w:pPr>
            <w:r w:rsidRPr="00AE133F">
              <w:rPr>
                <w:i/>
              </w:rPr>
              <w:t xml:space="preserve">Acinetobacter </w:t>
            </w:r>
            <w:proofErr w:type="spellStart"/>
            <w:r w:rsidRPr="00AE133F">
              <w:rPr>
                <w:i/>
              </w:rPr>
              <w:t>baumannii</w:t>
            </w:r>
            <w:proofErr w:type="spellEnd"/>
            <w:r w:rsidRPr="00A0513E">
              <w:t xml:space="preserve"> complex </w:t>
            </w:r>
          </w:p>
          <w:p w14:paraId="1F2D293F" w14:textId="77777777" w:rsidR="00CA7016" w:rsidRPr="00AE133F" w:rsidRDefault="00CA7016" w:rsidP="003C3F6A">
            <w:pPr>
              <w:pStyle w:val="02Tabletext"/>
              <w:rPr>
                <w:i/>
              </w:rPr>
            </w:pPr>
            <w:r w:rsidRPr="00AE133F">
              <w:rPr>
                <w:i/>
              </w:rPr>
              <w:t xml:space="preserve">Enterobacter cloacae/aerogenes </w:t>
            </w:r>
          </w:p>
          <w:p w14:paraId="2294114F" w14:textId="77777777" w:rsidR="00CA7016" w:rsidRPr="00AE133F" w:rsidRDefault="00CA7016" w:rsidP="003C3F6A">
            <w:pPr>
              <w:pStyle w:val="02Tabletext"/>
              <w:rPr>
                <w:i/>
              </w:rPr>
            </w:pPr>
            <w:r w:rsidRPr="00AE133F">
              <w:rPr>
                <w:i/>
              </w:rPr>
              <w:t xml:space="preserve">Pseudomonas aeruginosa </w:t>
            </w:r>
          </w:p>
        </w:tc>
      </w:tr>
      <w:tr w:rsidR="00CA7016" w:rsidRPr="004C2675" w14:paraId="3BAD8BBD" w14:textId="77777777" w:rsidTr="003C3F6A">
        <w:trPr>
          <w:trHeight w:val="254"/>
        </w:trPr>
        <w:tc>
          <w:tcPr>
            <w:tcW w:w="4808" w:type="dxa"/>
          </w:tcPr>
          <w:p w14:paraId="3D84684E" w14:textId="77777777" w:rsidR="00CA7016" w:rsidRPr="00A0513E" w:rsidRDefault="00CA7016" w:rsidP="003C3F6A">
            <w:pPr>
              <w:pStyle w:val="02Tabletext"/>
            </w:pPr>
            <w:r w:rsidRPr="00A0513E">
              <w:t xml:space="preserve">Epidemiological and/or antimicrobial usage marker </w:t>
            </w:r>
          </w:p>
        </w:tc>
        <w:tc>
          <w:tcPr>
            <w:tcW w:w="4808" w:type="dxa"/>
          </w:tcPr>
          <w:p w14:paraId="1BA247EA" w14:textId="77777777" w:rsidR="00CA7016" w:rsidRPr="00AE133F" w:rsidRDefault="00CA7016" w:rsidP="003C3F6A">
            <w:pPr>
              <w:pStyle w:val="02Tabletext"/>
              <w:rPr>
                <w:i/>
              </w:rPr>
            </w:pPr>
            <w:r w:rsidRPr="00AE133F">
              <w:rPr>
                <w:i/>
              </w:rPr>
              <w:t xml:space="preserve">Campylobacter </w:t>
            </w:r>
            <w:proofErr w:type="spellStart"/>
            <w:r w:rsidRPr="00AE133F">
              <w:rPr>
                <w:i/>
              </w:rPr>
              <w:t>jejuni</w:t>
            </w:r>
            <w:proofErr w:type="spellEnd"/>
            <w:r w:rsidRPr="00AE133F">
              <w:rPr>
                <w:i/>
              </w:rPr>
              <w:t xml:space="preserve">/coli </w:t>
            </w:r>
          </w:p>
        </w:tc>
      </w:tr>
      <w:tr w:rsidR="00CA7016" w:rsidRPr="004C2675" w14:paraId="55B943A2" w14:textId="77777777" w:rsidTr="003C3F6A">
        <w:trPr>
          <w:trHeight w:val="664"/>
        </w:trPr>
        <w:tc>
          <w:tcPr>
            <w:tcW w:w="4808" w:type="dxa"/>
          </w:tcPr>
          <w:p w14:paraId="0BD6A030" w14:textId="77777777" w:rsidR="00CA7016" w:rsidRPr="00A0513E" w:rsidRDefault="00CA7016" w:rsidP="003C3F6A">
            <w:pPr>
              <w:pStyle w:val="02Tabletext"/>
            </w:pPr>
            <w:r w:rsidRPr="00A0513E">
              <w:t xml:space="preserve">Monitored through passive surveillance and elevated to targeted surveillance if threshold exceeded </w:t>
            </w:r>
          </w:p>
        </w:tc>
        <w:tc>
          <w:tcPr>
            <w:tcW w:w="4808" w:type="dxa"/>
          </w:tcPr>
          <w:p w14:paraId="43CC12B3" w14:textId="77777777" w:rsidR="00CA7016" w:rsidRPr="00AE133F" w:rsidRDefault="00CA7016" w:rsidP="003C3F6A">
            <w:pPr>
              <w:pStyle w:val="02Tabletext"/>
              <w:rPr>
                <w:i/>
              </w:rPr>
            </w:pPr>
            <w:r w:rsidRPr="00AE133F">
              <w:rPr>
                <w:i/>
              </w:rPr>
              <w:t xml:space="preserve">Clostridium difficile </w:t>
            </w:r>
          </w:p>
          <w:p w14:paraId="06F63EE3" w14:textId="77777777" w:rsidR="00CA7016" w:rsidRPr="00AE133F" w:rsidRDefault="00CA7016" w:rsidP="003C3F6A">
            <w:pPr>
              <w:pStyle w:val="02Tabletext"/>
              <w:rPr>
                <w:i/>
              </w:rPr>
            </w:pPr>
            <w:r w:rsidRPr="00AE133F">
              <w:rPr>
                <w:i/>
              </w:rPr>
              <w:t xml:space="preserve">Haemophilus influenzae </w:t>
            </w:r>
            <w:r w:rsidRPr="00003DB3">
              <w:t>type b</w:t>
            </w:r>
            <w:r w:rsidRPr="00AE133F">
              <w:rPr>
                <w:i/>
              </w:rPr>
              <w:t xml:space="preserve"> </w:t>
            </w:r>
          </w:p>
          <w:p w14:paraId="2FD7467C" w14:textId="77777777" w:rsidR="00CA7016" w:rsidRPr="00AE133F" w:rsidRDefault="00CA7016" w:rsidP="003C3F6A">
            <w:pPr>
              <w:pStyle w:val="02Tabletext"/>
              <w:rPr>
                <w:i/>
              </w:rPr>
            </w:pPr>
            <w:r w:rsidRPr="00AE133F">
              <w:rPr>
                <w:i/>
              </w:rPr>
              <w:t xml:space="preserve">Streptococcus agalactiae </w:t>
            </w:r>
          </w:p>
          <w:p w14:paraId="70B7C97A" w14:textId="77777777" w:rsidR="00CA7016" w:rsidRPr="00A0513E" w:rsidRDefault="00CA7016" w:rsidP="003C3F6A">
            <w:pPr>
              <w:pStyle w:val="02Tabletext"/>
            </w:pPr>
            <w:r w:rsidRPr="00AE133F">
              <w:rPr>
                <w:i/>
              </w:rPr>
              <w:t xml:space="preserve">Streptococcus pyogenes </w:t>
            </w:r>
          </w:p>
        </w:tc>
      </w:tr>
    </w:tbl>
    <w:p w14:paraId="3F64707F" w14:textId="77777777" w:rsidR="00CA7016" w:rsidRPr="004C2675" w:rsidRDefault="00CA7016" w:rsidP="00D87423">
      <w:pPr>
        <w:pStyle w:val="03Tableundertext"/>
      </w:pPr>
      <w:r w:rsidRPr="004C2675">
        <w:t>*</w:t>
      </w:r>
      <w:r>
        <w:t xml:space="preserve"> </w:t>
      </w:r>
      <w:r w:rsidRPr="004C2675">
        <w:t xml:space="preserve">WHO priority organisms for surveillance are in </w:t>
      </w:r>
      <w:r w:rsidRPr="00AE133F">
        <w:rPr>
          <w:b/>
        </w:rPr>
        <w:t>bold.</w:t>
      </w:r>
      <w:r w:rsidRPr="00A0513E">
        <w:t xml:space="preserve"> </w:t>
      </w:r>
    </w:p>
    <w:p w14:paraId="0B3C9F64" w14:textId="77777777" w:rsidR="00CA7016" w:rsidRPr="00A0513E" w:rsidRDefault="00CA7016" w:rsidP="00CA7016">
      <w:pPr>
        <w:pStyle w:val="01squarebullet"/>
      </w:pPr>
      <w:r w:rsidRPr="00A0513E">
        <w:t>In recognition of the problem, the Department of Health has funded the Commission to coordinate the national surveillance system to guide strategies to reduce the impact of antimicrobial resistance. This national surveillance system will help track the emergence of new drug</w:t>
      </w:r>
      <w:r>
        <w:t>-</w:t>
      </w:r>
      <w:r w:rsidRPr="00A0513E">
        <w:t>resistant organisms and the prevalence of important drug</w:t>
      </w:r>
      <w:r>
        <w:t>-</w:t>
      </w:r>
      <w:r w:rsidRPr="00A0513E">
        <w:t xml:space="preserve">resistant organisms. The National Alert System for Critical Antimicrobial Resistances: </w:t>
      </w:r>
      <w:proofErr w:type="spellStart"/>
      <w:r w:rsidRPr="00A0513E">
        <w:t>CARAlert</w:t>
      </w:r>
      <w:proofErr w:type="spellEnd"/>
      <w:r w:rsidRPr="00A0513E">
        <w:t>, was established by the Commission in March 2016.</w:t>
      </w:r>
      <w:r w:rsidRPr="00A0513E">
        <w:fldChar w:fldCharType="begin"/>
      </w:r>
      <w:r w:rsidR="00EE147F">
        <w:instrText xml:space="preserve"> ADDIN EN.CITE &lt;EndNote&gt;&lt;Cite&gt;&lt;Author&gt;Australian Commission on Safety and Quality in Health Care&lt;/Author&gt;&lt;Year&gt;2016&lt;/Year&gt;&lt;RecNum&gt;30&lt;/RecNum&gt;&lt;DisplayText&gt; [30]&lt;/DisplayText&gt;&lt;record&gt;&lt;rec-number&gt;30&lt;/rec-number&gt;&lt;foreign-keys&gt;&lt;key app="EN" db-id="9rerxxddifw5xaewxvlxffw2vsfzrarx0vva" timestamp="1506991311"&gt;30&lt;/key&gt;&lt;/foreign-keys&gt;&lt;ref-type name="Web Page"&gt;12&lt;/ref-type&gt;&lt;contributors&gt;&lt;authors&gt;&lt;author&gt;Australian Commission on Safety and Quality in Health Care,&lt;/author&gt;&lt;/authors&gt;&lt;/contributors&gt;&lt;titles&gt;&lt;title&gt;AURA: Antimicribial use and resistance in Australia&lt;/title&gt;&lt;/titles&gt;&lt;number&gt;4 July 2017&lt;/number&gt;&lt;dates&gt;&lt;year&gt;2016&lt;/year&gt;&lt;/dates&gt;&lt;pub-location&gt;Sydney&lt;/pub-location&gt;&lt;publisher&gt;ACSQHC&lt;/publisher&gt;&lt;urls&gt;&lt;related-urls&gt;&lt;url&gt;https://www.safetyandquality.gov.au/antimicrobial-use-and-resistance-in-australia/&lt;/url&gt;&lt;/related-urls&gt;&lt;/urls&gt;&lt;/record&gt;&lt;/Cite&gt;&lt;/EndNote&gt;</w:instrText>
      </w:r>
      <w:r w:rsidRPr="00A0513E">
        <w:fldChar w:fldCharType="separate"/>
      </w:r>
      <w:r w:rsidR="00EE147F">
        <w:rPr>
          <w:noProof/>
        </w:rPr>
        <w:t xml:space="preserve"> [30]</w:t>
      </w:r>
      <w:r w:rsidRPr="00A0513E">
        <w:fldChar w:fldCharType="end"/>
      </w:r>
    </w:p>
    <w:p w14:paraId="2FBB7E58" w14:textId="77777777" w:rsidR="00CA7016" w:rsidRDefault="00CA7016" w:rsidP="00CA7016">
      <w:pPr>
        <w:pStyle w:val="Heading3"/>
      </w:pPr>
      <w:bookmarkStart w:id="437" w:name="_Toc487621107"/>
      <w:bookmarkStart w:id="438" w:name="_Toc487621108"/>
      <w:bookmarkStart w:id="439" w:name="_Toc485135568"/>
      <w:bookmarkStart w:id="440" w:name="_Toc486939215"/>
      <w:bookmarkStart w:id="441" w:name="_Toc12886609"/>
      <w:bookmarkStart w:id="442" w:name="_Toc459996830"/>
      <w:bookmarkStart w:id="443" w:name="_Toc458167023"/>
      <w:bookmarkStart w:id="444" w:name="_Toc474254149"/>
      <w:bookmarkEnd w:id="437"/>
      <w:bookmarkEnd w:id="438"/>
      <w:bookmarkEnd w:id="439"/>
      <w:r>
        <w:t>Reflex cultures</w:t>
      </w:r>
      <w:bookmarkEnd w:id="440"/>
      <w:r w:rsidR="00AE4B00">
        <w:t xml:space="preserve"> (new items)</w:t>
      </w:r>
      <w:bookmarkEnd w:id="441"/>
    </w:p>
    <w:p w14:paraId="46EAC697" w14:textId="77777777" w:rsidR="00CA7016" w:rsidRPr="00A0513E" w:rsidRDefault="00CA7016" w:rsidP="00CA7016">
      <w:pPr>
        <w:pStyle w:val="01squarebullet"/>
      </w:pPr>
      <w:r w:rsidRPr="00A0513E">
        <w:t>A review by Health Consult, Review of culture-independent diagnostic testing, undertaken at the request of the Department of Health.</w:t>
      </w:r>
      <w:r w:rsidRPr="00A0513E">
        <w:fldChar w:fldCharType="begin"/>
      </w:r>
      <w:r w:rsidR="008A116E">
        <w:instrText xml:space="preserve"> ADDIN EN.CITE &lt;EndNote&gt;&lt;Cite&gt;&lt;Author&gt;Health Consult for the Department of Health Pathology Services Advisory Committee&lt;/Author&gt;&lt;Year&gt;2016&lt;/Year&gt;&lt;RecNum&gt;5&lt;/RecNum&gt;&lt;DisplayText&gt; [5]&lt;/DisplayText&gt;&lt;record&gt;&lt;rec-number&gt;5&lt;/rec-number&gt;&lt;foreign-keys&gt;&lt;key app="EN" db-id="9rerxxddifw5xaewxvlxffw2vsfzrarx0vva" timestamp="1506991275"&gt;5&lt;/key&gt;&lt;/foreign-keys&gt;&lt;ref-type name="Unpublished Work"&gt;34&lt;/ref-type&gt;&lt;contributors&gt;&lt;authors&gt;&lt;author&gt;Health Consult for the Department of Health Pathology Services Advisory Committee,&lt;/author&gt;&lt;/authors&gt;&lt;/contributors&gt;&lt;titles&gt;&lt;title&gt;Review of culture-independent diagnostic testing. Report for Department of Health - Pathology Services Advisory Committee&lt;/title&gt;&lt;/titles&gt;&lt;dates&gt;&lt;year&gt;2016&lt;/year&gt;&lt;/dates&gt;&lt;pub-location&gt;Sydney&lt;/pub-location&gt;&lt;publisher&gt;Department of Health&lt;/publisher&gt;&lt;urls&gt;&lt;/urls&gt;&lt;/record&gt;&lt;/Cite&gt;&lt;/EndNote&gt;</w:instrText>
      </w:r>
      <w:r w:rsidRPr="00A0513E">
        <w:fldChar w:fldCharType="separate"/>
      </w:r>
      <w:r w:rsidR="00EE147F">
        <w:rPr>
          <w:noProof/>
        </w:rPr>
        <w:t xml:space="preserve"> [5]</w:t>
      </w:r>
      <w:r w:rsidRPr="00A0513E">
        <w:fldChar w:fldCharType="end"/>
      </w:r>
    </w:p>
    <w:p w14:paraId="37D179C7" w14:textId="77777777" w:rsidR="00CA7016" w:rsidRPr="00A21EED" w:rsidRDefault="00CA7016">
      <w:pPr>
        <w:pStyle w:val="Heading4"/>
      </w:pPr>
      <w:r>
        <w:t>Recommendation</w:t>
      </w:r>
    </w:p>
    <w:p w14:paraId="7A39A8D9" w14:textId="77777777" w:rsidR="00CA7016" w:rsidRDefault="00CA7016" w:rsidP="00CA7016">
      <w:pPr>
        <w:pStyle w:val="01squarebullet"/>
        <w:numPr>
          <w:ilvl w:val="0"/>
          <w:numId w:val="16"/>
        </w:numPr>
      </w:pPr>
      <w:r>
        <w:t>To s</w:t>
      </w:r>
      <w:r w:rsidRPr="00A21EED">
        <w:t xml:space="preserve">upport the proposal </w:t>
      </w:r>
      <w:r>
        <w:t xml:space="preserve">outlined in the Health Consult review </w:t>
      </w:r>
      <w:r w:rsidRPr="00A21EED">
        <w:t>that new items numbers be introduced for</w:t>
      </w:r>
      <w:r>
        <w:t>:</w:t>
      </w:r>
    </w:p>
    <w:p w14:paraId="110F79B5" w14:textId="77777777" w:rsidR="00CA7016" w:rsidRPr="00A0513E" w:rsidRDefault="00CA7016" w:rsidP="00CA7016">
      <w:pPr>
        <w:pStyle w:val="02dash"/>
        <w:numPr>
          <w:ilvl w:val="1"/>
          <w:numId w:val="28"/>
        </w:numPr>
        <w:tabs>
          <w:tab w:val="clear" w:pos="427"/>
          <w:tab w:val="num" w:pos="567"/>
        </w:tabs>
        <w:ind w:left="567" w:hanging="142"/>
      </w:pPr>
      <w:r w:rsidRPr="00A21EED">
        <w:t>reflex culture of positive PCR results for pathogens of public health significance as listed in the National Notifiable Disease List (NNDL)</w:t>
      </w:r>
    </w:p>
    <w:p w14:paraId="19BCC563" w14:textId="77777777" w:rsidR="00CA7016" w:rsidRPr="00A0513E" w:rsidRDefault="00CA7016" w:rsidP="00CA7016">
      <w:pPr>
        <w:pStyle w:val="02dash"/>
        <w:numPr>
          <w:ilvl w:val="1"/>
          <w:numId w:val="28"/>
        </w:numPr>
        <w:tabs>
          <w:tab w:val="clear" w:pos="427"/>
          <w:tab w:val="num" w:pos="567"/>
        </w:tabs>
        <w:ind w:left="567" w:hanging="142"/>
      </w:pPr>
      <w:r w:rsidRPr="00A21EED">
        <w:lastRenderedPageBreak/>
        <w:t>packaging for transfer of these specimens to</w:t>
      </w:r>
      <w:r w:rsidRPr="00A0513E">
        <w:t xml:space="preserve"> public health reference laboratories for phenotypic, genotypic and serological </w:t>
      </w:r>
      <w:proofErr w:type="spellStart"/>
      <w:r w:rsidRPr="00A0513E">
        <w:t>characterisation</w:t>
      </w:r>
      <w:proofErr w:type="spellEnd"/>
      <w:r w:rsidRPr="00A0513E">
        <w:t xml:space="preserve">. </w:t>
      </w:r>
    </w:p>
    <w:p w14:paraId="79ED1604" w14:textId="77777777" w:rsidR="00CA7016" w:rsidRPr="007D22FE" w:rsidRDefault="00CA7016" w:rsidP="00CA7016">
      <w:pPr>
        <w:pStyle w:val="Caption"/>
      </w:pPr>
      <w:bookmarkStart w:id="445" w:name="_Toc484598372"/>
      <w:bookmarkStart w:id="446" w:name="_Toc486935636"/>
      <w:bookmarkStart w:id="447" w:name="_Toc12953489"/>
      <w:r>
        <w:t xml:space="preserve">Table </w:t>
      </w:r>
      <w:r w:rsidR="00BB490A">
        <w:rPr>
          <w:noProof/>
        </w:rPr>
        <w:fldChar w:fldCharType="begin"/>
      </w:r>
      <w:r w:rsidR="00BB490A">
        <w:rPr>
          <w:noProof/>
        </w:rPr>
        <w:instrText xml:space="preserve"> SEQ Table \* ARABIC </w:instrText>
      </w:r>
      <w:r w:rsidR="00BB490A">
        <w:rPr>
          <w:noProof/>
        </w:rPr>
        <w:fldChar w:fldCharType="separate"/>
      </w:r>
      <w:r w:rsidR="009E27E7">
        <w:rPr>
          <w:noProof/>
        </w:rPr>
        <w:t>39</w:t>
      </w:r>
      <w:r w:rsidR="00BB490A">
        <w:rPr>
          <w:noProof/>
        </w:rPr>
        <w:fldChar w:fldCharType="end"/>
      </w:r>
      <w:r>
        <w:t xml:space="preserve">: </w:t>
      </w:r>
      <w:r w:rsidRPr="00B96BC0">
        <w:t xml:space="preserve">Proposed </w:t>
      </w:r>
      <w:r>
        <w:t>new items and descriptors for reflex cultures</w:t>
      </w:r>
      <w:bookmarkEnd w:id="445"/>
      <w:bookmarkEnd w:id="446"/>
      <w:bookmarkEnd w:id="447"/>
    </w:p>
    <w:tbl>
      <w:tblPr>
        <w:tblStyle w:val="TableGrid"/>
        <w:tblW w:w="9067" w:type="dxa"/>
        <w:tblLook w:val="04A0" w:firstRow="1" w:lastRow="0" w:firstColumn="1" w:lastColumn="0" w:noHBand="0" w:noVBand="1"/>
        <w:tblDescription w:val="This table lists the Item numbers and Proposed changes to descriptors for new items relating to reflex cultures to be introduced into the Schedule."/>
      </w:tblPr>
      <w:tblGrid>
        <w:gridCol w:w="3005"/>
        <w:gridCol w:w="6062"/>
      </w:tblGrid>
      <w:tr w:rsidR="00CA7016" w14:paraId="49066BB7" w14:textId="77777777" w:rsidTr="00F20089">
        <w:trPr>
          <w:tblHeader/>
        </w:trPr>
        <w:tc>
          <w:tcPr>
            <w:tcW w:w="3005" w:type="dxa"/>
            <w:shd w:val="clear" w:color="auto" w:fill="EEECE1" w:themeFill="background2"/>
            <w:vAlign w:val="bottom"/>
          </w:tcPr>
          <w:p w14:paraId="17729A5B" w14:textId="77777777" w:rsidR="00CA7016" w:rsidRPr="00A0513E" w:rsidRDefault="00CA7016" w:rsidP="003C3F6A">
            <w:pPr>
              <w:pStyle w:val="01Tableheaderrow"/>
            </w:pPr>
            <w:r w:rsidRPr="00A0513E">
              <w:t>Item</w:t>
            </w:r>
          </w:p>
        </w:tc>
        <w:tc>
          <w:tcPr>
            <w:tcW w:w="6062" w:type="dxa"/>
            <w:shd w:val="clear" w:color="auto" w:fill="EEECE1" w:themeFill="background2"/>
            <w:vAlign w:val="bottom"/>
          </w:tcPr>
          <w:p w14:paraId="22985520" w14:textId="77777777" w:rsidR="00CA7016" w:rsidRPr="00A0513E" w:rsidRDefault="00CA7016" w:rsidP="003C3F6A">
            <w:pPr>
              <w:pStyle w:val="01Tableheaderrow"/>
            </w:pPr>
            <w:r w:rsidRPr="00A0513E">
              <w:t>Proposed descriptor</w:t>
            </w:r>
          </w:p>
        </w:tc>
      </w:tr>
      <w:tr w:rsidR="00CA7016" w14:paraId="2B03FB8A" w14:textId="77777777" w:rsidTr="003C3F6A">
        <w:tc>
          <w:tcPr>
            <w:tcW w:w="3005" w:type="dxa"/>
          </w:tcPr>
          <w:p w14:paraId="165F2313" w14:textId="77777777" w:rsidR="00CA7016" w:rsidRPr="00A0513E" w:rsidRDefault="00AE4B00" w:rsidP="003C3F6A">
            <w:pPr>
              <w:pStyle w:val="02Tabletext"/>
            </w:pPr>
            <w:bookmarkStart w:id="448" w:name="_Hlk503700900"/>
            <w:r>
              <w:t>New item reflex culture 1</w:t>
            </w:r>
          </w:p>
        </w:tc>
        <w:tc>
          <w:tcPr>
            <w:tcW w:w="6062" w:type="dxa"/>
          </w:tcPr>
          <w:p w14:paraId="5AD15057" w14:textId="77777777" w:rsidR="00CA7016" w:rsidRPr="00A0513E" w:rsidRDefault="00CA7016" w:rsidP="003C3F6A">
            <w:pPr>
              <w:pStyle w:val="02Tabletext"/>
            </w:pPr>
            <w:r w:rsidRPr="00854DF5">
              <w:rPr>
                <w:lang w:val="en-AU"/>
              </w:rPr>
              <w:t xml:space="preserve">Reflex culture of specimen where culture independent detection of microbial pathogen of public health significance, with referral of the isolate to </w:t>
            </w:r>
            <w:r w:rsidR="008D0C10">
              <w:rPr>
                <w:lang w:val="en-AU"/>
              </w:rPr>
              <w:t>a p</w:t>
            </w:r>
            <w:r w:rsidR="008D0C10" w:rsidRPr="00854DF5">
              <w:rPr>
                <w:lang w:val="en-AU"/>
              </w:rPr>
              <w:t xml:space="preserve">ublic </w:t>
            </w:r>
            <w:r w:rsidR="008D0C10">
              <w:rPr>
                <w:lang w:val="en-AU"/>
              </w:rPr>
              <w:t>h</w:t>
            </w:r>
            <w:r w:rsidR="008D0C10" w:rsidRPr="00854DF5">
              <w:rPr>
                <w:lang w:val="en-AU"/>
              </w:rPr>
              <w:t xml:space="preserve">ealth </w:t>
            </w:r>
            <w:r w:rsidRPr="00854DF5">
              <w:rPr>
                <w:lang w:val="en-AU"/>
              </w:rPr>
              <w:t>laboratory.</w:t>
            </w:r>
          </w:p>
        </w:tc>
      </w:tr>
      <w:tr w:rsidR="00CA7016" w14:paraId="2699E2BA" w14:textId="77777777" w:rsidTr="003C3F6A">
        <w:tc>
          <w:tcPr>
            <w:tcW w:w="3005" w:type="dxa"/>
          </w:tcPr>
          <w:p w14:paraId="52D5A01E" w14:textId="77777777" w:rsidR="00CA7016" w:rsidRPr="00A0513E" w:rsidRDefault="00AE4B00" w:rsidP="003C3F6A">
            <w:pPr>
              <w:pStyle w:val="02Tabletext"/>
            </w:pPr>
            <w:r>
              <w:t>New item reflex culture 2</w:t>
            </w:r>
          </w:p>
        </w:tc>
        <w:tc>
          <w:tcPr>
            <w:tcW w:w="6062" w:type="dxa"/>
          </w:tcPr>
          <w:p w14:paraId="686C8792" w14:textId="77777777" w:rsidR="00CA7016" w:rsidRPr="00A0513E" w:rsidRDefault="00CA7016" w:rsidP="003C3F6A">
            <w:pPr>
              <w:pStyle w:val="02Tabletext"/>
            </w:pPr>
            <w:r w:rsidRPr="00A0513E">
              <w:t xml:space="preserve">Packaging of an isolate or a specimen of pathogen of public health significance for transfer to </w:t>
            </w:r>
            <w:r w:rsidR="008D0C10">
              <w:t xml:space="preserve">a </w:t>
            </w:r>
            <w:r w:rsidRPr="00A0513E">
              <w:t>public health reference laboratory for phenotypic, genotypic and serological characterisation.</w:t>
            </w:r>
          </w:p>
        </w:tc>
      </w:tr>
    </w:tbl>
    <w:bookmarkEnd w:id="448"/>
    <w:p w14:paraId="789BC89E" w14:textId="77777777" w:rsidR="00CA7016" w:rsidRDefault="00CA7016">
      <w:pPr>
        <w:pStyle w:val="Heading4"/>
      </w:pPr>
      <w:r w:rsidRPr="00A21EED">
        <w:t>R</w:t>
      </w:r>
      <w:r>
        <w:t>ationale</w:t>
      </w:r>
    </w:p>
    <w:p w14:paraId="0B6C4771" w14:textId="77777777" w:rsidR="00CA7016" w:rsidRPr="00A0513E" w:rsidRDefault="00CA7016" w:rsidP="00CA7016">
      <w:pPr>
        <w:pStyle w:val="01squarebullet"/>
      </w:pPr>
      <w:r w:rsidRPr="006975F1">
        <w:t xml:space="preserve">The Committee noted the </w:t>
      </w:r>
      <w:r w:rsidRPr="00A0513E">
        <w:t xml:space="preserve">recommendations from </w:t>
      </w:r>
      <w:proofErr w:type="spellStart"/>
      <w:r w:rsidRPr="00A0513E">
        <w:t>HealthConsult</w:t>
      </w:r>
      <w:proofErr w:type="spellEnd"/>
      <w:r w:rsidRPr="00A0513E">
        <w:t xml:space="preserve"> paper referred to above.</w:t>
      </w:r>
      <w:r w:rsidRPr="00A0513E">
        <w:fldChar w:fldCharType="begin"/>
      </w:r>
      <w:r w:rsidR="008A116E">
        <w:instrText xml:space="preserve"> ADDIN EN.CITE &lt;EndNote&gt;&lt;Cite&gt;&lt;Author&gt;Health Consult for the Department of Health Pathology Services Advisory Committee&lt;/Author&gt;&lt;Year&gt;2016&lt;/Year&gt;&lt;RecNum&gt;5&lt;/RecNum&gt;&lt;DisplayText&gt; [5]&lt;/DisplayText&gt;&lt;record&gt;&lt;rec-number&gt;5&lt;/rec-number&gt;&lt;foreign-keys&gt;&lt;key app="EN" db-id="9rerxxddifw5xaewxvlxffw2vsfzrarx0vva" timestamp="1506991275"&gt;5&lt;/key&gt;&lt;/foreign-keys&gt;&lt;ref-type name="Unpublished Work"&gt;34&lt;/ref-type&gt;&lt;contributors&gt;&lt;authors&gt;&lt;author&gt;Health Consult for the Department of Health Pathology Services Advisory Committee,&lt;/author&gt;&lt;/authors&gt;&lt;/contributors&gt;&lt;titles&gt;&lt;title&gt;Review of culture-independent diagnostic testing. Report for Department of Health - Pathology Services Advisory Committee&lt;/title&gt;&lt;/titles&gt;&lt;dates&gt;&lt;year&gt;2016&lt;/year&gt;&lt;/dates&gt;&lt;pub-location&gt;Sydney&lt;/pub-location&gt;&lt;publisher&gt;Department of Health&lt;/publisher&gt;&lt;urls&gt;&lt;/urls&gt;&lt;/record&gt;&lt;/Cite&gt;&lt;/EndNote&gt;</w:instrText>
      </w:r>
      <w:r w:rsidRPr="00A0513E">
        <w:fldChar w:fldCharType="separate"/>
      </w:r>
      <w:r w:rsidR="00EE147F">
        <w:rPr>
          <w:noProof/>
        </w:rPr>
        <w:t xml:space="preserve"> [5]</w:t>
      </w:r>
      <w:r w:rsidRPr="00A0513E">
        <w:fldChar w:fldCharType="end"/>
      </w:r>
    </w:p>
    <w:p w14:paraId="53FD7F35" w14:textId="77777777" w:rsidR="00CA7016" w:rsidRPr="00A0513E" w:rsidRDefault="00CA7016" w:rsidP="00CA7016">
      <w:pPr>
        <w:pStyle w:val="01squarebullet"/>
      </w:pPr>
      <w:r w:rsidRPr="00720452">
        <w:t>The Committee accepted recommendations for new items for reflex culture for positive PCR results and relevant transfer of specimens (R</w:t>
      </w:r>
      <w:r w:rsidRPr="00A0513E">
        <w:t>ecommendations R5 and R6 in the report), but recommended removal of the reference to a list of ‘pathogens of interest’; instead recommending</w:t>
      </w:r>
      <w:r>
        <w:t xml:space="preserve"> </w:t>
      </w:r>
      <w:r w:rsidRPr="00A0513E">
        <w:t>the descriptor state ‘pathogens of public health significance</w:t>
      </w:r>
      <w:r>
        <w:t>’</w:t>
      </w:r>
      <w:r w:rsidRPr="00A0513E">
        <w:t xml:space="preserve"> as listed in the National Notifiable Disease List (NNDL) or similar.</w:t>
      </w:r>
    </w:p>
    <w:p w14:paraId="3F060732" w14:textId="77777777" w:rsidR="00CA7016" w:rsidRPr="00A0513E" w:rsidRDefault="00CA7016" w:rsidP="00CA7016">
      <w:pPr>
        <w:pStyle w:val="01squarebullet"/>
      </w:pPr>
      <w:r w:rsidRPr="000C591C">
        <w:t>Linking the descriptor for this item to the NNDL would ensure it always remains current and relevant, whereas a list of pathogens of interest would require regular amendment to ensure currency.</w:t>
      </w:r>
    </w:p>
    <w:p w14:paraId="654ED511" w14:textId="77777777" w:rsidR="00CA7016" w:rsidRPr="00A0513E" w:rsidRDefault="00CA7016" w:rsidP="00CA7016">
      <w:pPr>
        <w:pStyle w:val="01squarebullet"/>
      </w:pPr>
      <w:r w:rsidRPr="000C591C">
        <w:t>The Committee recommended that</w:t>
      </w:r>
      <w:r w:rsidRPr="00A0513E">
        <w:t xml:space="preserve"> the costs associated with these tests and the appropriate fee as proposed in the Health Consult review should be referred to the Pathology Business Group for consideration.</w:t>
      </w:r>
    </w:p>
    <w:p w14:paraId="1C50C718" w14:textId="77777777" w:rsidR="00CA7016" w:rsidRPr="00A0513E" w:rsidRDefault="00CA7016" w:rsidP="00CA7016">
      <w:pPr>
        <w:pStyle w:val="01squarebullet"/>
      </w:pPr>
      <w:r w:rsidRPr="000C591C">
        <w:t>The Committee did</w:t>
      </w:r>
      <w:r w:rsidRPr="00A0513E">
        <w:t xml:space="preserve"> not accept recommendations R1, R2, R3 and R4 in preference for describing the alternative proposed structure of the molecular items in the schedule (see </w:t>
      </w:r>
      <w:r w:rsidRPr="003B3A68">
        <w:t>section 4.1</w:t>
      </w:r>
      <w:r w:rsidRPr="00A0513E">
        <w:t xml:space="preserve"> of this report).</w:t>
      </w:r>
      <w:bookmarkStart w:id="449" w:name="_Toc483989391"/>
    </w:p>
    <w:p w14:paraId="61F295FE" w14:textId="77777777" w:rsidR="00CA7016" w:rsidRPr="00A0513E" w:rsidRDefault="00CA7016" w:rsidP="00CA7016">
      <w:r>
        <w:br w:type="page"/>
      </w:r>
    </w:p>
    <w:p w14:paraId="32712CE8" w14:textId="77777777" w:rsidR="00CA7016" w:rsidRDefault="00CA7016" w:rsidP="00CA7016">
      <w:pPr>
        <w:pStyle w:val="Heading1"/>
      </w:pPr>
      <w:bookmarkStart w:id="450" w:name="_Toc486939216"/>
      <w:bookmarkStart w:id="451" w:name="_Toc12886610"/>
      <w:r>
        <w:lastRenderedPageBreak/>
        <w:t>References</w:t>
      </w:r>
      <w:bookmarkEnd w:id="450"/>
      <w:bookmarkEnd w:id="451"/>
      <w:r>
        <w:t xml:space="preserve"> </w:t>
      </w:r>
      <w:bookmarkEnd w:id="449"/>
    </w:p>
    <w:p w14:paraId="3AD48EE2" w14:textId="77777777" w:rsidR="00E34DB9" w:rsidRPr="00E34DB9" w:rsidRDefault="00CA7016" w:rsidP="00E34DB9">
      <w:pPr>
        <w:pStyle w:val="Bibliography"/>
        <w:rPr>
          <w:rFonts w:eastAsiaTheme="minorHAnsi"/>
          <w:noProof/>
        </w:rPr>
      </w:pPr>
      <w:r w:rsidRPr="001E61D4">
        <w:rPr>
          <w:rFonts w:eastAsiaTheme="minorHAnsi"/>
          <w:noProof/>
        </w:rPr>
        <w:fldChar w:fldCharType="begin"/>
      </w:r>
      <w:r w:rsidRPr="00A0513E">
        <w:instrText xml:space="preserve"> ADDIN EN.REFLIST </w:instrText>
      </w:r>
      <w:r w:rsidRPr="001E61D4">
        <w:rPr>
          <w:rFonts w:eastAsiaTheme="minorHAnsi"/>
          <w:noProof/>
        </w:rPr>
        <w:fldChar w:fldCharType="separate"/>
      </w:r>
      <w:r w:rsidR="00E34DB9" w:rsidRPr="00E34DB9">
        <w:rPr>
          <w:rFonts w:eastAsiaTheme="minorHAnsi"/>
          <w:noProof/>
        </w:rPr>
        <w:t xml:space="preserve">[1] Elshaug, A G, A M Watt, L Mundy and C D Willis. Over 150 potentially low-value health care practices: an Australian study. </w:t>
      </w:r>
      <w:r w:rsidR="00E34DB9" w:rsidRPr="00E34DB9">
        <w:rPr>
          <w:rFonts w:eastAsiaTheme="minorHAnsi"/>
          <w:i/>
          <w:noProof/>
        </w:rPr>
        <w:t>Medical Journal of Australia</w:t>
      </w:r>
      <w:r w:rsidR="00E34DB9" w:rsidRPr="00E34DB9">
        <w:rPr>
          <w:rFonts w:eastAsiaTheme="minorHAnsi"/>
          <w:noProof/>
        </w:rPr>
        <w:t xml:space="preserve"> 2012, vol. 197, no. 10, pp. 556-560.</w:t>
      </w:r>
    </w:p>
    <w:p w14:paraId="077A3C56" w14:textId="77777777" w:rsidR="00E34DB9" w:rsidRPr="00E34DB9" w:rsidRDefault="00E34DB9" w:rsidP="00E34DB9">
      <w:pPr>
        <w:pStyle w:val="Bibliography"/>
        <w:rPr>
          <w:rFonts w:eastAsiaTheme="minorHAnsi"/>
          <w:noProof/>
        </w:rPr>
      </w:pPr>
      <w:r w:rsidRPr="00E34DB9">
        <w:rPr>
          <w:rFonts w:eastAsiaTheme="minorHAnsi"/>
          <w:noProof/>
        </w:rPr>
        <w:t xml:space="preserve">[2] Bowen, A C, H Sheorey, P A Bryant, J Robson and D P Burgner. Polymerase chain reaction testing for faecal parasites: risks and alternatives. </w:t>
      </w:r>
      <w:r w:rsidRPr="00E34DB9">
        <w:rPr>
          <w:rFonts w:eastAsiaTheme="minorHAnsi"/>
          <w:i/>
          <w:noProof/>
        </w:rPr>
        <w:t>Medical Journal of Australia</w:t>
      </w:r>
      <w:r w:rsidRPr="00E34DB9">
        <w:rPr>
          <w:rFonts w:eastAsiaTheme="minorHAnsi"/>
          <w:noProof/>
        </w:rPr>
        <w:t xml:space="preserve"> 2016, vol. 204, no. 7, pp. 262.</w:t>
      </w:r>
    </w:p>
    <w:p w14:paraId="7769669C" w14:textId="77777777" w:rsidR="00E34DB9" w:rsidRPr="00E34DB9" w:rsidRDefault="00E34DB9" w:rsidP="00E34DB9">
      <w:pPr>
        <w:pStyle w:val="Bibliography"/>
        <w:rPr>
          <w:rFonts w:eastAsiaTheme="minorHAnsi"/>
          <w:noProof/>
        </w:rPr>
      </w:pPr>
      <w:r w:rsidRPr="00E34DB9">
        <w:rPr>
          <w:rFonts w:eastAsiaTheme="minorHAnsi"/>
          <w:noProof/>
        </w:rPr>
        <w:t xml:space="preserve">[3] The Royal College of Pathologists of Australia. </w:t>
      </w:r>
      <w:r w:rsidRPr="00E34DB9">
        <w:rPr>
          <w:rFonts w:eastAsiaTheme="minorHAnsi"/>
          <w:i/>
          <w:noProof/>
        </w:rPr>
        <w:t>Faecal pathogen testing by PCR and the dectection of Dientamoeba fragilis and Blastocystis species</w:t>
      </w:r>
      <w:r w:rsidRPr="00E34DB9">
        <w:rPr>
          <w:rFonts w:eastAsiaTheme="minorHAnsi"/>
          <w:noProof/>
        </w:rPr>
        <w:t xml:space="preserve"> [online]. Sydney: RCPA, 2015 [accessed 15 June 2017]. Retrieved: </w:t>
      </w:r>
      <w:hyperlink r:id="rId12" w:history="1">
        <w:r w:rsidR="00F20089">
          <w:rPr>
            <w:rStyle w:val="Hyperlink"/>
            <w:rFonts w:eastAsiaTheme="minorHAnsi"/>
            <w:noProof/>
          </w:rPr>
          <w:t>at https://www.rcpa.edu.au/getattachment/cec7ecb1-632d-4102-8087-117a471c7c31/Faecal-pathogen-testing-by-PCR.aspx</w:t>
        </w:r>
      </w:hyperlink>
    </w:p>
    <w:p w14:paraId="219277CB" w14:textId="77777777" w:rsidR="00E34DB9" w:rsidRPr="00E34DB9" w:rsidRDefault="00E34DB9" w:rsidP="00E34DB9">
      <w:pPr>
        <w:pStyle w:val="Bibliography"/>
        <w:rPr>
          <w:rFonts w:eastAsiaTheme="minorHAnsi"/>
          <w:noProof/>
        </w:rPr>
      </w:pPr>
      <w:r w:rsidRPr="00E34DB9">
        <w:rPr>
          <w:rFonts w:eastAsiaTheme="minorHAnsi"/>
          <w:noProof/>
        </w:rPr>
        <w:t xml:space="preserve">[4] Gilbert, L. </w:t>
      </w:r>
      <w:r w:rsidRPr="00E34DB9">
        <w:rPr>
          <w:rFonts w:eastAsiaTheme="minorHAnsi"/>
          <w:i/>
          <w:noProof/>
        </w:rPr>
        <w:t>Clostridium difficile infection laboratory case definition</w:t>
      </w:r>
      <w:r w:rsidRPr="00E34DB9">
        <w:rPr>
          <w:rFonts w:eastAsiaTheme="minorHAnsi"/>
          <w:noProof/>
        </w:rPr>
        <w:t xml:space="preserve"> [online]. Canberra: Public Health Laboratory Network, 2016 [accessed 29 June 2017]. Retrieved: </w:t>
      </w:r>
      <w:hyperlink r:id="rId13" w:history="1">
        <w:r w:rsidR="00F20089">
          <w:rPr>
            <w:rStyle w:val="Hyperlink"/>
            <w:rFonts w:eastAsiaTheme="minorHAnsi"/>
            <w:noProof/>
          </w:rPr>
          <w:t>at http://www.health.gov.au/internet/main/publishing.nsf/Content/cda-phlncd-clostridium-difficile-infection-(CDI).htm</w:t>
        </w:r>
      </w:hyperlink>
    </w:p>
    <w:p w14:paraId="0B0A69CF" w14:textId="77777777" w:rsidR="00E34DB9" w:rsidRPr="00E34DB9" w:rsidRDefault="00E34DB9" w:rsidP="00E34DB9">
      <w:pPr>
        <w:pStyle w:val="Bibliography"/>
        <w:rPr>
          <w:noProof/>
        </w:rPr>
      </w:pPr>
      <w:r w:rsidRPr="00E34DB9">
        <w:rPr>
          <w:noProof/>
        </w:rPr>
        <w:t xml:space="preserve">[5] Health Consult for the Department of Health Pathology Services Advisory Committee. </w:t>
      </w:r>
      <w:r w:rsidRPr="00E34DB9">
        <w:rPr>
          <w:i/>
          <w:noProof/>
        </w:rPr>
        <w:t>Review of culture-independent diagnostic testing. Report for Department of Health - Pathology Services Advisory Committee</w:t>
      </w:r>
      <w:r w:rsidRPr="00E34DB9">
        <w:rPr>
          <w:noProof/>
        </w:rPr>
        <w:t>. Sydney: Department of Health, 2016.</w:t>
      </w:r>
    </w:p>
    <w:p w14:paraId="2989F37B" w14:textId="77777777" w:rsidR="00E34DB9" w:rsidRPr="00E34DB9" w:rsidRDefault="00E34DB9" w:rsidP="00E34DB9">
      <w:pPr>
        <w:pStyle w:val="Bibliography"/>
        <w:rPr>
          <w:rFonts w:eastAsiaTheme="minorHAnsi"/>
          <w:noProof/>
        </w:rPr>
      </w:pPr>
      <w:r w:rsidRPr="00E34DB9">
        <w:rPr>
          <w:rFonts w:eastAsiaTheme="minorHAnsi"/>
          <w:noProof/>
        </w:rPr>
        <w:t xml:space="preserve">6] The Royal Australian and New Zealand College of Obstetricians and Gynaecologists. </w:t>
      </w:r>
      <w:r w:rsidRPr="00E34DB9">
        <w:rPr>
          <w:rFonts w:eastAsiaTheme="minorHAnsi"/>
          <w:i/>
          <w:noProof/>
        </w:rPr>
        <w:t>Maternal Group B Streptococcus in pregnancy: screening and management</w:t>
      </w:r>
      <w:r w:rsidRPr="00E34DB9">
        <w:rPr>
          <w:rFonts w:eastAsiaTheme="minorHAnsi"/>
          <w:noProof/>
        </w:rPr>
        <w:t xml:space="preserve"> [online]. Sydney: RANZCOG, 2016 [accessed 15 June 2017]. Retrieved: </w:t>
      </w:r>
      <w:hyperlink r:id="rId14" w:history="1">
        <w:r w:rsidR="00F20089">
          <w:rPr>
            <w:rStyle w:val="Hyperlink"/>
            <w:rFonts w:eastAsiaTheme="minorHAnsi"/>
            <w:noProof/>
          </w:rPr>
          <w:t>at https://www.ranzcog.edu.au/RANZCOG_SITE/media/RANZCOG-MEDIA/Women%27s%20Health/Statement%20and%20guidelines/Clinical-Obstetrics/Maternal-Group-B-Streptococcus-in-pregnancy-screening-and-management-(C-Obs-19)-Review-March-2016.pdf?ext=.pdf</w:t>
        </w:r>
      </w:hyperlink>
    </w:p>
    <w:p w14:paraId="2C4E81E3" w14:textId="77777777" w:rsidR="00E34DB9" w:rsidRPr="00E34DB9" w:rsidRDefault="00E34DB9" w:rsidP="00E34DB9">
      <w:pPr>
        <w:pStyle w:val="Bibliography"/>
        <w:rPr>
          <w:noProof/>
        </w:rPr>
      </w:pPr>
      <w:r w:rsidRPr="00E34DB9">
        <w:rPr>
          <w:noProof/>
        </w:rPr>
        <w:t xml:space="preserve">[7] Australian Sexual Health Alliance. </w:t>
      </w:r>
      <w:r w:rsidRPr="00E34DB9">
        <w:rPr>
          <w:i/>
          <w:noProof/>
        </w:rPr>
        <w:t xml:space="preserve">Australian STI management guidelines for use in primary care: Gonorrhoea </w:t>
      </w:r>
      <w:r w:rsidRPr="00E34DB9">
        <w:rPr>
          <w:noProof/>
        </w:rPr>
        <w:t>[online]</w:t>
      </w:r>
      <w:r w:rsidRPr="00E34DB9">
        <w:rPr>
          <w:i/>
          <w:noProof/>
        </w:rPr>
        <w:t>.</w:t>
      </w:r>
      <w:r w:rsidRPr="00E34DB9">
        <w:rPr>
          <w:noProof/>
        </w:rPr>
        <w:t xml:space="preserve"> Australian Sexual Health Alliance, 2016 [accessed 3 July 2017]. Retrieved: </w:t>
      </w:r>
      <w:hyperlink r:id="rId15" w:history="1">
        <w:r w:rsidR="00F20089">
          <w:rPr>
            <w:rStyle w:val="Hyperlink"/>
            <w:noProof/>
          </w:rPr>
          <w:t>at http://www.sti.guidelines.org.au/sexually-transmissible-infections/gonorrhoea</w:t>
        </w:r>
      </w:hyperlink>
    </w:p>
    <w:p w14:paraId="5AD9B0E3" w14:textId="77777777" w:rsidR="00E34DB9" w:rsidRPr="00E34DB9" w:rsidRDefault="00E34DB9" w:rsidP="00E34DB9">
      <w:pPr>
        <w:pStyle w:val="Bibliography"/>
        <w:rPr>
          <w:noProof/>
        </w:rPr>
      </w:pPr>
      <w:r w:rsidRPr="00E34DB9">
        <w:rPr>
          <w:noProof/>
        </w:rPr>
        <w:t xml:space="preserve">[8] Smith, D W, J W Tapsall and G Lum. </w:t>
      </w:r>
      <w:r w:rsidRPr="00A27025">
        <w:rPr>
          <w:noProof/>
        </w:rPr>
        <w:t>Guidelines for the use and interpretation of nucleic acid detection tests for Neisseria gonorrhoeae in Australia: a position paper on behalf of the Public Health Laboratory Network.</w:t>
      </w:r>
      <w:r w:rsidRPr="00E34DB9">
        <w:rPr>
          <w:noProof/>
        </w:rPr>
        <w:t xml:space="preserve"> </w:t>
      </w:r>
      <w:r w:rsidRPr="00E34DB9">
        <w:rPr>
          <w:i/>
          <w:noProof/>
        </w:rPr>
        <w:t>Communicable Diseases Intelligence Quarterly Report</w:t>
      </w:r>
      <w:r w:rsidRPr="00E34DB9">
        <w:rPr>
          <w:noProof/>
        </w:rPr>
        <w:t xml:space="preserve"> 2005, vol. 29, no. 4, pp. 358-365.</w:t>
      </w:r>
    </w:p>
    <w:p w14:paraId="6C63E2FB" w14:textId="77777777" w:rsidR="00E34DB9" w:rsidRPr="00E34DB9" w:rsidRDefault="00E34DB9" w:rsidP="00E34DB9">
      <w:pPr>
        <w:pStyle w:val="Bibliography"/>
        <w:rPr>
          <w:rFonts w:eastAsiaTheme="minorHAnsi"/>
          <w:noProof/>
        </w:rPr>
      </w:pPr>
      <w:r w:rsidRPr="00E34DB9">
        <w:rPr>
          <w:rFonts w:eastAsiaTheme="minorHAnsi"/>
          <w:noProof/>
        </w:rPr>
        <w:t xml:space="preserve">[9] Australasian Society for Infectious Diseases. </w:t>
      </w:r>
      <w:r w:rsidRPr="00E34DB9">
        <w:rPr>
          <w:rFonts w:eastAsiaTheme="minorHAnsi"/>
          <w:i/>
          <w:noProof/>
        </w:rPr>
        <w:t>Management of Perinatal Infections</w:t>
      </w:r>
      <w:r w:rsidRPr="00E34DB9">
        <w:rPr>
          <w:rFonts w:eastAsiaTheme="minorHAnsi"/>
          <w:noProof/>
        </w:rPr>
        <w:t xml:space="preserve"> [online]. Sydney Australasian Society for Infectious Diseases (ASID) Inc., 2014 [accessed 30 June 2017]. Retrieved: </w:t>
      </w:r>
      <w:hyperlink r:id="rId16" w:history="1">
        <w:r w:rsidR="00F20089">
          <w:rPr>
            <w:rStyle w:val="Hyperlink"/>
            <w:rFonts w:eastAsiaTheme="minorHAnsi"/>
            <w:noProof/>
          </w:rPr>
          <w:t>at https://www.asid.net.au/documents/item/368</w:t>
        </w:r>
      </w:hyperlink>
    </w:p>
    <w:p w14:paraId="4F07B450" w14:textId="77777777" w:rsidR="00E34DB9" w:rsidRPr="00E34DB9" w:rsidRDefault="00E34DB9" w:rsidP="00E34DB9">
      <w:pPr>
        <w:pStyle w:val="Bibliography"/>
        <w:rPr>
          <w:rFonts w:eastAsiaTheme="minorHAnsi"/>
          <w:noProof/>
        </w:rPr>
      </w:pPr>
      <w:r w:rsidRPr="00E34DB9">
        <w:rPr>
          <w:rFonts w:eastAsiaTheme="minorHAnsi"/>
          <w:noProof/>
        </w:rPr>
        <w:t xml:space="preserve">[10] Verani, J R, L McGee and S J Schrag. Prevention of perinatal group B streptococcal disease--revised guidelines from CDC, 2010. </w:t>
      </w:r>
      <w:r w:rsidRPr="00E34DB9">
        <w:rPr>
          <w:rFonts w:eastAsiaTheme="minorHAnsi"/>
          <w:i/>
          <w:noProof/>
        </w:rPr>
        <w:t>Morbidity and Mortality Weekly Report, Recommendations and Reports</w:t>
      </w:r>
      <w:r w:rsidRPr="00E34DB9">
        <w:rPr>
          <w:rFonts w:eastAsiaTheme="minorHAnsi"/>
          <w:noProof/>
        </w:rPr>
        <w:t xml:space="preserve"> 2010, vol. 59, no. Rr-10, pp. 1-36.</w:t>
      </w:r>
    </w:p>
    <w:p w14:paraId="759D4816" w14:textId="77777777" w:rsidR="00E34DB9" w:rsidRPr="00E34DB9" w:rsidRDefault="00E34DB9" w:rsidP="00E34DB9">
      <w:pPr>
        <w:pStyle w:val="Bibliography"/>
        <w:rPr>
          <w:noProof/>
        </w:rPr>
      </w:pPr>
      <w:r w:rsidRPr="00E34DB9">
        <w:rPr>
          <w:noProof/>
        </w:rPr>
        <w:t xml:space="preserve">[11] Department of Health. </w:t>
      </w:r>
      <w:r w:rsidRPr="00E34DB9">
        <w:rPr>
          <w:i/>
          <w:noProof/>
        </w:rPr>
        <w:t xml:space="preserve">Data on Blood Borne Viruses and Sexually Transmissible Infections </w:t>
      </w:r>
      <w:r w:rsidRPr="00E34DB9">
        <w:rPr>
          <w:noProof/>
        </w:rPr>
        <w:t>[online]</w:t>
      </w:r>
      <w:r w:rsidRPr="00E34DB9">
        <w:rPr>
          <w:i/>
          <w:noProof/>
        </w:rPr>
        <w:t>.</w:t>
      </w:r>
      <w:r w:rsidRPr="00E34DB9">
        <w:rPr>
          <w:noProof/>
        </w:rPr>
        <w:t xml:space="preserve"> Australian Government, 2015 [accessed 3 July 2017]. Retrieved: </w:t>
      </w:r>
      <w:hyperlink r:id="rId17" w:history="1">
        <w:r w:rsidR="00F20089">
          <w:rPr>
            <w:rStyle w:val="Hyperlink"/>
            <w:noProof/>
          </w:rPr>
          <w:t>at http://www.health.gov.au/internet/main/publishing.nsf/content/ohp-bbvs-data</w:t>
        </w:r>
      </w:hyperlink>
    </w:p>
    <w:p w14:paraId="2DE36AD4" w14:textId="77777777" w:rsidR="00E34DB9" w:rsidRPr="00E34DB9" w:rsidRDefault="00E34DB9" w:rsidP="00E34DB9">
      <w:pPr>
        <w:pStyle w:val="Bibliography"/>
        <w:rPr>
          <w:rFonts w:eastAsiaTheme="minorHAnsi"/>
          <w:noProof/>
        </w:rPr>
      </w:pPr>
      <w:r w:rsidRPr="00E34DB9">
        <w:rPr>
          <w:rFonts w:eastAsiaTheme="minorHAnsi"/>
          <w:noProof/>
        </w:rPr>
        <w:t xml:space="preserve">[12] Ministry of Health. </w:t>
      </w:r>
      <w:r w:rsidRPr="00E34DB9">
        <w:rPr>
          <w:rFonts w:eastAsiaTheme="minorHAnsi"/>
          <w:i/>
          <w:noProof/>
        </w:rPr>
        <w:t xml:space="preserve">Communicable Diseases Weekly Report: Week 15, 9 to 15 April </w:t>
      </w:r>
      <w:r w:rsidRPr="00E34DB9">
        <w:rPr>
          <w:rFonts w:eastAsiaTheme="minorHAnsi"/>
          <w:noProof/>
        </w:rPr>
        <w:t xml:space="preserve">[online]. Sydney: NSW Government, 2017 [accessed 3 July 2017]. Retrieved: </w:t>
      </w:r>
      <w:hyperlink r:id="rId18" w:history="1">
        <w:r w:rsidR="00F20089">
          <w:rPr>
            <w:rStyle w:val="Hyperlink"/>
            <w:rFonts w:eastAsiaTheme="minorHAnsi"/>
            <w:noProof/>
          </w:rPr>
          <w:t>at http://www.health.nsw.gov.au/Infectious/CDWR/2017/CDWR-Week15-2017.pdf</w:t>
        </w:r>
      </w:hyperlink>
    </w:p>
    <w:p w14:paraId="08862428" w14:textId="77777777" w:rsidR="00E34DB9" w:rsidRPr="00E34DB9" w:rsidRDefault="00E34DB9" w:rsidP="00E34DB9">
      <w:pPr>
        <w:pStyle w:val="Bibliography"/>
        <w:rPr>
          <w:rFonts w:eastAsiaTheme="minorHAnsi"/>
          <w:noProof/>
        </w:rPr>
      </w:pPr>
      <w:r w:rsidRPr="00E34DB9">
        <w:rPr>
          <w:rFonts w:eastAsiaTheme="minorHAnsi"/>
          <w:noProof/>
        </w:rPr>
        <w:lastRenderedPageBreak/>
        <w:t xml:space="preserve">[13] Ong, J J, K Fethers, B P Howden, C K Fairley, E P Chow, D A Williamson, I Petalotis, E Aung, K Kanhutu, V De Petra and M Y Chen. Asymptomatic and symptomatic urethral gonorrhoea in men who have sex with men attending a sexual health service. </w:t>
      </w:r>
      <w:r w:rsidRPr="00E34DB9">
        <w:rPr>
          <w:rFonts w:eastAsiaTheme="minorHAnsi"/>
          <w:i/>
          <w:noProof/>
        </w:rPr>
        <w:t>Clinical Microbiology and Infection</w:t>
      </w:r>
      <w:r w:rsidRPr="00E34DB9">
        <w:rPr>
          <w:rFonts w:eastAsiaTheme="minorHAnsi"/>
          <w:noProof/>
        </w:rPr>
        <w:t xml:space="preserve"> 2017, vol. 23, no. 8, pp. 555-559.</w:t>
      </w:r>
    </w:p>
    <w:p w14:paraId="1D25BD8B" w14:textId="77777777" w:rsidR="00E34DB9" w:rsidRPr="00E34DB9" w:rsidRDefault="00E34DB9" w:rsidP="00E34DB9">
      <w:pPr>
        <w:pStyle w:val="Bibliography"/>
        <w:rPr>
          <w:rFonts w:eastAsiaTheme="minorHAnsi"/>
          <w:noProof/>
        </w:rPr>
      </w:pPr>
      <w:r w:rsidRPr="00E34DB9">
        <w:rPr>
          <w:rFonts w:eastAsiaTheme="minorHAnsi"/>
          <w:noProof/>
        </w:rPr>
        <w:t xml:space="preserve">[14] Medical Services Advisory Committee (MSAC). </w:t>
      </w:r>
      <w:r w:rsidRPr="00E34DB9">
        <w:rPr>
          <w:rFonts w:eastAsiaTheme="minorHAnsi"/>
          <w:i/>
          <w:noProof/>
        </w:rPr>
        <w:t>Application 1234 - Pathology tests for active mycobacterial infection</w:t>
      </w:r>
      <w:r w:rsidRPr="00E34DB9">
        <w:rPr>
          <w:rFonts w:eastAsiaTheme="minorHAnsi"/>
          <w:noProof/>
        </w:rPr>
        <w:t xml:space="preserve"> [online]. Public summary document. Canberra: Australian Government, 2015 [accessed 20 June 2017]. Retrieved: </w:t>
      </w:r>
      <w:hyperlink r:id="rId19" w:history="1">
        <w:r w:rsidR="00F20089">
          <w:rPr>
            <w:rStyle w:val="Hyperlink"/>
            <w:rFonts w:eastAsiaTheme="minorHAnsi"/>
            <w:noProof/>
          </w:rPr>
          <w:t>at http://www.msac.gov.au/internet/msac/publishing.nsf/Content/1234-public</w:t>
        </w:r>
      </w:hyperlink>
    </w:p>
    <w:p w14:paraId="4BE53B03" w14:textId="77777777" w:rsidR="00E34DB9" w:rsidRPr="00E34DB9" w:rsidRDefault="00E34DB9" w:rsidP="00E34DB9">
      <w:pPr>
        <w:pStyle w:val="Bibliography"/>
        <w:rPr>
          <w:rFonts w:eastAsiaTheme="minorHAnsi"/>
          <w:noProof/>
        </w:rPr>
      </w:pPr>
      <w:r w:rsidRPr="00E34DB9">
        <w:rPr>
          <w:rFonts w:eastAsiaTheme="minorHAnsi"/>
          <w:noProof/>
        </w:rPr>
        <w:t xml:space="preserve">[15] National Tuberculosis Advisory Committee. Guidelines for Australian mycobacteriology laboratories. </w:t>
      </w:r>
      <w:r w:rsidRPr="00E34DB9">
        <w:rPr>
          <w:rFonts w:eastAsiaTheme="minorHAnsi"/>
          <w:i/>
          <w:noProof/>
        </w:rPr>
        <w:t>Comm</w:t>
      </w:r>
      <w:r w:rsidR="00A27025">
        <w:rPr>
          <w:rFonts w:eastAsiaTheme="minorHAnsi"/>
          <w:i/>
          <w:noProof/>
        </w:rPr>
        <w:t xml:space="preserve">unicable Diseases Intelligence Quarterly </w:t>
      </w:r>
      <w:r w:rsidRPr="00E34DB9">
        <w:rPr>
          <w:rFonts w:eastAsiaTheme="minorHAnsi"/>
          <w:i/>
          <w:noProof/>
        </w:rPr>
        <w:t>Report</w:t>
      </w:r>
      <w:r w:rsidRPr="00E34DB9">
        <w:rPr>
          <w:rFonts w:eastAsiaTheme="minorHAnsi"/>
          <w:noProof/>
        </w:rPr>
        <w:t xml:space="preserve"> 2006, vol. 30, no. 1, pp. 116-128.</w:t>
      </w:r>
    </w:p>
    <w:p w14:paraId="3415C0CD" w14:textId="77777777" w:rsidR="00E34DB9" w:rsidRPr="00E34DB9" w:rsidRDefault="00E34DB9" w:rsidP="00E34DB9">
      <w:pPr>
        <w:pStyle w:val="Bibliography"/>
        <w:rPr>
          <w:rFonts w:eastAsiaTheme="minorHAnsi"/>
          <w:noProof/>
        </w:rPr>
      </w:pPr>
      <w:r w:rsidRPr="00E34DB9">
        <w:rPr>
          <w:rFonts w:eastAsiaTheme="minorHAnsi"/>
          <w:noProof/>
        </w:rPr>
        <w:t xml:space="preserve">[16] Baron, E J, J M Miller, M P Weinstein, S S Richter, P H Gilligan, R B Thomson, Jr., P Bourbeau, K C Carroll, S C Kehl, W M Dunne, B Robinson-Dunn, J D Schwartzman, K C Chapin, J W Snyder, B A Forbes, R Patel, J E Rosenblatt and B S Pritt. A guide to utilization of the microbiology laboratory for diagnosis of infectious diseases: 2013 recommendations by the Infectious Diseases Society of America (IDSA) and the American Society for Microbiology (ASM)(a). </w:t>
      </w:r>
      <w:r w:rsidRPr="00E34DB9">
        <w:rPr>
          <w:rFonts w:eastAsiaTheme="minorHAnsi"/>
          <w:i/>
          <w:noProof/>
        </w:rPr>
        <w:t>Clinical Infectious Diseases</w:t>
      </w:r>
      <w:r w:rsidRPr="00E34DB9">
        <w:rPr>
          <w:rFonts w:eastAsiaTheme="minorHAnsi"/>
          <w:noProof/>
        </w:rPr>
        <w:t xml:space="preserve"> 2013, vol. 57, no. 4, pp. e22-e121.</w:t>
      </w:r>
    </w:p>
    <w:p w14:paraId="419242BA" w14:textId="77777777" w:rsidR="00E34DB9" w:rsidRPr="00E34DB9" w:rsidRDefault="00E34DB9" w:rsidP="00E34DB9">
      <w:pPr>
        <w:pStyle w:val="Bibliography"/>
        <w:rPr>
          <w:rFonts w:eastAsiaTheme="minorHAnsi"/>
          <w:noProof/>
        </w:rPr>
      </w:pPr>
      <w:r w:rsidRPr="00E34DB9">
        <w:rPr>
          <w:rFonts w:eastAsiaTheme="minorHAnsi"/>
          <w:noProof/>
        </w:rPr>
        <w:t xml:space="preserve">[17] National Hepatitis B Virus (HBV) Testing Policy Expert Reference Committee. </w:t>
      </w:r>
      <w:r w:rsidRPr="00E34DB9">
        <w:rPr>
          <w:rFonts w:eastAsiaTheme="minorHAnsi"/>
          <w:i/>
          <w:noProof/>
        </w:rPr>
        <w:t>National Hepatitis B Testing Policy v1.2</w:t>
      </w:r>
      <w:r w:rsidRPr="00E34DB9">
        <w:rPr>
          <w:rFonts w:eastAsiaTheme="minorHAnsi"/>
          <w:noProof/>
        </w:rPr>
        <w:t xml:space="preserve"> [online]. Canberra: Australian Government Department of Health, 2015 [accessed 30 June 2017]. Retrieved: </w:t>
      </w:r>
      <w:hyperlink r:id="rId20" w:history="1">
        <w:r w:rsidR="00F20089">
          <w:rPr>
            <w:rStyle w:val="Hyperlink"/>
            <w:rFonts w:eastAsiaTheme="minorHAnsi"/>
            <w:noProof/>
          </w:rPr>
          <w:t>at http://testingportal.ashm.org.au/hbv</w:t>
        </w:r>
      </w:hyperlink>
    </w:p>
    <w:p w14:paraId="2316B3A3" w14:textId="77777777" w:rsidR="00E34DB9" w:rsidRPr="00E34DB9" w:rsidRDefault="00E34DB9" w:rsidP="00E34DB9">
      <w:pPr>
        <w:pStyle w:val="Bibliography"/>
        <w:rPr>
          <w:rFonts w:eastAsiaTheme="minorHAnsi"/>
          <w:noProof/>
        </w:rPr>
      </w:pPr>
      <w:r w:rsidRPr="00E34DB9">
        <w:rPr>
          <w:rFonts w:eastAsiaTheme="minorHAnsi"/>
          <w:noProof/>
        </w:rPr>
        <w:t xml:space="preserve">[18] Department of Health. </w:t>
      </w:r>
      <w:r w:rsidRPr="00E34DB9">
        <w:rPr>
          <w:rFonts w:eastAsiaTheme="minorHAnsi"/>
          <w:i/>
          <w:noProof/>
        </w:rPr>
        <w:t>Fourth National Hepatitis C Strategy 2014–2017</w:t>
      </w:r>
      <w:r w:rsidRPr="00E34DB9">
        <w:rPr>
          <w:rFonts w:eastAsiaTheme="minorHAnsi"/>
          <w:noProof/>
        </w:rPr>
        <w:t xml:space="preserve"> [online]. Canberra: Australian Government, 2014 [accessed 30 June 2017]. Retrieved: </w:t>
      </w:r>
      <w:r w:rsidR="00F20089" w:rsidRPr="00F20089">
        <w:rPr>
          <w:rStyle w:val="Hyperlink"/>
          <w:rFonts w:eastAsiaTheme="minorHAnsi"/>
          <w:noProof/>
        </w:rPr>
        <w:t>http://www.health.gov.au/internet/main/publishing.nsf/content/ohp-bbvs-hepc</w:t>
      </w:r>
    </w:p>
    <w:p w14:paraId="38F6346E" w14:textId="77777777" w:rsidR="00E34DB9" w:rsidRPr="00E34DB9" w:rsidRDefault="00E34DB9" w:rsidP="00E34DB9">
      <w:pPr>
        <w:pStyle w:val="Bibliography"/>
        <w:rPr>
          <w:rFonts w:eastAsiaTheme="minorHAnsi"/>
          <w:noProof/>
        </w:rPr>
      </w:pPr>
      <w:r w:rsidRPr="00E34DB9">
        <w:rPr>
          <w:rFonts w:eastAsiaTheme="minorHAnsi"/>
          <w:noProof/>
        </w:rPr>
        <w:t xml:space="preserve">[19] Doyle, J S and A J Thompson. Local transmission of hepatitis E virus in Australia: implications for clinicians and public health. </w:t>
      </w:r>
      <w:r w:rsidRPr="00E34DB9">
        <w:rPr>
          <w:rFonts w:eastAsiaTheme="minorHAnsi"/>
          <w:i/>
          <w:noProof/>
        </w:rPr>
        <w:t>Medical Journal of Australia</w:t>
      </w:r>
      <w:r w:rsidRPr="00E34DB9">
        <w:rPr>
          <w:rFonts w:eastAsiaTheme="minorHAnsi"/>
          <w:noProof/>
        </w:rPr>
        <w:t xml:space="preserve"> 2016, vol. 204, no. 7, pp. 254.</w:t>
      </w:r>
    </w:p>
    <w:p w14:paraId="58462CFC" w14:textId="77777777" w:rsidR="00E34DB9" w:rsidRPr="00E34DB9" w:rsidRDefault="00E34DB9" w:rsidP="00E34DB9">
      <w:pPr>
        <w:pStyle w:val="Bibliography"/>
        <w:rPr>
          <w:noProof/>
        </w:rPr>
      </w:pPr>
      <w:r w:rsidRPr="00E34DB9">
        <w:rPr>
          <w:noProof/>
        </w:rPr>
        <w:t xml:space="preserve">[20] Department of Health. </w:t>
      </w:r>
      <w:r w:rsidRPr="00E34DB9">
        <w:rPr>
          <w:i/>
          <w:noProof/>
        </w:rPr>
        <w:t xml:space="preserve">Immunisation coverage annual report </w:t>
      </w:r>
      <w:r w:rsidRPr="00E34DB9">
        <w:rPr>
          <w:noProof/>
        </w:rPr>
        <w:t>[online]</w:t>
      </w:r>
      <w:r w:rsidRPr="00E34DB9">
        <w:rPr>
          <w:i/>
          <w:noProof/>
        </w:rPr>
        <w:t>.</w:t>
      </w:r>
      <w:r w:rsidRPr="00E34DB9">
        <w:rPr>
          <w:noProof/>
        </w:rPr>
        <w:t xml:space="preserve"> Australian Government 2014 [accessed 12 July 2017]. Retrieved: </w:t>
      </w:r>
      <w:hyperlink r:id="rId21" w:history="1">
        <w:r w:rsidR="00F20089">
          <w:rPr>
            <w:rStyle w:val="Hyperlink"/>
            <w:noProof/>
          </w:rPr>
          <w:t>at http://www.health.gov.au/internet/main/publishing.nsf/Content/cda-cdi4101j.htm</w:t>
        </w:r>
      </w:hyperlink>
    </w:p>
    <w:p w14:paraId="1738B543" w14:textId="77777777" w:rsidR="00E34DB9" w:rsidRPr="00E34DB9" w:rsidRDefault="00E34DB9" w:rsidP="00E34DB9">
      <w:pPr>
        <w:pStyle w:val="Bibliography"/>
        <w:rPr>
          <w:noProof/>
        </w:rPr>
      </w:pPr>
      <w:r w:rsidRPr="00E34DB9">
        <w:rPr>
          <w:noProof/>
        </w:rPr>
        <w:t xml:space="preserve">[21] Department of Health. </w:t>
      </w:r>
      <w:r w:rsidRPr="00E34DB9">
        <w:rPr>
          <w:i/>
          <w:noProof/>
        </w:rPr>
        <w:t xml:space="preserve">National Notifiable Diseases Surveillance System </w:t>
      </w:r>
      <w:r w:rsidRPr="00E34DB9">
        <w:rPr>
          <w:noProof/>
        </w:rPr>
        <w:t>[online]</w:t>
      </w:r>
      <w:r w:rsidRPr="00E34DB9">
        <w:rPr>
          <w:i/>
          <w:noProof/>
        </w:rPr>
        <w:t>.</w:t>
      </w:r>
      <w:r w:rsidRPr="00E34DB9">
        <w:rPr>
          <w:noProof/>
        </w:rPr>
        <w:t xml:space="preserve"> Australian Government, 2017 [accessed 30 June 2017]. Retrieved: </w:t>
      </w:r>
      <w:hyperlink r:id="rId22" w:history="1">
        <w:r w:rsidR="00F20089">
          <w:rPr>
            <w:rStyle w:val="Hyperlink"/>
            <w:noProof/>
          </w:rPr>
          <w:t>at http://www9.health.gov.au/cda/source/rpt_1_sel.cfm</w:t>
        </w:r>
      </w:hyperlink>
    </w:p>
    <w:p w14:paraId="758E8C86" w14:textId="77777777" w:rsidR="00E34DB9" w:rsidRPr="00E34DB9" w:rsidRDefault="00E34DB9" w:rsidP="00E34DB9">
      <w:pPr>
        <w:pStyle w:val="Bibliography"/>
        <w:rPr>
          <w:noProof/>
        </w:rPr>
      </w:pPr>
      <w:r w:rsidRPr="00E34DB9">
        <w:rPr>
          <w:noProof/>
        </w:rPr>
        <w:t xml:space="preserve">[22] Health Consult for Department of Health Medical Benefits Division. </w:t>
      </w:r>
      <w:r w:rsidRPr="00E34DB9">
        <w:rPr>
          <w:i/>
          <w:noProof/>
        </w:rPr>
        <w:t>Rule 3 Exemption for HIV and STI Testing: Clinical Guidelines, Utilisation and Financial Estimates</w:t>
      </w:r>
      <w:r w:rsidRPr="00E34DB9">
        <w:rPr>
          <w:noProof/>
        </w:rPr>
        <w:t>. Sydney: Department of Health, 2016.</w:t>
      </w:r>
    </w:p>
    <w:p w14:paraId="78B1F1EE" w14:textId="77777777" w:rsidR="00E34DB9" w:rsidRPr="00E34DB9" w:rsidRDefault="00E34DB9" w:rsidP="00E34DB9">
      <w:pPr>
        <w:pStyle w:val="Bibliography"/>
        <w:rPr>
          <w:noProof/>
        </w:rPr>
      </w:pPr>
      <w:r w:rsidRPr="00E34DB9">
        <w:rPr>
          <w:noProof/>
        </w:rPr>
        <w:t xml:space="preserve">[23] Australian Instititute of Health and Welfare. </w:t>
      </w:r>
      <w:r w:rsidRPr="00E34DB9">
        <w:rPr>
          <w:i/>
          <w:noProof/>
        </w:rPr>
        <w:t xml:space="preserve">Indicators of Australia’s health 2016 </w:t>
      </w:r>
      <w:r w:rsidRPr="00E34DB9">
        <w:rPr>
          <w:noProof/>
        </w:rPr>
        <w:t>[online]</w:t>
      </w:r>
      <w:r w:rsidRPr="00E34DB9">
        <w:rPr>
          <w:i/>
          <w:noProof/>
        </w:rPr>
        <w:t>.</w:t>
      </w:r>
      <w:r w:rsidRPr="00E34DB9">
        <w:rPr>
          <w:noProof/>
        </w:rPr>
        <w:t xml:space="preserve"> AIHW, 2017 [accessed 3 July 2017]. Retrieved: </w:t>
      </w:r>
      <w:hyperlink r:id="rId23" w:anchor="t2" w:history="1">
        <w:r w:rsidR="00F20089">
          <w:rPr>
            <w:rStyle w:val="Hyperlink"/>
            <w:noProof/>
          </w:rPr>
          <w:t>at http://www.aihw.gov.au/australias-health/2016/health-indicators/#t2</w:t>
        </w:r>
      </w:hyperlink>
    </w:p>
    <w:p w14:paraId="5D9B1E09" w14:textId="77777777" w:rsidR="00E34DB9" w:rsidRPr="00E34DB9" w:rsidRDefault="00E34DB9" w:rsidP="00E34DB9">
      <w:pPr>
        <w:pStyle w:val="Bibliography"/>
        <w:rPr>
          <w:rFonts w:eastAsiaTheme="minorHAnsi"/>
          <w:noProof/>
        </w:rPr>
      </w:pPr>
      <w:r w:rsidRPr="00E34DB9">
        <w:rPr>
          <w:rFonts w:eastAsiaTheme="minorHAnsi"/>
          <w:noProof/>
        </w:rPr>
        <w:t xml:space="preserve">[24] Hepatitis C Virus Infection Consensus Statement Working Group. </w:t>
      </w:r>
      <w:r w:rsidRPr="00E34DB9">
        <w:rPr>
          <w:rFonts w:eastAsiaTheme="minorHAnsi"/>
          <w:i/>
          <w:noProof/>
        </w:rPr>
        <w:t>Australian recommendations for the management of hepatitis C virus infection: a consensus statement (January 2017)</w:t>
      </w:r>
      <w:r w:rsidRPr="00E34DB9">
        <w:rPr>
          <w:rFonts w:eastAsiaTheme="minorHAnsi"/>
          <w:noProof/>
        </w:rPr>
        <w:t xml:space="preserve"> [online]. Melbourne: Gastroenterological Society of Australia, August 2017 [accessed 31 October 2017]. Retrieved: </w:t>
      </w:r>
      <w:hyperlink r:id="rId24" w:history="1">
        <w:r w:rsidR="00F20089">
          <w:rPr>
            <w:rStyle w:val="Hyperlink"/>
            <w:rFonts w:eastAsiaTheme="minorHAnsi"/>
            <w:noProof/>
          </w:rPr>
          <w:t>at http://www.gesa.org.au/public/13/files/Hepatitis%20C/Hepatitis%20C%20virus%20infection%20a%20consensus%20statement%202017.pdf</w:t>
        </w:r>
      </w:hyperlink>
    </w:p>
    <w:p w14:paraId="22DC32BC" w14:textId="77777777" w:rsidR="00E34DB9" w:rsidRPr="00E34DB9" w:rsidRDefault="00E34DB9" w:rsidP="00E34DB9">
      <w:pPr>
        <w:pStyle w:val="Bibliography"/>
        <w:rPr>
          <w:rFonts w:eastAsiaTheme="minorHAnsi"/>
          <w:noProof/>
        </w:rPr>
      </w:pPr>
      <w:r w:rsidRPr="00E34DB9">
        <w:rPr>
          <w:rFonts w:eastAsiaTheme="minorHAnsi"/>
          <w:noProof/>
        </w:rPr>
        <w:lastRenderedPageBreak/>
        <w:t xml:space="preserve">[25] Osmon, D R, E F Berbari, A R Berendt, D Lew, W Zimmerli, J M Steckelberg, N Rao, A Hanssen and W R Wilson. Diagnosis and management of prosthetic joint infection: clinical practice guidelines by the Infectious Diseases Society of America. </w:t>
      </w:r>
      <w:r w:rsidRPr="00E34DB9">
        <w:rPr>
          <w:rFonts w:eastAsiaTheme="minorHAnsi"/>
          <w:i/>
          <w:noProof/>
        </w:rPr>
        <w:t>Clinical Infectious Diseases</w:t>
      </w:r>
      <w:r w:rsidRPr="00E34DB9">
        <w:rPr>
          <w:rFonts w:eastAsiaTheme="minorHAnsi"/>
          <w:noProof/>
        </w:rPr>
        <w:t xml:space="preserve"> 2013, vol. 56, no. 1, pp. e1-e25.</w:t>
      </w:r>
    </w:p>
    <w:p w14:paraId="74932C9D" w14:textId="77777777" w:rsidR="00E34DB9" w:rsidRPr="00E34DB9" w:rsidRDefault="00E34DB9" w:rsidP="00E34DB9">
      <w:pPr>
        <w:pStyle w:val="Bibliography"/>
        <w:rPr>
          <w:rFonts w:eastAsiaTheme="minorHAnsi"/>
          <w:noProof/>
        </w:rPr>
      </w:pPr>
      <w:r w:rsidRPr="00E34DB9">
        <w:rPr>
          <w:rFonts w:eastAsiaTheme="minorHAnsi"/>
          <w:noProof/>
        </w:rPr>
        <w:t xml:space="preserve">[26] Bemer, P, J Leger, D Tande, C Plouzeau, A S Valentin, A Jolivet-Gougeon, C Lemarie, M Kempf, G Hery-Arnaud, L Bret, M E Juvin, B Giraudeau, S Corvec and C Burucoa. How many samples and how many culture media to diagnose a prosthetic joint infection: a clinical and microbiological prospective multicenter study. </w:t>
      </w:r>
      <w:r w:rsidRPr="00E34DB9">
        <w:rPr>
          <w:rFonts w:eastAsiaTheme="minorHAnsi"/>
          <w:i/>
          <w:noProof/>
        </w:rPr>
        <w:t>Journal of Clinical Microbiology</w:t>
      </w:r>
      <w:r w:rsidRPr="00E34DB9">
        <w:rPr>
          <w:rFonts w:eastAsiaTheme="minorHAnsi"/>
          <w:noProof/>
        </w:rPr>
        <w:t xml:space="preserve"> 2016, vol. 54, no. 2, pp. 385-391.</w:t>
      </w:r>
    </w:p>
    <w:p w14:paraId="4D236677" w14:textId="77777777" w:rsidR="00E34DB9" w:rsidRPr="00E34DB9" w:rsidRDefault="00E34DB9" w:rsidP="00E34DB9">
      <w:pPr>
        <w:pStyle w:val="Bibliography"/>
        <w:rPr>
          <w:rFonts w:eastAsiaTheme="minorHAnsi"/>
          <w:noProof/>
        </w:rPr>
      </w:pPr>
      <w:r w:rsidRPr="00E34DB9">
        <w:rPr>
          <w:rFonts w:eastAsiaTheme="minorHAnsi"/>
          <w:noProof/>
        </w:rPr>
        <w:t xml:space="preserve">[27] Drago, L, L Lidgren, E Bottinelli, J H Villafane, P Berjano, G Banfi, C L Romano and T P Sculco. Mapping of microbiological procedures by the Members of the International Society of Orthopaedic Centers (ISOC) for diagnosis of periprosthetic infections. </w:t>
      </w:r>
      <w:r w:rsidRPr="00E34DB9">
        <w:rPr>
          <w:rFonts w:eastAsiaTheme="minorHAnsi"/>
          <w:i/>
          <w:noProof/>
        </w:rPr>
        <w:t>Journal of Clinical Microbiology</w:t>
      </w:r>
      <w:r w:rsidRPr="00E34DB9">
        <w:rPr>
          <w:rFonts w:eastAsiaTheme="minorHAnsi"/>
          <w:noProof/>
        </w:rPr>
        <w:t xml:space="preserve"> 2016, vol. 54, no. 5, pp. 1402-1403.</w:t>
      </w:r>
    </w:p>
    <w:p w14:paraId="621EBE91" w14:textId="77777777" w:rsidR="00E34DB9" w:rsidRPr="00E34DB9" w:rsidRDefault="00E34DB9" w:rsidP="00E34DB9">
      <w:pPr>
        <w:pStyle w:val="Bibliography"/>
        <w:rPr>
          <w:rFonts w:eastAsiaTheme="minorHAnsi"/>
          <w:noProof/>
        </w:rPr>
      </w:pPr>
      <w:r w:rsidRPr="00E34DB9">
        <w:rPr>
          <w:rFonts w:eastAsiaTheme="minorHAnsi"/>
          <w:noProof/>
        </w:rPr>
        <w:t xml:space="preserve">[28] Parvizi, J, T Gehrke and A F Chen. Proceedings of the International Consensus on Periprosthetic Joint Infection. </w:t>
      </w:r>
      <w:r w:rsidRPr="00E34DB9">
        <w:rPr>
          <w:rFonts w:eastAsiaTheme="minorHAnsi"/>
          <w:i/>
          <w:noProof/>
        </w:rPr>
        <w:t>The Bone &amp; Joint Journal</w:t>
      </w:r>
      <w:r w:rsidRPr="00E34DB9">
        <w:rPr>
          <w:rFonts w:eastAsiaTheme="minorHAnsi"/>
          <w:noProof/>
        </w:rPr>
        <w:t xml:space="preserve"> 2013, vol. 95-B, no. 11, pp. 1450-1452.</w:t>
      </w:r>
    </w:p>
    <w:p w14:paraId="5081AAA0" w14:textId="77777777" w:rsidR="00E34DB9" w:rsidRPr="00E34DB9" w:rsidRDefault="00E34DB9" w:rsidP="00E34DB9">
      <w:pPr>
        <w:pStyle w:val="Bibliography"/>
        <w:rPr>
          <w:rFonts w:eastAsiaTheme="minorHAnsi"/>
          <w:noProof/>
        </w:rPr>
      </w:pPr>
      <w:r w:rsidRPr="00E34DB9">
        <w:rPr>
          <w:rFonts w:eastAsiaTheme="minorHAnsi"/>
          <w:noProof/>
        </w:rPr>
        <w:t xml:space="preserve">[29] Peel, T N, B L Dylla, J G Hughes, D T Lynch, K E Greenwood-Quaintance, A C Cheng, J N Mandrekar and R Patel. Improved diagnosis of prosthetic joint infection by culturing periprosthetic tissue specimens in blood culture bottles. </w:t>
      </w:r>
      <w:r w:rsidRPr="00E34DB9">
        <w:rPr>
          <w:rFonts w:eastAsiaTheme="minorHAnsi"/>
          <w:i/>
          <w:noProof/>
        </w:rPr>
        <w:t>MBio</w:t>
      </w:r>
      <w:r w:rsidRPr="00E34DB9">
        <w:rPr>
          <w:rFonts w:eastAsiaTheme="minorHAnsi"/>
          <w:noProof/>
        </w:rPr>
        <w:t xml:space="preserve"> 2016, vol. 7, no. 1, pp. e01776-01715.</w:t>
      </w:r>
    </w:p>
    <w:p w14:paraId="197B8FD3" w14:textId="77777777" w:rsidR="00E34DB9" w:rsidRPr="00E34DB9" w:rsidRDefault="00E34DB9" w:rsidP="00E34DB9">
      <w:pPr>
        <w:pStyle w:val="Bibliography"/>
        <w:rPr>
          <w:noProof/>
        </w:rPr>
      </w:pPr>
      <w:r w:rsidRPr="00E34DB9">
        <w:rPr>
          <w:noProof/>
        </w:rPr>
        <w:t xml:space="preserve">[30] Australian Commission on Safety and Quality in Health Care. </w:t>
      </w:r>
      <w:r w:rsidRPr="00E34DB9">
        <w:rPr>
          <w:i/>
          <w:noProof/>
        </w:rPr>
        <w:t xml:space="preserve">AURA: Antimicribial use and resistance in Australia </w:t>
      </w:r>
      <w:r w:rsidRPr="00E34DB9">
        <w:rPr>
          <w:noProof/>
        </w:rPr>
        <w:t>[online]</w:t>
      </w:r>
      <w:r w:rsidRPr="00E34DB9">
        <w:rPr>
          <w:i/>
          <w:noProof/>
        </w:rPr>
        <w:t>.</w:t>
      </w:r>
      <w:r w:rsidRPr="00E34DB9">
        <w:rPr>
          <w:noProof/>
        </w:rPr>
        <w:t xml:space="preserve"> ACSQHC, 2016 [accessed 4 July 2017]. Retrieved: </w:t>
      </w:r>
      <w:hyperlink r:id="rId25" w:history="1">
        <w:r w:rsidR="00F20089">
          <w:rPr>
            <w:rStyle w:val="Hyperlink"/>
            <w:noProof/>
          </w:rPr>
          <w:t>at https://www.safetyandquality.gov.au/antimicrobial-use-and-resistance-in-australia/</w:t>
        </w:r>
      </w:hyperlink>
    </w:p>
    <w:p w14:paraId="34494102" w14:textId="77777777" w:rsidR="00E34DB9" w:rsidRPr="00E34DB9" w:rsidRDefault="00E34DB9" w:rsidP="00E34DB9">
      <w:pPr>
        <w:pStyle w:val="Bibliography"/>
        <w:rPr>
          <w:rFonts w:eastAsiaTheme="minorHAnsi"/>
          <w:noProof/>
        </w:rPr>
      </w:pPr>
      <w:r w:rsidRPr="00E34DB9">
        <w:rPr>
          <w:rFonts w:eastAsiaTheme="minorHAnsi"/>
          <w:noProof/>
        </w:rPr>
        <w:t xml:space="preserve">[31] Australian Commission on Safety and Quality in Health Care. </w:t>
      </w:r>
      <w:r w:rsidRPr="00E34DB9">
        <w:rPr>
          <w:rFonts w:eastAsiaTheme="minorHAnsi"/>
          <w:i/>
          <w:noProof/>
        </w:rPr>
        <w:t>Recommendations for the control of carbapenemase-producing Enterobacteriaceae (CPE). A guide for acute care health facilities.</w:t>
      </w:r>
      <w:r w:rsidRPr="00E34DB9">
        <w:rPr>
          <w:rFonts w:eastAsiaTheme="minorHAnsi"/>
          <w:noProof/>
        </w:rPr>
        <w:t xml:space="preserve"> [online]. Sydney: ACSQHC, 2017 [accessed 15 June 2017]. Retrieved: </w:t>
      </w:r>
      <w:hyperlink r:id="rId26" w:history="1">
        <w:r w:rsidR="00F20089">
          <w:rPr>
            <w:rStyle w:val="Hyperlink"/>
            <w:rFonts w:eastAsiaTheme="minorHAnsi"/>
            <w:noProof/>
          </w:rPr>
          <w:t>at https://www.safetyandquality.gov.au/wp-content/uploads/2017/05/Recommendations-for-the-control-of-Carbapenemase-producing-Enterobacteriaceae.pdf</w:t>
        </w:r>
      </w:hyperlink>
    </w:p>
    <w:p w14:paraId="794FBBC5" w14:textId="77777777" w:rsidR="00E34DB9" w:rsidRPr="00E34DB9" w:rsidRDefault="00E34DB9" w:rsidP="00E34DB9">
      <w:pPr>
        <w:pStyle w:val="Bibliography"/>
        <w:rPr>
          <w:rFonts w:eastAsiaTheme="minorHAnsi"/>
          <w:noProof/>
        </w:rPr>
      </w:pPr>
      <w:r w:rsidRPr="00E34DB9">
        <w:rPr>
          <w:rFonts w:eastAsiaTheme="minorHAnsi"/>
          <w:noProof/>
        </w:rPr>
        <w:t xml:space="preserve">[32] Department of Health, D o A. </w:t>
      </w:r>
      <w:r w:rsidRPr="00E34DB9">
        <w:rPr>
          <w:rFonts w:eastAsiaTheme="minorHAnsi"/>
          <w:i/>
          <w:noProof/>
        </w:rPr>
        <w:t>Responding to the threat of antimicrobial resistance.  Australia's first national antimicrobial resistance strategy 2015-2019</w:t>
      </w:r>
      <w:r w:rsidRPr="00E34DB9">
        <w:rPr>
          <w:rFonts w:eastAsiaTheme="minorHAnsi"/>
          <w:noProof/>
        </w:rPr>
        <w:t xml:space="preserve"> [online]. Canberra: Australian Government, 2015 [accessed 4 July 2017]. Retrieved: </w:t>
      </w:r>
      <w:hyperlink r:id="rId27" w:history="1">
        <w:r w:rsidR="00F20089">
          <w:rPr>
            <w:rStyle w:val="Hyperlink"/>
            <w:rFonts w:eastAsiaTheme="minorHAnsi"/>
            <w:noProof/>
          </w:rPr>
          <w:t>at http://www.health.gov.au/internet/main/publishing.nsf/Content/1803C433C71415CACA257C8400121B1F/$File/amr-strategy-2015-2019.pdf</w:t>
        </w:r>
      </w:hyperlink>
    </w:p>
    <w:p w14:paraId="02E370CD" w14:textId="77777777" w:rsidR="00CA7016" w:rsidRDefault="00CA7016" w:rsidP="00E34DB9">
      <w:pPr>
        <w:pStyle w:val="Bibliography"/>
      </w:pPr>
      <w:r w:rsidRPr="001E61D4">
        <w:fldChar w:fldCharType="end"/>
      </w:r>
      <w:r w:rsidRPr="00A0513E">
        <w:br w:type="page"/>
      </w:r>
    </w:p>
    <w:p w14:paraId="6A6B223D" w14:textId="77777777" w:rsidR="00CA7016" w:rsidRPr="00A0513E" w:rsidRDefault="00CA7016" w:rsidP="00CA7016">
      <w:pPr>
        <w:pStyle w:val="Heading1"/>
      </w:pPr>
      <w:bookmarkStart w:id="452" w:name="_Toc12886611"/>
      <w:bookmarkEnd w:id="442"/>
      <w:bookmarkEnd w:id="443"/>
      <w:bookmarkEnd w:id="444"/>
      <w:r>
        <w:lastRenderedPageBreak/>
        <w:t>Appendix A—</w:t>
      </w:r>
      <w:r w:rsidRPr="00B96BC0">
        <w:rPr>
          <w:lang w:val="en-AU"/>
        </w:rPr>
        <w:t>Assigned and referred items: recommendations</w:t>
      </w:r>
      <w:bookmarkEnd w:id="452"/>
      <w:r w:rsidRPr="00B96BC0">
        <w:rPr>
          <w:lang w:val="en-AU"/>
        </w:rPr>
        <w:t xml:space="preserve"> </w:t>
      </w:r>
    </w:p>
    <w:tbl>
      <w:tblPr>
        <w:tblStyle w:val="TableGrid2"/>
        <w:tblW w:w="5000" w:type="pct"/>
        <w:tblLook w:val="04A0" w:firstRow="1" w:lastRow="0" w:firstColumn="1" w:lastColumn="0" w:noHBand="0" w:noVBand="1"/>
        <w:tblDescription w:val="This table lists Item numbers, Current descriptors, Recommendations, and Section reference for all assigned and referred microbiology items."/>
      </w:tblPr>
      <w:tblGrid>
        <w:gridCol w:w="847"/>
        <w:gridCol w:w="4630"/>
        <w:gridCol w:w="1738"/>
        <w:gridCol w:w="1801"/>
      </w:tblGrid>
      <w:tr w:rsidR="00CA7016" w:rsidRPr="00B96BC0" w14:paraId="73476B5B" w14:textId="77777777" w:rsidTr="00F20089">
        <w:trPr>
          <w:trHeight w:val="182"/>
          <w:tblHeader/>
        </w:trPr>
        <w:tc>
          <w:tcPr>
            <w:tcW w:w="847" w:type="dxa"/>
            <w:shd w:val="clear" w:color="auto" w:fill="EEECE1" w:themeFill="background2"/>
          </w:tcPr>
          <w:p w14:paraId="2B0D8017" w14:textId="77777777" w:rsidR="00CA7016" w:rsidRPr="00C44FAC" w:rsidRDefault="00CA7016" w:rsidP="003C3F6A">
            <w:pPr>
              <w:pStyle w:val="01Tableheaderrow"/>
            </w:pPr>
            <w:r w:rsidRPr="00C44FAC">
              <w:t>Item</w:t>
            </w:r>
          </w:p>
        </w:tc>
        <w:tc>
          <w:tcPr>
            <w:tcW w:w="4630" w:type="dxa"/>
            <w:shd w:val="clear" w:color="auto" w:fill="EEECE1" w:themeFill="background2"/>
          </w:tcPr>
          <w:p w14:paraId="3FF7BB7C" w14:textId="77777777" w:rsidR="00CA7016" w:rsidRPr="00C44FAC" w:rsidRDefault="00CA7016" w:rsidP="003C3F6A">
            <w:pPr>
              <w:pStyle w:val="01Tableheaderrow"/>
            </w:pPr>
            <w:r w:rsidRPr="00C44FAC">
              <w:t>Current descriptor</w:t>
            </w:r>
          </w:p>
        </w:tc>
        <w:tc>
          <w:tcPr>
            <w:tcW w:w="1738" w:type="dxa"/>
            <w:shd w:val="clear" w:color="auto" w:fill="EEECE1" w:themeFill="background2"/>
          </w:tcPr>
          <w:p w14:paraId="1DE068AE" w14:textId="77777777" w:rsidR="00CA7016" w:rsidRPr="00C44FAC" w:rsidRDefault="00CA7016" w:rsidP="003C3F6A">
            <w:pPr>
              <w:pStyle w:val="01Tableheaderrow"/>
            </w:pPr>
            <w:r w:rsidRPr="00C44FAC">
              <w:t>Recommendation</w:t>
            </w:r>
          </w:p>
        </w:tc>
        <w:tc>
          <w:tcPr>
            <w:tcW w:w="1801" w:type="dxa"/>
            <w:shd w:val="clear" w:color="auto" w:fill="EEECE1" w:themeFill="background2"/>
          </w:tcPr>
          <w:p w14:paraId="451C8C84" w14:textId="77777777" w:rsidR="00CA7016" w:rsidRPr="00C44FAC" w:rsidRDefault="00CA7016" w:rsidP="003C3F6A">
            <w:pPr>
              <w:pStyle w:val="01Tableheaderrow"/>
            </w:pPr>
            <w:r w:rsidRPr="00C44FAC">
              <w:t>Section reference</w:t>
            </w:r>
          </w:p>
        </w:tc>
      </w:tr>
      <w:tr w:rsidR="00CA7016" w:rsidRPr="00B96BC0" w14:paraId="0FA7F2C6" w14:textId="77777777" w:rsidTr="003C3F6A">
        <w:trPr>
          <w:trHeight w:val="300"/>
        </w:trPr>
        <w:tc>
          <w:tcPr>
            <w:tcW w:w="847" w:type="dxa"/>
            <w:noWrap/>
            <w:hideMark/>
          </w:tcPr>
          <w:p w14:paraId="15EE863C" w14:textId="77777777" w:rsidR="00CA7016" w:rsidRPr="00A0513E" w:rsidRDefault="00CA7016" w:rsidP="003C3F6A">
            <w:pPr>
              <w:pStyle w:val="02Tabletext"/>
            </w:pPr>
            <w:r w:rsidRPr="00A0513E">
              <w:t>69300</w:t>
            </w:r>
          </w:p>
        </w:tc>
        <w:tc>
          <w:tcPr>
            <w:tcW w:w="4630" w:type="dxa"/>
            <w:noWrap/>
            <w:hideMark/>
          </w:tcPr>
          <w:p w14:paraId="7AA06F27" w14:textId="77777777" w:rsidR="00CA7016" w:rsidRPr="00A0513E" w:rsidRDefault="00CA7016" w:rsidP="003C3F6A">
            <w:pPr>
              <w:pStyle w:val="02Tabletext"/>
            </w:pPr>
            <w:r w:rsidRPr="00A0513E">
              <w:t>Microscopy of wet film material other than blood, from 1 or more sites, obtained directly from a patient (not cultures) including: (a) differential cell count (if performed); or (b) examination for dermatophytes; or (c) dark ground illumination; or (d) stained preparation or preparations using any relevant stain or stains; 1 or more tests</w:t>
            </w:r>
          </w:p>
        </w:tc>
        <w:tc>
          <w:tcPr>
            <w:tcW w:w="1738" w:type="dxa"/>
            <w:noWrap/>
          </w:tcPr>
          <w:p w14:paraId="77D536AE" w14:textId="77777777" w:rsidR="00CA7016" w:rsidRPr="00A0513E" w:rsidRDefault="00CA7016" w:rsidP="003C3F6A">
            <w:pPr>
              <w:pStyle w:val="02Tabletext"/>
            </w:pPr>
            <w:r w:rsidRPr="00A0513E">
              <w:t>Change</w:t>
            </w:r>
          </w:p>
        </w:tc>
        <w:tc>
          <w:tcPr>
            <w:tcW w:w="1801" w:type="dxa"/>
            <w:noWrap/>
          </w:tcPr>
          <w:p w14:paraId="499FB9CE" w14:textId="77777777" w:rsidR="00CA7016" w:rsidRPr="00A0513E" w:rsidRDefault="00CA7016" w:rsidP="003C3F6A">
            <w:pPr>
              <w:pStyle w:val="02Tabletext"/>
              <w:jc w:val="center"/>
            </w:pPr>
            <w:r>
              <w:t xml:space="preserve">4.14 </w:t>
            </w:r>
          </w:p>
        </w:tc>
      </w:tr>
      <w:tr w:rsidR="00CA7016" w:rsidRPr="00B96BC0" w14:paraId="621DCFCD" w14:textId="77777777" w:rsidTr="003C3F6A">
        <w:trPr>
          <w:trHeight w:val="300"/>
        </w:trPr>
        <w:tc>
          <w:tcPr>
            <w:tcW w:w="847" w:type="dxa"/>
            <w:noWrap/>
            <w:hideMark/>
          </w:tcPr>
          <w:p w14:paraId="39194EBA" w14:textId="77777777" w:rsidR="00CA7016" w:rsidRPr="00A0513E" w:rsidRDefault="00CA7016" w:rsidP="003C3F6A">
            <w:pPr>
              <w:pStyle w:val="02Tabletext"/>
            </w:pPr>
            <w:r w:rsidRPr="00A0513E">
              <w:t>69303</w:t>
            </w:r>
          </w:p>
        </w:tc>
        <w:tc>
          <w:tcPr>
            <w:tcW w:w="4630" w:type="dxa"/>
            <w:noWrap/>
            <w:hideMark/>
          </w:tcPr>
          <w:p w14:paraId="1AEE0346" w14:textId="77777777" w:rsidR="00CA7016" w:rsidRPr="00A0513E" w:rsidRDefault="00CA7016" w:rsidP="003C3F6A">
            <w:pPr>
              <w:pStyle w:val="02Tabletext"/>
            </w:pPr>
            <w:r w:rsidRPr="00A0513E">
              <w:t>Culture and (if performed) microscopy to detect pathogenic microorganisms from nasal swabs, throat swabs, eye swabs and ear swabs (excluding swabs taken for epidemiological surveillance), including (if performed): (a) pathogen identification and antibiotic susceptibility testing; or (b) a service described in item 69300; specimens from 1 or more sites</w:t>
            </w:r>
          </w:p>
        </w:tc>
        <w:tc>
          <w:tcPr>
            <w:tcW w:w="1738" w:type="dxa"/>
            <w:noWrap/>
          </w:tcPr>
          <w:p w14:paraId="380055C5" w14:textId="77777777" w:rsidR="00CA7016" w:rsidRPr="00A0513E" w:rsidRDefault="00CA7016" w:rsidP="003C3F6A">
            <w:pPr>
              <w:pStyle w:val="02Tabletext"/>
            </w:pPr>
            <w:r w:rsidRPr="00A0513E">
              <w:t>Change</w:t>
            </w:r>
          </w:p>
        </w:tc>
        <w:tc>
          <w:tcPr>
            <w:tcW w:w="1801" w:type="dxa"/>
            <w:noWrap/>
          </w:tcPr>
          <w:p w14:paraId="7FE72906" w14:textId="77777777" w:rsidR="00CA7016" w:rsidRPr="00A0513E" w:rsidRDefault="00CA7016" w:rsidP="003C3F6A">
            <w:pPr>
              <w:pStyle w:val="02Tabletext"/>
              <w:jc w:val="center"/>
            </w:pPr>
            <w:r>
              <w:t>4.11</w:t>
            </w:r>
          </w:p>
        </w:tc>
      </w:tr>
      <w:tr w:rsidR="00CA7016" w:rsidRPr="00B96BC0" w14:paraId="6FBF30D1" w14:textId="77777777" w:rsidTr="003C3F6A">
        <w:trPr>
          <w:trHeight w:val="300"/>
        </w:trPr>
        <w:tc>
          <w:tcPr>
            <w:tcW w:w="847" w:type="dxa"/>
            <w:noWrap/>
            <w:hideMark/>
          </w:tcPr>
          <w:p w14:paraId="2CB9D8CB" w14:textId="77777777" w:rsidR="00CA7016" w:rsidRPr="00A0513E" w:rsidRDefault="00CA7016" w:rsidP="003C3F6A">
            <w:pPr>
              <w:pStyle w:val="02Tabletext"/>
            </w:pPr>
            <w:r w:rsidRPr="00A0513E">
              <w:t>69306</w:t>
            </w:r>
          </w:p>
        </w:tc>
        <w:tc>
          <w:tcPr>
            <w:tcW w:w="4630" w:type="dxa"/>
            <w:noWrap/>
            <w:hideMark/>
          </w:tcPr>
          <w:p w14:paraId="70BEBE1B" w14:textId="77777777" w:rsidR="00CA7016" w:rsidRPr="00A0513E" w:rsidRDefault="00CA7016" w:rsidP="003C3F6A">
            <w:pPr>
              <w:pStyle w:val="02Tabletext"/>
            </w:pPr>
            <w:r w:rsidRPr="00A0513E">
              <w:t>Microscopy and culture to detect pathogenic microorganisms from skin or other superficial sites, including (if performed): (a) pathogen identification and antibiotic susceptibility testing; or</w:t>
            </w:r>
            <w:r>
              <w:t xml:space="preserve"> </w:t>
            </w:r>
            <w:r w:rsidRPr="00A0513E">
              <w:t>(b) a service described in items 69300, 69303, 69312, 69318; 1 or more tests on 1 or more specimens</w:t>
            </w:r>
          </w:p>
        </w:tc>
        <w:tc>
          <w:tcPr>
            <w:tcW w:w="1738" w:type="dxa"/>
            <w:noWrap/>
          </w:tcPr>
          <w:p w14:paraId="60901442" w14:textId="77777777" w:rsidR="00CA7016" w:rsidRPr="00A0513E" w:rsidRDefault="00CA7016" w:rsidP="003C3F6A">
            <w:pPr>
              <w:pStyle w:val="02Tabletext"/>
            </w:pPr>
            <w:r w:rsidRPr="00A0513E">
              <w:t>Change</w:t>
            </w:r>
          </w:p>
        </w:tc>
        <w:tc>
          <w:tcPr>
            <w:tcW w:w="1801" w:type="dxa"/>
            <w:noWrap/>
          </w:tcPr>
          <w:p w14:paraId="12660AF6" w14:textId="77777777" w:rsidR="00CA7016" w:rsidRPr="00A0513E" w:rsidRDefault="00CA7016" w:rsidP="003C3F6A">
            <w:pPr>
              <w:pStyle w:val="02Tabletext"/>
              <w:jc w:val="center"/>
            </w:pPr>
            <w:r>
              <w:t>4.11</w:t>
            </w:r>
          </w:p>
        </w:tc>
      </w:tr>
      <w:tr w:rsidR="00CA7016" w:rsidRPr="00B96BC0" w14:paraId="0207E8B5" w14:textId="77777777" w:rsidTr="003C3F6A">
        <w:trPr>
          <w:trHeight w:val="300"/>
        </w:trPr>
        <w:tc>
          <w:tcPr>
            <w:tcW w:w="847" w:type="dxa"/>
            <w:noWrap/>
            <w:hideMark/>
          </w:tcPr>
          <w:p w14:paraId="14C0BDA3" w14:textId="77777777" w:rsidR="00CA7016" w:rsidRPr="00A0513E" w:rsidRDefault="00CA7016" w:rsidP="003C3F6A">
            <w:pPr>
              <w:pStyle w:val="02Tabletext"/>
            </w:pPr>
            <w:r w:rsidRPr="00A0513E">
              <w:t>69309</w:t>
            </w:r>
          </w:p>
        </w:tc>
        <w:tc>
          <w:tcPr>
            <w:tcW w:w="4630" w:type="dxa"/>
            <w:noWrap/>
            <w:hideMark/>
          </w:tcPr>
          <w:p w14:paraId="4137C57F" w14:textId="77777777" w:rsidR="00CA7016" w:rsidRPr="00A0513E" w:rsidRDefault="00CA7016" w:rsidP="003C3F6A">
            <w:pPr>
              <w:pStyle w:val="02Tabletext"/>
            </w:pPr>
            <w:r w:rsidRPr="00A0513E">
              <w:t>Microscopy and culture to detect dermatophytes and other fungi causing cutaneous disease from skin scrapings, skin biopsies, hair and nails (excluding swab specimens) and including (if performed): (a) the detection of antigens not elsewhere specified in this Table; or (b) a service described in items 69300, 69303, 69306, 69312, 69318; 1 or more tests on 1 or more specimens</w:t>
            </w:r>
          </w:p>
        </w:tc>
        <w:tc>
          <w:tcPr>
            <w:tcW w:w="1738" w:type="dxa"/>
            <w:noWrap/>
          </w:tcPr>
          <w:p w14:paraId="13A06438" w14:textId="77777777" w:rsidR="00CA7016" w:rsidRPr="00A0513E" w:rsidRDefault="00CA7016" w:rsidP="003C3F6A">
            <w:pPr>
              <w:pStyle w:val="02Tabletext"/>
            </w:pPr>
            <w:r w:rsidRPr="00A0513E">
              <w:t>No change</w:t>
            </w:r>
          </w:p>
        </w:tc>
        <w:tc>
          <w:tcPr>
            <w:tcW w:w="1801" w:type="dxa"/>
            <w:noWrap/>
          </w:tcPr>
          <w:p w14:paraId="0B316BF9" w14:textId="77777777" w:rsidR="00CA7016" w:rsidRPr="00A0513E" w:rsidRDefault="00CA7016" w:rsidP="003C3F6A">
            <w:pPr>
              <w:pStyle w:val="02Tabletext"/>
              <w:jc w:val="center"/>
            </w:pPr>
            <w:r>
              <w:t>4.18</w:t>
            </w:r>
          </w:p>
        </w:tc>
      </w:tr>
      <w:tr w:rsidR="00CA7016" w:rsidRPr="00B96BC0" w14:paraId="6E2BCB4E" w14:textId="77777777" w:rsidTr="003C3F6A">
        <w:trPr>
          <w:trHeight w:val="300"/>
        </w:trPr>
        <w:tc>
          <w:tcPr>
            <w:tcW w:w="847" w:type="dxa"/>
            <w:noWrap/>
            <w:hideMark/>
          </w:tcPr>
          <w:p w14:paraId="0477128B" w14:textId="77777777" w:rsidR="00CA7016" w:rsidRPr="00A0513E" w:rsidRDefault="00CA7016" w:rsidP="003C3F6A">
            <w:pPr>
              <w:pStyle w:val="02Tabletext"/>
            </w:pPr>
            <w:r w:rsidRPr="00A0513E">
              <w:t>69312</w:t>
            </w:r>
          </w:p>
        </w:tc>
        <w:tc>
          <w:tcPr>
            <w:tcW w:w="4630" w:type="dxa"/>
            <w:noWrap/>
            <w:hideMark/>
          </w:tcPr>
          <w:p w14:paraId="670F071C" w14:textId="77777777" w:rsidR="00CA7016" w:rsidRPr="00A0513E" w:rsidRDefault="00CA7016" w:rsidP="003C3F6A">
            <w:pPr>
              <w:pStyle w:val="02Tabletext"/>
            </w:pPr>
            <w:r w:rsidRPr="00A0513E">
              <w:t>Microscopy and culture to detect pathogenic microorganisms from urethra, vagina, cervix or rectum (except for faecal pathogens), including (if performed): (a) pathogen identification and antibiotic susceptibility testing; or (b) a service described in items 69300, 69303, 69306 and 69318; 1 or more tests on 1 or more specimens</w:t>
            </w:r>
          </w:p>
        </w:tc>
        <w:tc>
          <w:tcPr>
            <w:tcW w:w="1738" w:type="dxa"/>
            <w:noWrap/>
          </w:tcPr>
          <w:p w14:paraId="469098E0" w14:textId="77777777" w:rsidR="00CA7016" w:rsidRPr="00A0513E" w:rsidRDefault="00CA7016" w:rsidP="003C3F6A">
            <w:pPr>
              <w:pStyle w:val="02Tabletext"/>
            </w:pPr>
            <w:r w:rsidRPr="00A0513E">
              <w:t>Change</w:t>
            </w:r>
          </w:p>
        </w:tc>
        <w:tc>
          <w:tcPr>
            <w:tcW w:w="1801" w:type="dxa"/>
            <w:noWrap/>
          </w:tcPr>
          <w:p w14:paraId="3445A085" w14:textId="77777777" w:rsidR="00CA7016" w:rsidRPr="00A0513E" w:rsidRDefault="00CA7016" w:rsidP="003C3F6A">
            <w:pPr>
              <w:pStyle w:val="02Tabletext"/>
              <w:jc w:val="center"/>
            </w:pPr>
            <w:r>
              <w:t>4.3.1 &amp; 4.1</w:t>
            </w:r>
            <w:r w:rsidR="00BB1CDF">
              <w:t>1</w:t>
            </w:r>
          </w:p>
        </w:tc>
      </w:tr>
      <w:tr w:rsidR="00CA7016" w:rsidRPr="00B96BC0" w14:paraId="2F30F343" w14:textId="77777777" w:rsidTr="003C3F6A">
        <w:trPr>
          <w:trHeight w:val="300"/>
        </w:trPr>
        <w:tc>
          <w:tcPr>
            <w:tcW w:w="847" w:type="dxa"/>
            <w:noWrap/>
            <w:hideMark/>
          </w:tcPr>
          <w:p w14:paraId="212369FF" w14:textId="77777777" w:rsidR="00CA7016" w:rsidRPr="00A0513E" w:rsidRDefault="00CA7016" w:rsidP="003C3F6A">
            <w:pPr>
              <w:pStyle w:val="02Tabletext"/>
            </w:pPr>
            <w:r w:rsidRPr="00A0513E">
              <w:t>69316</w:t>
            </w:r>
          </w:p>
        </w:tc>
        <w:tc>
          <w:tcPr>
            <w:tcW w:w="4630" w:type="dxa"/>
            <w:noWrap/>
            <w:hideMark/>
          </w:tcPr>
          <w:p w14:paraId="66A61C73" w14:textId="77777777" w:rsidR="00CA7016" w:rsidRPr="00A0513E" w:rsidRDefault="00CA7016" w:rsidP="003C3F6A">
            <w:pPr>
              <w:pStyle w:val="02Tabletext"/>
            </w:pPr>
            <w:r w:rsidRPr="00A0513E">
              <w:t>Detection of chlamydia trachomatis by any method - 1 test (Item is subject to rule 26)</w:t>
            </w:r>
          </w:p>
        </w:tc>
        <w:tc>
          <w:tcPr>
            <w:tcW w:w="1738" w:type="dxa"/>
            <w:noWrap/>
          </w:tcPr>
          <w:p w14:paraId="0D9E4631" w14:textId="77777777" w:rsidR="00CA7016" w:rsidRPr="00A0513E" w:rsidRDefault="00CA7016" w:rsidP="003C3F6A">
            <w:pPr>
              <w:pStyle w:val="02Tabletext"/>
            </w:pPr>
            <w:r w:rsidRPr="00A0513E">
              <w:t xml:space="preserve">Delete </w:t>
            </w:r>
          </w:p>
        </w:tc>
        <w:tc>
          <w:tcPr>
            <w:tcW w:w="1801" w:type="dxa"/>
            <w:noWrap/>
          </w:tcPr>
          <w:p w14:paraId="0BF7742F" w14:textId="77777777" w:rsidR="00CA7016" w:rsidRPr="00A0513E" w:rsidRDefault="00BB1CDF" w:rsidP="003C3F6A">
            <w:pPr>
              <w:pStyle w:val="02Tabletext"/>
              <w:jc w:val="center"/>
            </w:pPr>
            <w:r>
              <w:t xml:space="preserve">4.3.1 &amp; </w:t>
            </w:r>
            <w:r w:rsidR="00CA7016">
              <w:t>4.16.6</w:t>
            </w:r>
          </w:p>
        </w:tc>
      </w:tr>
      <w:tr w:rsidR="00CA7016" w:rsidRPr="00B96BC0" w14:paraId="4DE785AD" w14:textId="77777777" w:rsidTr="003C3F6A">
        <w:trPr>
          <w:trHeight w:val="300"/>
        </w:trPr>
        <w:tc>
          <w:tcPr>
            <w:tcW w:w="847" w:type="dxa"/>
            <w:noWrap/>
            <w:hideMark/>
          </w:tcPr>
          <w:p w14:paraId="03F1100F" w14:textId="77777777" w:rsidR="00CA7016" w:rsidRPr="00A0513E" w:rsidRDefault="00CA7016" w:rsidP="003C3F6A">
            <w:pPr>
              <w:pStyle w:val="02Tabletext"/>
            </w:pPr>
            <w:r w:rsidRPr="00A0513E">
              <w:t>69317</w:t>
            </w:r>
          </w:p>
        </w:tc>
        <w:tc>
          <w:tcPr>
            <w:tcW w:w="4630" w:type="dxa"/>
            <w:noWrap/>
            <w:hideMark/>
          </w:tcPr>
          <w:p w14:paraId="5201C433" w14:textId="77777777" w:rsidR="00CA7016" w:rsidRPr="00A0513E" w:rsidRDefault="00CA7016" w:rsidP="003C3F6A">
            <w:pPr>
              <w:pStyle w:val="02Tabletext"/>
            </w:pPr>
            <w:r w:rsidRPr="00A0513E">
              <w:t>1 test described in item 69494 and a test described in 69316.</w:t>
            </w:r>
            <w:r>
              <w:t xml:space="preserve"> </w:t>
            </w:r>
            <w:r w:rsidRPr="00A0513E">
              <w:t>(Item is subject to rule 26)</w:t>
            </w:r>
          </w:p>
        </w:tc>
        <w:tc>
          <w:tcPr>
            <w:tcW w:w="1738" w:type="dxa"/>
            <w:noWrap/>
          </w:tcPr>
          <w:p w14:paraId="28D0AD93" w14:textId="77777777" w:rsidR="00CA7016" w:rsidRPr="00A0513E" w:rsidRDefault="00CA7016" w:rsidP="003C3F6A">
            <w:pPr>
              <w:pStyle w:val="02Tabletext"/>
            </w:pPr>
            <w:r w:rsidRPr="00A0513E">
              <w:t>Delete</w:t>
            </w:r>
          </w:p>
        </w:tc>
        <w:tc>
          <w:tcPr>
            <w:tcW w:w="1801" w:type="dxa"/>
            <w:noWrap/>
          </w:tcPr>
          <w:p w14:paraId="689F9A18" w14:textId="77777777" w:rsidR="00CA7016" w:rsidRPr="00A0513E" w:rsidRDefault="00BB1CDF" w:rsidP="003C3F6A">
            <w:pPr>
              <w:pStyle w:val="02Tabletext"/>
              <w:jc w:val="center"/>
            </w:pPr>
            <w:r>
              <w:t xml:space="preserve">4.3.1, 4.12 &amp; </w:t>
            </w:r>
            <w:r w:rsidR="00CA7016">
              <w:t>4.16.6</w:t>
            </w:r>
          </w:p>
        </w:tc>
      </w:tr>
      <w:tr w:rsidR="00CA7016" w:rsidRPr="00B96BC0" w14:paraId="132E960B" w14:textId="77777777" w:rsidTr="003C3F6A">
        <w:trPr>
          <w:trHeight w:val="300"/>
        </w:trPr>
        <w:tc>
          <w:tcPr>
            <w:tcW w:w="847" w:type="dxa"/>
            <w:noWrap/>
            <w:hideMark/>
          </w:tcPr>
          <w:p w14:paraId="46001A75" w14:textId="77777777" w:rsidR="00CA7016" w:rsidRPr="00A0513E" w:rsidRDefault="00CA7016" w:rsidP="003C3F6A">
            <w:pPr>
              <w:pStyle w:val="02Tabletext"/>
            </w:pPr>
            <w:r w:rsidRPr="00A0513E">
              <w:t>69318</w:t>
            </w:r>
          </w:p>
        </w:tc>
        <w:tc>
          <w:tcPr>
            <w:tcW w:w="4630" w:type="dxa"/>
            <w:noWrap/>
            <w:hideMark/>
          </w:tcPr>
          <w:p w14:paraId="0D03E7D4" w14:textId="77777777" w:rsidR="00CA7016" w:rsidRPr="00A0513E" w:rsidRDefault="00CA7016" w:rsidP="003C3F6A">
            <w:pPr>
              <w:pStyle w:val="02Tabletext"/>
            </w:pPr>
            <w:r w:rsidRPr="00A0513E">
              <w:t>Microscopy and culture to detect pathogenic microorganisms from specimens of sputum (except when part of items 69324, 69327 and 69330), including (if performed): (a) pathogen identification and antibiotic susceptibility testing; or (b) a service described in items 69300, 69303, 69306 and 69312; 1 or more tests on 1</w:t>
            </w:r>
            <w:r>
              <w:t> </w:t>
            </w:r>
            <w:r w:rsidRPr="00A0513E">
              <w:t>or more specimens</w:t>
            </w:r>
          </w:p>
        </w:tc>
        <w:tc>
          <w:tcPr>
            <w:tcW w:w="1738" w:type="dxa"/>
            <w:noWrap/>
          </w:tcPr>
          <w:p w14:paraId="69E16403" w14:textId="77777777" w:rsidR="00CA7016" w:rsidRPr="00A0513E" w:rsidRDefault="00CA7016" w:rsidP="003C3F6A">
            <w:pPr>
              <w:pStyle w:val="02Tabletext"/>
            </w:pPr>
            <w:r w:rsidRPr="00A0513E">
              <w:t>Change</w:t>
            </w:r>
          </w:p>
        </w:tc>
        <w:tc>
          <w:tcPr>
            <w:tcW w:w="1801" w:type="dxa"/>
            <w:noWrap/>
          </w:tcPr>
          <w:p w14:paraId="06C6C98B" w14:textId="77777777" w:rsidR="00CA7016" w:rsidRPr="00A0513E" w:rsidRDefault="00CA7016" w:rsidP="003C3F6A">
            <w:pPr>
              <w:pStyle w:val="02Tabletext"/>
              <w:jc w:val="center"/>
            </w:pPr>
            <w:r>
              <w:t>4.11</w:t>
            </w:r>
          </w:p>
        </w:tc>
      </w:tr>
      <w:tr w:rsidR="00CA7016" w:rsidRPr="00B96BC0" w14:paraId="6E1EA6DB" w14:textId="77777777" w:rsidTr="003C3F6A">
        <w:trPr>
          <w:trHeight w:val="300"/>
        </w:trPr>
        <w:tc>
          <w:tcPr>
            <w:tcW w:w="847" w:type="dxa"/>
            <w:noWrap/>
            <w:hideMark/>
          </w:tcPr>
          <w:p w14:paraId="7D3ECE7A" w14:textId="77777777" w:rsidR="00CA7016" w:rsidRPr="00A0513E" w:rsidRDefault="00CA7016" w:rsidP="003C3F6A">
            <w:pPr>
              <w:pStyle w:val="02Tabletext"/>
            </w:pPr>
            <w:r w:rsidRPr="00A0513E">
              <w:t>69319</w:t>
            </w:r>
          </w:p>
        </w:tc>
        <w:tc>
          <w:tcPr>
            <w:tcW w:w="4630" w:type="dxa"/>
            <w:noWrap/>
            <w:hideMark/>
          </w:tcPr>
          <w:p w14:paraId="6D841E25" w14:textId="77777777" w:rsidR="00CA7016" w:rsidRPr="00A0513E" w:rsidRDefault="00CA7016" w:rsidP="003C3F6A">
            <w:pPr>
              <w:pStyle w:val="02Tabletext"/>
            </w:pPr>
            <w:r w:rsidRPr="00A0513E">
              <w:t>2 tests described in item 69494 and a test described in 69316. (Item is subject to rule 26)</w:t>
            </w:r>
          </w:p>
        </w:tc>
        <w:tc>
          <w:tcPr>
            <w:tcW w:w="1738" w:type="dxa"/>
            <w:noWrap/>
          </w:tcPr>
          <w:p w14:paraId="00856D27" w14:textId="77777777" w:rsidR="00CA7016" w:rsidRPr="00A0513E" w:rsidRDefault="00CA7016" w:rsidP="003C3F6A">
            <w:pPr>
              <w:pStyle w:val="02Tabletext"/>
            </w:pPr>
            <w:r w:rsidRPr="00A0513E">
              <w:t>Delete</w:t>
            </w:r>
          </w:p>
        </w:tc>
        <w:tc>
          <w:tcPr>
            <w:tcW w:w="1801" w:type="dxa"/>
            <w:noWrap/>
          </w:tcPr>
          <w:p w14:paraId="19B92073" w14:textId="77777777" w:rsidR="00CA7016" w:rsidRPr="00A0513E" w:rsidRDefault="00BB1CDF" w:rsidP="003C3F6A">
            <w:pPr>
              <w:pStyle w:val="02Tabletext"/>
              <w:jc w:val="center"/>
            </w:pPr>
            <w:r>
              <w:t>4.3.1, 4.12</w:t>
            </w:r>
            <w:r w:rsidR="00CA7016">
              <w:t xml:space="preserve"> &amp; 4.16.6</w:t>
            </w:r>
          </w:p>
        </w:tc>
      </w:tr>
      <w:tr w:rsidR="00CA7016" w:rsidRPr="00B96BC0" w14:paraId="74403F27" w14:textId="77777777" w:rsidTr="003C3F6A">
        <w:trPr>
          <w:trHeight w:val="300"/>
        </w:trPr>
        <w:tc>
          <w:tcPr>
            <w:tcW w:w="847" w:type="dxa"/>
            <w:noWrap/>
            <w:hideMark/>
          </w:tcPr>
          <w:p w14:paraId="28F4050D" w14:textId="77777777" w:rsidR="00CA7016" w:rsidRPr="00A0513E" w:rsidRDefault="00CA7016" w:rsidP="003C3F6A">
            <w:pPr>
              <w:pStyle w:val="02Tabletext"/>
            </w:pPr>
            <w:r w:rsidRPr="00A0513E">
              <w:t>69321</w:t>
            </w:r>
          </w:p>
        </w:tc>
        <w:tc>
          <w:tcPr>
            <w:tcW w:w="4630" w:type="dxa"/>
            <w:noWrap/>
            <w:hideMark/>
          </w:tcPr>
          <w:p w14:paraId="34728BBB" w14:textId="77777777" w:rsidR="00CA7016" w:rsidRPr="00A0513E" w:rsidRDefault="00CA7016" w:rsidP="003C3F6A">
            <w:pPr>
              <w:pStyle w:val="02Tabletext"/>
            </w:pPr>
            <w:r w:rsidRPr="00A0513E">
              <w:t>Microscopy and culture of post-operative wounds, aspirates of body cavities, synovial fluid, CSF or operative or biopsy specimens, for the presence of pathogenic microorganisms involving aerobic and anaerobic cultures and the use of different culture media, and including (if performed): (a) pathogen identification and antibiotic susceptibility testing; or (b) a service described in item 69300, 69303, 69306, 69312 or 69318; specimens from 1 or more sites</w:t>
            </w:r>
          </w:p>
        </w:tc>
        <w:tc>
          <w:tcPr>
            <w:tcW w:w="1738" w:type="dxa"/>
            <w:noWrap/>
          </w:tcPr>
          <w:p w14:paraId="29674DC4" w14:textId="77777777" w:rsidR="00CA7016" w:rsidRPr="00A0513E" w:rsidRDefault="00CA7016" w:rsidP="003C3F6A">
            <w:pPr>
              <w:pStyle w:val="02Tabletext"/>
            </w:pPr>
            <w:r w:rsidRPr="00A0513E">
              <w:t>Change</w:t>
            </w:r>
          </w:p>
        </w:tc>
        <w:tc>
          <w:tcPr>
            <w:tcW w:w="1801" w:type="dxa"/>
            <w:noWrap/>
          </w:tcPr>
          <w:p w14:paraId="7B1F20F5" w14:textId="77777777" w:rsidR="00CA7016" w:rsidRPr="00A0513E" w:rsidRDefault="00CA7016" w:rsidP="003C3F6A">
            <w:pPr>
              <w:pStyle w:val="02Tabletext"/>
              <w:jc w:val="center"/>
            </w:pPr>
            <w:r>
              <w:t>4.1</w:t>
            </w:r>
            <w:r w:rsidR="00BB1CDF">
              <w:t>3</w:t>
            </w:r>
          </w:p>
        </w:tc>
      </w:tr>
      <w:tr w:rsidR="00CA7016" w:rsidRPr="00B96BC0" w14:paraId="405776DC" w14:textId="77777777" w:rsidTr="003C3F6A">
        <w:trPr>
          <w:trHeight w:val="300"/>
        </w:trPr>
        <w:tc>
          <w:tcPr>
            <w:tcW w:w="847" w:type="dxa"/>
            <w:noWrap/>
            <w:hideMark/>
          </w:tcPr>
          <w:p w14:paraId="5FC3A796" w14:textId="77777777" w:rsidR="00CA7016" w:rsidRPr="00A0513E" w:rsidRDefault="00CA7016" w:rsidP="003C3F6A">
            <w:pPr>
              <w:pStyle w:val="02Tabletext"/>
            </w:pPr>
            <w:r w:rsidRPr="00A0513E">
              <w:t>69324</w:t>
            </w:r>
          </w:p>
        </w:tc>
        <w:tc>
          <w:tcPr>
            <w:tcW w:w="4630" w:type="dxa"/>
            <w:noWrap/>
            <w:hideMark/>
          </w:tcPr>
          <w:p w14:paraId="70011F66" w14:textId="77777777" w:rsidR="00CA7016" w:rsidRPr="00A0513E" w:rsidRDefault="00CA7016" w:rsidP="003C3F6A">
            <w:pPr>
              <w:pStyle w:val="02Tabletext"/>
            </w:pPr>
            <w:r w:rsidRPr="00A0513E">
              <w:t xml:space="preserve">Microscopy (with appropriate stains) and culture for mycobacteria - 1 specimen of sputum, urine, or other body fluid or 1 operative or biopsy specimen, including </w:t>
            </w:r>
            <w:r w:rsidRPr="00A0513E">
              <w:lastRenderedPageBreak/>
              <w:t>(if performed):</w:t>
            </w:r>
            <w:r w:rsidRPr="00A0513E">
              <w:br/>
              <w:t>(a) microscopy and culture of other bacterial pathogens isolated as a result of this procedure; or</w:t>
            </w:r>
            <w:r w:rsidRPr="00A0513E">
              <w:br/>
              <w:t>(b) pathogen identification and antibiotic susceptibility testing; including a service mentioned in item 69300</w:t>
            </w:r>
          </w:p>
        </w:tc>
        <w:tc>
          <w:tcPr>
            <w:tcW w:w="1738" w:type="dxa"/>
            <w:noWrap/>
          </w:tcPr>
          <w:p w14:paraId="761E7A32" w14:textId="77777777" w:rsidR="00CA7016" w:rsidRPr="00A0513E" w:rsidRDefault="00CA7016" w:rsidP="003C3F6A">
            <w:pPr>
              <w:pStyle w:val="02Tabletext"/>
            </w:pPr>
            <w:r w:rsidRPr="00A0513E">
              <w:lastRenderedPageBreak/>
              <w:t>No change</w:t>
            </w:r>
          </w:p>
        </w:tc>
        <w:tc>
          <w:tcPr>
            <w:tcW w:w="1801" w:type="dxa"/>
            <w:noWrap/>
          </w:tcPr>
          <w:p w14:paraId="0A42D0F8" w14:textId="77777777" w:rsidR="00CA7016" w:rsidRPr="00A0513E" w:rsidRDefault="00CA7016" w:rsidP="003C3F6A">
            <w:pPr>
              <w:pStyle w:val="02Tabletext"/>
              <w:jc w:val="center"/>
            </w:pPr>
            <w:r>
              <w:t>4.18</w:t>
            </w:r>
          </w:p>
        </w:tc>
      </w:tr>
      <w:tr w:rsidR="00CA7016" w:rsidRPr="00B96BC0" w14:paraId="2DCE6F76" w14:textId="77777777" w:rsidTr="003C3F6A">
        <w:trPr>
          <w:trHeight w:val="300"/>
        </w:trPr>
        <w:tc>
          <w:tcPr>
            <w:tcW w:w="847" w:type="dxa"/>
            <w:noWrap/>
            <w:hideMark/>
          </w:tcPr>
          <w:p w14:paraId="7677BBAC" w14:textId="77777777" w:rsidR="00CA7016" w:rsidRPr="00A0513E" w:rsidRDefault="00CA7016" w:rsidP="003C3F6A">
            <w:pPr>
              <w:pStyle w:val="02Tabletext"/>
            </w:pPr>
            <w:r w:rsidRPr="00A0513E">
              <w:t>69325</w:t>
            </w:r>
          </w:p>
        </w:tc>
        <w:tc>
          <w:tcPr>
            <w:tcW w:w="4630" w:type="dxa"/>
            <w:noWrap/>
            <w:hideMark/>
          </w:tcPr>
          <w:p w14:paraId="6A67A8F2" w14:textId="77777777" w:rsidR="00CA7016" w:rsidRPr="00A0513E" w:rsidRDefault="00CA7016" w:rsidP="003C3F6A">
            <w:pPr>
              <w:pStyle w:val="02Tabletext"/>
            </w:pPr>
            <w:r w:rsidRPr="00A0513E">
              <w:t>A test described in item 69324 if rendered by a receiving APP</w:t>
            </w:r>
            <w:r>
              <w:t>.</w:t>
            </w:r>
            <w:r w:rsidRPr="00A0513E">
              <w:t xml:space="preserve"> (Item is subject to rule 18)</w:t>
            </w:r>
          </w:p>
        </w:tc>
        <w:tc>
          <w:tcPr>
            <w:tcW w:w="1738" w:type="dxa"/>
            <w:noWrap/>
          </w:tcPr>
          <w:p w14:paraId="25C948AC" w14:textId="77777777" w:rsidR="00CA7016" w:rsidRPr="00A0513E" w:rsidRDefault="00CA7016" w:rsidP="003C3F6A">
            <w:pPr>
              <w:pStyle w:val="02Tabletext"/>
            </w:pPr>
            <w:r w:rsidRPr="00A0513E">
              <w:t>No change</w:t>
            </w:r>
          </w:p>
        </w:tc>
        <w:tc>
          <w:tcPr>
            <w:tcW w:w="1801" w:type="dxa"/>
            <w:noWrap/>
          </w:tcPr>
          <w:p w14:paraId="35F5B285" w14:textId="77777777" w:rsidR="00CA7016" w:rsidRPr="00A0513E" w:rsidRDefault="00CA7016" w:rsidP="003C3F6A">
            <w:pPr>
              <w:pStyle w:val="02Tabletext"/>
              <w:jc w:val="center"/>
            </w:pPr>
            <w:r>
              <w:t>4.18</w:t>
            </w:r>
          </w:p>
        </w:tc>
      </w:tr>
      <w:tr w:rsidR="00CA7016" w:rsidRPr="00B96BC0" w14:paraId="721F9B67" w14:textId="77777777" w:rsidTr="003C3F6A">
        <w:trPr>
          <w:trHeight w:val="300"/>
        </w:trPr>
        <w:tc>
          <w:tcPr>
            <w:tcW w:w="847" w:type="dxa"/>
            <w:noWrap/>
            <w:hideMark/>
          </w:tcPr>
          <w:p w14:paraId="6396BEDB" w14:textId="77777777" w:rsidR="00CA7016" w:rsidRPr="00A0513E" w:rsidRDefault="00CA7016" w:rsidP="003C3F6A">
            <w:pPr>
              <w:pStyle w:val="02Tabletext"/>
            </w:pPr>
            <w:r w:rsidRPr="00A0513E">
              <w:t>69327</w:t>
            </w:r>
          </w:p>
        </w:tc>
        <w:tc>
          <w:tcPr>
            <w:tcW w:w="4630" w:type="dxa"/>
            <w:noWrap/>
            <w:hideMark/>
          </w:tcPr>
          <w:p w14:paraId="2924D238" w14:textId="77777777" w:rsidR="00CA7016" w:rsidRPr="00A0513E" w:rsidRDefault="00CA7016" w:rsidP="003C3F6A">
            <w:pPr>
              <w:pStyle w:val="02Tabletext"/>
            </w:pPr>
            <w:r w:rsidRPr="00A0513E">
              <w:t>Microscopy (with appropriate stains) and culture for mycobacteria - 2 specimens of sputum, urine, or other body fluid or 2 operative or biopsy specimens, including (if performed):</w:t>
            </w:r>
            <w:r w:rsidRPr="00A0513E">
              <w:br/>
              <w:t>(a) microscopy and culture of other bacterial pathogens isolated as a result of this procedure; or</w:t>
            </w:r>
            <w:r w:rsidRPr="00A0513E">
              <w:br/>
              <w:t>(b) pathogen identification and antibiotic susceptibility testing; including a service mentioned in item 69300</w:t>
            </w:r>
          </w:p>
        </w:tc>
        <w:tc>
          <w:tcPr>
            <w:tcW w:w="1738" w:type="dxa"/>
            <w:noWrap/>
          </w:tcPr>
          <w:p w14:paraId="04A16F16" w14:textId="77777777" w:rsidR="00CA7016" w:rsidRPr="00A0513E" w:rsidRDefault="00CA7016" w:rsidP="003C3F6A">
            <w:pPr>
              <w:pStyle w:val="02Tabletext"/>
            </w:pPr>
            <w:r w:rsidRPr="00A0513E">
              <w:t>No change</w:t>
            </w:r>
          </w:p>
        </w:tc>
        <w:tc>
          <w:tcPr>
            <w:tcW w:w="1801" w:type="dxa"/>
            <w:noWrap/>
          </w:tcPr>
          <w:p w14:paraId="402F5012" w14:textId="77777777" w:rsidR="00CA7016" w:rsidRPr="00A0513E" w:rsidRDefault="00CA7016" w:rsidP="003C3F6A">
            <w:pPr>
              <w:pStyle w:val="02Tabletext"/>
              <w:jc w:val="center"/>
            </w:pPr>
            <w:r>
              <w:t>4.18</w:t>
            </w:r>
          </w:p>
        </w:tc>
      </w:tr>
      <w:tr w:rsidR="00CA7016" w:rsidRPr="00B96BC0" w14:paraId="7C7FE139" w14:textId="77777777" w:rsidTr="003C3F6A">
        <w:trPr>
          <w:trHeight w:val="300"/>
        </w:trPr>
        <w:tc>
          <w:tcPr>
            <w:tcW w:w="847" w:type="dxa"/>
            <w:noWrap/>
            <w:hideMark/>
          </w:tcPr>
          <w:p w14:paraId="4199A897" w14:textId="77777777" w:rsidR="00CA7016" w:rsidRPr="00A0513E" w:rsidRDefault="00CA7016" w:rsidP="003C3F6A">
            <w:pPr>
              <w:pStyle w:val="02Tabletext"/>
            </w:pPr>
            <w:r w:rsidRPr="00A0513E">
              <w:t>69328</w:t>
            </w:r>
          </w:p>
        </w:tc>
        <w:tc>
          <w:tcPr>
            <w:tcW w:w="4630" w:type="dxa"/>
            <w:noWrap/>
            <w:hideMark/>
          </w:tcPr>
          <w:p w14:paraId="3EE59188" w14:textId="77777777" w:rsidR="00CA7016" w:rsidRPr="00A0513E" w:rsidRDefault="00CA7016" w:rsidP="003C3F6A">
            <w:pPr>
              <w:pStyle w:val="02Tabletext"/>
            </w:pPr>
            <w:r w:rsidRPr="00A0513E">
              <w:t>A test described in item 69327 if rendered by a receiving APP (Item is subject to rule 18)</w:t>
            </w:r>
          </w:p>
        </w:tc>
        <w:tc>
          <w:tcPr>
            <w:tcW w:w="1738" w:type="dxa"/>
            <w:noWrap/>
          </w:tcPr>
          <w:p w14:paraId="080CDEBC" w14:textId="77777777" w:rsidR="00CA7016" w:rsidRPr="00A0513E" w:rsidRDefault="00CA7016" w:rsidP="003C3F6A">
            <w:pPr>
              <w:pStyle w:val="02Tabletext"/>
            </w:pPr>
            <w:r w:rsidRPr="00A0513E">
              <w:t>No change</w:t>
            </w:r>
          </w:p>
        </w:tc>
        <w:tc>
          <w:tcPr>
            <w:tcW w:w="1801" w:type="dxa"/>
            <w:noWrap/>
          </w:tcPr>
          <w:p w14:paraId="70C97AFB" w14:textId="77777777" w:rsidR="00CA7016" w:rsidRPr="00A0513E" w:rsidRDefault="00CA7016" w:rsidP="003C3F6A">
            <w:pPr>
              <w:pStyle w:val="02Tabletext"/>
              <w:jc w:val="center"/>
            </w:pPr>
            <w:r>
              <w:t>4.18</w:t>
            </w:r>
          </w:p>
        </w:tc>
      </w:tr>
      <w:tr w:rsidR="00CA7016" w:rsidRPr="00B96BC0" w14:paraId="08F1E149" w14:textId="77777777" w:rsidTr="003C3F6A">
        <w:trPr>
          <w:trHeight w:val="300"/>
        </w:trPr>
        <w:tc>
          <w:tcPr>
            <w:tcW w:w="847" w:type="dxa"/>
            <w:noWrap/>
            <w:hideMark/>
          </w:tcPr>
          <w:p w14:paraId="50F0333A" w14:textId="77777777" w:rsidR="00CA7016" w:rsidRPr="00A0513E" w:rsidRDefault="00CA7016" w:rsidP="003C3F6A">
            <w:pPr>
              <w:pStyle w:val="02Tabletext"/>
            </w:pPr>
            <w:r w:rsidRPr="00A0513E">
              <w:t>69330</w:t>
            </w:r>
          </w:p>
        </w:tc>
        <w:tc>
          <w:tcPr>
            <w:tcW w:w="4630" w:type="dxa"/>
            <w:noWrap/>
            <w:hideMark/>
          </w:tcPr>
          <w:p w14:paraId="29EA2B16" w14:textId="77777777" w:rsidR="00CA7016" w:rsidRPr="00A0513E" w:rsidRDefault="00CA7016" w:rsidP="003C3F6A">
            <w:pPr>
              <w:pStyle w:val="02Tabletext"/>
            </w:pPr>
            <w:r w:rsidRPr="00A0513E">
              <w:t>Microscopy (with appropriate stains) and culture for mycobacteria - 3 specimens of sputum, urine, or other body fluid or 3 operative or biopsy specimens, including (if performed):</w:t>
            </w:r>
            <w:r w:rsidRPr="00A0513E">
              <w:br/>
              <w:t>(a) microscopy and culture of other bacterial pathogens isolated as a result of this procedure; or</w:t>
            </w:r>
            <w:r w:rsidRPr="00A0513E">
              <w:br/>
              <w:t>(b) pathogen identification and antibiotic susceptibility testing; including a service mentioned in item 69300</w:t>
            </w:r>
          </w:p>
        </w:tc>
        <w:tc>
          <w:tcPr>
            <w:tcW w:w="1738" w:type="dxa"/>
            <w:noWrap/>
          </w:tcPr>
          <w:p w14:paraId="1783BDDE" w14:textId="77777777" w:rsidR="00CA7016" w:rsidRPr="00A0513E" w:rsidRDefault="00CA7016" w:rsidP="003C3F6A">
            <w:pPr>
              <w:pStyle w:val="02Tabletext"/>
            </w:pPr>
            <w:r w:rsidRPr="00A0513E">
              <w:t>No change</w:t>
            </w:r>
          </w:p>
        </w:tc>
        <w:tc>
          <w:tcPr>
            <w:tcW w:w="1801" w:type="dxa"/>
            <w:noWrap/>
          </w:tcPr>
          <w:p w14:paraId="34179D14" w14:textId="77777777" w:rsidR="00CA7016" w:rsidRPr="00A0513E" w:rsidRDefault="00CA7016" w:rsidP="003C3F6A">
            <w:pPr>
              <w:pStyle w:val="02Tabletext"/>
              <w:jc w:val="center"/>
            </w:pPr>
            <w:r>
              <w:t>4.18</w:t>
            </w:r>
          </w:p>
        </w:tc>
      </w:tr>
      <w:tr w:rsidR="00CA7016" w:rsidRPr="00B96BC0" w14:paraId="344E1BFA" w14:textId="77777777" w:rsidTr="003C3F6A">
        <w:trPr>
          <w:trHeight w:val="300"/>
        </w:trPr>
        <w:tc>
          <w:tcPr>
            <w:tcW w:w="847" w:type="dxa"/>
            <w:noWrap/>
            <w:hideMark/>
          </w:tcPr>
          <w:p w14:paraId="425C58E7" w14:textId="77777777" w:rsidR="00CA7016" w:rsidRPr="00A0513E" w:rsidRDefault="00CA7016" w:rsidP="003C3F6A">
            <w:pPr>
              <w:pStyle w:val="02Tabletext"/>
            </w:pPr>
            <w:r w:rsidRPr="00A0513E">
              <w:t>69331</w:t>
            </w:r>
          </w:p>
        </w:tc>
        <w:tc>
          <w:tcPr>
            <w:tcW w:w="4630" w:type="dxa"/>
            <w:noWrap/>
            <w:hideMark/>
          </w:tcPr>
          <w:p w14:paraId="6BCB7646" w14:textId="77777777" w:rsidR="00CA7016" w:rsidRPr="00A0513E" w:rsidRDefault="00CA7016" w:rsidP="003C3F6A">
            <w:pPr>
              <w:pStyle w:val="02Tabletext"/>
            </w:pPr>
            <w:r w:rsidRPr="00A0513E">
              <w:t>A test described in item 69330 if rendered by a receiving APP</w:t>
            </w:r>
            <w:r>
              <w:t>.</w:t>
            </w:r>
            <w:r w:rsidRPr="00A0513E">
              <w:t xml:space="preserve"> (Item is subject to rule 18)</w:t>
            </w:r>
          </w:p>
        </w:tc>
        <w:tc>
          <w:tcPr>
            <w:tcW w:w="1738" w:type="dxa"/>
            <w:noWrap/>
          </w:tcPr>
          <w:p w14:paraId="77854BE5" w14:textId="77777777" w:rsidR="00CA7016" w:rsidRPr="00A0513E" w:rsidRDefault="00CA7016" w:rsidP="003C3F6A">
            <w:pPr>
              <w:pStyle w:val="02Tabletext"/>
            </w:pPr>
            <w:r w:rsidRPr="00A0513E">
              <w:t>No change</w:t>
            </w:r>
          </w:p>
        </w:tc>
        <w:tc>
          <w:tcPr>
            <w:tcW w:w="1801" w:type="dxa"/>
            <w:noWrap/>
          </w:tcPr>
          <w:p w14:paraId="4FBD82C2" w14:textId="77777777" w:rsidR="00CA7016" w:rsidRPr="00A0513E" w:rsidRDefault="00CA7016" w:rsidP="003C3F6A">
            <w:pPr>
              <w:pStyle w:val="02Tabletext"/>
              <w:jc w:val="center"/>
            </w:pPr>
            <w:r>
              <w:t>4.18</w:t>
            </w:r>
          </w:p>
        </w:tc>
      </w:tr>
      <w:tr w:rsidR="00CA7016" w:rsidRPr="00B96BC0" w14:paraId="42C6D8E8" w14:textId="77777777" w:rsidTr="003C3F6A">
        <w:trPr>
          <w:trHeight w:val="300"/>
        </w:trPr>
        <w:tc>
          <w:tcPr>
            <w:tcW w:w="847" w:type="dxa"/>
            <w:noWrap/>
            <w:hideMark/>
          </w:tcPr>
          <w:p w14:paraId="339414F2" w14:textId="77777777" w:rsidR="00CA7016" w:rsidRPr="00A0513E" w:rsidRDefault="00CA7016" w:rsidP="003C3F6A">
            <w:pPr>
              <w:pStyle w:val="02Tabletext"/>
            </w:pPr>
            <w:r w:rsidRPr="00A0513E">
              <w:t>69333</w:t>
            </w:r>
          </w:p>
        </w:tc>
        <w:tc>
          <w:tcPr>
            <w:tcW w:w="4630" w:type="dxa"/>
            <w:noWrap/>
            <w:hideMark/>
          </w:tcPr>
          <w:p w14:paraId="52F45A8F" w14:textId="77777777" w:rsidR="00CA7016" w:rsidRPr="00A0513E" w:rsidRDefault="00CA7016" w:rsidP="003C3F6A">
            <w:pPr>
              <w:pStyle w:val="02Tabletext"/>
            </w:pPr>
            <w:r w:rsidRPr="00A0513E">
              <w:t>Urine examination (including serial examination) by any means other than simple culture by dip slide, including: (a) cell count; and (b) culture; and (c) colony count; and (d) (if performed) stained preparations; and (e) (if performed) identification of cultured pathogens; and (f) (if performed) antibiotic susceptibility testing; and (g) (if performed) examination for pH, specific gravity, blood, protein, urobilinogen, sugar, acetone or bile salts</w:t>
            </w:r>
          </w:p>
        </w:tc>
        <w:tc>
          <w:tcPr>
            <w:tcW w:w="1738" w:type="dxa"/>
            <w:noWrap/>
          </w:tcPr>
          <w:p w14:paraId="03430734" w14:textId="77777777" w:rsidR="00CA7016" w:rsidRPr="00A0513E" w:rsidRDefault="00CA7016" w:rsidP="003C3F6A">
            <w:pPr>
              <w:pStyle w:val="02Tabletext"/>
            </w:pPr>
            <w:r>
              <w:t>No change</w:t>
            </w:r>
          </w:p>
        </w:tc>
        <w:tc>
          <w:tcPr>
            <w:tcW w:w="1801" w:type="dxa"/>
            <w:noWrap/>
          </w:tcPr>
          <w:p w14:paraId="3D7814E8" w14:textId="77777777" w:rsidR="00CA7016" w:rsidRPr="00A0513E" w:rsidRDefault="005C13F3" w:rsidP="003C3F6A">
            <w:pPr>
              <w:pStyle w:val="02Tabletext"/>
              <w:jc w:val="center"/>
            </w:pPr>
            <w:r>
              <w:t xml:space="preserve">4.15 &amp; </w:t>
            </w:r>
            <w:r w:rsidR="00CA7016">
              <w:t>4.18</w:t>
            </w:r>
          </w:p>
        </w:tc>
      </w:tr>
      <w:tr w:rsidR="00CA7016" w:rsidRPr="00B96BC0" w14:paraId="775C307E" w14:textId="77777777" w:rsidTr="003C3F6A">
        <w:trPr>
          <w:trHeight w:val="300"/>
        </w:trPr>
        <w:tc>
          <w:tcPr>
            <w:tcW w:w="847" w:type="dxa"/>
            <w:noWrap/>
            <w:hideMark/>
          </w:tcPr>
          <w:p w14:paraId="617C17D8" w14:textId="77777777" w:rsidR="00CA7016" w:rsidRPr="00A0513E" w:rsidRDefault="00CA7016" w:rsidP="003C3F6A">
            <w:pPr>
              <w:pStyle w:val="02Tabletext"/>
            </w:pPr>
            <w:r w:rsidRPr="00A0513E">
              <w:t>69336</w:t>
            </w:r>
          </w:p>
        </w:tc>
        <w:tc>
          <w:tcPr>
            <w:tcW w:w="4630" w:type="dxa"/>
            <w:noWrap/>
            <w:hideMark/>
          </w:tcPr>
          <w:p w14:paraId="70AB91F5" w14:textId="77777777" w:rsidR="00CA7016" w:rsidRPr="00A0513E" w:rsidRDefault="00CA7016" w:rsidP="003C3F6A">
            <w:pPr>
              <w:pStyle w:val="02Tabletext"/>
            </w:pPr>
            <w:r w:rsidRPr="00A0513E">
              <w:t xml:space="preserve">Microscopy of faeces for ova, cysts and parasites that must include a concentration technique, and the use of fixed stains or antigen detection for </w:t>
            </w:r>
            <w:proofErr w:type="spellStart"/>
            <w:r w:rsidRPr="00A0513E">
              <w:t>cryptosporidia</w:t>
            </w:r>
            <w:proofErr w:type="spellEnd"/>
            <w:r w:rsidRPr="00A0513E">
              <w:t xml:space="preserve"> and giardia - including (if performed) a service mentioned in item 69300 - 1 of this item in any 7 day period</w:t>
            </w:r>
          </w:p>
        </w:tc>
        <w:tc>
          <w:tcPr>
            <w:tcW w:w="1738" w:type="dxa"/>
            <w:noWrap/>
          </w:tcPr>
          <w:p w14:paraId="010B51B4" w14:textId="77777777" w:rsidR="00CA7016" w:rsidRPr="00A0513E" w:rsidRDefault="00CA7016" w:rsidP="003C3F6A">
            <w:pPr>
              <w:pStyle w:val="02Tabletext"/>
            </w:pPr>
            <w:r w:rsidRPr="00A0513E">
              <w:t xml:space="preserve">Delete </w:t>
            </w:r>
          </w:p>
        </w:tc>
        <w:tc>
          <w:tcPr>
            <w:tcW w:w="1801" w:type="dxa"/>
            <w:noWrap/>
          </w:tcPr>
          <w:p w14:paraId="2A4A16DF" w14:textId="77777777" w:rsidR="00CA7016" w:rsidRPr="00A0513E" w:rsidRDefault="00DF77BB" w:rsidP="003C3F6A">
            <w:pPr>
              <w:pStyle w:val="02Tabletext"/>
              <w:jc w:val="center"/>
            </w:pPr>
            <w:r>
              <w:t>4.2</w:t>
            </w:r>
          </w:p>
        </w:tc>
      </w:tr>
      <w:tr w:rsidR="00CA7016" w:rsidRPr="00B96BC0" w14:paraId="5D8F8431" w14:textId="77777777" w:rsidTr="003C3F6A">
        <w:trPr>
          <w:trHeight w:val="300"/>
        </w:trPr>
        <w:tc>
          <w:tcPr>
            <w:tcW w:w="847" w:type="dxa"/>
            <w:noWrap/>
            <w:hideMark/>
          </w:tcPr>
          <w:p w14:paraId="26BD420E" w14:textId="77777777" w:rsidR="00CA7016" w:rsidRPr="00A0513E" w:rsidRDefault="00CA7016" w:rsidP="003C3F6A">
            <w:pPr>
              <w:pStyle w:val="02Tabletext"/>
            </w:pPr>
            <w:r w:rsidRPr="00A0513E">
              <w:t>69339</w:t>
            </w:r>
          </w:p>
        </w:tc>
        <w:tc>
          <w:tcPr>
            <w:tcW w:w="4630" w:type="dxa"/>
            <w:noWrap/>
            <w:hideMark/>
          </w:tcPr>
          <w:p w14:paraId="459BE116" w14:textId="77777777" w:rsidR="00CA7016" w:rsidRPr="00A0513E" w:rsidRDefault="00CA7016" w:rsidP="003C3F6A">
            <w:pPr>
              <w:pStyle w:val="02Tabletext"/>
            </w:pPr>
            <w:r w:rsidRPr="00A0513E">
              <w:t xml:space="preserve">Microscopy of faeces for ova, cysts and parasites using concentration techniques examined </w:t>
            </w:r>
            <w:proofErr w:type="gramStart"/>
            <w:r w:rsidRPr="00A0513E">
              <w:t>subsequent to</w:t>
            </w:r>
            <w:proofErr w:type="gramEnd"/>
            <w:r w:rsidRPr="00A0513E">
              <w:t xml:space="preserve"> item 69336 on a separately collected and identified specimen collected within 7 days of the examination described in 69336 - 1 examination in any 7</w:t>
            </w:r>
            <w:r>
              <w:t>-</w:t>
            </w:r>
            <w:r w:rsidRPr="00A0513E">
              <w:t>day period</w:t>
            </w:r>
          </w:p>
        </w:tc>
        <w:tc>
          <w:tcPr>
            <w:tcW w:w="1738" w:type="dxa"/>
            <w:noWrap/>
          </w:tcPr>
          <w:p w14:paraId="0816E635" w14:textId="77777777" w:rsidR="00CA7016" w:rsidRPr="00A0513E" w:rsidRDefault="00CA7016" w:rsidP="003C3F6A">
            <w:pPr>
              <w:pStyle w:val="02Tabletext"/>
            </w:pPr>
            <w:r w:rsidRPr="00A0513E">
              <w:t xml:space="preserve">Change </w:t>
            </w:r>
          </w:p>
        </w:tc>
        <w:tc>
          <w:tcPr>
            <w:tcW w:w="1801" w:type="dxa"/>
            <w:noWrap/>
          </w:tcPr>
          <w:p w14:paraId="718A313A" w14:textId="77777777" w:rsidR="00CA7016" w:rsidRPr="00A0513E" w:rsidRDefault="00DF77BB" w:rsidP="003C3F6A">
            <w:pPr>
              <w:pStyle w:val="02Tabletext"/>
              <w:jc w:val="center"/>
            </w:pPr>
            <w:r>
              <w:t>4.2</w:t>
            </w:r>
          </w:p>
        </w:tc>
      </w:tr>
      <w:tr w:rsidR="00CA7016" w:rsidRPr="00B96BC0" w14:paraId="5A539828" w14:textId="77777777" w:rsidTr="003C3F6A">
        <w:trPr>
          <w:trHeight w:val="300"/>
        </w:trPr>
        <w:tc>
          <w:tcPr>
            <w:tcW w:w="847" w:type="dxa"/>
            <w:noWrap/>
            <w:hideMark/>
          </w:tcPr>
          <w:p w14:paraId="65CF2B08" w14:textId="77777777" w:rsidR="00CA7016" w:rsidRPr="00A0513E" w:rsidRDefault="00CA7016" w:rsidP="003C3F6A">
            <w:pPr>
              <w:pStyle w:val="02Tabletext"/>
            </w:pPr>
            <w:r w:rsidRPr="00A0513E">
              <w:t>69345</w:t>
            </w:r>
          </w:p>
        </w:tc>
        <w:tc>
          <w:tcPr>
            <w:tcW w:w="4630" w:type="dxa"/>
            <w:noWrap/>
            <w:hideMark/>
          </w:tcPr>
          <w:p w14:paraId="57B2CCF0" w14:textId="77777777" w:rsidR="00CA7016" w:rsidRPr="00A0513E" w:rsidRDefault="00CA7016" w:rsidP="003C3F6A">
            <w:pPr>
              <w:pStyle w:val="02Tabletext"/>
            </w:pPr>
            <w:r w:rsidRPr="00A0513E">
              <w:t>Culture and (if performed) microscopy without concentration techniques of faeces for faecal pathogens, using at least 2 selective or enrichment media and culture in at least 2 different atmospheres including (if performed): (a) pathogen identification and antibiotic susceptibility testing; and (b) the detection of clostridial toxins; and (c) a service described in item 69300; - 1 examination in any 7 day period</w:t>
            </w:r>
          </w:p>
        </w:tc>
        <w:tc>
          <w:tcPr>
            <w:tcW w:w="1738" w:type="dxa"/>
            <w:noWrap/>
          </w:tcPr>
          <w:p w14:paraId="016CF6C5" w14:textId="77777777" w:rsidR="00CA7016" w:rsidRPr="00A0513E" w:rsidRDefault="00CA7016" w:rsidP="003C3F6A">
            <w:pPr>
              <w:pStyle w:val="02Tabletext"/>
            </w:pPr>
            <w:r w:rsidRPr="00A0513E">
              <w:t>Delete</w:t>
            </w:r>
          </w:p>
        </w:tc>
        <w:tc>
          <w:tcPr>
            <w:tcW w:w="1801" w:type="dxa"/>
            <w:noWrap/>
          </w:tcPr>
          <w:p w14:paraId="4C43A667" w14:textId="77777777" w:rsidR="00CA7016" w:rsidRPr="00A0513E" w:rsidRDefault="00CA7016" w:rsidP="003C3F6A">
            <w:pPr>
              <w:pStyle w:val="02Tabletext"/>
              <w:jc w:val="center"/>
            </w:pPr>
            <w:r>
              <w:fldChar w:fldCharType="begin"/>
            </w:r>
            <w:r>
              <w:instrText xml:space="preserve"> REF _Ref487642387 \r \h </w:instrText>
            </w:r>
            <w:r>
              <w:fldChar w:fldCharType="separate"/>
            </w:r>
            <w:r w:rsidR="00DF77BB">
              <w:t>4.2</w:t>
            </w:r>
            <w:r>
              <w:fldChar w:fldCharType="end"/>
            </w:r>
          </w:p>
        </w:tc>
      </w:tr>
      <w:tr w:rsidR="00CA7016" w:rsidRPr="00B96BC0" w14:paraId="4B9B4F70" w14:textId="77777777" w:rsidTr="003C3F6A">
        <w:trPr>
          <w:trHeight w:val="300"/>
        </w:trPr>
        <w:tc>
          <w:tcPr>
            <w:tcW w:w="847" w:type="dxa"/>
            <w:noWrap/>
            <w:hideMark/>
          </w:tcPr>
          <w:p w14:paraId="54011A8F" w14:textId="77777777" w:rsidR="00CA7016" w:rsidRPr="00A0513E" w:rsidRDefault="00CA7016" w:rsidP="003C3F6A">
            <w:pPr>
              <w:pStyle w:val="02Tabletext"/>
            </w:pPr>
            <w:r w:rsidRPr="00A0513E">
              <w:t>69354</w:t>
            </w:r>
          </w:p>
        </w:tc>
        <w:tc>
          <w:tcPr>
            <w:tcW w:w="4630" w:type="dxa"/>
            <w:noWrap/>
            <w:hideMark/>
          </w:tcPr>
          <w:p w14:paraId="4964CC98" w14:textId="77777777" w:rsidR="00CA7016" w:rsidRPr="00A0513E" w:rsidRDefault="00CA7016" w:rsidP="003C3F6A">
            <w:pPr>
              <w:pStyle w:val="02Tabletext"/>
            </w:pPr>
            <w:r w:rsidRPr="00A0513E">
              <w:t>Blood culture for pathogenic microorganisms (other than viruses), including sub-cultures and (if performed): (a)</w:t>
            </w:r>
            <w:r>
              <w:t xml:space="preserve"> </w:t>
            </w:r>
            <w:r w:rsidRPr="00A0513E">
              <w:t>identification of any cultured pathogen;</w:t>
            </w:r>
            <w:r>
              <w:t xml:space="preserve"> </w:t>
            </w:r>
            <w:r w:rsidRPr="00A0513E">
              <w:t>and (b) necessary antibiotic susceptibility testing; to a maximum of 3 sets of cultures - 1 set of cultures</w:t>
            </w:r>
          </w:p>
        </w:tc>
        <w:tc>
          <w:tcPr>
            <w:tcW w:w="1738" w:type="dxa"/>
            <w:noWrap/>
          </w:tcPr>
          <w:p w14:paraId="3B09CB98" w14:textId="77777777" w:rsidR="00CA7016" w:rsidRPr="00A0513E" w:rsidRDefault="00CA7016" w:rsidP="003C3F6A">
            <w:pPr>
              <w:pStyle w:val="02Tabletext"/>
            </w:pPr>
            <w:r w:rsidRPr="00A0513E">
              <w:t>No change</w:t>
            </w:r>
          </w:p>
        </w:tc>
        <w:tc>
          <w:tcPr>
            <w:tcW w:w="1801" w:type="dxa"/>
            <w:noWrap/>
          </w:tcPr>
          <w:p w14:paraId="01D46109" w14:textId="77777777" w:rsidR="00CA7016" w:rsidRPr="00A0513E" w:rsidRDefault="00CA7016" w:rsidP="003C3F6A">
            <w:pPr>
              <w:pStyle w:val="02Tabletext"/>
              <w:jc w:val="center"/>
            </w:pPr>
            <w:r>
              <w:fldChar w:fldCharType="begin"/>
            </w:r>
            <w:r>
              <w:instrText xml:space="preserve"> REF _Ref487642387 \r \h </w:instrText>
            </w:r>
            <w:r>
              <w:fldChar w:fldCharType="separate"/>
            </w:r>
            <w:r w:rsidR="007A1648">
              <w:t>4.</w:t>
            </w:r>
            <w:r w:rsidR="005C13F3">
              <w:t>18</w:t>
            </w:r>
            <w:r>
              <w:fldChar w:fldCharType="end"/>
            </w:r>
          </w:p>
        </w:tc>
      </w:tr>
      <w:tr w:rsidR="00CA7016" w:rsidRPr="00B96BC0" w14:paraId="77F989F7" w14:textId="77777777" w:rsidTr="003C3F6A">
        <w:trPr>
          <w:trHeight w:val="300"/>
        </w:trPr>
        <w:tc>
          <w:tcPr>
            <w:tcW w:w="847" w:type="dxa"/>
            <w:noWrap/>
            <w:hideMark/>
          </w:tcPr>
          <w:p w14:paraId="20436C3C" w14:textId="77777777" w:rsidR="00CA7016" w:rsidRPr="00A0513E" w:rsidRDefault="00CA7016" w:rsidP="003C3F6A">
            <w:pPr>
              <w:pStyle w:val="02Tabletext"/>
            </w:pPr>
            <w:r w:rsidRPr="00A0513E">
              <w:t>69357</w:t>
            </w:r>
          </w:p>
        </w:tc>
        <w:tc>
          <w:tcPr>
            <w:tcW w:w="4630" w:type="dxa"/>
            <w:noWrap/>
            <w:hideMark/>
          </w:tcPr>
          <w:p w14:paraId="559BFD88" w14:textId="77777777" w:rsidR="00CA7016" w:rsidRPr="00A0513E" w:rsidRDefault="00CA7016" w:rsidP="003C3F6A">
            <w:pPr>
              <w:pStyle w:val="02Tabletext"/>
            </w:pPr>
            <w:r w:rsidRPr="00A0513E">
              <w:t>2 sets of cultures described in item 69354</w:t>
            </w:r>
          </w:p>
        </w:tc>
        <w:tc>
          <w:tcPr>
            <w:tcW w:w="1738" w:type="dxa"/>
            <w:noWrap/>
          </w:tcPr>
          <w:p w14:paraId="5C5A2C09" w14:textId="77777777" w:rsidR="00CA7016" w:rsidRPr="00A0513E" w:rsidRDefault="00CA7016" w:rsidP="003C3F6A">
            <w:pPr>
              <w:pStyle w:val="02Tabletext"/>
            </w:pPr>
            <w:r w:rsidRPr="00A0513E">
              <w:t>No change</w:t>
            </w:r>
          </w:p>
        </w:tc>
        <w:tc>
          <w:tcPr>
            <w:tcW w:w="1801" w:type="dxa"/>
            <w:noWrap/>
          </w:tcPr>
          <w:p w14:paraId="0A58491D" w14:textId="77777777" w:rsidR="00CA7016" w:rsidRPr="00A0513E" w:rsidRDefault="00CA7016" w:rsidP="003C3F6A">
            <w:pPr>
              <w:pStyle w:val="02Tabletext"/>
              <w:jc w:val="center"/>
            </w:pPr>
            <w:r>
              <w:t>4.18</w:t>
            </w:r>
          </w:p>
        </w:tc>
      </w:tr>
      <w:tr w:rsidR="00CA7016" w:rsidRPr="00B96BC0" w14:paraId="7362D793" w14:textId="77777777" w:rsidTr="003C3F6A">
        <w:trPr>
          <w:trHeight w:val="300"/>
        </w:trPr>
        <w:tc>
          <w:tcPr>
            <w:tcW w:w="847" w:type="dxa"/>
            <w:noWrap/>
            <w:hideMark/>
          </w:tcPr>
          <w:p w14:paraId="3B2EBDEB" w14:textId="77777777" w:rsidR="00CA7016" w:rsidRPr="00A0513E" w:rsidRDefault="00CA7016" w:rsidP="003C3F6A">
            <w:pPr>
              <w:pStyle w:val="02Tabletext"/>
            </w:pPr>
            <w:r w:rsidRPr="00A0513E">
              <w:t>69360</w:t>
            </w:r>
          </w:p>
        </w:tc>
        <w:tc>
          <w:tcPr>
            <w:tcW w:w="4630" w:type="dxa"/>
            <w:noWrap/>
            <w:hideMark/>
          </w:tcPr>
          <w:p w14:paraId="0B38BD83" w14:textId="77777777" w:rsidR="00CA7016" w:rsidRPr="00A0513E" w:rsidRDefault="00CA7016" w:rsidP="003C3F6A">
            <w:pPr>
              <w:pStyle w:val="02Tabletext"/>
            </w:pPr>
            <w:r w:rsidRPr="00A0513E">
              <w:t>3 sets of cultures described in item 69354</w:t>
            </w:r>
          </w:p>
        </w:tc>
        <w:tc>
          <w:tcPr>
            <w:tcW w:w="1738" w:type="dxa"/>
            <w:noWrap/>
          </w:tcPr>
          <w:p w14:paraId="1ACAF59A" w14:textId="77777777" w:rsidR="00CA7016" w:rsidRPr="00A0513E" w:rsidRDefault="00CA7016" w:rsidP="003C3F6A">
            <w:pPr>
              <w:pStyle w:val="02Tabletext"/>
            </w:pPr>
            <w:r w:rsidRPr="00A0513E">
              <w:t>No change</w:t>
            </w:r>
          </w:p>
        </w:tc>
        <w:tc>
          <w:tcPr>
            <w:tcW w:w="1801" w:type="dxa"/>
            <w:noWrap/>
          </w:tcPr>
          <w:p w14:paraId="773CD275" w14:textId="77777777" w:rsidR="00CA7016" w:rsidRPr="00A0513E" w:rsidRDefault="00CA7016" w:rsidP="003C3F6A">
            <w:pPr>
              <w:pStyle w:val="02Tabletext"/>
              <w:jc w:val="center"/>
            </w:pPr>
            <w:r>
              <w:t>4.18</w:t>
            </w:r>
          </w:p>
        </w:tc>
      </w:tr>
      <w:tr w:rsidR="00CA7016" w:rsidRPr="00B96BC0" w14:paraId="53DF3FB1" w14:textId="77777777" w:rsidTr="003C3F6A">
        <w:trPr>
          <w:trHeight w:val="300"/>
        </w:trPr>
        <w:tc>
          <w:tcPr>
            <w:tcW w:w="847" w:type="dxa"/>
            <w:noWrap/>
            <w:hideMark/>
          </w:tcPr>
          <w:p w14:paraId="31F51305" w14:textId="77777777" w:rsidR="00CA7016" w:rsidRPr="00A0513E" w:rsidRDefault="00CA7016" w:rsidP="003C3F6A">
            <w:pPr>
              <w:pStyle w:val="02Tabletext"/>
            </w:pPr>
            <w:r w:rsidRPr="00A0513E">
              <w:lastRenderedPageBreak/>
              <w:t>69363</w:t>
            </w:r>
          </w:p>
        </w:tc>
        <w:tc>
          <w:tcPr>
            <w:tcW w:w="4630" w:type="dxa"/>
            <w:noWrap/>
            <w:hideMark/>
          </w:tcPr>
          <w:p w14:paraId="21E780F5" w14:textId="77777777" w:rsidR="00CA7016" w:rsidRPr="00A0513E" w:rsidRDefault="00CA7016" w:rsidP="003C3F6A">
            <w:pPr>
              <w:pStyle w:val="02Tabletext"/>
            </w:pPr>
            <w:r w:rsidRPr="00A0513E">
              <w:t>Detection of Clostridium difficile or Clostridium difficile toxin (except if a service described in item 69345 has been performed) - one or more tests</w:t>
            </w:r>
          </w:p>
        </w:tc>
        <w:tc>
          <w:tcPr>
            <w:tcW w:w="1738" w:type="dxa"/>
            <w:noWrap/>
          </w:tcPr>
          <w:p w14:paraId="494AFE2F" w14:textId="77777777" w:rsidR="00CA7016" w:rsidRPr="00A0513E" w:rsidRDefault="00CA7016" w:rsidP="003C3F6A">
            <w:pPr>
              <w:pStyle w:val="02Tabletext"/>
            </w:pPr>
            <w:r w:rsidRPr="00A0513E">
              <w:t>Change</w:t>
            </w:r>
          </w:p>
        </w:tc>
        <w:tc>
          <w:tcPr>
            <w:tcW w:w="1801" w:type="dxa"/>
            <w:noWrap/>
          </w:tcPr>
          <w:p w14:paraId="5D064057" w14:textId="77777777" w:rsidR="00CA7016" w:rsidRPr="00A0513E" w:rsidRDefault="00DF77BB" w:rsidP="003C3F6A">
            <w:pPr>
              <w:pStyle w:val="02Tabletext"/>
              <w:jc w:val="center"/>
            </w:pPr>
            <w:r>
              <w:t>4.2</w:t>
            </w:r>
          </w:p>
        </w:tc>
      </w:tr>
      <w:tr w:rsidR="00CA7016" w:rsidRPr="00B96BC0" w14:paraId="090EE525" w14:textId="77777777" w:rsidTr="003C3F6A">
        <w:trPr>
          <w:trHeight w:val="300"/>
        </w:trPr>
        <w:tc>
          <w:tcPr>
            <w:tcW w:w="847" w:type="dxa"/>
            <w:noWrap/>
            <w:hideMark/>
          </w:tcPr>
          <w:p w14:paraId="369B4D55" w14:textId="77777777" w:rsidR="00CA7016" w:rsidRPr="00A0513E" w:rsidRDefault="00CA7016" w:rsidP="003C3F6A">
            <w:pPr>
              <w:pStyle w:val="02Tabletext"/>
            </w:pPr>
            <w:r w:rsidRPr="00A0513E">
              <w:t>69378</w:t>
            </w:r>
          </w:p>
        </w:tc>
        <w:tc>
          <w:tcPr>
            <w:tcW w:w="4630" w:type="dxa"/>
            <w:noWrap/>
            <w:hideMark/>
          </w:tcPr>
          <w:p w14:paraId="7EF27C28" w14:textId="77777777" w:rsidR="00CA7016" w:rsidRPr="00A0513E" w:rsidRDefault="00CA7016" w:rsidP="003C3F6A">
            <w:pPr>
              <w:pStyle w:val="02Tabletext"/>
            </w:pPr>
            <w:r w:rsidRPr="00A0513E">
              <w:t>Quantitation of HIV viral RNA load in plasma or serum in the monitoring of a HIV seropositive patient not on antiretroviral therapy - 1 or more tests</w:t>
            </w:r>
          </w:p>
        </w:tc>
        <w:tc>
          <w:tcPr>
            <w:tcW w:w="1738" w:type="dxa"/>
            <w:noWrap/>
          </w:tcPr>
          <w:p w14:paraId="37921945" w14:textId="77777777" w:rsidR="00CA7016" w:rsidRPr="00A0513E" w:rsidRDefault="00CA7016" w:rsidP="003C3F6A">
            <w:pPr>
              <w:pStyle w:val="02Tabletext"/>
            </w:pPr>
            <w:r w:rsidRPr="00A0513E">
              <w:t>Minor Change</w:t>
            </w:r>
          </w:p>
        </w:tc>
        <w:tc>
          <w:tcPr>
            <w:tcW w:w="1801" w:type="dxa"/>
            <w:noWrap/>
          </w:tcPr>
          <w:p w14:paraId="7AE046F3" w14:textId="77777777" w:rsidR="00CA7016" w:rsidRPr="00A0513E" w:rsidRDefault="00CA7016" w:rsidP="003C3F6A">
            <w:pPr>
              <w:pStyle w:val="02Tabletext"/>
              <w:jc w:val="center"/>
            </w:pPr>
            <w:r>
              <w:t>4.17.3</w:t>
            </w:r>
          </w:p>
        </w:tc>
      </w:tr>
      <w:tr w:rsidR="00CA7016" w:rsidRPr="00B96BC0" w14:paraId="5130DE10" w14:textId="77777777" w:rsidTr="003C3F6A">
        <w:trPr>
          <w:trHeight w:val="300"/>
        </w:trPr>
        <w:tc>
          <w:tcPr>
            <w:tcW w:w="847" w:type="dxa"/>
            <w:noWrap/>
            <w:hideMark/>
          </w:tcPr>
          <w:p w14:paraId="1B798280" w14:textId="77777777" w:rsidR="00CA7016" w:rsidRPr="00A0513E" w:rsidRDefault="00CA7016" w:rsidP="003C3F6A">
            <w:pPr>
              <w:pStyle w:val="02Tabletext"/>
            </w:pPr>
            <w:r w:rsidRPr="00A0513E">
              <w:t>69379</w:t>
            </w:r>
          </w:p>
        </w:tc>
        <w:tc>
          <w:tcPr>
            <w:tcW w:w="4630" w:type="dxa"/>
            <w:noWrap/>
            <w:hideMark/>
          </w:tcPr>
          <w:p w14:paraId="1F903BF9" w14:textId="77777777" w:rsidR="00CA7016" w:rsidRPr="00A0513E" w:rsidRDefault="00CA7016" w:rsidP="003C3F6A">
            <w:pPr>
              <w:pStyle w:val="02Tabletext"/>
            </w:pPr>
            <w:r w:rsidRPr="00A0513E">
              <w:t>A test described in item 69378 if rendered by a receiving APP -1 or more tests (Item is subject to rule 18)</w:t>
            </w:r>
          </w:p>
        </w:tc>
        <w:tc>
          <w:tcPr>
            <w:tcW w:w="1738" w:type="dxa"/>
            <w:noWrap/>
          </w:tcPr>
          <w:p w14:paraId="7B598044" w14:textId="77777777" w:rsidR="00CA7016" w:rsidRPr="00A0513E" w:rsidRDefault="00CA7016" w:rsidP="003C3F6A">
            <w:pPr>
              <w:pStyle w:val="02Tabletext"/>
            </w:pPr>
            <w:r>
              <w:t>Minor change</w:t>
            </w:r>
          </w:p>
        </w:tc>
        <w:tc>
          <w:tcPr>
            <w:tcW w:w="1801" w:type="dxa"/>
            <w:noWrap/>
          </w:tcPr>
          <w:p w14:paraId="339AB57A" w14:textId="77777777" w:rsidR="00CA7016" w:rsidRPr="00A0513E" w:rsidRDefault="00CA7016" w:rsidP="003C3F6A">
            <w:pPr>
              <w:pStyle w:val="02Tabletext"/>
              <w:jc w:val="center"/>
            </w:pPr>
            <w:r>
              <w:t>4.17.3</w:t>
            </w:r>
          </w:p>
        </w:tc>
      </w:tr>
      <w:tr w:rsidR="00CA7016" w:rsidRPr="00B96BC0" w14:paraId="02249854" w14:textId="77777777" w:rsidTr="003C3F6A">
        <w:trPr>
          <w:trHeight w:val="300"/>
        </w:trPr>
        <w:tc>
          <w:tcPr>
            <w:tcW w:w="847" w:type="dxa"/>
            <w:noWrap/>
            <w:hideMark/>
          </w:tcPr>
          <w:p w14:paraId="5AC3F65C" w14:textId="77777777" w:rsidR="00CA7016" w:rsidRPr="00A0513E" w:rsidRDefault="00CA7016" w:rsidP="003C3F6A">
            <w:pPr>
              <w:pStyle w:val="02Tabletext"/>
            </w:pPr>
            <w:r w:rsidRPr="00A0513E">
              <w:t>69380</w:t>
            </w:r>
          </w:p>
        </w:tc>
        <w:tc>
          <w:tcPr>
            <w:tcW w:w="4630" w:type="dxa"/>
            <w:noWrap/>
            <w:hideMark/>
          </w:tcPr>
          <w:p w14:paraId="2ACF0C80" w14:textId="77777777" w:rsidR="00CA7016" w:rsidRPr="00A0513E" w:rsidRDefault="00CA7016" w:rsidP="003C3F6A">
            <w:pPr>
              <w:pStyle w:val="02Tabletext"/>
            </w:pPr>
            <w:r w:rsidRPr="00A0513E">
              <w:t>Genotypic testing for HIV antiretroviral resistance in a patient with confirmed HIV infection if the patient's viral load is greater than 1,000 copies per ml at any of the following times: at presentation; or before antiretroviral therapy: or when treatment with combination antiretroviral agents fails; maximum of 2 tests in a 12 month period</w:t>
            </w:r>
          </w:p>
        </w:tc>
        <w:tc>
          <w:tcPr>
            <w:tcW w:w="1738" w:type="dxa"/>
            <w:noWrap/>
          </w:tcPr>
          <w:p w14:paraId="641F659C" w14:textId="77777777" w:rsidR="00CA7016" w:rsidRPr="00A0513E" w:rsidRDefault="00CA7016" w:rsidP="003C3F6A">
            <w:pPr>
              <w:pStyle w:val="02Tabletext"/>
            </w:pPr>
            <w:r w:rsidRPr="00A0513E">
              <w:t>No change</w:t>
            </w:r>
          </w:p>
        </w:tc>
        <w:tc>
          <w:tcPr>
            <w:tcW w:w="1801" w:type="dxa"/>
            <w:noWrap/>
          </w:tcPr>
          <w:p w14:paraId="238A0D15" w14:textId="77777777" w:rsidR="00CA7016" w:rsidRPr="00A0513E" w:rsidRDefault="00CA7016" w:rsidP="003C3F6A">
            <w:pPr>
              <w:pStyle w:val="02Tabletext"/>
              <w:jc w:val="center"/>
            </w:pPr>
            <w:r>
              <w:t>4.18</w:t>
            </w:r>
          </w:p>
        </w:tc>
      </w:tr>
      <w:tr w:rsidR="00CA7016" w:rsidRPr="00B96BC0" w14:paraId="1575B9AC" w14:textId="77777777" w:rsidTr="003C3F6A">
        <w:trPr>
          <w:trHeight w:val="300"/>
        </w:trPr>
        <w:tc>
          <w:tcPr>
            <w:tcW w:w="847" w:type="dxa"/>
            <w:noWrap/>
            <w:hideMark/>
          </w:tcPr>
          <w:p w14:paraId="50F47CBF" w14:textId="77777777" w:rsidR="00CA7016" w:rsidRPr="00A0513E" w:rsidRDefault="00CA7016" w:rsidP="003C3F6A">
            <w:pPr>
              <w:pStyle w:val="02Tabletext"/>
            </w:pPr>
            <w:r w:rsidRPr="00A0513E">
              <w:t>69381</w:t>
            </w:r>
          </w:p>
        </w:tc>
        <w:tc>
          <w:tcPr>
            <w:tcW w:w="4630" w:type="dxa"/>
            <w:noWrap/>
            <w:hideMark/>
          </w:tcPr>
          <w:p w14:paraId="4E628800" w14:textId="77777777" w:rsidR="00CA7016" w:rsidRPr="00A0513E" w:rsidRDefault="00CA7016" w:rsidP="003C3F6A">
            <w:pPr>
              <w:pStyle w:val="02Tabletext"/>
            </w:pPr>
            <w:r w:rsidRPr="00A0513E">
              <w:t>Quantitation of HIV viral RNA load in plasma or serum in the monitoring of antiretroviral therapy in a</w:t>
            </w:r>
            <w:r>
              <w:t>n</w:t>
            </w:r>
            <w:r w:rsidRPr="00A0513E">
              <w:t xml:space="preserve"> HIV</w:t>
            </w:r>
            <w:r>
              <w:t>-</w:t>
            </w:r>
            <w:r w:rsidRPr="00A0513E">
              <w:t>seropositive patient - 1 or more tests on 1 or more specimens</w:t>
            </w:r>
          </w:p>
        </w:tc>
        <w:tc>
          <w:tcPr>
            <w:tcW w:w="1738" w:type="dxa"/>
            <w:noWrap/>
          </w:tcPr>
          <w:p w14:paraId="350845F6" w14:textId="77777777" w:rsidR="00CA7016" w:rsidRPr="00A0513E" w:rsidRDefault="00CA7016" w:rsidP="003C3F6A">
            <w:pPr>
              <w:pStyle w:val="02Tabletext"/>
            </w:pPr>
            <w:r w:rsidRPr="00A0513E">
              <w:t>Minor Change</w:t>
            </w:r>
          </w:p>
        </w:tc>
        <w:tc>
          <w:tcPr>
            <w:tcW w:w="1801" w:type="dxa"/>
            <w:noWrap/>
          </w:tcPr>
          <w:p w14:paraId="1970BFAB" w14:textId="77777777" w:rsidR="00CA7016" w:rsidRPr="00A0513E" w:rsidRDefault="00CA7016" w:rsidP="003C3F6A">
            <w:pPr>
              <w:pStyle w:val="02Tabletext"/>
              <w:jc w:val="center"/>
            </w:pPr>
            <w:r>
              <w:t>4.1</w:t>
            </w:r>
            <w:r w:rsidR="005C13F3">
              <w:t>7</w:t>
            </w:r>
            <w:r>
              <w:t>.3</w:t>
            </w:r>
          </w:p>
        </w:tc>
      </w:tr>
      <w:tr w:rsidR="00CA7016" w:rsidRPr="00B96BC0" w14:paraId="3ACFF3C2" w14:textId="77777777" w:rsidTr="003C3F6A">
        <w:trPr>
          <w:trHeight w:val="300"/>
        </w:trPr>
        <w:tc>
          <w:tcPr>
            <w:tcW w:w="847" w:type="dxa"/>
            <w:noWrap/>
            <w:hideMark/>
          </w:tcPr>
          <w:p w14:paraId="6060B7F3" w14:textId="77777777" w:rsidR="00CA7016" w:rsidRPr="00A0513E" w:rsidRDefault="00CA7016" w:rsidP="003C3F6A">
            <w:pPr>
              <w:pStyle w:val="02Tabletext"/>
            </w:pPr>
            <w:r w:rsidRPr="00A0513E">
              <w:t>69382</w:t>
            </w:r>
          </w:p>
        </w:tc>
        <w:tc>
          <w:tcPr>
            <w:tcW w:w="4630" w:type="dxa"/>
            <w:noWrap/>
            <w:hideMark/>
          </w:tcPr>
          <w:p w14:paraId="797DD584" w14:textId="77777777" w:rsidR="00CA7016" w:rsidRPr="00A0513E" w:rsidRDefault="00CA7016" w:rsidP="003C3F6A">
            <w:pPr>
              <w:pStyle w:val="02Tabletext"/>
            </w:pPr>
            <w:r w:rsidRPr="00A0513E">
              <w:t>Quantitation of HIV viral RNA load in cerebrospinal fluid in a HIV seropositive patient - 1 or more tests on 1 or more specimens</w:t>
            </w:r>
          </w:p>
        </w:tc>
        <w:tc>
          <w:tcPr>
            <w:tcW w:w="1738" w:type="dxa"/>
            <w:noWrap/>
          </w:tcPr>
          <w:p w14:paraId="6B752CE6" w14:textId="77777777" w:rsidR="00CA7016" w:rsidRPr="00A0513E" w:rsidRDefault="00CA7016" w:rsidP="003C3F6A">
            <w:pPr>
              <w:pStyle w:val="02Tabletext"/>
            </w:pPr>
            <w:r w:rsidRPr="00A0513E">
              <w:t>Delete</w:t>
            </w:r>
          </w:p>
        </w:tc>
        <w:tc>
          <w:tcPr>
            <w:tcW w:w="1801" w:type="dxa"/>
            <w:noWrap/>
          </w:tcPr>
          <w:p w14:paraId="09486ED1" w14:textId="77777777" w:rsidR="00CA7016" w:rsidRPr="00A0513E" w:rsidRDefault="00CA7016" w:rsidP="003C3F6A">
            <w:pPr>
              <w:pStyle w:val="02Tabletext"/>
              <w:jc w:val="center"/>
            </w:pPr>
            <w:r>
              <w:t>4.16.4</w:t>
            </w:r>
          </w:p>
        </w:tc>
      </w:tr>
      <w:tr w:rsidR="00CA7016" w:rsidRPr="00B96BC0" w14:paraId="3ACAAEE7" w14:textId="77777777" w:rsidTr="003C3F6A">
        <w:trPr>
          <w:trHeight w:val="300"/>
        </w:trPr>
        <w:tc>
          <w:tcPr>
            <w:tcW w:w="847" w:type="dxa"/>
            <w:noWrap/>
            <w:hideMark/>
          </w:tcPr>
          <w:p w14:paraId="56C73D48" w14:textId="77777777" w:rsidR="00CA7016" w:rsidRPr="009220DD" w:rsidRDefault="00CA7016" w:rsidP="003C3F6A">
            <w:pPr>
              <w:pStyle w:val="02Tabletext"/>
            </w:pPr>
            <w:r w:rsidRPr="009220DD">
              <w:t>69383</w:t>
            </w:r>
          </w:p>
        </w:tc>
        <w:tc>
          <w:tcPr>
            <w:tcW w:w="4630" w:type="dxa"/>
            <w:noWrap/>
            <w:hideMark/>
          </w:tcPr>
          <w:p w14:paraId="3486CAE6" w14:textId="77777777" w:rsidR="00CA7016" w:rsidRPr="009220DD" w:rsidRDefault="00CA7016" w:rsidP="003C3F6A">
            <w:pPr>
              <w:pStyle w:val="02Tabletext"/>
            </w:pPr>
            <w:r w:rsidRPr="009220DD">
              <w:t>A test described in item 69381 if rendered by a receiving APP - 1 or more tests on 1 or more specimens (Item is subject to rule 18)</w:t>
            </w:r>
          </w:p>
        </w:tc>
        <w:tc>
          <w:tcPr>
            <w:tcW w:w="1738" w:type="dxa"/>
            <w:noWrap/>
          </w:tcPr>
          <w:p w14:paraId="3222A7EE" w14:textId="77777777" w:rsidR="00CA7016" w:rsidRPr="009220DD" w:rsidRDefault="00CA7016" w:rsidP="003C3F6A">
            <w:pPr>
              <w:pStyle w:val="02Tabletext"/>
            </w:pPr>
            <w:r w:rsidRPr="009220DD">
              <w:t>Minor Change</w:t>
            </w:r>
          </w:p>
        </w:tc>
        <w:tc>
          <w:tcPr>
            <w:tcW w:w="1801" w:type="dxa"/>
            <w:noWrap/>
          </w:tcPr>
          <w:p w14:paraId="76912F26" w14:textId="77777777" w:rsidR="00CA7016" w:rsidRPr="009220DD" w:rsidRDefault="00CA7016" w:rsidP="003C3F6A">
            <w:pPr>
              <w:pStyle w:val="02Tabletext"/>
              <w:jc w:val="center"/>
            </w:pPr>
            <w:r>
              <w:t>4.17.3</w:t>
            </w:r>
          </w:p>
        </w:tc>
      </w:tr>
      <w:tr w:rsidR="00CA7016" w:rsidRPr="00B96BC0" w14:paraId="2F46B675" w14:textId="77777777" w:rsidTr="003C3F6A">
        <w:trPr>
          <w:trHeight w:val="300"/>
        </w:trPr>
        <w:tc>
          <w:tcPr>
            <w:tcW w:w="847" w:type="dxa"/>
            <w:noWrap/>
            <w:hideMark/>
          </w:tcPr>
          <w:p w14:paraId="0CA4B58E" w14:textId="77777777" w:rsidR="00CA7016" w:rsidRPr="00A0513E" w:rsidRDefault="00CA7016" w:rsidP="003C3F6A">
            <w:pPr>
              <w:pStyle w:val="02Tabletext"/>
            </w:pPr>
            <w:r w:rsidRPr="00A0513E">
              <w:t>69384</w:t>
            </w:r>
          </w:p>
        </w:tc>
        <w:tc>
          <w:tcPr>
            <w:tcW w:w="4630" w:type="dxa"/>
            <w:noWrap/>
            <w:hideMark/>
          </w:tcPr>
          <w:p w14:paraId="25D5AFB3" w14:textId="77777777" w:rsidR="00CA7016" w:rsidRPr="00A0513E" w:rsidRDefault="00CA7016" w:rsidP="003C3F6A">
            <w:pPr>
              <w:pStyle w:val="02Tabletext"/>
            </w:pPr>
            <w:r w:rsidRPr="00A0513E">
              <w:t>Quantitation of 1 antibody to microbial antigens not elsewhere described in the Schedule - 1 test (This fee applies where a laboratory performs the only antibody test specified on the request form or performs 1 test and refers the rest to the laboratory of a separate APA) (Item is subject to rule 6</w:t>
            </w:r>
            <w:r>
              <w:t>, and rule 3 exemption</w:t>
            </w:r>
            <w:r w:rsidRPr="00A0513E">
              <w:t>)</w:t>
            </w:r>
          </w:p>
        </w:tc>
        <w:tc>
          <w:tcPr>
            <w:tcW w:w="1738" w:type="dxa"/>
            <w:noWrap/>
          </w:tcPr>
          <w:p w14:paraId="11C238D4" w14:textId="77777777" w:rsidR="00CA7016" w:rsidRPr="00A0513E" w:rsidRDefault="00CA7016" w:rsidP="003C3F6A">
            <w:pPr>
              <w:pStyle w:val="02Tabletext"/>
            </w:pPr>
            <w:r>
              <w:t>C</w:t>
            </w:r>
            <w:r w:rsidRPr="00A0513E">
              <w:t>hange</w:t>
            </w:r>
          </w:p>
        </w:tc>
        <w:tc>
          <w:tcPr>
            <w:tcW w:w="1801" w:type="dxa"/>
            <w:noWrap/>
          </w:tcPr>
          <w:p w14:paraId="630AC57A" w14:textId="77777777" w:rsidR="00CA7016" w:rsidRPr="00A0513E" w:rsidRDefault="00DF77BB" w:rsidP="003C3F6A">
            <w:pPr>
              <w:pStyle w:val="02Tabletext"/>
              <w:jc w:val="center"/>
            </w:pPr>
            <w:r>
              <w:t>4.10</w:t>
            </w:r>
            <w:r w:rsidR="00CA7016">
              <w:t xml:space="preserve"> </w:t>
            </w:r>
            <w:r w:rsidR="00CA7016" w:rsidRPr="00A0513E">
              <w:t xml:space="preserve">&amp; </w:t>
            </w:r>
            <w:r w:rsidR="00CA7016">
              <w:t>4.12</w:t>
            </w:r>
          </w:p>
        </w:tc>
      </w:tr>
      <w:tr w:rsidR="00CA7016" w:rsidRPr="00B96BC0" w14:paraId="2DD36DD9" w14:textId="77777777" w:rsidTr="003C3F6A">
        <w:trPr>
          <w:trHeight w:val="300"/>
        </w:trPr>
        <w:tc>
          <w:tcPr>
            <w:tcW w:w="847" w:type="dxa"/>
            <w:noWrap/>
            <w:hideMark/>
          </w:tcPr>
          <w:p w14:paraId="46D277E0" w14:textId="77777777" w:rsidR="00CA7016" w:rsidRPr="00A0513E" w:rsidRDefault="00CA7016" w:rsidP="003C3F6A">
            <w:pPr>
              <w:pStyle w:val="02Tabletext"/>
            </w:pPr>
            <w:r w:rsidRPr="00A0513E">
              <w:t>69387</w:t>
            </w:r>
          </w:p>
        </w:tc>
        <w:tc>
          <w:tcPr>
            <w:tcW w:w="4630" w:type="dxa"/>
            <w:noWrap/>
            <w:hideMark/>
          </w:tcPr>
          <w:p w14:paraId="134DB042" w14:textId="77777777" w:rsidR="00CA7016" w:rsidRPr="00A0513E" w:rsidRDefault="00CA7016" w:rsidP="003C3F6A">
            <w:pPr>
              <w:pStyle w:val="02Tabletext"/>
            </w:pPr>
            <w:r w:rsidRPr="00A0513E">
              <w:t>2 tests described in item 69384 (This fee applies where 1 laboratory, or more than 1 laboratory belonging to the same APA, performs 2 of the antibody estimations specified on the request form and refers the remainder to the laboratory of a separate APA.) (Item is subject to rule 6)</w:t>
            </w:r>
          </w:p>
        </w:tc>
        <w:tc>
          <w:tcPr>
            <w:tcW w:w="1738" w:type="dxa"/>
            <w:noWrap/>
          </w:tcPr>
          <w:p w14:paraId="266F8C53" w14:textId="77777777" w:rsidR="00CA7016" w:rsidRPr="00A0513E" w:rsidRDefault="00CA7016" w:rsidP="003C3F6A">
            <w:pPr>
              <w:pStyle w:val="02Tabletext"/>
            </w:pPr>
            <w:r>
              <w:t>No c</w:t>
            </w:r>
            <w:r w:rsidRPr="00A0513E">
              <w:t>hange</w:t>
            </w:r>
          </w:p>
        </w:tc>
        <w:tc>
          <w:tcPr>
            <w:tcW w:w="1801" w:type="dxa"/>
            <w:noWrap/>
          </w:tcPr>
          <w:p w14:paraId="20671669" w14:textId="77777777" w:rsidR="00CA7016" w:rsidRPr="00A0513E" w:rsidRDefault="002B3C5D" w:rsidP="003C3F6A">
            <w:pPr>
              <w:pStyle w:val="02Tabletext"/>
              <w:jc w:val="center"/>
            </w:pPr>
            <w:r>
              <w:t>4.10</w:t>
            </w:r>
            <w:r w:rsidR="00CA7016">
              <w:t xml:space="preserve"> </w:t>
            </w:r>
            <w:r w:rsidR="005C13F3">
              <w:t xml:space="preserve">&amp; </w:t>
            </w:r>
            <w:r>
              <w:t>4.18</w:t>
            </w:r>
          </w:p>
        </w:tc>
      </w:tr>
      <w:tr w:rsidR="00CA7016" w:rsidRPr="00B96BC0" w14:paraId="48DDFDEC" w14:textId="77777777" w:rsidTr="003C3F6A">
        <w:trPr>
          <w:trHeight w:val="300"/>
        </w:trPr>
        <w:tc>
          <w:tcPr>
            <w:tcW w:w="847" w:type="dxa"/>
            <w:noWrap/>
            <w:hideMark/>
          </w:tcPr>
          <w:p w14:paraId="2329DE0C" w14:textId="77777777" w:rsidR="00CA7016" w:rsidRPr="00A0513E" w:rsidRDefault="00CA7016" w:rsidP="003C3F6A">
            <w:pPr>
              <w:pStyle w:val="02Tabletext"/>
            </w:pPr>
            <w:r w:rsidRPr="00A0513E">
              <w:t>69390</w:t>
            </w:r>
          </w:p>
        </w:tc>
        <w:tc>
          <w:tcPr>
            <w:tcW w:w="4630" w:type="dxa"/>
            <w:noWrap/>
            <w:hideMark/>
          </w:tcPr>
          <w:p w14:paraId="18383F63" w14:textId="77777777" w:rsidR="00CA7016" w:rsidRPr="00A0513E" w:rsidRDefault="00CA7016" w:rsidP="003C3F6A">
            <w:pPr>
              <w:pStyle w:val="02Tabletext"/>
            </w:pPr>
            <w:r w:rsidRPr="00A0513E">
              <w:t>3 tests described in item 69384</w:t>
            </w:r>
            <w:r>
              <w:t>.</w:t>
            </w:r>
            <w:r w:rsidRPr="00A0513E">
              <w:t xml:space="preserve"> (This fee applies where 1 laboratory, or more than 1 laboratory belonging to the same APA, performs 3 of the antibody estimations specified on the request form and refers the remainder to the laboratory of a separate APA.) (Item is subject to rule 6)</w:t>
            </w:r>
          </w:p>
        </w:tc>
        <w:tc>
          <w:tcPr>
            <w:tcW w:w="1738" w:type="dxa"/>
            <w:noWrap/>
          </w:tcPr>
          <w:p w14:paraId="40E48850" w14:textId="77777777" w:rsidR="00CA7016" w:rsidRPr="00A0513E" w:rsidRDefault="00CA7016" w:rsidP="003C3F6A">
            <w:pPr>
              <w:pStyle w:val="02Tabletext"/>
            </w:pPr>
            <w:r w:rsidRPr="00A0513E">
              <w:t>Change</w:t>
            </w:r>
          </w:p>
        </w:tc>
        <w:tc>
          <w:tcPr>
            <w:tcW w:w="1801" w:type="dxa"/>
            <w:noWrap/>
          </w:tcPr>
          <w:p w14:paraId="1A4E4C9E" w14:textId="77777777" w:rsidR="00CA7016" w:rsidRPr="00A0513E" w:rsidRDefault="00DF77BB" w:rsidP="003C3F6A">
            <w:pPr>
              <w:pStyle w:val="02Tabletext"/>
              <w:jc w:val="center"/>
            </w:pPr>
            <w:r>
              <w:t>4.10</w:t>
            </w:r>
          </w:p>
        </w:tc>
      </w:tr>
      <w:tr w:rsidR="00CA7016" w:rsidRPr="00B96BC0" w14:paraId="0E6B5013" w14:textId="77777777" w:rsidTr="003C3F6A">
        <w:trPr>
          <w:trHeight w:val="300"/>
        </w:trPr>
        <w:tc>
          <w:tcPr>
            <w:tcW w:w="847" w:type="dxa"/>
            <w:noWrap/>
            <w:hideMark/>
          </w:tcPr>
          <w:p w14:paraId="07632D3D" w14:textId="77777777" w:rsidR="00CA7016" w:rsidRPr="00A0513E" w:rsidRDefault="00CA7016" w:rsidP="003C3F6A">
            <w:pPr>
              <w:pStyle w:val="02Tabletext"/>
            </w:pPr>
            <w:r w:rsidRPr="00A0513E">
              <w:t>69393</w:t>
            </w:r>
          </w:p>
        </w:tc>
        <w:tc>
          <w:tcPr>
            <w:tcW w:w="4630" w:type="dxa"/>
            <w:noWrap/>
            <w:hideMark/>
          </w:tcPr>
          <w:p w14:paraId="02CB4339" w14:textId="77777777" w:rsidR="00CA7016" w:rsidRPr="00A0513E" w:rsidRDefault="00CA7016" w:rsidP="003C3F6A">
            <w:pPr>
              <w:pStyle w:val="02Tabletext"/>
            </w:pPr>
            <w:r w:rsidRPr="00A0513E">
              <w:t>4 tests described in item 69384</w:t>
            </w:r>
            <w:r>
              <w:t>.</w:t>
            </w:r>
            <w:r w:rsidRPr="00A0513E">
              <w:t xml:space="preserve"> (This fee applies where 1 laboratory, or more than 1 laboratory belonging to the same APA, performs 4 of the antibody estimations specified on the request form and refers the remainder to the laboratory of a separate APA.) (Item is subject to rule 6)</w:t>
            </w:r>
          </w:p>
        </w:tc>
        <w:tc>
          <w:tcPr>
            <w:tcW w:w="1738" w:type="dxa"/>
            <w:noWrap/>
          </w:tcPr>
          <w:p w14:paraId="4ADE8ED0" w14:textId="77777777" w:rsidR="00CA7016" w:rsidRPr="00A0513E" w:rsidRDefault="00CA7016" w:rsidP="003C3F6A">
            <w:pPr>
              <w:pStyle w:val="02Tabletext"/>
            </w:pPr>
            <w:r w:rsidRPr="00A0513E">
              <w:t>Change</w:t>
            </w:r>
          </w:p>
        </w:tc>
        <w:tc>
          <w:tcPr>
            <w:tcW w:w="1801" w:type="dxa"/>
            <w:noWrap/>
          </w:tcPr>
          <w:p w14:paraId="5719A8BD" w14:textId="77777777" w:rsidR="00CA7016" w:rsidRPr="00A0513E" w:rsidRDefault="00DF77BB" w:rsidP="003C3F6A">
            <w:pPr>
              <w:pStyle w:val="02Tabletext"/>
              <w:jc w:val="center"/>
            </w:pPr>
            <w:r>
              <w:t>4.10</w:t>
            </w:r>
          </w:p>
        </w:tc>
      </w:tr>
      <w:tr w:rsidR="00CA7016" w:rsidRPr="00B96BC0" w14:paraId="3329BD13" w14:textId="77777777" w:rsidTr="003C3F6A">
        <w:trPr>
          <w:trHeight w:val="300"/>
        </w:trPr>
        <w:tc>
          <w:tcPr>
            <w:tcW w:w="847" w:type="dxa"/>
            <w:noWrap/>
            <w:hideMark/>
          </w:tcPr>
          <w:p w14:paraId="45EBB494" w14:textId="77777777" w:rsidR="00CA7016" w:rsidRPr="00A0513E" w:rsidRDefault="00CA7016" w:rsidP="003C3F6A">
            <w:pPr>
              <w:pStyle w:val="02Tabletext"/>
            </w:pPr>
            <w:r w:rsidRPr="00A0513E">
              <w:t>69396</w:t>
            </w:r>
          </w:p>
        </w:tc>
        <w:tc>
          <w:tcPr>
            <w:tcW w:w="4630" w:type="dxa"/>
            <w:noWrap/>
            <w:hideMark/>
          </w:tcPr>
          <w:p w14:paraId="7E7B7D22" w14:textId="77777777" w:rsidR="00CA7016" w:rsidRPr="00A0513E" w:rsidRDefault="00CA7016" w:rsidP="003C3F6A">
            <w:pPr>
              <w:pStyle w:val="02Tabletext"/>
            </w:pPr>
            <w:r w:rsidRPr="00A0513E">
              <w:t>5 or more tests described in item 69384</w:t>
            </w:r>
            <w:r>
              <w:t>.</w:t>
            </w:r>
            <w:r w:rsidRPr="00A0513E">
              <w:t xml:space="preserve"> (This fee applies where 1 laboratory, or more than 1 laboratory belonging to the same APA, performs 5 of the antibody tests specified on the request form and refers the remainder to the laboratory of a separate APA.) (Item is subject to rule 6)</w:t>
            </w:r>
          </w:p>
        </w:tc>
        <w:tc>
          <w:tcPr>
            <w:tcW w:w="1738" w:type="dxa"/>
            <w:noWrap/>
          </w:tcPr>
          <w:p w14:paraId="627C8CB7" w14:textId="77777777" w:rsidR="00CA7016" w:rsidRPr="00A0513E" w:rsidRDefault="00CA7016" w:rsidP="003C3F6A">
            <w:pPr>
              <w:pStyle w:val="02Tabletext"/>
            </w:pPr>
            <w:r w:rsidRPr="00A0513E">
              <w:t>Change</w:t>
            </w:r>
          </w:p>
        </w:tc>
        <w:tc>
          <w:tcPr>
            <w:tcW w:w="1801" w:type="dxa"/>
            <w:noWrap/>
          </w:tcPr>
          <w:p w14:paraId="5F2F42FD" w14:textId="77777777" w:rsidR="00CA7016" w:rsidRPr="00A0513E" w:rsidRDefault="00DF77BB" w:rsidP="003C3F6A">
            <w:pPr>
              <w:pStyle w:val="02Tabletext"/>
              <w:jc w:val="center"/>
            </w:pPr>
            <w:r>
              <w:t>4.10</w:t>
            </w:r>
          </w:p>
        </w:tc>
      </w:tr>
      <w:tr w:rsidR="00CA7016" w:rsidRPr="00B96BC0" w14:paraId="0F41459A" w14:textId="77777777" w:rsidTr="003C3F6A">
        <w:trPr>
          <w:trHeight w:val="300"/>
        </w:trPr>
        <w:tc>
          <w:tcPr>
            <w:tcW w:w="847" w:type="dxa"/>
            <w:noWrap/>
            <w:hideMark/>
          </w:tcPr>
          <w:p w14:paraId="63476195" w14:textId="77777777" w:rsidR="00CA7016" w:rsidRPr="00A0513E" w:rsidRDefault="00CA7016" w:rsidP="003C3F6A">
            <w:pPr>
              <w:pStyle w:val="02Tabletext"/>
            </w:pPr>
            <w:r w:rsidRPr="00A0513E">
              <w:t>69400</w:t>
            </w:r>
          </w:p>
        </w:tc>
        <w:tc>
          <w:tcPr>
            <w:tcW w:w="4630" w:type="dxa"/>
            <w:noWrap/>
            <w:hideMark/>
          </w:tcPr>
          <w:p w14:paraId="44778F9C" w14:textId="77777777" w:rsidR="00CA7016" w:rsidRPr="00A0513E" w:rsidRDefault="00CA7016" w:rsidP="003C3F6A">
            <w:pPr>
              <w:pStyle w:val="02Tabletext"/>
            </w:pPr>
            <w:r w:rsidRPr="00A0513E">
              <w:t>A test described in item 69384, if rendered by a receiving APP, where no tests in the item have been rendered by the referring APP - 1 test (Item is subject to rules 6 and 18)</w:t>
            </w:r>
          </w:p>
        </w:tc>
        <w:tc>
          <w:tcPr>
            <w:tcW w:w="1738" w:type="dxa"/>
            <w:noWrap/>
          </w:tcPr>
          <w:p w14:paraId="39CD1E87" w14:textId="77777777" w:rsidR="00CA7016" w:rsidRPr="00A0513E" w:rsidRDefault="00CA7016" w:rsidP="003C3F6A">
            <w:pPr>
              <w:pStyle w:val="02Tabletext"/>
            </w:pPr>
            <w:r w:rsidRPr="00A0513E">
              <w:t xml:space="preserve">No change </w:t>
            </w:r>
          </w:p>
        </w:tc>
        <w:tc>
          <w:tcPr>
            <w:tcW w:w="1801" w:type="dxa"/>
            <w:noWrap/>
          </w:tcPr>
          <w:p w14:paraId="0D18E621" w14:textId="77777777" w:rsidR="00CA7016" w:rsidRPr="00A0513E" w:rsidRDefault="002B3C5D" w:rsidP="003C3F6A">
            <w:pPr>
              <w:pStyle w:val="02Tabletext"/>
              <w:jc w:val="center"/>
            </w:pPr>
            <w:r>
              <w:t xml:space="preserve">4.10 &amp; </w:t>
            </w:r>
            <w:r w:rsidR="00CA7016">
              <w:t>4.18</w:t>
            </w:r>
          </w:p>
        </w:tc>
      </w:tr>
      <w:tr w:rsidR="00CA7016" w:rsidRPr="00B96BC0" w14:paraId="01113D89" w14:textId="77777777" w:rsidTr="003C3F6A">
        <w:trPr>
          <w:trHeight w:val="300"/>
        </w:trPr>
        <w:tc>
          <w:tcPr>
            <w:tcW w:w="847" w:type="dxa"/>
            <w:noWrap/>
            <w:hideMark/>
          </w:tcPr>
          <w:p w14:paraId="5617CE9B" w14:textId="77777777" w:rsidR="00CA7016" w:rsidRPr="00A0513E" w:rsidRDefault="00CA7016" w:rsidP="003C3F6A">
            <w:pPr>
              <w:pStyle w:val="02Tabletext"/>
            </w:pPr>
            <w:r w:rsidRPr="00A0513E">
              <w:t>69401</w:t>
            </w:r>
          </w:p>
        </w:tc>
        <w:tc>
          <w:tcPr>
            <w:tcW w:w="4630" w:type="dxa"/>
            <w:noWrap/>
            <w:hideMark/>
          </w:tcPr>
          <w:p w14:paraId="6A5DE9D8" w14:textId="77777777" w:rsidR="00CA7016" w:rsidRPr="00A0513E" w:rsidRDefault="00CA7016" w:rsidP="003C3F6A">
            <w:pPr>
              <w:pStyle w:val="02Tabletext"/>
            </w:pPr>
            <w:r w:rsidRPr="00A0513E">
              <w:t xml:space="preserve">A test described in item 69384, other than that described in 69400, if rendered by a receiving APP - </w:t>
            </w:r>
            <w:r w:rsidRPr="00A0513E">
              <w:lastRenderedPageBreak/>
              <w:t>each test to a maximum of 4 tests (Item is subject to rule 6, 18 and 18A)</w:t>
            </w:r>
          </w:p>
        </w:tc>
        <w:tc>
          <w:tcPr>
            <w:tcW w:w="1738" w:type="dxa"/>
            <w:noWrap/>
          </w:tcPr>
          <w:p w14:paraId="2FE105FF" w14:textId="77777777" w:rsidR="00CA7016" w:rsidRPr="00A0513E" w:rsidRDefault="00CA7016" w:rsidP="003C3F6A">
            <w:pPr>
              <w:pStyle w:val="02Tabletext"/>
            </w:pPr>
            <w:r w:rsidRPr="00A0513E">
              <w:lastRenderedPageBreak/>
              <w:t>No change</w:t>
            </w:r>
          </w:p>
        </w:tc>
        <w:tc>
          <w:tcPr>
            <w:tcW w:w="1801" w:type="dxa"/>
            <w:noWrap/>
          </w:tcPr>
          <w:p w14:paraId="66AFCB25" w14:textId="77777777" w:rsidR="00CA7016" w:rsidRPr="00A0513E" w:rsidRDefault="002B3C5D" w:rsidP="003C3F6A">
            <w:pPr>
              <w:pStyle w:val="02Tabletext"/>
              <w:jc w:val="center"/>
            </w:pPr>
            <w:r>
              <w:t xml:space="preserve">4.10 &amp; </w:t>
            </w:r>
            <w:r w:rsidR="00CA7016">
              <w:t>4.18</w:t>
            </w:r>
          </w:p>
        </w:tc>
      </w:tr>
      <w:tr w:rsidR="00CA7016" w:rsidRPr="00B96BC0" w14:paraId="4FAA4D27" w14:textId="77777777" w:rsidTr="003C3F6A">
        <w:trPr>
          <w:trHeight w:val="300"/>
        </w:trPr>
        <w:tc>
          <w:tcPr>
            <w:tcW w:w="847" w:type="dxa"/>
            <w:noWrap/>
            <w:hideMark/>
          </w:tcPr>
          <w:p w14:paraId="0D726440" w14:textId="77777777" w:rsidR="00CA7016" w:rsidRPr="00A0513E" w:rsidRDefault="00CA7016" w:rsidP="003C3F6A">
            <w:pPr>
              <w:pStyle w:val="02Tabletext"/>
            </w:pPr>
            <w:r w:rsidRPr="00A0513E">
              <w:t>69405</w:t>
            </w:r>
          </w:p>
        </w:tc>
        <w:tc>
          <w:tcPr>
            <w:tcW w:w="4630" w:type="dxa"/>
            <w:noWrap/>
            <w:hideMark/>
          </w:tcPr>
          <w:p w14:paraId="787C968E" w14:textId="77777777" w:rsidR="00CA7016" w:rsidRPr="00A0513E" w:rsidRDefault="00CA7016" w:rsidP="003C3F6A">
            <w:pPr>
              <w:pStyle w:val="02Tabletext"/>
            </w:pPr>
            <w:r w:rsidRPr="00A0513E">
              <w:t>Microbiological serology during a pregnancy (except in the investigation of a clinically apparent intercurrent microbial illness or close contact with a patient suffering from parvovirus infection or varicella during that pregnancy) including:</w:t>
            </w:r>
            <w:r w:rsidRPr="00A0513E">
              <w:br/>
              <w:t>(a) the determination of 1 of the following - rubella immune status, specific syphilis serology, carriage of hepatitis B, hepatitis C antibody, HIV antibody and</w:t>
            </w:r>
            <w:r w:rsidRPr="00A0513E">
              <w:br/>
              <w:t>(b) (if performed) a service described in 1 or more of items 69384, 69475, 69478 and 69481</w:t>
            </w:r>
          </w:p>
        </w:tc>
        <w:tc>
          <w:tcPr>
            <w:tcW w:w="1738" w:type="dxa"/>
            <w:noWrap/>
          </w:tcPr>
          <w:p w14:paraId="5EA8D0D7" w14:textId="77777777" w:rsidR="00CA7016" w:rsidRPr="00A0513E" w:rsidRDefault="00CA7016" w:rsidP="003C3F6A">
            <w:pPr>
              <w:pStyle w:val="02Tabletext"/>
            </w:pPr>
            <w:r w:rsidRPr="00A0513E">
              <w:t>Delete</w:t>
            </w:r>
          </w:p>
        </w:tc>
        <w:tc>
          <w:tcPr>
            <w:tcW w:w="1801" w:type="dxa"/>
            <w:noWrap/>
          </w:tcPr>
          <w:p w14:paraId="0D60A518" w14:textId="77777777" w:rsidR="00CA7016" w:rsidRPr="00025F28" w:rsidRDefault="00CA7016" w:rsidP="003C3F6A">
            <w:pPr>
              <w:pStyle w:val="02Tabletext"/>
              <w:jc w:val="center"/>
            </w:pPr>
            <w:r>
              <w:t>4.15 &amp; 4.16.2</w:t>
            </w:r>
          </w:p>
        </w:tc>
      </w:tr>
      <w:tr w:rsidR="00CA7016" w:rsidRPr="00B96BC0" w14:paraId="29FBDF50" w14:textId="77777777" w:rsidTr="003C3F6A">
        <w:trPr>
          <w:trHeight w:val="300"/>
        </w:trPr>
        <w:tc>
          <w:tcPr>
            <w:tcW w:w="847" w:type="dxa"/>
            <w:noWrap/>
            <w:hideMark/>
          </w:tcPr>
          <w:p w14:paraId="535EBD4A" w14:textId="77777777" w:rsidR="00CA7016" w:rsidRPr="00A0513E" w:rsidRDefault="00CA7016" w:rsidP="003C3F6A">
            <w:pPr>
              <w:pStyle w:val="02Tabletext"/>
            </w:pPr>
            <w:r w:rsidRPr="00A0513E">
              <w:t>69408</w:t>
            </w:r>
          </w:p>
        </w:tc>
        <w:tc>
          <w:tcPr>
            <w:tcW w:w="4630" w:type="dxa"/>
            <w:noWrap/>
            <w:hideMark/>
          </w:tcPr>
          <w:p w14:paraId="74909DD7" w14:textId="77777777" w:rsidR="00CA7016" w:rsidRPr="00A0513E" w:rsidRDefault="00CA7016" w:rsidP="003C3F6A">
            <w:pPr>
              <w:pStyle w:val="02Tabletext"/>
            </w:pPr>
            <w:r w:rsidRPr="00A0513E">
              <w:t>Microbiological serology during a pregnancy (except in the investigation of a clinically apparent intercurrent microbial illness or close contact with a patient suffering from parvovirus infection or varicella during that pregnancy) including: (a) the determination of 2 of the following - rubella immune status, specific syphilis serology, carriage of hepatitis B, hepatitis C antibody, HIV antibody and (b) (if performed) a service described in 1 or more of items 69384, 69475, 69478 and 69481</w:t>
            </w:r>
          </w:p>
        </w:tc>
        <w:tc>
          <w:tcPr>
            <w:tcW w:w="1738" w:type="dxa"/>
            <w:noWrap/>
          </w:tcPr>
          <w:p w14:paraId="6B0438C3" w14:textId="77777777" w:rsidR="00CA7016" w:rsidRPr="00A0513E" w:rsidRDefault="00CA7016" w:rsidP="003C3F6A">
            <w:pPr>
              <w:pStyle w:val="02Tabletext"/>
            </w:pPr>
            <w:r w:rsidRPr="00A0513E">
              <w:t>Delete</w:t>
            </w:r>
          </w:p>
        </w:tc>
        <w:tc>
          <w:tcPr>
            <w:tcW w:w="1801" w:type="dxa"/>
            <w:noWrap/>
          </w:tcPr>
          <w:p w14:paraId="1C029431" w14:textId="77777777" w:rsidR="00CA7016" w:rsidRPr="00A0513E" w:rsidRDefault="00CA7016" w:rsidP="003C3F6A">
            <w:pPr>
              <w:pStyle w:val="02Tabletext"/>
              <w:jc w:val="center"/>
            </w:pPr>
            <w:r>
              <w:t>4.15 &amp; 4.16.2</w:t>
            </w:r>
          </w:p>
        </w:tc>
      </w:tr>
      <w:tr w:rsidR="00CA7016" w:rsidRPr="00B96BC0" w14:paraId="1676AB75" w14:textId="77777777" w:rsidTr="003C3F6A">
        <w:trPr>
          <w:trHeight w:val="300"/>
        </w:trPr>
        <w:tc>
          <w:tcPr>
            <w:tcW w:w="847" w:type="dxa"/>
            <w:noWrap/>
            <w:hideMark/>
          </w:tcPr>
          <w:p w14:paraId="3EB2CCCA" w14:textId="77777777" w:rsidR="00CA7016" w:rsidRPr="00A0513E" w:rsidRDefault="00CA7016" w:rsidP="003C3F6A">
            <w:pPr>
              <w:pStyle w:val="02Tabletext"/>
            </w:pPr>
            <w:r w:rsidRPr="00A0513E">
              <w:t>69411</w:t>
            </w:r>
          </w:p>
        </w:tc>
        <w:tc>
          <w:tcPr>
            <w:tcW w:w="4630" w:type="dxa"/>
            <w:noWrap/>
            <w:hideMark/>
          </w:tcPr>
          <w:p w14:paraId="6C673B38" w14:textId="77777777" w:rsidR="00CA7016" w:rsidRPr="00A0513E" w:rsidRDefault="00CA7016" w:rsidP="003C3F6A">
            <w:pPr>
              <w:pStyle w:val="02Tabletext"/>
            </w:pPr>
            <w:r w:rsidRPr="00A0513E">
              <w:t>Microbiological serology during a pregnancy (except in the investigation of a clinically apparent intercurrent microbial illness or close contact with a patient suffering from parvovirus infection or varicella during that pregnancy) including: (a) the determination of 3 of the following - rubella immune status, specific syphilis serology, carriage of hepatitis B, hepatitis C antibody, HIV antibody and (b) (if performed) a service described in 1 or more of items 69384, 69475, 69478 and 69481</w:t>
            </w:r>
          </w:p>
        </w:tc>
        <w:tc>
          <w:tcPr>
            <w:tcW w:w="1738" w:type="dxa"/>
            <w:noWrap/>
          </w:tcPr>
          <w:p w14:paraId="4F57CB61" w14:textId="77777777" w:rsidR="00CA7016" w:rsidRPr="00A0513E" w:rsidRDefault="00CA7016" w:rsidP="003C3F6A">
            <w:pPr>
              <w:pStyle w:val="02Tabletext"/>
            </w:pPr>
            <w:r w:rsidRPr="00A0513E">
              <w:t>Delete</w:t>
            </w:r>
          </w:p>
        </w:tc>
        <w:tc>
          <w:tcPr>
            <w:tcW w:w="1801" w:type="dxa"/>
            <w:noWrap/>
          </w:tcPr>
          <w:p w14:paraId="762221C6" w14:textId="77777777" w:rsidR="00CA7016" w:rsidRPr="00A0513E" w:rsidRDefault="00CA7016" w:rsidP="003C3F6A">
            <w:pPr>
              <w:pStyle w:val="02Tabletext"/>
              <w:jc w:val="center"/>
            </w:pPr>
            <w:r>
              <w:t>4.15 &amp; 4.16.2</w:t>
            </w:r>
          </w:p>
        </w:tc>
      </w:tr>
      <w:tr w:rsidR="00CA7016" w:rsidRPr="00B96BC0" w14:paraId="362B4A52" w14:textId="77777777" w:rsidTr="003C3F6A">
        <w:trPr>
          <w:trHeight w:val="300"/>
        </w:trPr>
        <w:tc>
          <w:tcPr>
            <w:tcW w:w="847" w:type="dxa"/>
            <w:noWrap/>
            <w:hideMark/>
          </w:tcPr>
          <w:p w14:paraId="619C6B2A" w14:textId="77777777" w:rsidR="00CA7016" w:rsidRPr="00A0513E" w:rsidRDefault="00CA7016" w:rsidP="003C3F6A">
            <w:pPr>
              <w:pStyle w:val="02Tabletext"/>
            </w:pPr>
            <w:r w:rsidRPr="00A0513E">
              <w:t>69413</w:t>
            </w:r>
          </w:p>
        </w:tc>
        <w:tc>
          <w:tcPr>
            <w:tcW w:w="4630" w:type="dxa"/>
            <w:noWrap/>
            <w:hideMark/>
          </w:tcPr>
          <w:p w14:paraId="48C804EC" w14:textId="77777777" w:rsidR="00CA7016" w:rsidRPr="00A0513E" w:rsidRDefault="00CA7016" w:rsidP="003C3F6A">
            <w:pPr>
              <w:pStyle w:val="02Tabletext"/>
            </w:pPr>
            <w:r w:rsidRPr="00A0513E">
              <w:t>Microbiological serology during a pregnancy (except in the investigation of a clinically apparent intercurrent microbial illness or close contact with a patient suffering from parvovirus infection or varicella during that pregnancy) including: (a) the determination of 4 of the following - rubella immune status, specific syphilis serology, carriage of hepatitis B, hepatitis C antibody, HIV antibody and (b) (if performed) a service described in 1 or more of items 69384, 69475, 69478 and 69481</w:t>
            </w:r>
          </w:p>
        </w:tc>
        <w:tc>
          <w:tcPr>
            <w:tcW w:w="1738" w:type="dxa"/>
            <w:noWrap/>
          </w:tcPr>
          <w:p w14:paraId="3C71A355" w14:textId="77777777" w:rsidR="00CA7016" w:rsidRPr="00A0513E" w:rsidRDefault="00CA7016" w:rsidP="003C3F6A">
            <w:pPr>
              <w:pStyle w:val="02Tabletext"/>
            </w:pPr>
            <w:r w:rsidRPr="00A0513E">
              <w:t>Delete</w:t>
            </w:r>
          </w:p>
        </w:tc>
        <w:tc>
          <w:tcPr>
            <w:tcW w:w="1801" w:type="dxa"/>
            <w:noWrap/>
          </w:tcPr>
          <w:p w14:paraId="6E93C64C" w14:textId="77777777" w:rsidR="00CA7016" w:rsidRPr="00A0513E" w:rsidRDefault="00CA7016" w:rsidP="003C3F6A">
            <w:pPr>
              <w:pStyle w:val="02Tabletext"/>
              <w:jc w:val="center"/>
            </w:pPr>
            <w:r>
              <w:t>4.15 &amp; 4.16.2</w:t>
            </w:r>
          </w:p>
        </w:tc>
      </w:tr>
      <w:tr w:rsidR="00CA7016" w:rsidRPr="00B96BC0" w14:paraId="7D9A274A" w14:textId="77777777" w:rsidTr="003C3F6A">
        <w:trPr>
          <w:trHeight w:val="300"/>
        </w:trPr>
        <w:tc>
          <w:tcPr>
            <w:tcW w:w="847" w:type="dxa"/>
            <w:noWrap/>
            <w:hideMark/>
          </w:tcPr>
          <w:p w14:paraId="35CEF73E" w14:textId="77777777" w:rsidR="00CA7016" w:rsidRPr="00A0513E" w:rsidRDefault="00CA7016" w:rsidP="003C3F6A">
            <w:pPr>
              <w:pStyle w:val="02Tabletext"/>
            </w:pPr>
            <w:r w:rsidRPr="00A0513E">
              <w:t>69415</w:t>
            </w:r>
          </w:p>
        </w:tc>
        <w:tc>
          <w:tcPr>
            <w:tcW w:w="4630" w:type="dxa"/>
            <w:noWrap/>
            <w:hideMark/>
          </w:tcPr>
          <w:p w14:paraId="5FEFDBFD" w14:textId="77777777" w:rsidR="00CA7016" w:rsidRPr="00A0513E" w:rsidRDefault="00CA7016" w:rsidP="003C3F6A">
            <w:pPr>
              <w:pStyle w:val="02Tabletext"/>
            </w:pPr>
            <w:r w:rsidRPr="00A0513E">
              <w:t>Microbiological serology during a pregnancy (except in the investigation of a clinically apparent intercurrent microbial illness or close contact with a patient suffering from parvovirus infection or varicella during that pregnancy) including: (a) the determination of all 5</w:t>
            </w:r>
            <w:r>
              <w:t> </w:t>
            </w:r>
            <w:r w:rsidRPr="00A0513E">
              <w:t>of the following - rubella immune status, specific syphilis serology, carriage of hepatitis B, hepatitis C antibody, HIV antibody and (b) (if performed) a service described in 1 or more of items 69384, 69475, 69478 and 69481</w:t>
            </w:r>
          </w:p>
        </w:tc>
        <w:tc>
          <w:tcPr>
            <w:tcW w:w="1738" w:type="dxa"/>
            <w:noWrap/>
          </w:tcPr>
          <w:p w14:paraId="0FD76A48" w14:textId="77777777" w:rsidR="00CA7016" w:rsidRPr="00A0513E" w:rsidRDefault="00CA7016" w:rsidP="003C3F6A">
            <w:pPr>
              <w:pStyle w:val="02Tabletext"/>
            </w:pPr>
            <w:r w:rsidRPr="00A0513E">
              <w:t>No change</w:t>
            </w:r>
          </w:p>
        </w:tc>
        <w:tc>
          <w:tcPr>
            <w:tcW w:w="1801" w:type="dxa"/>
            <w:noWrap/>
          </w:tcPr>
          <w:p w14:paraId="5614F8D0" w14:textId="77777777" w:rsidR="00CA7016" w:rsidRPr="00A0513E" w:rsidRDefault="00CA7016" w:rsidP="003C3F6A">
            <w:pPr>
              <w:pStyle w:val="02Tabletext"/>
              <w:jc w:val="center"/>
            </w:pPr>
            <w:r>
              <w:t>4.15 &amp; 4.18</w:t>
            </w:r>
          </w:p>
        </w:tc>
      </w:tr>
      <w:tr w:rsidR="00CA7016" w:rsidRPr="00B96BC0" w14:paraId="50F5F17D" w14:textId="77777777" w:rsidTr="003C3F6A">
        <w:trPr>
          <w:trHeight w:val="300"/>
        </w:trPr>
        <w:tc>
          <w:tcPr>
            <w:tcW w:w="847" w:type="dxa"/>
            <w:noWrap/>
            <w:hideMark/>
          </w:tcPr>
          <w:p w14:paraId="1DE23905" w14:textId="77777777" w:rsidR="00CA7016" w:rsidRPr="00A0513E" w:rsidRDefault="00CA7016" w:rsidP="003C3F6A">
            <w:pPr>
              <w:pStyle w:val="02Tabletext"/>
            </w:pPr>
            <w:r w:rsidRPr="00A0513E">
              <w:t>69418</w:t>
            </w:r>
          </w:p>
        </w:tc>
        <w:tc>
          <w:tcPr>
            <w:tcW w:w="4630" w:type="dxa"/>
            <w:noWrap/>
            <w:hideMark/>
          </w:tcPr>
          <w:p w14:paraId="0AB24777" w14:textId="77777777" w:rsidR="00CA7016" w:rsidRPr="00A0513E" w:rsidRDefault="00CA7016" w:rsidP="003C3F6A">
            <w:pPr>
              <w:pStyle w:val="02Tabletext"/>
            </w:pPr>
            <w:r w:rsidRPr="00A0513E">
              <w:t>A test for high risk human papillomaviruses (HPV) in a patient who:</w:t>
            </w:r>
            <w:r>
              <w:t xml:space="preserve"> </w:t>
            </w:r>
            <w:r w:rsidRPr="00A0513E">
              <w:t>- has received excisional or ablative treatment for high grade squamous intraepithelial lesions (HSIL) of the cervix within the last two years; or who within the last two years has had a positive HPV test after excisional or ablative treatment for HSIL of the cervix; or - is already undergoing annual cytological review for the follow-up of a previously treated HSIL.</w:t>
            </w:r>
            <w:r>
              <w:t xml:space="preserve"> </w:t>
            </w:r>
            <w:r w:rsidRPr="00A0513E">
              <w:t xml:space="preserve">- to a maximum of 2 of this </w:t>
            </w:r>
            <w:proofErr w:type="gramStart"/>
            <w:r w:rsidRPr="00A0513E">
              <w:t>item</w:t>
            </w:r>
            <w:proofErr w:type="gramEnd"/>
            <w:r w:rsidRPr="00A0513E">
              <w:t xml:space="preserve"> in a 24</w:t>
            </w:r>
            <w:r>
              <w:t>-</w:t>
            </w:r>
            <w:r w:rsidRPr="00A0513E">
              <w:t>month period (Item is subject to rule 25)</w:t>
            </w:r>
          </w:p>
        </w:tc>
        <w:tc>
          <w:tcPr>
            <w:tcW w:w="1738" w:type="dxa"/>
            <w:noWrap/>
          </w:tcPr>
          <w:p w14:paraId="746C611E" w14:textId="77777777" w:rsidR="00CA7016" w:rsidRPr="00A0513E" w:rsidRDefault="00CA7016" w:rsidP="003C3F6A">
            <w:pPr>
              <w:pStyle w:val="02Tabletext"/>
            </w:pPr>
            <w:r w:rsidRPr="00A0513E">
              <w:t>Delete</w:t>
            </w:r>
          </w:p>
        </w:tc>
        <w:tc>
          <w:tcPr>
            <w:tcW w:w="1801" w:type="dxa"/>
            <w:noWrap/>
          </w:tcPr>
          <w:p w14:paraId="7CD6A146" w14:textId="77777777" w:rsidR="00CA7016" w:rsidRPr="00A0513E" w:rsidRDefault="00CA7016" w:rsidP="003C3F6A">
            <w:pPr>
              <w:pStyle w:val="02Tabletext"/>
              <w:jc w:val="center"/>
            </w:pPr>
            <w:r>
              <w:t>4.16.3</w:t>
            </w:r>
          </w:p>
        </w:tc>
      </w:tr>
      <w:tr w:rsidR="00CA7016" w:rsidRPr="00B96BC0" w14:paraId="7724E9C3" w14:textId="77777777" w:rsidTr="003C3F6A">
        <w:trPr>
          <w:trHeight w:val="300"/>
        </w:trPr>
        <w:tc>
          <w:tcPr>
            <w:tcW w:w="847" w:type="dxa"/>
            <w:noWrap/>
            <w:hideMark/>
          </w:tcPr>
          <w:p w14:paraId="063E3A61" w14:textId="77777777" w:rsidR="00CA7016" w:rsidRPr="00A0513E" w:rsidRDefault="00CA7016" w:rsidP="003C3F6A">
            <w:pPr>
              <w:pStyle w:val="02Tabletext"/>
            </w:pPr>
            <w:r w:rsidRPr="00A0513E">
              <w:t>69419</w:t>
            </w:r>
          </w:p>
        </w:tc>
        <w:tc>
          <w:tcPr>
            <w:tcW w:w="4630" w:type="dxa"/>
            <w:noWrap/>
            <w:hideMark/>
          </w:tcPr>
          <w:p w14:paraId="1C525948" w14:textId="77777777" w:rsidR="00CA7016" w:rsidRPr="00A0513E" w:rsidRDefault="00CA7016" w:rsidP="003C3F6A">
            <w:pPr>
              <w:pStyle w:val="02Tabletext"/>
            </w:pPr>
            <w:r w:rsidRPr="00A0513E">
              <w:t>A test described in item 69418 if rendered by a receiving APP - 1 test (Item is subject to rule 18 and 25)</w:t>
            </w:r>
          </w:p>
        </w:tc>
        <w:tc>
          <w:tcPr>
            <w:tcW w:w="1738" w:type="dxa"/>
            <w:noWrap/>
          </w:tcPr>
          <w:p w14:paraId="1E37E1EB" w14:textId="77777777" w:rsidR="00CA7016" w:rsidRPr="00A0513E" w:rsidRDefault="00CA7016" w:rsidP="003C3F6A">
            <w:pPr>
              <w:pStyle w:val="02Tabletext"/>
            </w:pPr>
            <w:r w:rsidRPr="00A0513E">
              <w:t>Delete</w:t>
            </w:r>
          </w:p>
        </w:tc>
        <w:tc>
          <w:tcPr>
            <w:tcW w:w="1801" w:type="dxa"/>
            <w:noWrap/>
          </w:tcPr>
          <w:p w14:paraId="60E2C824" w14:textId="77777777" w:rsidR="00CA7016" w:rsidRPr="00A0513E" w:rsidRDefault="00CA7016" w:rsidP="003C3F6A">
            <w:pPr>
              <w:pStyle w:val="02Tabletext"/>
              <w:jc w:val="center"/>
            </w:pPr>
            <w:r>
              <w:t>4.16.3</w:t>
            </w:r>
          </w:p>
        </w:tc>
      </w:tr>
      <w:tr w:rsidR="00CA7016" w:rsidRPr="00B96BC0" w14:paraId="22023F03" w14:textId="77777777" w:rsidTr="003C3F6A">
        <w:trPr>
          <w:trHeight w:val="300"/>
        </w:trPr>
        <w:tc>
          <w:tcPr>
            <w:tcW w:w="847" w:type="dxa"/>
            <w:noWrap/>
            <w:hideMark/>
          </w:tcPr>
          <w:p w14:paraId="5E28D221" w14:textId="77777777" w:rsidR="00CA7016" w:rsidRPr="00A0513E" w:rsidRDefault="00CA7016" w:rsidP="003C3F6A">
            <w:pPr>
              <w:pStyle w:val="02Tabletext"/>
            </w:pPr>
            <w:r w:rsidRPr="00A0513E">
              <w:t>69445</w:t>
            </w:r>
          </w:p>
        </w:tc>
        <w:tc>
          <w:tcPr>
            <w:tcW w:w="4630" w:type="dxa"/>
            <w:noWrap/>
            <w:hideMark/>
          </w:tcPr>
          <w:p w14:paraId="5F12123B" w14:textId="77777777" w:rsidR="00CA7016" w:rsidRPr="00A0513E" w:rsidRDefault="00CA7016" w:rsidP="003C3F6A">
            <w:pPr>
              <w:pStyle w:val="02Tabletext"/>
            </w:pPr>
            <w:r w:rsidRPr="00A0513E">
              <w:t xml:space="preserve">Detection of hepatitis C viral RNA in a patient undertaking antiviral therapy for chronic HCV hepatitis </w:t>
            </w:r>
            <w:r w:rsidRPr="00A0513E">
              <w:lastRenderedPageBreak/>
              <w:t xml:space="preserve">(including a service described in item 69499) - 1 test. To a maximum of 4 of this </w:t>
            </w:r>
            <w:proofErr w:type="gramStart"/>
            <w:r w:rsidRPr="00A0513E">
              <w:t>item</w:t>
            </w:r>
            <w:proofErr w:type="gramEnd"/>
            <w:r w:rsidRPr="00A0513E">
              <w:t xml:space="preserve"> in a 12</w:t>
            </w:r>
            <w:r>
              <w:t>-</w:t>
            </w:r>
            <w:r w:rsidRPr="00A0513E">
              <w:t>month period (Item is subject to rule 25)</w:t>
            </w:r>
          </w:p>
        </w:tc>
        <w:tc>
          <w:tcPr>
            <w:tcW w:w="1738" w:type="dxa"/>
            <w:noWrap/>
          </w:tcPr>
          <w:p w14:paraId="53523DE5" w14:textId="77777777" w:rsidR="00CA7016" w:rsidRPr="00A0513E" w:rsidRDefault="00CA7016" w:rsidP="003C3F6A">
            <w:pPr>
              <w:pStyle w:val="02Tabletext"/>
            </w:pPr>
            <w:r w:rsidRPr="00A0513E">
              <w:lastRenderedPageBreak/>
              <w:t xml:space="preserve">No change </w:t>
            </w:r>
          </w:p>
        </w:tc>
        <w:tc>
          <w:tcPr>
            <w:tcW w:w="1801" w:type="dxa"/>
            <w:noWrap/>
          </w:tcPr>
          <w:p w14:paraId="151D5994" w14:textId="77777777" w:rsidR="00CA7016" w:rsidRPr="00A0513E" w:rsidRDefault="00CA7016" w:rsidP="003C3F6A">
            <w:pPr>
              <w:pStyle w:val="02Tabletext"/>
              <w:jc w:val="center"/>
            </w:pPr>
            <w:r>
              <w:t>4.18</w:t>
            </w:r>
          </w:p>
        </w:tc>
      </w:tr>
      <w:tr w:rsidR="00CA7016" w:rsidRPr="00B96BC0" w14:paraId="2C1E4875" w14:textId="77777777" w:rsidTr="003C3F6A">
        <w:trPr>
          <w:trHeight w:val="300"/>
        </w:trPr>
        <w:tc>
          <w:tcPr>
            <w:tcW w:w="847" w:type="dxa"/>
            <w:noWrap/>
            <w:hideMark/>
          </w:tcPr>
          <w:p w14:paraId="4B380B10" w14:textId="77777777" w:rsidR="00CA7016" w:rsidRPr="00A0513E" w:rsidRDefault="00CA7016" w:rsidP="003C3F6A">
            <w:pPr>
              <w:pStyle w:val="02Tabletext"/>
            </w:pPr>
            <w:r w:rsidRPr="00A0513E">
              <w:t>69451</w:t>
            </w:r>
          </w:p>
        </w:tc>
        <w:tc>
          <w:tcPr>
            <w:tcW w:w="4630" w:type="dxa"/>
            <w:noWrap/>
            <w:hideMark/>
          </w:tcPr>
          <w:p w14:paraId="400D4EC3" w14:textId="77777777" w:rsidR="00CA7016" w:rsidRPr="00A0513E" w:rsidRDefault="00CA7016" w:rsidP="003C3F6A">
            <w:pPr>
              <w:pStyle w:val="02Tabletext"/>
            </w:pPr>
            <w:r w:rsidRPr="00A0513E">
              <w:t>A test described in item 69445 if rendered by a receiving APP - 1 test. (Item is subject to rule 18 and 25)</w:t>
            </w:r>
          </w:p>
        </w:tc>
        <w:tc>
          <w:tcPr>
            <w:tcW w:w="1738" w:type="dxa"/>
            <w:noWrap/>
          </w:tcPr>
          <w:p w14:paraId="59936289" w14:textId="77777777" w:rsidR="00CA7016" w:rsidRPr="00A0513E" w:rsidRDefault="00CA7016" w:rsidP="003C3F6A">
            <w:pPr>
              <w:pStyle w:val="02Tabletext"/>
            </w:pPr>
            <w:r w:rsidRPr="00A0513E">
              <w:t xml:space="preserve">No change </w:t>
            </w:r>
          </w:p>
        </w:tc>
        <w:tc>
          <w:tcPr>
            <w:tcW w:w="1801" w:type="dxa"/>
            <w:noWrap/>
          </w:tcPr>
          <w:p w14:paraId="0637F77E" w14:textId="77777777" w:rsidR="00CA7016" w:rsidRPr="00A0513E" w:rsidRDefault="00CA7016" w:rsidP="003C3F6A">
            <w:pPr>
              <w:pStyle w:val="02Tabletext"/>
              <w:jc w:val="center"/>
            </w:pPr>
            <w:r>
              <w:t>4.18</w:t>
            </w:r>
          </w:p>
        </w:tc>
      </w:tr>
      <w:tr w:rsidR="00CA7016" w:rsidRPr="00B96BC0" w14:paraId="4CCECE6E" w14:textId="77777777" w:rsidTr="003C3F6A">
        <w:trPr>
          <w:trHeight w:val="300"/>
        </w:trPr>
        <w:tc>
          <w:tcPr>
            <w:tcW w:w="847" w:type="dxa"/>
            <w:noWrap/>
            <w:hideMark/>
          </w:tcPr>
          <w:p w14:paraId="20CE8660" w14:textId="77777777" w:rsidR="00CA7016" w:rsidRPr="00A0513E" w:rsidRDefault="00CA7016" w:rsidP="003C3F6A">
            <w:pPr>
              <w:pStyle w:val="02Tabletext"/>
            </w:pPr>
            <w:r w:rsidRPr="00A0513E">
              <w:t>69471</w:t>
            </w:r>
          </w:p>
        </w:tc>
        <w:tc>
          <w:tcPr>
            <w:tcW w:w="4630" w:type="dxa"/>
            <w:noWrap/>
            <w:hideMark/>
          </w:tcPr>
          <w:p w14:paraId="2E05CA7F" w14:textId="77777777" w:rsidR="00CA7016" w:rsidRPr="00A0513E" w:rsidRDefault="00CA7016" w:rsidP="003C3F6A">
            <w:pPr>
              <w:pStyle w:val="02Tabletext"/>
            </w:pPr>
            <w:r>
              <w:t>T</w:t>
            </w:r>
            <w:r w:rsidRPr="00A0513E">
              <w:t xml:space="preserve">est of cell-mediated immunity in blood for the detection of latent tuberculosis in an immunosuppressed or immunocompromised patient </w:t>
            </w:r>
            <w:r>
              <w:t>–</w:t>
            </w:r>
            <w:r w:rsidRPr="00A0513E">
              <w:t xml:space="preserve"> 1</w:t>
            </w:r>
            <w:r>
              <w:t> </w:t>
            </w:r>
            <w:r w:rsidRPr="00A0513E">
              <w:t>test</w:t>
            </w:r>
          </w:p>
        </w:tc>
        <w:tc>
          <w:tcPr>
            <w:tcW w:w="1738" w:type="dxa"/>
            <w:noWrap/>
          </w:tcPr>
          <w:p w14:paraId="2F3637C4" w14:textId="77777777" w:rsidR="00CA7016" w:rsidRPr="00A0513E" w:rsidRDefault="00F200E5" w:rsidP="003C3F6A">
            <w:pPr>
              <w:pStyle w:val="02Tabletext"/>
            </w:pPr>
            <w:r>
              <w:t>Change</w:t>
            </w:r>
          </w:p>
          <w:p w14:paraId="4E061492" w14:textId="77777777" w:rsidR="00CA7016" w:rsidRPr="00A0513E" w:rsidRDefault="00CA7016" w:rsidP="003C3F6A">
            <w:pPr>
              <w:pStyle w:val="02Tabletext"/>
            </w:pPr>
          </w:p>
        </w:tc>
        <w:tc>
          <w:tcPr>
            <w:tcW w:w="1801" w:type="dxa"/>
            <w:noWrap/>
          </w:tcPr>
          <w:p w14:paraId="5A5011FC" w14:textId="77777777" w:rsidR="00CA7016" w:rsidRPr="00A0513E" w:rsidRDefault="00CA7016" w:rsidP="00F36967">
            <w:pPr>
              <w:pStyle w:val="02Tabletext"/>
              <w:jc w:val="center"/>
            </w:pPr>
            <w:r>
              <w:t>4.</w:t>
            </w:r>
            <w:r w:rsidR="00F36967">
              <w:t>5.3</w:t>
            </w:r>
          </w:p>
        </w:tc>
      </w:tr>
      <w:tr w:rsidR="00CA7016" w:rsidRPr="00B96BC0" w14:paraId="4D4A2F1B" w14:textId="77777777" w:rsidTr="003C3F6A">
        <w:trPr>
          <w:trHeight w:val="300"/>
        </w:trPr>
        <w:tc>
          <w:tcPr>
            <w:tcW w:w="847" w:type="dxa"/>
            <w:noWrap/>
            <w:hideMark/>
          </w:tcPr>
          <w:p w14:paraId="34D242A7" w14:textId="77777777" w:rsidR="00CA7016" w:rsidRPr="00A0513E" w:rsidRDefault="00CA7016" w:rsidP="003C3F6A">
            <w:pPr>
              <w:pStyle w:val="02Tabletext"/>
            </w:pPr>
            <w:r w:rsidRPr="00A0513E">
              <w:t>69472</w:t>
            </w:r>
          </w:p>
        </w:tc>
        <w:tc>
          <w:tcPr>
            <w:tcW w:w="4630" w:type="dxa"/>
            <w:noWrap/>
            <w:hideMark/>
          </w:tcPr>
          <w:p w14:paraId="0153E1B4" w14:textId="77777777" w:rsidR="00CA7016" w:rsidRPr="00A0513E" w:rsidRDefault="00CA7016" w:rsidP="003C3F6A">
            <w:pPr>
              <w:pStyle w:val="02Tabletext"/>
            </w:pPr>
            <w:r w:rsidRPr="00A0513E">
              <w:t>Detection of antibodies to Epstein Barr Virus using specific serology - 1 test</w:t>
            </w:r>
          </w:p>
        </w:tc>
        <w:tc>
          <w:tcPr>
            <w:tcW w:w="1738" w:type="dxa"/>
            <w:noWrap/>
          </w:tcPr>
          <w:p w14:paraId="0A06727D" w14:textId="77777777" w:rsidR="00CA7016" w:rsidRPr="00A0513E" w:rsidRDefault="00CA7016" w:rsidP="003C3F6A">
            <w:pPr>
              <w:pStyle w:val="02Tabletext"/>
            </w:pPr>
            <w:r w:rsidRPr="00A0513E">
              <w:t>Delete</w:t>
            </w:r>
          </w:p>
        </w:tc>
        <w:tc>
          <w:tcPr>
            <w:tcW w:w="1801" w:type="dxa"/>
            <w:noWrap/>
          </w:tcPr>
          <w:p w14:paraId="3462CC73" w14:textId="77777777" w:rsidR="00CA7016" w:rsidRPr="00A0513E" w:rsidRDefault="00B92762" w:rsidP="003C3F6A">
            <w:pPr>
              <w:pStyle w:val="02Tabletext"/>
              <w:jc w:val="center"/>
            </w:pPr>
            <w:r>
              <w:t>4.10</w:t>
            </w:r>
          </w:p>
        </w:tc>
      </w:tr>
      <w:tr w:rsidR="00CA7016" w:rsidRPr="00B96BC0" w14:paraId="072732F7" w14:textId="77777777" w:rsidTr="003C3F6A">
        <w:trPr>
          <w:trHeight w:val="300"/>
        </w:trPr>
        <w:tc>
          <w:tcPr>
            <w:tcW w:w="847" w:type="dxa"/>
            <w:noWrap/>
            <w:hideMark/>
          </w:tcPr>
          <w:p w14:paraId="31FE0067" w14:textId="77777777" w:rsidR="00CA7016" w:rsidRPr="00A0513E" w:rsidRDefault="00CA7016" w:rsidP="003C3F6A">
            <w:pPr>
              <w:pStyle w:val="02Tabletext"/>
            </w:pPr>
            <w:r w:rsidRPr="00A0513E">
              <w:t>69474</w:t>
            </w:r>
          </w:p>
        </w:tc>
        <w:tc>
          <w:tcPr>
            <w:tcW w:w="4630" w:type="dxa"/>
            <w:noWrap/>
            <w:hideMark/>
          </w:tcPr>
          <w:p w14:paraId="78624CA0" w14:textId="77777777" w:rsidR="00CA7016" w:rsidRPr="00A0513E" w:rsidRDefault="00CA7016" w:rsidP="003C3F6A">
            <w:pPr>
              <w:pStyle w:val="02Tabletext"/>
            </w:pPr>
            <w:r w:rsidRPr="00A0513E">
              <w:t>Detection of antibodies to Epstein Barr Virus using specific serology - 2 or more tests</w:t>
            </w:r>
          </w:p>
        </w:tc>
        <w:tc>
          <w:tcPr>
            <w:tcW w:w="1738" w:type="dxa"/>
            <w:noWrap/>
          </w:tcPr>
          <w:p w14:paraId="6E2294D4" w14:textId="77777777" w:rsidR="00CA7016" w:rsidRPr="00A0513E" w:rsidRDefault="00CA7016" w:rsidP="003C3F6A">
            <w:pPr>
              <w:pStyle w:val="02Tabletext"/>
            </w:pPr>
            <w:r w:rsidRPr="00A0513E">
              <w:t>Delete</w:t>
            </w:r>
          </w:p>
        </w:tc>
        <w:tc>
          <w:tcPr>
            <w:tcW w:w="1801" w:type="dxa"/>
            <w:noWrap/>
          </w:tcPr>
          <w:p w14:paraId="3FB468D9" w14:textId="77777777" w:rsidR="00CA7016" w:rsidRPr="00A0513E" w:rsidRDefault="00B92762" w:rsidP="003C3F6A">
            <w:pPr>
              <w:pStyle w:val="02Tabletext"/>
              <w:jc w:val="center"/>
            </w:pPr>
            <w:r>
              <w:t>4.10</w:t>
            </w:r>
          </w:p>
        </w:tc>
      </w:tr>
      <w:tr w:rsidR="00CA7016" w:rsidRPr="00B96BC0" w14:paraId="136BEEE6" w14:textId="77777777" w:rsidTr="003C3F6A">
        <w:trPr>
          <w:trHeight w:val="300"/>
        </w:trPr>
        <w:tc>
          <w:tcPr>
            <w:tcW w:w="847" w:type="dxa"/>
            <w:noWrap/>
            <w:hideMark/>
          </w:tcPr>
          <w:p w14:paraId="05DAD0F3" w14:textId="77777777" w:rsidR="00CA7016" w:rsidRPr="00A0513E" w:rsidRDefault="00CA7016" w:rsidP="003C3F6A">
            <w:pPr>
              <w:pStyle w:val="02Tabletext"/>
            </w:pPr>
            <w:r w:rsidRPr="00A0513E">
              <w:t>69475</w:t>
            </w:r>
          </w:p>
        </w:tc>
        <w:tc>
          <w:tcPr>
            <w:tcW w:w="4630" w:type="dxa"/>
            <w:noWrap/>
            <w:hideMark/>
          </w:tcPr>
          <w:p w14:paraId="368EBBFE" w14:textId="77777777" w:rsidR="00CA7016" w:rsidRPr="00A0513E" w:rsidRDefault="00CA7016" w:rsidP="003C3F6A">
            <w:pPr>
              <w:pStyle w:val="02Tabletext"/>
            </w:pPr>
            <w:r w:rsidRPr="00A0513E">
              <w:t xml:space="preserve">One test for hepatitis antigen or antibodies to determine immune status or viral carriage following exposure or vaccination to hepatitis A, hepatitis B, hepatitis C or hepatitis D </w:t>
            </w:r>
            <w:r w:rsidRPr="00A0513E">
              <w:br/>
              <w:t>(item subject to rule 11)</w:t>
            </w:r>
          </w:p>
        </w:tc>
        <w:tc>
          <w:tcPr>
            <w:tcW w:w="1738" w:type="dxa"/>
            <w:noWrap/>
          </w:tcPr>
          <w:p w14:paraId="1CCEBE37" w14:textId="77777777" w:rsidR="00CA7016" w:rsidRPr="00A0513E" w:rsidRDefault="00CA7016" w:rsidP="003C3F6A">
            <w:pPr>
              <w:pStyle w:val="02Tabletext"/>
            </w:pPr>
            <w:r w:rsidRPr="00A0513E">
              <w:t>Delete</w:t>
            </w:r>
          </w:p>
        </w:tc>
        <w:tc>
          <w:tcPr>
            <w:tcW w:w="1801" w:type="dxa"/>
            <w:noWrap/>
          </w:tcPr>
          <w:p w14:paraId="42640DA3" w14:textId="77777777" w:rsidR="00CA7016" w:rsidRPr="00A0513E" w:rsidRDefault="00CA7016" w:rsidP="003C3F6A">
            <w:pPr>
              <w:pStyle w:val="02Tabletext"/>
              <w:jc w:val="center"/>
            </w:pPr>
            <w:r>
              <w:fldChar w:fldCharType="begin"/>
            </w:r>
            <w:r>
              <w:instrText xml:space="preserve"> REF _Ref487789370 \r \h </w:instrText>
            </w:r>
            <w:r>
              <w:fldChar w:fldCharType="separate"/>
            </w:r>
            <w:r w:rsidR="007A1648">
              <w:t>4.</w:t>
            </w:r>
            <w:r w:rsidR="00B92762">
              <w:t>9</w:t>
            </w:r>
            <w:r w:rsidR="007A1648">
              <w:t>.3</w:t>
            </w:r>
            <w:r>
              <w:fldChar w:fldCharType="end"/>
            </w:r>
          </w:p>
        </w:tc>
      </w:tr>
      <w:tr w:rsidR="00CA7016" w:rsidRPr="00B96BC0" w14:paraId="7C6F5042" w14:textId="77777777" w:rsidTr="003C3F6A">
        <w:trPr>
          <w:trHeight w:val="300"/>
        </w:trPr>
        <w:tc>
          <w:tcPr>
            <w:tcW w:w="847" w:type="dxa"/>
            <w:noWrap/>
            <w:hideMark/>
          </w:tcPr>
          <w:p w14:paraId="2EB8A860" w14:textId="77777777" w:rsidR="00CA7016" w:rsidRPr="00A0513E" w:rsidRDefault="00CA7016" w:rsidP="003C3F6A">
            <w:pPr>
              <w:pStyle w:val="02Tabletext"/>
            </w:pPr>
            <w:r w:rsidRPr="00A0513E">
              <w:t>69478</w:t>
            </w:r>
          </w:p>
        </w:tc>
        <w:tc>
          <w:tcPr>
            <w:tcW w:w="4630" w:type="dxa"/>
            <w:noWrap/>
            <w:hideMark/>
          </w:tcPr>
          <w:p w14:paraId="7D2034E7" w14:textId="77777777" w:rsidR="00CA7016" w:rsidRPr="00A0513E" w:rsidRDefault="00CA7016" w:rsidP="003C3F6A">
            <w:pPr>
              <w:pStyle w:val="02Tabletext"/>
            </w:pPr>
            <w:r w:rsidRPr="00A0513E">
              <w:t>2 tests described in 69475</w:t>
            </w:r>
            <w:r w:rsidRPr="00A0513E">
              <w:br/>
              <w:t>(item subject to rule 11)</w:t>
            </w:r>
          </w:p>
        </w:tc>
        <w:tc>
          <w:tcPr>
            <w:tcW w:w="1738" w:type="dxa"/>
            <w:noWrap/>
          </w:tcPr>
          <w:p w14:paraId="579A6D70" w14:textId="77777777" w:rsidR="00CA7016" w:rsidRPr="00A0513E" w:rsidRDefault="00CA7016" w:rsidP="003C3F6A">
            <w:pPr>
              <w:pStyle w:val="02Tabletext"/>
            </w:pPr>
            <w:r w:rsidRPr="00A0513E">
              <w:t>Delete</w:t>
            </w:r>
          </w:p>
        </w:tc>
        <w:tc>
          <w:tcPr>
            <w:tcW w:w="1801" w:type="dxa"/>
            <w:noWrap/>
          </w:tcPr>
          <w:p w14:paraId="5A6554B3" w14:textId="77777777" w:rsidR="00CA7016" w:rsidRPr="00A0513E" w:rsidRDefault="00CA7016" w:rsidP="003C3F6A">
            <w:pPr>
              <w:pStyle w:val="02Tabletext"/>
              <w:jc w:val="center"/>
            </w:pPr>
            <w:r>
              <w:fldChar w:fldCharType="begin"/>
            </w:r>
            <w:r>
              <w:instrText xml:space="preserve"> REF _Ref487789378 \r \h </w:instrText>
            </w:r>
            <w:r>
              <w:fldChar w:fldCharType="separate"/>
            </w:r>
            <w:r w:rsidR="007A1648">
              <w:t>4.</w:t>
            </w:r>
            <w:r w:rsidR="00B92762">
              <w:t>9</w:t>
            </w:r>
            <w:r w:rsidR="007A1648">
              <w:t>.3</w:t>
            </w:r>
            <w:r>
              <w:fldChar w:fldCharType="end"/>
            </w:r>
          </w:p>
        </w:tc>
      </w:tr>
      <w:tr w:rsidR="00CA7016" w:rsidRPr="00B96BC0" w14:paraId="4FBF0C87" w14:textId="77777777" w:rsidTr="003C3F6A">
        <w:trPr>
          <w:trHeight w:val="300"/>
        </w:trPr>
        <w:tc>
          <w:tcPr>
            <w:tcW w:w="847" w:type="dxa"/>
            <w:noWrap/>
            <w:hideMark/>
          </w:tcPr>
          <w:p w14:paraId="5566F022" w14:textId="77777777" w:rsidR="00CA7016" w:rsidRPr="00A0513E" w:rsidRDefault="00CA7016" w:rsidP="003C3F6A">
            <w:pPr>
              <w:pStyle w:val="02Tabletext"/>
            </w:pPr>
            <w:r w:rsidRPr="00A0513E">
              <w:t>69481</w:t>
            </w:r>
          </w:p>
        </w:tc>
        <w:tc>
          <w:tcPr>
            <w:tcW w:w="4630" w:type="dxa"/>
            <w:noWrap/>
            <w:hideMark/>
          </w:tcPr>
          <w:p w14:paraId="69172170" w14:textId="77777777" w:rsidR="00CA7016" w:rsidRPr="00A0513E" w:rsidRDefault="00CA7016" w:rsidP="003C3F6A">
            <w:pPr>
              <w:pStyle w:val="02Tabletext"/>
            </w:pPr>
            <w:r w:rsidRPr="00A0513E">
              <w:t>Investigation of infectious causes of acute or chronic hepatitis - 3 tests for hepatitis antibodies or antigens, (item subject to rule 11)</w:t>
            </w:r>
          </w:p>
        </w:tc>
        <w:tc>
          <w:tcPr>
            <w:tcW w:w="1738" w:type="dxa"/>
            <w:noWrap/>
          </w:tcPr>
          <w:p w14:paraId="376AC4C4" w14:textId="77777777" w:rsidR="00CA7016" w:rsidRPr="00A0513E" w:rsidRDefault="00CA7016" w:rsidP="003C3F6A">
            <w:pPr>
              <w:pStyle w:val="02Tabletext"/>
            </w:pPr>
            <w:r w:rsidRPr="00A0513E">
              <w:t>Delete</w:t>
            </w:r>
          </w:p>
        </w:tc>
        <w:tc>
          <w:tcPr>
            <w:tcW w:w="1801" w:type="dxa"/>
            <w:noWrap/>
          </w:tcPr>
          <w:p w14:paraId="160B6F71" w14:textId="77777777" w:rsidR="00CA7016" w:rsidRPr="00A0513E" w:rsidRDefault="00CA7016" w:rsidP="003C3F6A">
            <w:pPr>
              <w:pStyle w:val="02Tabletext"/>
              <w:jc w:val="center"/>
            </w:pPr>
            <w:r>
              <w:fldChar w:fldCharType="begin"/>
            </w:r>
            <w:r>
              <w:instrText xml:space="preserve"> REF _Ref487789385 \r \h </w:instrText>
            </w:r>
            <w:r>
              <w:fldChar w:fldCharType="separate"/>
            </w:r>
            <w:r w:rsidR="007A1648">
              <w:t>4.</w:t>
            </w:r>
            <w:r w:rsidR="00B92762">
              <w:t>9</w:t>
            </w:r>
            <w:r w:rsidR="007A1648">
              <w:t>.3</w:t>
            </w:r>
            <w:r>
              <w:fldChar w:fldCharType="end"/>
            </w:r>
          </w:p>
        </w:tc>
      </w:tr>
      <w:tr w:rsidR="00CA7016" w:rsidRPr="00B96BC0" w14:paraId="68DB8322" w14:textId="77777777" w:rsidTr="003C3F6A">
        <w:trPr>
          <w:trHeight w:val="300"/>
        </w:trPr>
        <w:tc>
          <w:tcPr>
            <w:tcW w:w="847" w:type="dxa"/>
            <w:noWrap/>
            <w:hideMark/>
          </w:tcPr>
          <w:p w14:paraId="6F508602" w14:textId="77777777" w:rsidR="00CA7016" w:rsidRPr="00A0513E" w:rsidRDefault="00CA7016" w:rsidP="003C3F6A">
            <w:pPr>
              <w:pStyle w:val="02Tabletext"/>
            </w:pPr>
            <w:r w:rsidRPr="00A0513E">
              <w:t>69482</w:t>
            </w:r>
          </w:p>
        </w:tc>
        <w:tc>
          <w:tcPr>
            <w:tcW w:w="4630" w:type="dxa"/>
            <w:noWrap/>
            <w:hideMark/>
          </w:tcPr>
          <w:p w14:paraId="7F31FB4D" w14:textId="77777777" w:rsidR="00CA7016" w:rsidRPr="00A0513E" w:rsidRDefault="00CA7016" w:rsidP="003C3F6A">
            <w:pPr>
              <w:pStyle w:val="02Tabletext"/>
            </w:pPr>
            <w:r w:rsidRPr="00A0513E">
              <w:t>Quantitation of hepatitis B viral DNA in patients who are hepatitis B surface antigen positive and have chronic hepatitis B, but are not receiving antiviral therapy - 1 test (item is subject to rule 25)</w:t>
            </w:r>
          </w:p>
        </w:tc>
        <w:tc>
          <w:tcPr>
            <w:tcW w:w="1738" w:type="dxa"/>
            <w:noWrap/>
          </w:tcPr>
          <w:p w14:paraId="3B82AD7D" w14:textId="77777777" w:rsidR="00CA7016" w:rsidRPr="00A0513E" w:rsidRDefault="00CA7016" w:rsidP="003C3F6A">
            <w:pPr>
              <w:pStyle w:val="02Tabletext"/>
            </w:pPr>
            <w:r w:rsidRPr="00A0513E">
              <w:t>No change</w:t>
            </w:r>
          </w:p>
        </w:tc>
        <w:tc>
          <w:tcPr>
            <w:tcW w:w="1801" w:type="dxa"/>
            <w:noWrap/>
          </w:tcPr>
          <w:p w14:paraId="1F465946" w14:textId="77777777" w:rsidR="00CA7016" w:rsidRPr="00A0513E" w:rsidRDefault="00CA7016" w:rsidP="003C3F6A">
            <w:pPr>
              <w:pStyle w:val="02Tabletext"/>
              <w:jc w:val="center"/>
            </w:pPr>
            <w:r>
              <w:t>4.18</w:t>
            </w:r>
          </w:p>
        </w:tc>
      </w:tr>
      <w:tr w:rsidR="00CA7016" w:rsidRPr="00B96BC0" w14:paraId="1BD5A140" w14:textId="77777777" w:rsidTr="003C3F6A">
        <w:trPr>
          <w:trHeight w:val="300"/>
        </w:trPr>
        <w:tc>
          <w:tcPr>
            <w:tcW w:w="847" w:type="dxa"/>
            <w:noWrap/>
            <w:hideMark/>
          </w:tcPr>
          <w:p w14:paraId="48428BBD" w14:textId="77777777" w:rsidR="00CA7016" w:rsidRPr="00A0513E" w:rsidRDefault="00CA7016" w:rsidP="003C3F6A">
            <w:pPr>
              <w:pStyle w:val="02Tabletext"/>
            </w:pPr>
            <w:r w:rsidRPr="00A0513E">
              <w:t>69483</w:t>
            </w:r>
          </w:p>
        </w:tc>
        <w:tc>
          <w:tcPr>
            <w:tcW w:w="4630" w:type="dxa"/>
            <w:noWrap/>
            <w:hideMark/>
          </w:tcPr>
          <w:p w14:paraId="3BF7AA13" w14:textId="77777777" w:rsidR="00CA7016" w:rsidRPr="00A0513E" w:rsidRDefault="00CA7016" w:rsidP="003C3F6A">
            <w:pPr>
              <w:pStyle w:val="02Tabletext"/>
            </w:pPr>
            <w:r w:rsidRPr="00A0513E">
              <w:t>Quantitation of hepatitis B viral DNA in patients who are hepatitis B surface antigen positive and who have chronic hepatitis B and are receiving antiviral therapy - 1 test (item is subject to rule 25)</w:t>
            </w:r>
          </w:p>
        </w:tc>
        <w:tc>
          <w:tcPr>
            <w:tcW w:w="1738" w:type="dxa"/>
            <w:noWrap/>
          </w:tcPr>
          <w:p w14:paraId="274481A2" w14:textId="77777777" w:rsidR="00CA7016" w:rsidRPr="00A0513E" w:rsidRDefault="00CA7016" w:rsidP="003C3F6A">
            <w:pPr>
              <w:pStyle w:val="02Tabletext"/>
            </w:pPr>
            <w:r w:rsidRPr="00A0513E">
              <w:t>No change</w:t>
            </w:r>
          </w:p>
        </w:tc>
        <w:tc>
          <w:tcPr>
            <w:tcW w:w="1801" w:type="dxa"/>
            <w:noWrap/>
          </w:tcPr>
          <w:p w14:paraId="0A2DD874" w14:textId="77777777" w:rsidR="00CA7016" w:rsidRPr="00A0513E" w:rsidRDefault="00CA7016" w:rsidP="003C3F6A">
            <w:pPr>
              <w:pStyle w:val="02Tabletext"/>
              <w:jc w:val="center"/>
            </w:pPr>
            <w:r>
              <w:t>4.18</w:t>
            </w:r>
          </w:p>
        </w:tc>
      </w:tr>
      <w:tr w:rsidR="00CA7016" w:rsidRPr="00B96BC0" w14:paraId="5C65DB87" w14:textId="77777777" w:rsidTr="003C3F6A">
        <w:trPr>
          <w:trHeight w:val="300"/>
        </w:trPr>
        <w:tc>
          <w:tcPr>
            <w:tcW w:w="847" w:type="dxa"/>
            <w:noWrap/>
            <w:hideMark/>
          </w:tcPr>
          <w:p w14:paraId="6D97D62F" w14:textId="77777777" w:rsidR="00CA7016" w:rsidRPr="00A0513E" w:rsidRDefault="00CA7016" w:rsidP="003C3F6A">
            <w:pPr>
              <w:pStyle w:val="02Tabletext"/>
            </w:pPr>
            <w:r w:rsidRPr="00A0513E">
              <w:t>69484</w:t>
            </w:r>
          </w:p>
        </w:tc>
        <w:tc>
          <w:tcPr>
            <w:tcW w:w="4630" w:type="dxa"/>
            <w:noWrap/>
            <w:hideMark/>
          </w:tcPr>
          <w:p w14:paraId="7500C348" w14:textId="77777777" w:rsidR="00CA7016" w:rsidRPr="00A0513E" w:rsidRDefault="00CA7016" w:rsidP="003C3F6A">
            <w:pPr>
              <w:pStyle w:val="02Tabletext"/>
            </w:pPr>
            <w:r w:rsidRPr="00A0513E">
              <w:t xml:space="preserve">Supplementary testing for hepatitis </w:t>
            </w:r>
            <w:r w:rsidR="002B3C5D">
              <w:t>B</w:t>
            </w:r>
            <w:r w:rsidRPr="00A0513E">
              <w:t xml:space="preserve"> surface antigen or hepatitis C antibody using a different assay on the specimen which yielded a reactive result on initial testing (Item is subject to rule 18)</w:t>
            </w:r>
          </w:p>
        </w:tc>
        <w:tc>
          <w:tcPr>
            <w:tcW w:w="1738" w:type="dxa"/>
            <w:noWrap/>
          </w:tcPr>
          <w:p w14:paraId="395084E3" w14:textId="77777777" w:rsidR="00CA7016" w:rsidRPr="00A0513E" w:rsidRDefault="00CA7016" w:rsidP="003C3F6A">
            <w:pPr>
              <w:pStyle w:val="02Tabletext"/>
            </w:pPr>
            <w:r>
              <w:t>No c</w:t>
            </w:r>
            <w:r w:rsidRPr="00A0513E">
              <w:t>hange</w:t>
            </w:r>
          </w:p>
        </w:tc>
        <w:tc>
          <w:tcPr>
            <w:tcW w:w="1801" w:type="dxa"/>
            <w:noWrap/>
          </w:tcPr>
          <w:p w14:paraId="6106C950" w14:textId="77777777" w:rsidR="00CA7016" w:rsidRPr="00A0513E" w:rsidRDefault="00CA7016" w:rsidP="003C3F6A">
            <w:pPr>
              <w:pStyle w:val="02Tabletext"/>
              <w:jc w:val="center"/>
            </w:pPr>
            <w:r>
              <w:fldChar w:fldCharType="begin"/>
            </w:r>
            <w:r>
              <w:instrText xml:space="preserve"> REF _Ref487789524 \r \h </w:instrText>
            </w:r>
            <w:r>
              <w:fldChar w:fldCharType="separate"/>
            </w:r>
            <w:r w:rsidR="007A1648">
              <w:t>4.</w:t>
            </w:r>
            <w:r w:rsidR="002B3C5D">
              <w:t>18</w:t>
            </w:r>
            <w:r>
              <w:fldChar w:fldCharType="end"/>
            </w:r>
          </w:p>
        </w:tc>
      </w:tr>
      <w:tr w:rsidR="00CA7016" w:rsidRPr="00B96BC0" w14:paraId="6928F654" w14:textId="77777777" w:rsidTr="003C3F6A">
        <w:trPr>
          <w:trHeight w:val="300"/>
        </w:trPr>
        <w:tc>
          <w:tcPr>
            <w:tcW w:w="847" w:type="dxa"/>
            <w:noWrap/>
            <w:hideMark/>
          </w:tcPr>
          <w:p w14:paraId="4AA39F3C" w14:textId="77777777" w:rsidR="00CA7016" w:rsidRPr="00A0513E" w:rsidRDefault="00CA7016" w:rsidP="003C3F6A">
            <w:pPr>
              <w:pStyle w:val="02Tabletext"/>
            </w:pPr>
            <w:r w:rsidRPr="00A0513E">
              <w:t>69488</w:t>
            </w:r>
          </w:p>
        </w:tc>
        <w:tc>
          <w:tcPr>
            <w:tcW w:w="4630" w:type="dxa"/>
            <w:noWrap/>
            <w:hideMark/>
          </w:tcPr>
          <w:p w14:paraId="0220AECC" w14:textId="77777777" w:rsidR="00CA7016" w:rsidRPr="00A0513E" w:rsidRDefault="00CA7016" w:rsidP="003C3F6A">
            <w:pPr>
              <w:pStyle w:val="02Tabletext"/>
            </w:pPr>
            <w:r w:rsidRPr="00A0513E">
              <w:t>Quantitation of HCV RNA load in plasma or serum in the pre-treatment evaluation or the assessment of efficacy of antiviral therapy of a patient with chronic HCV hepatitis - where any request for the test is made by</w:t>
            </w:r>
            <w:r>
              <w:t>,</w:t>
            </w:r>
            <w:r w:rsidRPr="00A0513E">
              <w:t xml:space="preserve"> or on the advice of</w:t>
            </w:r>
            <w:r>
              <w:t>,</w:t>
            </w:r>
            <w:r w:rsidRPr="00A0513E">
              <w:t xml:space="preserve"> the specialist or consultant physician who manages the treatment of the patient with chronic HCV hepatitis (including a service in item 69499 or 69445) (Item is subject to rule 18 and 25)</w:t>
            </w:r>
          </w:p>
        </w:tc>
        <w:tc>
          <w:tcPr>
            <w:tcW w:w="1738" w:type="dxa"/>
            <w:noWrap/>
          </w:tcPr>
          <w:p w14:paraId="3ADE6E19" w14:textId="77777777" w:rsidR="00CA7016" w:rsidRPr="00A0513E" w:rsidRDefault="00CA7016" w:rsidP="003C3F6A">
            <w:pPr>
              <w:pStyle w:val="02Tabletext"/>
            </w:pPr>
            <w:r>
              <w:t>Minor c</w:t>
            </w:r>
            <w:r w:rsidRPr="00A0513E">
              <w:t>hange</w:t>
            </w:r>
          </w:p>
        </w:tc>
        <w:tc>
          <w:tcPr>
            <w:tcW w:w="1801" w:type="dxa"/>
            <w:noWrap/>
          </w:tcPr>
          <w:p w14:paraId="02329273" w14:textId="77777777" w:rsidR="00CA7016" w:rsidRPr="00A0513E" w:rsidRDefault="00CA7016" w:rsidP="003C3F6A">
            <w:pPr>
              <w:pStyle w:val="02Tabletext"/>
              <w:jc w:val="center"/>
            </w:pPr>
            <w:r>
              <w:t>4.17.1</w:t>
            </w:r>
          </w:p>
        </w:tc>
      </w:tr>
      <w:tr w:rsidR="00CA7016" w:rsidRPr="00B96BC0" w14:paraId="27746F15" w14:textId="77777777" w:rsidTr="003C3F6A">
        <w:trPr>
          <w:trHeight w:val="300"/>
        </w:trPr>
        <w:tc>
          <w:tcPr>
            <w:tcW w:w="847" w:type="dxa"/>
            <w:noWrap/>
            <w:hideMark/>
          </w:tcPr>
          <w:p w14:paraId="637EE954" w14:textId="77777777" w:rsidR="00CA7016" w:rsidRPr="00A0513E" w:rsidRDefault="00CA7016" w:rsidP="003C3F6A">
            <w:pPr>
              <w:pStyle w:val="02Tabletext"/>
            </w:pPr>
            <w:r w:rsidRPr="00A0513E">
              <w:t>69489</w:t>
            </w:r>
          </w:p>
        </w:tc>
        <w:tc>
          <w:tcPr>
            <w:tcW w:w="4630" w:type="dxa"/>
            <w:noWrap/>
            <w:hideMark/>
          </w:tcPr>
          <w:p w14:paraId="16CA332E" w14:textId="77777777" w:rsidR="00CA7016" w:rsidRPr="00A0513E" w:rsidRDefault="00CA7016" w:rsidP="003C3F6A">
            <w:pPr>
              <w:pStyle w:val="02Tabletext"/>
            </w:pPr>
            <w:r w:rsidRPr="00A0513E">
              <w:t>A test described in item 69488 if rendered by a receiving APP (Item is subject to rule 18 and 25)</w:t>
            </w:r>
          </w:p>
        </w:tc>
        <w:tc>
          <w:tcPr>
            <w:tcW w:w="1738" w:type="dxa"/>
            <w:noWrap/>
          </w:tcPr>
          <w:p w14:paraId="661A2242" w14:textId="77777777" w:rsidR="00CA7016" w:rsidRPr="00A0513E" w:rsidRDefault="00CA7016" w:rsidP="003C3F6A">
            <w:pPr>
              <w:pStyle w:val="02Tabletext"/>
            </w:pPr>
            <w:r w:rsidRPr="00A0513E">
              <w:t>No change</w:t>
            </w:r>
          </w:p>
        </w:tc>
        <w:tc>
          <w:tcPr>
            <w:tcW w:w="1801" w:type="dxa"/>
            <w:noWrap/>
          </w:tcPr>
          <w:p w14:paraId="13A120CF" w14:textId="77777777" w:rsidR="00CA7016" w:rsidRPr="00A0513E" w:rsidRDefault="00CA7016" w:rsidP="003C3F6A">
            <w:pPr>
              <w:pStyle w:val="02Tabletext"/>
              <w:jc w:val="center"/>
            </w:pPr>
            <w:r>
              <w:t>4.18</w:t>
            </w:r>
          </w:p>
        </w:tc>
      </w:tr>
      <w:tr w:rsidR="00CA7016" w:rsidRPr="00B96BC0" w14:paraId="17373E32" w14:textId="77777777" w:rsidTr="003C3F6A">
        <w:trPr>
          <w:trHeight w:val="300"/>
        </w:trPr>
        <w:tc>
          <w:tcPr>
            <w:tcW w:w="847" w:type="dxa"/>
            <w:noWrap/>
            <w:hideMark/>
          </w:tcPr>
          <w:p w14:paraId="38D62FDA" w14:textId="77777777" w:rsidR="00CA7016" w:rsidRPr="00A0513E" w:rsidRDefault="00CA7016" w:rsidP="003C3F6A">
            <w:pPr>
              <w:pStyle w:val="02Tabletext"/>
            </w:pPr>
            <w:r w:rsidRPr="00A0513E">
              <w:t>69491</w:t>
            </w:r>
          </w:p>
        </w:tc>
        <w:tc>
          <w:tcPr>
            <w:tcW w:w="4630" w:type="dxa"/>
            <w:noWrap/>
            <w:hideMark/>
          </w:tcPr>
          <w:p w14:paraId="0BF69305" w14:textId="77777777" w:rsidR="00CA7016" w:rsidRPr="00A0513E" w:rsidRDefault="00CA7016" w:rsidP="003C3F6A">
            <w:pPr>
              <w:pStyle w:val="02Tabletext"/>
            </w:pPr>
            <w:r w:rsidRPr="00A0513E">
              <w:t>Nucleic acid amplification and determination of hepatitis C virus (HCV) genotype if: (a) the patient is HCV RNA positive and is being evaluated for antiviral therapy of chronic HCV hepatitis; and (b) the request for the test is made by, or on the advice of, the specialist or consultant physician managing the</w:t>
            </w:r>
            <w:r>
              <w:t xml:space="preserve"> </w:t>
            </w:r>
            <w:r w:rsidRPr="00A0513E">
              <w:t>treatment of the patient; To a maximum of 1 of this item in a 12</w:t>
            </w:r>
            <w:r>
              <w:t>-</w:t>
            </w:r>
            <w:r w:rsidRPr="00A0513E">
              <w:t>month period</w:t>
            </w:r>
          </w:p>
        </w:tc>
        <w:tc>
          <w:tcPr>
            <w:tcW w:w="1738" w:type="dxa"/>
            <w:noWrap/>
          </w:tcPr>
          <w:p w14:paraId="0D72CB9C" w14:textId="77777777" w:rsidR="00CA7016" w:rsidRPr="00A0513E" w:rsidRDefault="00CA7016" w:rsidP="003C3F6A">
            <w:pPr>
              <w:pStyle w:val="02Tabletext"/>
            </w:pPr>
            <w:r w:rsidRPr="00A0513E">
              <w:t xml:space="preserve">Minor change </w:t>
            </w:r>
          </w:p>
        </w:tc>
        <w:tc>
          <w:tcPr>
            <w:tcW w:w="1801" w:type="dxa"/>
            <w:noWrap/>
          </w:tcPr>
          <w:p w14:paraId="07F9DA45" w14:textId="77777777" w:rsidR="00CA7016" w:rsidRPr="00A0513E" w:rsidRDefault="00CA7016" w:rsidP="003C3F6A">
            <w:pPr>
              <w:pStyle w:val="02Tabletext"/>
              <w:jc w:val="center"/>
            </w:pPr>
            <w:r>
              <w:t>4.17.2</w:t>
            </w:r>
          </w:p>
        </w:tc>
      </w:tr>
      <w:tr w:rsidR="00CA7016" w:rsidRPr="00B96BC0" w14:paraId="1638D5A2" w14:textId="77777777" w:rsidTr="003C3F6A">
        <w:trPr>
          <w:trHeight w:val="300"/>
        </w:trPr>
        <w:tc>
          <w:tcPr>
            <w:tcW w:w="847" w:type="dxa"/>
            <w:noWrap/>
            <w:hideMark/>
          </w:tcPr>
          <w:p w14:paraId="3D59AF53" w14:textId="77777777" w:rsidR="00CA7016" w:rsidRPr="00A0513E" w:rsidRDefault="00CA7016" w:rsidP="003C3F6A">
            <w:pPr>
              <w:pStyle w:val="02Tabletext"/>
            </w:pPr>
            <w:r w:rsidRPr="00A0513E">
              <w:t>69492</w:t>
            </w:r>
          </w:p>
        </w:tc>
        <w:tc>
          <w:tcPr>
            <w:tcW w:w="4630" w:type="dxa"/>
            <w:noWrap/>
            <w:hideMark/>
          </w:tcPr>
          <w:p w14:paraId="34A7CE9B" w14:textId="77777777" w:rsidR="00CA7016" w:rsidRPr="00A0513E" w:rsidRDefault="00CA7016" w:rsidP="003C3F6A">
            <w:pPr>
              <w:pStyle w:val="02Tabletext"/>
            </w:pPr>
            <w:r w:rsidRPr="00A0513E">
              <w:t>A test described in item 69491 if rendered by a receiving APP - 1 test (Item is subject to rule 18 and 25)</w:t>
            </w:r>
          </w:p>
        </w:tc>
        <w:tc>
          <w:tcPr>
            <w:tcW w:w="1738" w:type="dxa"/>
            <w:noWrap/>
          </w:tcPr>
          <w:p w14:paraId="24ADE6C7" w14:textId="77777777" w:rsidR="00CA7016" w:rsidRPr="00A0513E" w:rsidRDefault="00CA7016" w:rsidP="003C3F6A">
            <w:pPr>
              <w:pStyle w:val="02Tabletext"/>
            </w:pPr>
            <w:r>
              <w:t>No</w:t>
            </w:r>
            <w:r w:rsidRPr="00A0513E">
              <w:t xml:space="preserve"> change</w:t>
            </w:r>
          </w:p>
        </w:tc>
        <w:tc>
          <w:tcPr>
            <w:tcW w:w="1801" w:type="dxa"/>
            <w:noWrap/>
          </w:tcPr>
          <w:p w14:paraId="3E7B2B4C" w14:textId="77777777" w:rsidR="00CA7016" w:rsidRPr="00A0513E" w:rsidRDefault="00CA7016" w:rsidP="003C3F6A">
            <w:pPr>
              <w:pStyle w:val="02Tabletext"/>
              <w:jc w:val="center"/>
            </w:pPr>
            <w:r>
              <w:t>4.18</w:t>
            </w:r>
          </w:p>
        </w:tc>
      </w:tr>
      <w:tr w:rsidR="00CA7016" w:rsidRPr="00B96BC0" w14:paraId="7EB4B6FB" w14:textId="77777777" w:rsidTr="003C3F6A">
        <w:trPr>
          <w:trHeight w:val="300"/>
        </w:trPr>
        <w:tc>
          <w:tcPr>
            <w:tcW w:w="847" w:type="dxa"/>
            <w:noWrap/>
            <w:hideMark/>
          </w:tcPr>
          <w:p w14:paraId="1D686538" w14:textId="77777777" w:rsidR="00CA7016" w:rsidRPr="00A0513E" w:rsidRDefault="00CA7016" w:rsidP="003C3F6A">
            <w:pPr>
              <w:pStyle w:val="02Tabletext"/>
            </w:pPr>
            <w:r w:rsidRPr="00A0513E">
              <w:t>69494</w:t>
            </w:r>
          </w:p>
        </w:tc>
        <w:tc>
          <w:tcPr>
            <w:tcW w:w="4630" w:type="dxa"/>
            <w:noWrap/>
            <w:hideMark/>
          </w:tcPr>
          <w:p w14:paraId="48FFE61E" w14:textId="77777777" w:rsidR="00CA7016" w:rsidRPr="00A0513E" w:rsidRDefault="00CA7016" w:rsidP="003C3F6A">
            <w:pPr>
              <w:pStyle w:val="02Tabletext"/>
            </w:pPr>
            <w:r w:rsidRPr="00A0513E">
              <w:t>Detection of a virus or microbial antigen or microbial nucleic acid (not elsewhere specified) 1 test (Item is subject to rule 6 and 26)</w:t>
            </w:r>
          </w:p>
        </w:tc>
        <w:tc>
          <w:tcPr>
            <w:tcW w:w="1738" w:type="dxa"/>
            <w:noWrap/>
          </w:tcPr>
          <w:p w14:paraId="1C2BDF66" w14:textId="77777777" w:rsidR="00CA7016" w:rsidRPr="00A0513E" w:rsidRDefault="00CA7016" w:rsidP="003C3F6A">
            <w:pPr>
              <w:pStyle w:val="02Tabletext"/>
            </w:pPr>
            <w:r w:rsidRPr="00A0513E">
              <w:t xml:space="preserve">Change </w:t>
            </w:r>
          </w:p>
        </w:tc>
        <w:tc>
          <w:tcPr>
            <w:tcW w:w="1801" w:type="dxa"/>
            <w:noWrap/>
          </w:tcPr>
          <w:p w14:paraId="5A25FF01" w14:textId="77777777" w:rsidR="00CA7016" w:rsidRPr="00A0513E" w:rsidRDefault="002E5D17" w:rsidP="003C3F6A">
            <w:pPr>
              <w:pStyle w:val="02Tabletext"/>
              <w:jc w:val="center"/>
            </w:pPr>
            <w:r>
              <w:t>4.1 &amp; 4.8</w:t>
            </w:r>
          </w:p>
        </w:tc>
      </w:tr>
      <w:tr w:rsidR="00CA7016" w:rsidRPr="00B96BC0" w14:paraId="121D45BF" w14:textId="77777777" w:rsidTr="003C3F6A">
        <w:trPr>
          <w:trHeight w:val="300"/>
        </w:trPr>
        <w:tc>
          <w:tcPr>
            <w:tcW w:w="847" w:type="dxa"/>
            <w:noWrap/>
            <w:hideMark/>
          </w:tcPr>
          <w:p w14:paraId="75DCB16B" w14:textId="77777777" w:rsidR="00CA7016" w:rsidRPr="00A0513E" w:rsidRDefault="00CA7016" w:rsidP="003C3F6A">
            <w:pPr>
              <w:pStyle w:val="02Tabletext"/>
            </w:pPr>
            <w:r w:rsidRPr="00A0513E">
              <w:t>69495</w:t>
            </w:r>
          </w:p>
        </w:tc>
        <w:tc>
          <w:tcPr>
            <w:tcW w:w="4630" w:type="dxa"/>
            <w:noWrap/>
            <w:hideMark/>
          </w:tcPr>
          <w:p w14:paraId="2E8F47FD" w14:textId="77777777" w:rsidR="00CA7016" w:rsidRPr="00A0513E" w:rsidRDefault="00CA7016" w:rsidP="003C3F6A">
            <w:pPr>
              <w:pStyle w:val="02Tabletext"/>
            </w:pPr>
            <w:r w:rsidRPr="00A0513E">
              <w:t>2 tests described in 69494 (Item is subject to rule 6 and 26)</w:t>
            </w:r>
          </w:p>
        </w:tc>
        <w:tc>
          <w:tcPr>
            <w:tcW w:w="1738" w:type="dxa"/>
            <w:noWrap/>
          </w:tcPr>
          <w:p w14:paraId="49C980F6" w14:textId="77777777" w:rsidR="00CA7016" w:rsidRPr="00A0513E" w:rsidRDefault="00CA7016" w:rsidP="003C3F6A">
            <w:pPr>
              <w:pStyle w:val="02Tabletext"/>
            </w:pPr>
            <w:r w:rsidRPr="00A0513E">
              <w:t>Delete</w:t>
            </w:r>
          </w:p>
        </w:tc>
        <w:tc>
          <w:tcPr>
            <w:tcW w:w="1801" w:type="dxa"/>
            <w:noWrap/>
          </w:tcPr>
          <w:p w14:paraId="52654538" w14:textId="77777777" w:rsidR="00CA7016" w:rsidRPr="00A0513E" w:rsidRDefault="002E5D17" w:rsidP="003C3F6A">
            <w:pPr>
              <w:pStyle w:val="02Tabletext"/>
              <w:jc w:val="center"/>
            </w:pPr>
            <w:r>
              <w:t>4.1,4.8 &amp; 4.16.5</w:t>
            </w:r>
          </w:p>
        </w:tc>
      </w:tr>
      <w:tr w:rsidR="00CA7016" w:rsidRPr="00B96BC0" w14:paraId="4741D961" w14:textId="77777777" w:rsidTr="003C3F6A">
        <w:trPr>
          <w:trHeight w:val="300"/>
        </w:trPr>
        <w:tc>
          <w:tcPr>
            <w:tcW w:w="847" w:type="dxa"/>
            <w:noWrap/>
            <w:hideMark/>
          </w:tcPr>
          <w:p w14:paraId="0809600B" w14:textId="77777777" w:rsidR="00CA7016" w:rsidRPr="00A0513E" w:rsidRDefault="00CA7016" w:rsidP="003C3F6A">
            <w:pPr>
              <w:pStyle w:val="02Tabletext"/>
            </w:pPr>
            <w:r w:rsidRPr="00A0513E">
              <w:lastRenderedPageBreak/>
              <w:t>69496</w:t>
            </w:r>
          </w:p>
        </w:tc>
        <w:tc>
          <w:tcPr>
            <w:tcW w:w="4630" w:type="dxa"/>
            <w:noWrap/>
            <w:hideMark/>
          </w:tcPr>
          <w:p w14:paraId="6AB64D8D" w14:textId="77777777" w:rsidR="00CA7016" w:rsidRPr="00A0513E" w:rsidRDefault="00CA7016" w:rsidP="003C3F6A">
            <w:pPr>
              <w:pStyle w:val="02Tabletext"/>
            </w:pPr>
            <w:r w:rsidRPr="00A0513E">
              <w:t>3 or more tests described in 69494 (Item is subject to rule 6 and 26)</w:t>
            </w:r>
          </w:p>
        </w:tc>
        <w:tc>
          <w:tcPr>
            <w:tcW w:w="1738" w:type="dxa"/>
            <w:noWrap/>
          </w:tcPr>
          <w:p w14:paraId="6ECA05F8" w14:textId="77777777" w:rsidR="00CA7016" w:rsidRPr="00A0513E" w:rsidRDefault="00CA7016" w:rsidP="003C3F6A">
            <w:pPr>
              <w:pStyle w:val="02Tabletext"/>
            </w:pPr>
            <w:r w:rsidRPr="00A0513E">
              <w:t>Delete</w:t>
            </w:r>
          </w:p>
        </w:tc>
        <w:tc>
          <w:tcPr>
            <w:tcW w:w="1801" w:type="dxa"/>
            <w:noWrap/>
          </w:tcPr>
          <w:p w14:paraId="5753DC93" w14:textId="77777777" w:rsidR="00CA7016" w:rsidRPr="00A0513E" w:rsidRDefault="002E5D17" w:rsidP="003C3F6A">
            <w:pPr>
              <w:pStyle w:val="02Tabletext"/>
              <w:jc w:val="center"/>
            </w:pPr>
            <w:r>
              <w:t>4.1,4.8 &amp; 4.16.5</w:t>
            </w:r>
          </w:p>
        </w:tc>
      </w:tr>
      <w:tr w:rsidR="00CA7016" w:rsidRPr="00B96BC0" w14:paraId="36E095FD" w14:textId="77777777" w:rsidTr="003C3F6A">
        <w:trPr>
          <w:trHeight w:val="300"/>
        </w:trPr>
        <w:tc>
          <w:tcPr>
            <w:tcW w:w="847" w:type="dxa"/>
            <w:noWrap/>
            <w:hideMark/>
          </w:tcPr>
          <w:p w14:paraId="443D403F" w14:textId="77777777" w:rsidR="00CA7016" w:rsidRPr="00A0513E" w:rsidRDefault="00CA7016" w:rsidP="003C3F6A">
            <w:pPr>
              <w:pStyle w:val="02Tabletext"/>
            </w:pPr>
            <w:r w:rsidRPr="00A0513E">
              <w:t>69497</w:t>
            </w:r>
          </w:p>
        </w:tc>
        <w:tc>
          <w:tcPr>
            <w:tcW w:w="4630" w:type="dxa"/>
            <w:noWrap/>
            <w:hideMark/>
          </w:tcPr>
          <w:p w14:paraId="7CD67AD6" w14:textId="77777777" w:rsidR="00CA7016" w:rsidRPr="00A0513E" w:rsidRDefault="00CA7016" w:rsidP="003C3F6A">
            <w:pPr>
              <w:pStyle w:val="02Tabletext"/>
            </w:pPr>
            <w:r w:rsidRPr="00A0513E">
              <w:t>A test described in item 69494, if rendered by a receiving APP, where no tests in the item have been rendered by the referring APP - 1 test (Item is subject to rule 6, 18 and 26)</w:t>
            </w:r>
          </w:p>
        </w:tc>
        <w:tc>
          <w:tcPr>
            <w:tcW w:w="1738" w:type="dxa"/>
            <w:noWrap/>
          </w:tcPr>
          <w:p w14:paraId="4B336EA9" w14:textId="77777777" w:rsidR="00CA7016" w:rsidRPr="00A0513E" w:rsidRDefault="00CA7016" w:rsidP="003C3F6A">
            <w:pPr>
              <w:pStyle w:val="02Tabletext"/>
            </w:pPr>
            <w:r>
              <w:t>C</w:t>
            </w:r>
            <w:r w:rsidRPr="00A0513E">
              <w:t>hange</w:t>
            </w:r>
          </w:p>
        </w:tc>
        <w:tc>
          <w:tcPr>
            <w:tcW w:w="1801" w:type="dxa"/>
            <w:noWrap/>
          </w:tcPr>
          <w:p w14:paraId="0F291A3F" w14:textId="77777777" w:rsidR="00CA7016" w:rsidRPr="00A0513E" w:rsidRDefault="002E5D17" w:rsidP="003C3F6A">
            <w:pPr>
              <w:pStyle w:val="02Tabletext"/>
              <w:jc w:val="center"/>
            </w:pPr>
            <w:r>
              <w:t>4.8</w:t>
            </w:r>
          </w:p>
        </w:tc>
      </w:tr>
      <w:tr w:rsidR="00CA7016" w:rsidRPr="00B96BC0" w14:paraId="7FEA2691" w14:textId="77777777" w:rsidTr="003C3F6A">
        <w:trPr>
          <w:trHeight w:val="300"/>
        </w:trPr>
        <w:tc>
          <w:tcPr>
            <w:tcW w:w="847" w:type="dxa"/>
            <w:noWrap/>
            <w:hideMark/>
          </w:tcPr>
          <w:p w14:paraId="60E6E01A" w14:textId="77777777" w:rsidR="00CA7016" w:rsidRPr="00A0513E" w:rsidRDefault="00CA7016" w:rsidP="003C3F6A">
            <w:pPr>
              <w:pStyle w:val="02Tabletext"/>
            </w:pPr>
            <w:r w:rsidRPr="00A0513E">
              <w:t>69498</w:t>
            </w:r>
          </w:p>
        </w:tc>
        <w:tc>
          <w:tcPr>
            <w:tcW w:w="4630" w:type="dxa"/>
            <w:noWrap/>
            <w:hideMark/>
          </w:tcPr>
          <w:p w14:paraId="14303371" w14:textId="77777777" w:rsidR="00CA7016" w:rsidRPr="00A0513E" w:rsidRDefault="00CA7016" w:rsidP="003C3F6A">
            <w:pPr>
              <w:pStyle w:val="02Tabletext"/>
            </w:pPr>
            <w:r w:rsidRPr="00A0513E">
              <w:t>A test described in item 69494, other than that described in 69497, if rendered by a receiving APP - each test to a maximum of 2 tests (Item is subject to rule 6, 18 and 26)</w:t>
            </w:r>
          </w:p>
        </w:tc>
        <w:tc>
          <w:tcPr>
            <w:tcW w:w="1738" w:type="dxa"/>
            <w:noWrap/>
          </w:tcPr>
          <w:p w14:paraId="18324268" w14:textId="77777777" w:rsidR="00CA7016" w:rsidRPr="00A0513E" w:rsidRDefault="00CA7016" w:rsidP="003C3F6A">
            <w:pPr>
              <w:pStyle w:val="02Tabletext"/>
            </w:pPr>
            <w:r w:rsidRPr="00A0513E">
              <w:t>Delete</w:t>
            </w:r>
          </w:p>
        </w:tc>
        <w:tc>
          <w:tcPr>
            <w:tcW w:w="1801" w:type="dxa"/>
            <w:noWrap/>
          </w:tcPr>
          <w:p w14:paraId="5B2A46C7" w14:textId="77777777" w:rsidR="00CA7016" w:rsidRPr="00A0513E" w:rsidRDefault="00B50363" w:rsidP="003C3F6A">
            <w:pPr>
              <w:pStyle w:val="02Tabletext"/>
              <w:jc w:val="center"/>
            </w:pPr>
            <w:r>
              <w:t>4.8 &amp; 4.16.5</w:t>
            </w:r>
          </w:p>
        </w:tc>
      </w:tr>
      <w:tr w:rsidR="00CA7016" w:rsidRPr="00B96BC0" w14:paraId="0BB28107" w14:textId="77777777" w:rsidTr="003C3F6A">
        <w:trPr>
          <w:trHeight w:val="300"/>
        </w:trPr>
        <w:tc>
          <w:tcPr>
            <w:tcW w:w="847" w:type="dxa"/>
            <w:noWrap/>
            <w:hideMark/>
          </w:tcPr>
          <w:p w14:paraId="54D6868E" w14:textId="77777777" w:rsidR="00CA7016" w:rsidRPr="00A0513E" w:rsidRDefault="00CA7016" w:rsidP="003C3F6A">
            <w:pPr>
              <w:pStyle w:val="02Tabletext"/>
            </w:pPr>
            <w:r w:rsidRPr="00A0513E">
              <w:t>69499</w:t>
            </w:r>
          </w:p>
        </w:tc>
        <w:tc>
          <w:tcPr>
            <w:tcW w:w="4630" w:type="dxa"/>
            <w:noWrap/>
            <w:hideMark/>
          </w:tcPr>
          <w:p w14:paraId="44F4D56B" w14:textId="77777777" w:rsidR="00CA7016" w:rsidRPr="00A0513E" w:rsidRDefault="00CA7016" w:rsidP="003C3F6A">
            <w:pPr>
              <w:pStyle w:val="02Tabletext"/>
            </w:pPr>
            <w:r w:rsidRPr="00A0513E">
              <w:t>Detection of hepatitis C viral RNA if at least 1 of the following criteria is satisfied: (a) the patient is hepatitis C seropositive; (b) the patient's serological status is uncertain after testing; (c) the test is performed for the purpose of:</w:t>
            </w:r>
            <w:r>
              <w:t xml:space="preserve"> </w:t>
            </w:r>
            <w:r w:rsidRPr="00A0513E">
              <w:t>(</w:t>
            </w:r>
            <w:proofErr w:type="spellStart"/>
            <w:r w:rsidRPr="00A0513E">
              <w:t>i</w:t>
            </w:r>
            <w:proofErr w:type="spellEnd"/>
            <w:r w:rsidRPr="00A0513E">
              <w:t>) determining the hepatitis C status of an immunosuppressed or immunocompromised patient; or</w:t>
            </w:r>
            <w:r>
              <w:t xml:space="preserve"> </w:t>
            </w:r>
            <w:r w:rsidRPr="00A0513E">
              <w:t>(ii) the detection of acute hepatitis C prior to seroconversion where considered necessary for the clinical</w:t>
            </w:r>
            <w:r>
              <w:t xml:space="preserve"> </w:t>
            </w:r>
            <w:r w:rsidRPr="00A0513E">
              <w:t>management of the patient; To a maximum of 1</w:t>
            </w:r>
            <w:r>
              <w:t> </w:t>
            </w:r>
            <w:r w:rsidRPr="00A0513E">
              <w:t>of this item in a 12 month period (Item is subject to rule 19 and 25)</w:t>
            </w:r>
          </w:p>
        </w:tc>
        <w:tc>
          <w:tcPr>
            <w:tcW w:w="1738" w:type="dxa"/>
            <w:noWrap/>
          </w:tcPr>
          <w:p w14:paraId="7FAC4FEB" w14:textId="77777777" w:rsidR="00CA7016" w:rsidRPr="00A0513E" w:rsidRDefault="00CA7016" w:rsidP="003C3F6A">
            <w:pPr>
              <w:pStyle w:val="02Tabletext"/>
            </w:pPr>
            <w:r w:rsidRPr="00A0513E">
              <w:t xml:space="preserve">No change </w:t>
            </w:r>
          </w:p>
        </w:tc>
        <w:tc>
          <w:tcPr>
            <w:tcW w:w="1801" w:type="dxa"/>
            <w:noWrap/>
          </w:tcPr>
          <w:p w14:paraId="1082F9B6" w14:textId="77777777" w:rsidR="00CA7016" w:rsidRPr="00A0513E" w:rsidRDefault="00CA7016" w:rsidP="003C3F6A">
            <w:pPr>
              <w:pStyle w:val="02Tabletext"/>
              <w:jc w:val="center"/>
            </w:pPr>
            <w:r>
              <w:t>4.18</w:t>
            </w:r>
          </w:p>
        </w:tc>
      </w:tr>
      <w:tr w:rsidR="00CA7016" w:rsidRPr="00B96BC0" w14:paraId="105842B6" w14:textId="77777777" w:rsidTr="003C3F6A">
        <w:trPr>
          <w:trHeight w:val="537"/>
        </w:trPr>
        <w:tc>
          <w:tcPr>
            <w:tcW w:w="847" w:type="dxa"/>
            <w:noWrap/>
            <w:hideMark/>
          </w:tcPr>
          <w:p w14:paraId="5A0CAF13" w14:textId="77777777" w:rsidR="00CA7016" w:rsidRPr="00A0513E" w:rsidRDefault="00CA7016" w:rsidP="003C3F6A">
            <w:pPr>
              <w:pStyle w:val="02Tabletext"/>
            </w:pPr>
            <w:r w:rsidRPr="00A0513E">
              <w:t>69500</w:t>
            </w:r>
          </w:p>
        </w:tc>
        <w:tc>
          <w:tcPr>
            <w:tcW w:w="4630" w:type="dxa"/>
            <w:noWrap/>
            <w:hideMark/>
          </w:tcPr>
          <w:p w14:paraId="33A55B52" w14:textId="77777777" w:rsidR="00CA7016" w:rsidRPr="00A0513E" w:rsidRDefault="00CA7016" w:rsidP="003C3F6A">
            <w:pPr>
              <w:pStyle w:val="02Tabletext"/>
            </w:pPr>
            <w:r w:rsidRPr="00A0513E">
              <w:t>A test described in item 69499 if rendered by a receiving APP</w:t>
            </w:r>
            <w:r>
              <w:t xml:space="preserve"> </w:t>
            </w:r>
            <w:r w:rsidRPr="00A0513E">
              <w:t>1 test (Item is subject to rule 18,19 and 25)</w:t>
            </w:r>
          </w:p>
        </w:tc>
        <w:tc>
          <w:tcPr>
            <w:tcW w:w="1738" w:type="dxa"/>
            <w:noWrap/>
          </w:tcPr>
          <w:p w14:paraId="69AD3672" w14:textId="77777777" w:rsidR="00CA7016" w:rsidRPr="00A0513E" w:rsidRDefault="00CA7016" w:rsidP="003C3F6A">
            <w:pPr>
              <w:pStyle w:val="02Tabletext"/>
            </w:pPr>
            <w:r w:rsidRPr="00A0513E">
              <w:t xml:space="preserve">No change </w:t>
            </w:r>
          </w:p>
        </w:tc>
        <w:tc>
          <w:tcPr>
            <w:tcW w:w="1801" w:type="dxa"/>
            <w:noWrap/>
          </w:tcPr>
          <w:p w14:paraId="350EB591" w14:textId="77777777" w:rsidR="00CA7016" w:rsidRPr="00A0513E" w:rsidRDefault="00CA7016" w:rsidP="003C3F6A">
            <w:pPr>
              <w:pStyle w:val="02Tabletext"/>
              <w:jc w:val="center"/>
            </w:pPr>
            <w:r>
              <w:t>4.18</w:t>
            </w:r>
          </w:p>
        </w:tc>
      </w:tr>
      <w:tr w:rsidR="00CA7016" w:rsidRPr="00B96BC0" w14:paraId="7A2A3B5D" w14:textId="77777777" w:rsidTr="003C3F6A">
        <w:trPr>
          <w:trHeight w:val="537"/>
        </w:trPr>
        <w:tc>
          <w:tcPr>
            <w:tcW w:w="847" w:type="dxa"/>
            <w:noWrap/>
          </w:tcPr>
          <w:p w14:paraId="2503FB16" w14:textId="77777777" w:rsidR="00CA7016" w:rsidRPr="00A0513E" w:rsidRDefault="00CA7016" w:rsidP="003C3F6A">
            <w:pPr>
              <w:pStyle w:val="02Tabletext"/>
            </w:pPr>
            <w:r w:rsidRPr="00A0513E">
              <w:t>73828</w:t>
            </w:r>
          </w:p>
          <w:p w14:paraId="24C452F6" w14:textId="77777777" w:rsidR="00CA7016" w:rsidRPr="00A0513E" w:rsidRDefault="00CA7016" w:rsidP="003C3F6A">
            <w:pPr>
              <w:pStyle w:val="02Tabletext"/>
            </w:pPr>
            <w:r w:rsidRPr="00A0513E">
              <w:t>referred</w:t>
            </w:r>
          </w:p>
        </w:tc>
        <w:tc>
          <w:tcPr>
            <w:tcW w:w="4630" w:type="dxa"/>
            <w:noWrap/>
          </w:tcPr>
          <w:p w14:paraId="1AAF6449" w14:textId="77777777" w:rsidR="00CA7016" w:rsidRPr="00A0513E" w:rsidRDefault="00CA7016" w:rsidP="003C3F6A">
            <w:pPr>
              <w:pStyle w:val="02Tabletext"/>
            </w:pPr>
            <w:r w:rsidRPr="00A0513E">
              <w:t>Semen examination for presence of spermatozoa by a participating nurse practitioner</w:t>
            </w:r>
          </w:p>
        </w:tc>
        <w:tc>
          <w:tcPr>
            <w:tcW w:w="1738" w:type="dxa"/>
            <w:noWrap/>
          </w:tcPr>
          <w:p w14:paraId="55A711D8" w14:textId="77777777" w:rsidR="00CA7016" w:rsidRPr="00A0513E" w:rsidRDefault="00CA7016" w:rsidP="003C3F6A">
            <w:pPr>
              <w:pStyle w:val="02Tabletext"/>
            </w:pPr>
            <w:r w:rsidRPr="00A0513E">
              <w:t>Delete</w:t>
            </w:r>
          </w:p>
        </w:tc>
        <w:tc>
          <w:tcPr>
            <w:tcW w:w="1801" w:type="dxa"/>
            <w:noWrap/>
          </w:tcPr>
          <w:p w14:paraId="056476B2" w14:textId="77777777" w:rsidR="00CA7016" w:rsidRPr="00A0513E" w:rsidRDefault="00CA7016" w:rsidP="003C3F6A">
            <w:pPr>
              <w:pStyle w:val="02Tabletext"/>
              <w:jc w:val="center"/>
            </w:pPr>
            <w:r>
              <w:t>4.16.1</w:t>
            </w:r>
          </w:p>
        </w:tc>
      </w:tr>
      <w:tr w:rsidR="00CA7016" w:rsidRPr="00B96BC0" w14:paraId="21C56B6B" w14:textId="77777777" w:rsidTr="003C3F6A">
        <w:trPr>
          <w:trHeight w:val="537"/>
        </w:trPr>
        <w:tc>
          <w:tcPr>
            <w:tcW w:w="847" w:type="dxa"/>
            <w:noWrap/>
          </w:tcPr>
          <w:p w14:paraId="41346189" w14:textId="77777777" w:rsidR="00CA7016" w:rsidRPr="00A0513E" w:rsidRDefault="00CA7016" w:rsidP="003C3F6A">
            <w:pPr>
              <w:pStyle w:val="02Tabletext"/>
            </w:pPr>
            <w:r w:rsidRPr="00A0513E">
              <w:t>73834</w:t>
            </w:r>
          </w:p>
          <w:p w14:paraId="118E9D43" w14:textId="77777777" w:rsidR="00CA7016" w:rsidRPr="00A0513E" w:rsidRDefault="00CA7016" w:rsidP="003C3F6A">
            <w:pPr>
              <w:pStyle w:val="02Tabletext"/>
            </w:pPr>
            <w:r w:rsidRPr="00A0513E">
              <w:t>referred</w:t>
            </w:r>
          </w:p>
        </w:tc>
        <w:tc>
          <w:tcPr>
            <w:tcW w:w="4630" w:type="dxa"/>
            <w:noWrap/>
          </w:tcPr>
          <w:p w14:paraId="2733DAAC" w14:textId="77777777" w:rsidR="00CA7016" w:rsidRPr="00A0513E" w:rsidRDefault="00CA7016" w:rsidP="003C3F6A">
            <w:pPr>
              <w:pStyle w:val="02Tabletext"/>
            </w:pPr>
            <w:r w:rsidRPr="00A0513E">
              <w:t>Microscopy for wet film other than urine, including any relevant stain by a participating nurse practitioner</w:t>
            </w:r>
          </w:p>
        </w:tc>
        <w:tc>
          <w:tcPr>
            <w:tcW w:w="1738" w:type="dxa"/>
            <w:noWrap/>
          </w:tcPr>
          <w:p w14:paraId="0B58CF54" w14:textId="77777777" w:rsidR="00CA7016" w:rsidRPr="00A0513E" w:rsidRDefault="00CA7016" w:rsidP="003C3F6A">
            <w:pPr>
              <w:pStyle w:val="02Tabletext"/>
            </w:pPr>
            <w:r w:rsidRPr="00A0513E">
              <w:t>Delete</w:t>
            </w:r>
          </w:p>
        </w:tc>
        <w:tc>
          <w:tcPr>
            <w:tcW w:w="1801" w:type="dxa"/>
            <w:noWrap/>
          </w:tcPr>
          <w:p w14:paraId="691690FF" w14:textId="77777777" w:rsidR="00CA7016" w:rsidRPr="00A0513E" w:rsidRDefault="00CA7016" w:rsidP="003C3F6A">
            <w:pPr>
              <w:pStyle w:val="02Tabletext"/>
              <w:jc w:val="center"/>
            </w:pPr>
            <w:r>
              <w:t>4.16.1</w:t>
            </w:r>
          </w:p>
        </w:tc>
      </w:tr>
      <w:tr w:rsidR="00CA7016" w:rsidRPr="00B96BC0" w14:paraId="5FB42AB5" w14:textId="77777777" w:rsidTr="003C3F6A">
        <w:trPr>
          <w:trHeight w:val="537"/>
        </w:trPr>
        <w:tc>
          <w:tcPr>
            <w:tcW w:w="847" w:type="dxa"/>
            <w:noWrap/>
          </w:tcPr>
          <w:p w14:paraId="2DB6A71D" w14:textId="77777777" w:rsidR="00CA7016" w:rsidRPr="00A0513E" w:rsidRDefault="00CA7016" w:rsidP="003C3F6A">
            <w:pPr>
              <w:pStyle w:val="02Tabletext"/>
            </w:pPr>
            <w:r w:rsidRPr="00A0513E">
              <w:t>73835</w:t>
            </w:r>
          </w:p>
          <w:p w14:paraId="5335C2B3" w14:textId="77777777" w:rsidR="00CA7016" w:rsidRPr="00A0513E" w:rsidRDefault="00CA7016" w:rsidP="003C3F6A">
            <w:pPr>
              <w:pStyle w:val="02Tabletext"/>
            </w:pPr>
            <w:r w:rsidRPr="00A0513E">
              <w:t>referred</w:t>
            </w:r>
          </w:p>
        </w:tc>
        <w:tc>
          <w:tcPr>
            <w:tcW w:w="4630" w:type="dxa"/>
            <w:noWrap/>
          </w:tcPr>
          <w:p w14:paraId="507B2B96" w14:textId="77777777" w:rsidR="00CA7016" w:rsidRPr="00A0513E" w:rsidRDefault="00CA7016" w:rsidP="003C3F6A">
            <w:pPr>
              <w:pStyle w:val="02Tabletext"/>
            </w:pPr>
            <w:r w:rsidRPr="00A0513E">
              <w:t>Microscopy of Gram-stained film, including (if performed) a service described in item 73832 or 73834 by a participating nurse practitioner</w:t>
            </w:r>
          </w:p>
        </w:tc>
        <w:tc>
          <w:tcPr>
            <w:tcW w:w="1738" w:type="dxa"/>
            <w:noWrap/>
          </w:tcPr>
          <w:p w14:paraId="2043FC2D" w14:textId="77777777" w:rsidR="00CA7016" w:rsidRPr="00A0513E" w:rsidRDefault="00CA7016" w:rsidP="003C3F6A">
            <w:pPr>
              <w:pStyle w:val="02Tabletext"/>
            </w:pPr>
            <w:r w:rsidRPr="00A0513E">
              <w:t>Delete</w:t>
            </w:r>
          </w:p>
        </w:tc>
        <w:tc>
          <w:tcPr>
            <w:tcW w:w="1801" w:type="dxa"/>
            <w:noWrap/>
          </w:tcPr>
          <w:p w14:paraId="6B2E064A" w14:textId="77777777" w:rsidR="00CA7016" w:rsidRPr="00A0513E" w:rsidRDefault="00CA7016" w:rsidP="003C3F6A">
            <w:pPr>
              <w:pStyle w:val="02Tabletext"/>
              <w:jc w:val="center"/>
            </w:pPr>
            <w:r>
              <w:t>4.16.1</w:t>
            </w:r>
          </w:p>
        </w:tc>
      </w:tr>
      <w:tr w:rsidR="00CA7016" w:rsidRPr="00B96BC0" w14:paraId="74DBB401" w14:textId="77777777" w:rsidTr="003C3F6A">
        <w:trPr>
          <w:trHeight w:val="537"/>
        </w:trPr>
        <w:tc>
          <w:tcPr>
            <w:tcW w:w="847" w:type="dxa"/>
            <w:noWrap/>
          </w:tcPr>
          <w:p w14:paraId="1DD75C44" w14:textId="77777777" w:rsidR="00CA7016" w:rsidRPr="00A0513E" w:rsidRDefault="00CA7016" w:rsidP="003C3F6A">
            <w:pPr>
              <w:pStyle w:val="02Tabletext"/>
            </w:pPr>
            <w:r w:rsidRPr="00A0513E">
              <w:t>73837</w:t>
            </w:r>
          </w:p>
          <w:p w14:paraId="69FB4F81" w14:textId="77777777" w:rsidR="00CA7016" w:rsidRPr="00A0513E" w:rsidRDefault="00CA7016" w:rsidP="003C3F6A">
            <w:pPr>
              <w:pStyle w:val="02Tabletext"/>
            </w:pPr>
            <w:r w:rsidRPr="00A0513E">
              <w:t>referred</w:t>
            </w:r>
          </w:p>
        </w:tc>
        <w:tc>
          <w:tcPr>
            <w:tcW w:w="4630" w:type="dxa"/>
            <w:noWrap/>
          </w:tcPr>
          <w:p w14:paraId="6925E78B" w14:textId="77777777" w:rsidR="00CA7016" w:rsidRPr="00A0513E" w:rsidRDefault="00CA7016" w:rsidP="003C3F6A">
            <w:pPr>
              <w:pStyle w:val="02Tabletext"/>
            </w:pPr>
            <w:r w:rsidRPr="00A0513E">
              <w:t>Microscopy for fungi in skin, hair or nails by a participating nurse practitioner – 1 or more sites</w:t>
            </w:r>
          </w:p>
        </w:tc>
        <w:tc>
          <w:tcPr>
            <w:tcW w:w="1738" w:type="dxa"/>
            <w:noWrap/>
          </w:tcPr>
          <w:p w14:paraId="6E30BDF9" w14:textId="77777777" w:rsidR="00CA7016" w:rsidRPr="00A0513E" w:rsidRDefault="00CA7016" w:rsidP="003C3F6A">
            <w:pPr>
              <w:pStyle w:val="02Tabletext"/>
            </w:pPr>
            <w:r w:rsidRPr="00A0513E">
              <w:t>Delete</w:t>
            </w:r>
          </w:p>
        </w:tc>
        <w:tc>
          <w:tcPr>
            <w:tcW w:w="1801" w:type="dxa"/>
            <w:noWrap/>
          </w:tcPr>
          <w:p w14:paraId="5EF4EAAC" w14:textId="77777777" w:rsidR="00CA7016" w:rsidRPr="00A0513E" w:rsidRDefault="00CA7016" w:rsidP="003C3F6A">
            <w:pPr>
              <w:pStyle w:val="02Tabletext"/>
              <w:jc w:val="center"/>
            </w:pPr>
            <w:r>
              <w:t>4.16.1</w:t>
            </w:r>
          </w:p>
        </w:tc>
      </w:tr>
    </w:tbl>
    <w:p w14:paraId="2B957D4E" w14:textId="77777777" w:rsidR="00CA7016" w:rsidRPr="00A0513E" w:rsidRDefault="00CA7016" w:rsidP="00CA7016">
      <w:r>
        <w:br w:type="page"/>
      </w:r>
    </w:p>
    <w:p w14:paraId="20F4E564" w14:textId="77777777" w:rsidR="00CA7016" w:rsidRPr="00A0513E" w:rsidRDefault="00CA7016" w:rsidP="00CA7016">
      <w:pPr>
        <w:pStyle w:val="Heading1"/>
      </w:pPr>
      <w:bookmarkStart w:id="453" w:name="_Toc486939218"/>
      <w:bookmarkStart w:id="454" w:name="_Toc12886612"/>
      <w:r w:rsidRPr="00B96BC0">
        <w:lastRenderedPageBreak/>
        <w:t>Appendix</w:t>
      </w:r>
      <w:r>
        <w:t xml:space="preserve"> B—</w:t>
      </w:r>
      <w:r w:rsidRPr="00B96BC0">
        <w:t>New items</w:t>
      </w:r>
      <w:bookmarkEnd w:id="453"/>
      <w:bookmarkEnd w:id="454"/>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Description w:val="Appendix B is a table listing new items and their recommendations. There are 4 columns: List of items, Descriptors, Recommendations, and Section references."/>
      </w:tblPr>
      <w:tblGrid>
        <w:gridCol w:w="1129"/>
        <w:gridCol w:w="3544"/>
        <w:gridCol w:w="3402"/>
        <w:gridCol w:w="941"/>
      </w:tblGrid>
      <w:tr w:rsidR="00CA7016" w:rsidRPr="004228E4" w14:paraId="5D1274C5" w14:textId="77777777" w:rsidTr="008302B1">
        <w:trPr>
          <w:cnfStyle w:val="100000000000" w:firstRow="1" w:lastRow="0" w:firstColumn="0" w:lastColumn="0" w:oddVBand="0" w:evenVBand="0" w:oddHBand="0" w:evenHBand="0" w:firstRowFirstColumn="0" w:firstRowLastColumn="0" w:lastRowFirstColumn="0" w:lastRowLastColumn="0"/>
          <w:tblHeader/>
        </w:trPr>
        <w:tc>
          <w:tcPr>
            <w:tcW w:w="1129" w:type="dxa"/>
            <w:shd w:val="clear" w:color="auto" w:fill="EEECE1" w:themeFill="background2"/>
            <w:vAlign w:val="bottom"/>
          </w:tcPr>
          <w:p w14:paraId="6E10EED0" w14:textId="77777777" w:rsidR="00CA7016" w:rsidRPr="00290B68" w:rsidRDefault="00CA7016" w:rsidP="003C3F6A">
            <w:pPr>
              <w:pStyle w:val="01Tableheaderrow"/>
              <w:rPr>
                <w:b/>
              </w:rPr>
            </w:pPr>
            <w:r w:rsidRPr="00290B68">
              <w:rPr>
                <w:b/>
              </w:rPr>
              <w:t>Item</w:t>
            </w:r>
          </w:p>
        </w:tc>
        <w:tc>
          <w:tcPr>
            <w:tcW w:w="3544" w:type="dxa"/>
            <w:shd w:val="clear" w:color="auto" w:fill="EEECE1" w:themeFill="background2"/>
            <w:vAlign w:val="bottom"/>
          </w:tcPr>
          <w:p w14:paraId="1AA69854" w14:textId="77777777" w:rsidR="00CA7016" w:rsidRPr="00290B68" w:rsidRDefault="00B50363" w:rsidP="003C3F6A">
            <w:pPr>
              <w:pStyle w:val="01Tableheaderrow"/>
              <w:rPr>
                <w:b/>
              </w:rPr>
            </w:pPr>
            <w:r>
              <w:rPr>
                <w:b/>
              </w:rPr>
              <w:t xml:space="preserve">Proposed </w:t>
            </w:r>
            <w:r w:rsidR="00CA7016" w:rsidRPr="00290B68">
              <w:rPr>
                <w:b/>
              </w:rPr>
              <w:t>Descriptor</w:t>
            </w:r>
          </w:p>
        </w:tc>
        <w:tc>
          <w:tcPr>
            <w:tcW w:w="3402" w:type="dxa"/>
            <w:shd w:val="clear" w:color="auto" w:fill="EEECE1" w:themeFill="background2"/>
            <w:vAlign w:val="bottom"/>
          </w:tcPr>
          <w:p w14:paraId="042E7E40" w14:textId="77777777" w:rsidR="00CA7016" w:rsidRPr="00290B68" w:rsidRDefault="00CA7016" w:rsidP="003C3F6A">
            <w:pPr>
              <w:pStyle w:val="01Tableheaderrow"/>
              <w:rPr>
                <w:b/>
              </w:rPr>
            </w:pPr>
            <w:r w:rsidRPr="00290B68">
              <w:rPr>
                <w:b/>
              </w:rPr>
              <w:t>Recommendation</w:t>
            </w:r>
          </w:p>
        </w:tc>
        <w:tc>
          <w:tcPr>
            <w:tcW w:w="941" w:type="dxa"/>
            <w:shd w:val="clear" w:color="auto" w:fill="EEECE1" w:themeFill="background2"/>
            <w:vAlign w:val="bottom"/>
          </w:tcPr>
          <w:p w14:paraId="06AE056A" w14:textId="77777777" w:rsidR="00CA7016" w:rsidRPr="00290B68" w:rsidRDefault="00CA7016" w:rsidP="003C3F6A">
            <w:pPr>
              <w:pStyle w:val="01Tableheaderrow"/>
              <w:rPr>
                <w:b/>
                <w:highlight w:val="yellow"/>
              </w:rPr>
            </w:pPr>
            <w:r w:rsidRPr="00290B68">
              <w:rPr>
                <w:b/>
              </w:rPr>
              <w:t>Section</w:t>
            </w:r>
          </w:p>
        </w:tc>
      </w:tr>
      <w:tr w:rsidR="00CA7016" w:rsidRPr="004228E4" w14:paraId="51E353B5" w14:textId="77777777" w:rsidTr="008302B1">
        <w:tc>
          <w:tcPr>
            <w:tcW w:w="1129" w:type="dxa"/>
          </w:tcPr>
          <w:p w14:paraId="28168B6D" w14:textId="77777777" w:rsidR="00CA7016" w:rsidRPr="00A0513E" w:rsidRDefault="00CA7016" w:rsidP="003C3F6A">
            <w:pPr>
              <w:pStyle w:val="02Tabletext"/>
            </w:pPr>
            <w:r w:rsidRPr="00A0513E">
              <w:t>693XA</w:t>
            </w:r>
            <w:r w:rsidRPr="00A0513E" w:rsidDel="00A72127">
              <w:t xml:space="preserve"> </w:t>
            </w:r>
          </w:p>
        </w:tc>
        <w:tc>
          <w:tcPr>
            <w:tcW w:w="3544" w:type="dxa"/>
          </w:tcPr>
          <w:p w14:paraId="03EF909F" w14:textId="77777777" w:rsidR="00CA7016" w:rsidRPr="00A0513E" w:rsidRDefault="00CA7016" w:rsidP="003C3F6A">
            <w:pPr>
              <w:pStyle w:val="02Tabletext"/>
            </w:pPr>
            <w:r w:rsidRPr="00A0513E">
              <w:t>Any combination of tests to detect gastrointestinal pathogen in unformed stool including the detection of bacterial, viral and parasite nucleic acid and culture using at least 2 selective or enrichment media in at least 2 different atmospheres including (if performed):</w:t>
            </w:r>
            <w:r>
              <w:t xml:space="preserve"> </w:t>
            </w:r>
          </w:p>
          <w:p w14:paraId="188BC3D5" w14:textId="77777777" w:rsidR="00CA7016" w:rsidRPr="00A0513E" w:rsidRDefault="00CA7016" w:rsidP="003C3F6A">
            <w:pPr>
              <w:pStyle w:val="02Tabletext"/>
            </w:pPr>
            <w:r w:rsidRPr="00A0513E">
              <w:t xml:space="preserve">(a) pathogen identification and antibiotic susceptibility testing; and </w:t>
            </w:r>
          </w:p>
          <w:p w14:paraId="44E49254" w14:textId="77777777" w:rsidR="00CA7016" w:rsidRPr="00A0513E" w:rsidRDefault="00CA7016" w:rsidP="003C3F6A">
            <w:pPr>
              <w:pStyle w:val="02Tabletext"/>
            </w:pPr>
            <w:r w:rsidRPr="00A0513E">
              <w:t xml:space="preserve">(b) a service described in item </w:t>
            </w:r>
            <w:proofErr w:type="gramStart"/>
            <w:r w:rsidRPr="00A0513E">
              <w:t>69300;</w:t>
            </w:r>
            <w:proofErr w:type="gramEnd"/>
            <w:r w:rsidRPr="00A0513E">
              <w:t xml:space="preserve"> </w:t>
            </w:r>
          </w:p>
          <w:p w14:paraId="0FCE7317" w14:textId="77777777" w:rsidR="00CA7016" w:rsidRPr="00A0513E" w:rsidRDefault="00CA7016" w:rsidP="003C3F6A">
            <w:pPr>
              <w:pStyle w:val="02Tabletext"/>
            </w:pPr>
            <w:r>
              <w:t>- 1 examination in any 7-</w:t>
            </w:r>
            <w:r w:rsidRPr="00A0513E">
              <w:t xml:space="preserve">day period </w:t>
            </w:r>
          </w:p>
        </w:tc>
        <w:tc>
          <w:tcPr>
            <w:tcW w:w="3402" w:type="dxa"/>
          </w:tcPr>
          <w:p w14:paraId="7E21F346" w14:textId="77777777" w:rsidR="00CA7016" w:rsidRPr="00A0513E" w:rsidRDefault="00CA7016" w:rsidP="003C3F6A">
            <w:pPr>
              <w:pStyle w:val="02Tabletext"/>
            </w:pPr>
            <w:r w:rsidRPr="00A0513E">
              <w:t>The rationale behind combining NAAT, microscopy and culture is to encourage pathologists to perform the most appropriate test in accordance with clinical notes of the request and to prevent unnecessary testing.</w:t>
            </w:r>
          </w:p>
        </w:tc>
        <w:tc>
          <w:tcPr>
            <w:tcW w:w="941" w:type="dxa"/>
          </w:tcPr>
          <w:p w14:paraId="777EADED" w14:textId="77777777" w:rsidR="00CA7016" w:rsidRPr="00A0513E" w:rsidRDefault="00CA7016" w:rsidP="003C3F6A">
            <w:pPr>
              <w:pStyle w:val="02Tabletext"/>
              <w:jc w:val="center"/>
            </w:pPr>
            <w:r>
              <w:fldChar w:fldCharType="begin"/>
            </w:r>
            <w:r>
              <w:instrText xml:space="preserve"> REF _Ref487790291 \r \h </w:instrText>
            </w:r>
            <w:r>
              <w:fldChar w:fldCharType="separate"/>
            </w:r>
            <w:r w:rsidR="007A1648">
              <w:t>4.</w:t>
            </w:r>
            <w:r w:rsidR="00B50363">
              <w:t>2</w:t>
            </w:r>
            <w:r w:rsidR="007A1648">
              <w:t>.1</w:t>
            </w:r>
            <w:r>
              <w:fldChar w:fldCharType="end"/>
            </w:r>
          </w:p>
        </w:tc>
      </w:tr>
      <w:tr w:rsidR="00CA7016" w:rsidRPr="004228E4" w14:paraId="2AC6E7E4" w14:textId="77777777" w:rsidTr="008302B1">
        <w:tc>
          <w:tcPr>
            <w:tcW w:w="1129" w:type="dxa"/>
          </w:tcPr>
          <w:p w14:paraId="190F3547" w14:textId="77777777" w:rsidR="00CA7016" w:rsidRPr="00A0513E" w:rsidRDefault="00CA7016" w:rsidP="003C3F6A">
            <w:pPr>
              <w:pStyle w:val="02Tabletext"/>
            </w:pPr>
            <w:r>
              <w:t>693XB</w:t>
            </w:r>
          </w:p>
        </w:tc>
        <w:tc>
          <w:tcPr>
            <w:tcW w:w="3544" w:type="dxa"/>
          </w:tcPr>
          <w:p w14:paraId="777B9532" w14:textId="77777777" w:rsidR="00CA7016" w:rsidRPr="00A0513E" w:rsidRDefault="00CA7016" w:rsidP="003C3F6A">
            <w:pPr>
              <w:pStyle w:val="02Tabletext"/>
            </w:pPr>
            <w:r w:rsidRPr="00A0513E">
              <w:t xml:space="preserve">Microscopy and culture to detect pathogenic microorganisms from </w:t>
            </w:r>
            <w:r>
              <w:t xml:space="preserve">throat (except for respiratory pathogens) </w:t>
            </w:r>
            <w:r w:rsidRPr="00A0513E">
              <w:t>urethra, vagina, cervix, throat or rectum (except for faecal pathogens), including (if performed):</w:t>
            </w:r>
          </w:p>
          <w:p w14:paraId="5B17860A" w14:textId="77777777" w:rsidR="00CA7016" w:rsidRPr="00A0513E" w:rsidRDefault="00CA7016" w:rsidP="003C3F6A">
            <w:pPr>
              <w:pStyle w:val="02Tabletext"/>
            </w:pPr>
            <w:r w:rsidRPr="00A0513E">
              <w:t xml:space="preserve">a) pathogen identification and antibiotic susceptibility </w:t>
            </w:r>
            <w:proofErr w:type="gramStart"/>
            <w:r w:rsidRPr="00A0513E">
              <w:t>testing;</w:t>
            </w:r>
            <w:proofErr w:type="gramEnd"/>
          </w:p>
          <w:p w14:paraId="307E169C" w14:textId="77777777" w:rsidR="00CA7016" w:rsidRPr="00A0513E" w:rsidRDefault="00CA7016" w:rsidP="003C3F6A">
            <w:pPr>
              <w:pStyle w:val="02Tabletext"/>
            </w:pPr>
            <w:r w:rsidRPr="00A0513E">
              <w:t>b) a service described in item 69300 or 69312</w:t>
            </w:r>
          </w:p>
          <w:p w14:paraId="70362481" w14:textId="77777777" w:rsidR="00CA7016" w:rsidRPr="00A0513E" w:rsidRDefault="00CA7016" w:rsidP="003C3F6A">
            <w:pPr>
              <w:pStyle w:val="02Tabletext"/>
            </w:pPr>
            <w:r w:rsidRPr="00A0513E">
              <w:t>1 or more tests on 2 or more specimens</w:t>
            </w:r>
          </w:p>
        </w:tc>
        <w:tc>
          <w:tcPr>
            <w:tcW w:w="3402" w:type="dxa"/>
          </w:tcPr>
          <w:p w14:paraId="68234DCA" w14:textId="77777777" w:rsidR="00CA7016" w:rsidRPr="00A0513E" w:rsidRDefault="00CA7016" w:rsidP="003C3F6A">
            <w:pPr>
              <w:pStyle w:val="02Tabletext"/>
            </w:pPr>
            <w:r w:rsidRPr="00A0513E">
              <w:t>Retain 69312</w:t>
            </w:r>
            <w:r>
              <w:t>;</w:t>
            </w:r>
            <w:r w:rsidRPr="00A0513E">
              <w:t xml:space="preserve"> however</w:t>
            </w:r>
            <w:r>
              <w:t>,</w:t>
            </w:r>
            <w:r w:rsidRPr="00A0513E">
              <w:t xml:space="preserve"> add another duplicate item but for ‘2 or more specimens,’ as multiple sites for testing for </w:t>
            </w:r>
            <w:r w:rsidRPr="00266994">
              <w:rPr>
                <w:i/>
              </w:rPr>
              <w:t>Chlamydia trachomatis</w:t>
            </w:r>
            <w:r w:rsidRPr="00A0513E">
              <w:t xml:space="preserve"> and </w:t>
            </w:r>
            <w:r w:rsidRPr="00266994">
              <w:rPr>
                <w:i/>
              </w:rPr>
              <w:t>Neisseria gonorrhoea</w:t>
            </w:r>
            <w:r w:rsidRPr="00A0513E">
              <w:t xml:space="preserve"> are recommended in the high-risk groups.</w:t>
            </w:r>
          </w:p>
        </w:tc>
        <w:tc>
          <w:tcPr>
            <w:tcW w:w="941" w:type="dxa"/>
          </w:tcPr>
          <w:p w14:paraId="2D6C3200" w14:textId="77777777" w:rsidR="00CA7016" w:rsidRPr="00A0513E" w:rsidRDefault="00CA7016" w:rsidP="003C3F6A">
            <w:pPr>
              <w:pStyle w:val="02Tabletext"/>
              <w:jc w:val="center"/>
            </w:pPr>
            <w:r>
              <w:fldChar w:fldCharType="begin"/>
            </w:r>
            <w:r>
              <w:instrText xml:space="preserve"> REF _Ref487790323 \r \h </w:instrText>
            </w:r>
            <w:r>
              <w:fldChar w:fldCharType="separate"/>
            </w:r>
            <w:r w:rsidR="007A1648">
              <w:t>4.</w:t>
            </w:r>
            <w:r w:rsidR="00B50363">
              <w:t>3</w:t>
            </w:r>
            <w:r w:rsidR="007A1648">
              <w:t>.1</w:t>
            </w:r>
            <w:r>
              <w:fldChar w:fldCharType="end"/>
            </w:r>
          </w:p>
        </w:tc>
      </w:tr>
      <w:tr w:rsidR="00CA7016" w:rsidRPr="004228E4" w14:paraId="548EEAF2" w14:textId="77777777" w:rsidTr="008302B1">
        <w:tc>
          <w:tcPr>
            <w:tcW w:w="1129" w:type="dxa"/>
          </w:tcPr>
          <w:p w14:paraId="2BBAF104" w14:textId="77777777" w:rsidR="00CA7016" w:rsidRPr="00606C52" w:rsidRDefault="00CA7016" w:rsidP="003C3F6A">
            <w:pPr>
              <w:pStyle w:val="02Tabletext"/>
            </w:pPr>
            <w:r w:rsidRPr="00606C52">
              <w:rPr>
                <w:color w:val="000000"/>
              </w:rPr>
              <w:t>693XC</w:t>
            </w:r>
          </w:p>
        </w:tc>
        <w:tc>
          <w:tcPr>
            <w:tcW w:w="3544" w:type="dxa"/>
          </w:tcPr>
          <w:p w14:paraId="3DBD0277" w14:textId="77777777" w:rsidR="00CA7016" w:rsidRPr="00606C52" w:rsidRDefault="00CA7016" w:rsidP="003C3F6A">
            <w:pPr>
              <w:pStyle w:val="02Tabletext"/>
            </w:pPr>
            <w:r w:rsidRPr="00606C52">
              <w:t xml:space="preserve">Detection of pathogenic microorganisms other than </w:t>
            </w:r>
            <w:r w:rsidRPr="00606C52">
              <w:rPr>
                <w:i/>
                <w:color w:val="000000"/>
              </w:rPr>
              <w:t>Chlamydia trachomatis</w:t>
            </w:r>
            <w:r w:rsidRPr="00606C52">
              <w:rPr>
                <w:color w:val="000000"/>
              </w:rPr>
              <w:t xml:space="preserve"> and </w:t>
            </w:r>
            <w:r w:rsidRPr="00606C52">
              <w:rPr>
                <w:i/>
                <w:color w:val="000000"/>
              </w:rPr>
              <w:t>Neisseria gonorrhoeae</w:t>
            </w:r>
            <w:r w:rsidRPr="00606C52">
              <w:t xml:space="preserve"> by any method from urogenital specimens, including (if performed) a service described in 69312. 1 specimen </w:t>
            </w:r>
          </w:p>
        </w:tc>
        <w:tc>
          <w:tcPr>
            <w:tcW w:w="3402" w:type="dxa"/>
          </w:tcPr>
          <w:p w14:paraId="17146B2C" w14:textId="77777777" w:rsidR="00CA7016" w:rsidRPr="00D34EDB" w:rsidRDefault="00CA7016" w:rsidP="003C3F6A">
            <w:pPr>
              <w:pStyle w:val="02Tabletext"/>
              <w:rPr>
                <w:color w:val="000000"/>
              </w:rPr>
            </w:pPr>
            <w:r w:rsidRPr="00606C52">
              <w:rPr>
                <w:color w:val="000000"/>
              </w:rPr>
              <w:t xml:space="preserve">Create a new </w:t>
            </w:r>
            <w:r>
              <w:rPr>
                <w:color w:val="000000"/>
              </w:rPr>
              <w:t>method free</w:t>
            </w:r>
            <w:r w:rsidRPr="00606C52">
              <w:rPr>
                <w:color w:val="000000"/>
              </w:rPr>
              <w:t xml:space="preserve"> item for the detection of pathogenic microorganism</w:t>
            </w:r>
            <w:r>
              <w:rPr>
                <w:color w:val="000000"/>
              </w:rPr>
              <w:t>s</w:t>
            </w:r>
            <w:r w:rsidRPr="00606C52">
              <w:rPr>
                <w:color w:val="000000"/>
              </w:rPr>
              <w:t xml:space="preserve"> associated with urogenital/ sexually transmitted disease pathogens from urogenital specimens. 1 specimen </w:t>
            </w:r>
          </w:p>
        </w:tc>
        <w:tc>
          <w:tcPr>
            <w:tcW w:w="941" w:type="dxa"/>
          </w:tcPr>
          <w:p w14:paraId="05602598" w14:textId="77777777" w:rsidR="00CA7016" w:rsidRPr="00606C52" w:rsidRDefault="00CA7016" w:rsidP="003C3F6A">
            <w:pPr>
              <w:pStyle w:val="02Tabletext"/>
              <w:jc w:val="center"/>
            </w:pPr>
            <w:r>
              <w:rPr>
                <w:color w:val="000000"/>
              </w:rPr>
              <w:fldChar w:fldCharType="begin"/>
            </w:r>
            <w:r>
              <w:instrText xml:space="preserve"> REF _Ref487790340 \r \h </w:instrText>
            </w:r>
            <w:r>
              <w:rPr>
                <w:color w:val="000000"/>
              </w:rPr>
            </w:r>
            <w:r>
              <w:rPr>
                <w:color w:val="000000"/>
              </w:rPr>
              <w:fldChar w:fldCharType="separate"/>
            </w:r>
            <w:r w:rsidR="007A1648">
              <w:t>4.</w:t>
            </w:r>
            <w:r w:rsidR="00B50363">
              <w:t>3</w:t>
            </w:r>
            <w:r w:rsidR="007A1648">
              <w:t>.1</w:t>
            </w:r>
            <w:r>
              <w:rPr>
                <w:color w:val="000000"/>
              </w:rPr>
              <w:fldChar w:fldCharType="end"/>
            </w:r>
          </w:p>
        </w:tc>
      </w:tr>
      <w:tr w:rsidR="00CA7016" w:rsidRPr="004228E4" w14:paraId="2BC043BB" w14:textId="77777777" w:rsidTr="008302B1">
        <w:tc>
          <w:tcPr>
            <w:tcW w:w="1129" w:type="dxa"/>
          </w:tcPr>
          <w:p w14:paraId="09D81EA2" w14:textId="77777777" w:rsidR="00CA7016" w:rsidRPr="00A0513E" w:rsidRDefault="00CA7016" w:rsidP="003C3F6A">
            <w:pPr>
              <w:pStyle w:val="02Tabletext"/>
            </w:pPr>
            <w:r w:rsidRPr="00606C52">
              <w:rPr>
                <w:color w:val="000000"/>
              </w:rPr>
              <w:t>693XD</w:t>
            </w:r>
          </w:p>
        </w:tc>
        <w:tc>
          <w:tcPr>
            <w:tcW w:w="3544" w:type="dxa"/>
          </w:tcPr>
          <w:p w14:paraId="431BE2BA" w14:textId="77777777" w:rsidR="00CA7016" w:rsidRPr="00606C52" w:rsidRDefault="00CA7016" w:rsidP="003C3F6A">
            <w:pPr>
              <w:pStyle w:val="02Tabletext"/>
            </w:pPr>
            <w:r w:rsidRPr="00606C52">
              <w:t xml:space="preserve">Detection of pathogenic microorganisms other than </w:t>
            </w:r>
            <w:r w:rsidRPr="00606C52">
              <w:rPr>
                <w:i/>
                <w:color w:val="000000"/>
              </w:rPr>
              <w:t>Chlamydia trachomatis</w:t>
            </w:r>
            <w:r w:rsidRPr="00606C52">
              <w:rPr>
                <w:color w:val="000000"/>
              </w:rPr>
              <w:t xml:space="preserve"> and </w:t>
            </w:r>
            <w:r w:rsidRPr="00606C52">
              <w:rPr>
                <w:i/>
                <w:color w:val="000000"/>
              </w:rPr>
              <w:t>Neisseria gonorrhoeae</w:t>
            </w:r>
            <w:r w:rsidRPr="00606C52">
              <w:t xml:space="preserve"> by any method from urogenital specimens, including (if performed) a service described in 69312. 2 or more specimens</w:t>
            </w:r>
          </w:p>
        </w:tc>
        <w:tc>
          <w:tcPr>
            <w:tcW w:w="3402" w:type="dxa"/>
          </w:tcPr>
          <w:p w14:paraId="1FD5C40D" w14:textId="77777777" w:rsidR="00CA7016" w:rsidRPr="00606C52" w:rsidRDefault="00CA7016" w:rsidP="003C3F6A">
            <w:pPr>
              <w:pStyle w:val="02Tabletext"/>
            </w:pPr>
            <w:r w:rsidRPr="00606C52">
              <w:rPr>
                <w:color w:val="000000"/>
              </w:rPr>
              <w:t xml:space="preserve">Create a new </w:t>
            </w:r>
            <w:r>
              <w:rPr>
                <w:color w:val="000000"/>
              </w:rPr>
              <w:t>method free</w:t>
            </w:r>
            <w:r w:rsidRPr="00606C52">
              <w:rPr>
                <w:color w:val="000000"/>
              </w:rPr>
              <w:t xml:space="preserve"> item for the detection of pathogenic microorganism</w:t>
            </w:r>
            <w:r>
              <w:rPr>
                <w:color w:val="000000"/>
              </w:rPr>
              <w:t>s</w:t>
            </w:r>
            <w:r w:rsidRPr="00606C52">
              <w:rPr>
                <w:color w:val="000000"/>
              </w:rPr>
              <w:t xml:space="preserve"> associated with urogenital/ sexually transmitted disease pathogens from urogenital specimens. 2 or more specimens.</w:t>
            </w:r>
          </w:p>
        </w:tc>
        <w:tc>
          <w:tcPr>
            <w:tcW w:w="941" w:type="dxa"/>
          </w:tcPr>
          <w:p w14:paraId="66CEEF53" w14:textId="77777777" w:rsidR="00CA7016" w:rsidRPr="00606C52" w:rsidRDefault="00CA7016" w:rsidP="003C3F6A">
            <w:pPr>
              <w:pStyle w:val="02Tabletext"/>
              <w:jc w:val="center"/>
            </w:pPr>
            <w:r>
              <w:fldChar w:fldCharType="begin"/>
            </w:r>
            <w:r>
              <w:instrText xml:space="preserve"> REF _Ref487790353 \r \h </w:instrText>
            </w:r>
            <w:r>
              <w:fldChar w:fldCharType="separate"/>
            </w:r>
            <w:r w:rsidR="007A1648">
              <w:t>4.</w:t>
            </w:r>
            <w:r w:rsidR="00B50363">
              <w:t>3</w:t>
            </w:r>
            <w:r w:rsidR="007A1648">
              <w:t>.1</w:t>
            </w:r>
            <w:r>
              <w:fldChar w:fldCharType="end"/>
            </w:r>
          </w:p>
        </w:tc>
      </w:tr>
      <w:tr w:rsidR="00CA7016" w:rsidRPr="004228E4" w14:paraId="5CAA72C8" w14:textId="77777777" w:rsidTr="008302B1">
        <w:tc>
          <w:tcPr>
            <w:tcW w:w="1129" w:type="dxa"/>
          </w:tcPr>
          <w:p w14:paraId="09F32B16" w14:textId="77777777" w:rsidR="00CA7016" w:rsidRPr="00A0513E" w:rsidRDefault="00CA7016" w:rsidP="003C3F6A">
            <w:pPr>
              <w:pStyle w:val="02Tabletext"/>
            </w:pPr>
            <w:bookmarkStart w:id="455" w:name="_Hlk489530554"/>
            <w:r>
              <w:t>693XE</w:t>
            </w:r>
          </w:p>
        </w:tc>
        <w:tc>
          <w:tcPr>
            <w:tcW w:w="3544" w:type="dxa"/>
          </w:tcPr>
          <w:p w14:paraId="50C8AFC7" w14:textId="77777777" w:rsidR="00CA7016" w:rsidRPr="00A0513E" w:rsidRDefault="00CA7016" w:rsidP="003C3F6A">
            <w:pPr>
              <w:pStyle w:val="02Tabletext"/>
            </w:pPr>
            <w:r w:rsidRPr="00A0513E">
              <w:t xml:space="preserve">Detection of </w:t>
            </w:r>
            <w:r w:rsidRPr="00326D8F">
              <w:rPr>
                <w:i/>
              </w:rPr>
              <w:t>Chlamydia trachomatis</w:t>
            </w:r>
            <w:r w:rsidRPr="00A0513E">
              <w:t xml:space="preserve"> and </w:t>
            </w:r>
            <w:r w:rsidRPr="00326D8F">
              <w:rPr>
                <w:i/>
              </w:rPr>
              <w:t>Neisseria gonorrhoea</w:t>
            </w:r>
            <w:r w:rsidRPr="00A0513E">
              <w:t xml:space="preserve"> by </w:t>
            </w:r>
            <w:r>
              <w:t>NAAT</w:t>
            </w:r>
            <w:r w:rsidRPr="00A0513E">
              <w:t xml:space="preserve">. 2 </w:t>
            </w:r>
            <w:r>
              <w:t xml:space="preserve">or more </w:t>
            </w:r>
            <w:r w:rsidRPr="00A0513E">
              <w:t>tests (Item is subject to rule 26</w:t>
            </w:r>
            <w:r>
              <w:t>, and rule 3 exemption</w:t>
            </w:r>
            <w:r w:rsidRPr="00A0513E">
              <w:t>)</w:t>
            </w:r>
            <w:r>
              <w:t>. 1 specimen</w:t>
            </w:r>
          </w:p>
        </w:tc>
        <w:tc>
          <w:tcPr>
            <w:tcW w:w="3402" w:type="dxa"/>
          </w:tcPr>
          <w:p w14:paraId="3E0C3564" w14:textId="77777777" w:rsidR="00CA7016" w:rsidRPr="00A0513E" w:rsidRDefault="00CA7016" w:rsidP="003C3F6A">
            <w:pPr>
              <w:pStyle w:val="02Tabletext"/>
            </w:pPr>
            <w:r w:rsidRPr="00A0513E">
              <w:t xml:space="preserve">Create a new item for NAAT of </w:t>
            </w:r>
            <w:r w:rsidRPr="00266994">
              <w:rPr>
                <w:i/>
              </w:rPr>
              <w:t>Chlamydia trachomatis</w:t>
            </w:r>
            <w:r w:rsidRPr="00A0513E">
              <w:t xml:space="preserve"> and </w:t>
            </w:r>
            <w:r w:rsidRPr="00266994">
              <w:rPr>
                <w:i/>
              </w:rPr>
              <w:t>Neisseria gonorrhoea</w:t>
            </w:r>
            <w:r w:rsidRPr="00A0513E">
              <w:t xml:space="preserve"> for 2 or more tests</w:t>
            </w:r>
            <w:r>
              <w:t>. 1</w:t>
            </w:r>
            <w:r w:rsidR="007F5CEC">
              <w:t> </w:t>
            </w:r>
            <w:r>
              <w:t>specimen.</w:t>
            </w:r>
            <w:r w:rsidR="002B3184">
              <w:t xml:space="preserve"> </w:t>
            </w:r>
            <w:r>
              <w:t>Rule 3 exemption recommended</w:t>
            </w:r>
          </w:p>
        </w:tc>
        <w:tc>
          <w:tcPr>
            <w:tcW w:w="941" w:type="dxa"/>
          </w:tcPr>
          <w:p w14:paraId="75691DD5" w14:textId="77777777" w:rsidR="00CA7016" w:rsidRPr="00A0513E" w:rsidRDefault="00CA7016" w:rsidP="003C3F6A">
            <w:pPr>
              <w:pStyle w:val="02Tabletext"/>
              <w:jc w:val="center"/>
            </w:pPr>
            <w:r>
              <w:fldChar w:fldCharType="begin"/>
            </w:r>
            <w:r>
              <w:instrText xml:space="preserve"> REF _Ref487790369 \r \h </w:instrText>
            </w:r>
            <w:r>
              <w:fldChar w:fldCharType="separate"/>
            </w:r>
            <w:r w:rsidR="007A1648">
              <w:t>4.</w:t>
            </w:r>
            <w:r w:rsidR="00B50363">
              <w:t>3</w:t>
            </w:r>
            <w:r w:rsidR="007A1648">
              <w:t>.1</w:t>
            </w:r>
            <w:r>
              <w:fldChar w:fldCharType="end"/>
            </w:r>
            <w:r>
              <w:t xml:space="preserve"> &amp; 4.12</w:t>
            </w:r>
          </w:p>
        </w:tc>
      </w:tr>
      <w:tr w:rsidR="00CA7016" w:rsidRPr="004228E4" w14:paraId="241AC06F" w14:textId="77777777" w:rsidTr="008302B1">
        <w:tc>
          <w:tcPr>
            <w:tcW w:w="1129" w:type="dxa"/>
          </w:tcPr>
          <w:p w14:paraId="12024CFC" w14:textId="77777777" w:rsidR="00CA7016" w:rsidRDefault="00CA7016" w:rsidP="003C3F6A">
            <w:r>
              <w:t>693XF</w:t>
            </w:r>
          </w:p>
        </w:tc>
        <w:tc>
          <w:tcPr>
            <w:tcW w:w="3544" w:type="dxa"/>
          </w:tcPr>
          <w:p w14:paraId="7D50095A" w14:textId="77777777" w:rsidR="00CA7016" w:rsidRPr="0055063D" w:rsidRDefault="00CA7016" w:rsidP="003C3F6A">
            <w:pPr>
              <w:pStyle w:val="02Tabletext"/>
            </w:pPr>
            <w:r w:rsidRPr="0055063D">
              <w:rPr>
                <w:color w:val="000000"/>
              </w:rPr>
              <w:t xml:space="preserve">Detection of </w:t>
            </w:r>
            <w:r w:rsidRPr="0055063D">
              <w:rPr>
                <w:i/>
                <w:color w:val="000000"/>
              </w:rPr>
              <w:t>Chlamydia trachomatis</w:t>
            </w:r>
            <w:r w:rsidRPr="0055063D">
              <w:rPr>
                <w:color w:val="000000"/>
              </w:rPr>
              <w:t xml:space="preserve"> and </w:t>
            </w:r>
            <w:r w:rsidRPr="0055063D">
              <w:rPr>
                <w:i/>
                <w:color w:val="000000"/>
              </w:rPr>
              <w:t>Neisseria gonorrhoeae</w:t>
            </w:r>
            <w:r w:rsidRPr="0055063D">
              <w:rPr>
                <w:color w:val="000000"/>
              </w:rPr>
              <w:t xml:space="preserve"> by NAAT. 2 </w:t>
            </w:r>
            <w:r>
              <w:rPr>
                <w:color w:val="000000"/>
              </w:rPr>
              <w:t xml:space="preserve">or more </w:t>
            </w:r>
            <w:r w:rsidRPr="0055063D">
              <w:rPr>
                <w:color w:val="000000"/>
              </w:rPr>
              <w:t>tests (Item is subject to rule 26</w:t>
            </w:r>
            <w:r>
              <w:rPr>
                <w:color w:val="000000"/>
              </w:rPr>
              <w:t>, and rule 3 exemption</w:t>
            </w:r>
            <w:r w:rsidRPr="0055063D">
              <w:rPr>
                <w:color w:val="000000"/>
              </w:rPr>
              <w:t>). 2 or more specimens</w:t>
            </w:r>
          </w:p>
        </w:tc>
        <w:tc>
          <w:tcPr>
            <w:tcW w:w="3402" w:type="dxa"/>
          </w:tcPr>
          <w:p w14:paraId="0283CF8A" w14:textId="77777777" w:rsidR="00CA7016" w:rsidRPr="0055063D" w:rsidRDefault="00CA7016" w:rsidP="003C3F6A">
            <w:pPr>
              <w:pStyle w:val="02Tabletext"/>
            </w:pPr>
            <w:r w:rsidRPr="0055063D">
              <w:rPr>
                <w:color w:val="000000"/>
              </w:rPr>
              <w:t xml:space="preserve">Create a new item for NAAT of </w:t>
            </w:r>
            <w:r w:rsidRPr="00D87423">
              <w:rPr>
                <w:i/>
                <w:color w:val="000000"/>
              </w:rPr>
              <w:t>Chlamydia trachomatis</w:t>
            </w:r>
            <w:r w:rsidRPr="0055063D">
              <w:rPr>
                <w:color w:val="000000"/>
              </w:rPr>
              <w:t xml:space="preserve"> and </w:t>
            </w:r>
            <w:r w:rsidRPr="00D87423">
              <w:rPr>
                <w:i/>
                <w:color w:val="000000"/>
              </w:rPr>
              <w:t>Neisseria gonorrhoea.</w:t>
            </w:r>
            <w:r>
              <w:rPr>
                <w:color w:val="000000"/>
              </w:rPr>
              <w:t xml:space="preserve"> 2 or more tests.</w:t>
            </w:r>
            <w:r w:rsidRPr="0055063D">
              <w:rPr>
                <w:color w:val="000000"/>
              </w:rPr>
              <w:t xml:space="preserve"> 2 or more </w:t>
            </w:r>
            <w:r>
              <w:rPr>
                <w:color w:val="000000"/>
              </w:rPr>
              <w:t>specimens</w:t>
            </w:r>
            <w:r w:rsidRPr="0055063D">
              <w:rPr>
                <w:color w:val="000000"/>
              </w:rPr>
              <w:t>.</w:t>
            </w:r>
            <w:r>
              <w:rPr>
                <w:color w:val="000000"/>
              </w:rPr>
              <w:t xml:space="preserve"> Rule 3 exemption recommended</w:t>
            </w:r>
          </w:p>
        </w:tc>
        <w:tc>
          <w:tcPr>
            <w:tcW w:w="941" w:type="dxa"/>
          </w:tcPr>
          <w:p w14:paraId="15BD8EC4" w14:textId="77777777" w:rsidR="00CA7016" w:rsidRPr="0055063D" w:rsidRDefault="00CA7016" w:rsidP="003C3F6A">
            <w:pPr>
              <w:pStyle w:val="02Tabletext"/>
              <w:jc w:val="center"/>
            </w:pPr>
            <w:r>
              <w:fldChar w:fldCharType="begin"/>
            </w:r>
            <w:r>
              <w:instrText xml:space="preserve"> REF _Ref487790382 \r \h </w:instrText>
            </w:r>
            <w:r>
              <w:fldChar w:fldCharType="separate"/>
            </w:r>
            <w:r w:rsidR="007A1648">
              <w:t>4.</w:t>
            </w:r>
            <w:r w:rsidR="00B50363">
              <w:t>3</w:t>
            </w:r>
            <w:r w:rsidR="007A1648">
              <w:t>.1</w:t>
            </w:r>
            <w:r>
              <w:fldChar w:fldCharType="end"/>
            </w:r>
            <w:r>
              <w:t xml:space="preserve"> &amp; 4.12</w:t>
            </w:r>
          </w:p>
        </w:tc>
      </w:tr>
      <w:bookmarkEnd w:id="455"/>
      <w:tr w:rsidR="00CA7016" w:rsidRPr="004228E4" w14:paraId="4BB105B7" w14:textId="77777777" w:rsidTr="008302B1">
        <w:tc>
          <w:tcPr>
            <w:tcW w:w="1129" w:type="dxa"/>
          </w:tcPr>
          <w:p w14:paraId="31553AE4" w14:textId="77777777" w:rsidR="00CA7016" w:rsidRPr="00A0513E" w:rsidRDefault="00CA7016" w:rsidP="003C3F6A">
            <w:pPr>
              <w:pStyle w:val="02Tabletext"/>
            </w:pPr>
            <w:r>
              <w:t>693XG</w:t>
            </w:r>
          </w:p>
        </w:tc>
        <w:tc>
          <w:tcPr>
            <w:tcW w:w="3544" w:type="dxa"/>
          </w:tcPr>
          <w:p w14:paraId="2DC10B21" w14:textId="77777777" w:rsidR="00CA7016" w:rsidRPr="00A0513E" w:rsidRDefault="00CA7016" w:rsidP="003C3F6A">
            <w:pPr>
              <w:pStyle w:val="02Tabletext"/>
            </w:pPr>
            <w:r w:rsidRPr="00A0513E">
              <w:t xml:space="preserve">Culture for </w:t>
            </w:r>
            <w:r w:rsidRPr="00326D8F">
              <w:rPr>
                <w:i/>
              </w:rPr>
              <w:t>Streptococcus agalactiae</w:t>
            </w:r>
            <w:r w:rsidRPr="00A0513E">
              <w:t xml:space="preserve"> (GBS) from combined low vaginal swab plus or minus anorectal swab at 35</w:t>
            </w:r>
            <w:r>
              <w:t>-</w:t>
            </w:r>
            <w:r w:rsidRPr="00A0513E">
              <w:t>37 weeks</w:t>
            </w:r>
            <w:r>
              <w:t>’</w:t>
            </w:r>
            <w:r w:rsidRPr="00A0513E">
              <w:t xml:space="preserve"> gestation and susceptibility testing if performed in women allergic to penicillin</w:t>
            </w:r>
          </w:p>
        </w:tc>
        <w:tc>
          <w:tcPr>
            <w:tcW w:w="3402" w:type="dxa"/>
          </w:tcPr>
          <w:p w14:paraId="61D4C3B5" w14:textId="77777777" w:rsidR="00CA7016" w:rsidRPr="00A0513E" w:rsidRDefault="00CA7016" w:rsidP="003C3F6A">
            <w:pPr>
              <w:pStyle w:val="02Tabletext"/>
            </w:pPr>
            <w:r w:rsidRPr="00A0513E">
              <w:t xml:space="preserve">Create a new item for culture of </w:t>
            </w:r>
            <w:r w:rsidRPr="00266994">
              <w:rPr>
                <w:i/>
              </w:rPr>
              <w:t>Streptococcus agalactiae</w:t>
            </w:r>
            <w:r w:rsidRPr="00A0513E">
              <w:t xml:space="preserve"> (GBS) at 35-37 weeks</w:t>
            </w:r>
            <w:r>
              <w:t>’</w:t>
            </w:r>
            <w:r w:rsidRPr="00A0513E">
              <w:t xml:space="preserve"> gestation as per RANZCOG guidelines</w:t>
            </w:r>
            <w:r>
              <w:t>.</w:t>
            </w:r>
          </w:p>
        </w:tc>
        <w:tc>
          <w:tcPr>
            <w:tcW w:w="941" w:type="dxa"/>
          </w:tcPr>
          <w:p w14:paraId="3A64E4F9" w14:textId="77777777" w:rsidR="00CA7016" w:rsidRPr="00A0513E" w:rsidRDefault="00CA7016" w:rsidP="003C3F6A">
            <w:pPr>
              <w:pStyle w:val="02Tabletext"/>
              <w:jc w:val="center"/>
            </w:pPr>
            <w:r>
              <w:fldChar w:fldCharType="begin"/>
            </w:r>
            <w:r>
              <w:instrText xml:space="preserve"> REF _Ref487790399 \r \h </w:instrText>
            </w:r>
            <w:r>
              <w:fldChar w:fldCharType="separate"/>
            </w:r>
            <w:r w:rsidR="007A1648">
              <w:t>4.</w:t>
            </w:r>
            <w:r w:rsidR="00B50363">
              <w:t>3</w:t>
            </w:r>
            <w:r w:rsidR="007A1648">
              <w:t>.1</w:t>
            </w:r>
            <w:r>
              <w:fldChar w:fldCharType="end"/>
            </w:r>
          </w:p>
        </w:tc>
      </w:tr>
      <w:tr w:rsidR="00CA7016" w:rsidRPr="004228E4" w14:paraId="0E2B111B" w14:textId="77777777" w:rsidTr="008302B1">
        <w:tc>
          <w:tcPr>
            <w:tcW w:w="1129" w:type="dxa"/>
          </w:tcPr>
          <w:p w14:paraId="61350E7A" w14:textId="77777777" w:rsidR="00CA7016" w:rsidRPr="00A0513E" w:rsidRDefault="00CA7016" w:rsidP="003C3F6A">
            <w:pPr>
              <w:pStyle w:val="02Tabletext"/>
            </w:pPr>
            <w:r>
              <w:t>693XH</w:t>
            </w:r>
          </w:p>
        </w:tc>
        <w:tc>
          <w:tcPr>
            <w:tcW w:w="3544" w:type="dxa"/>
          </w:tcPr>
          <w:p w14:paraId="4B7945B9" w14:textId="77777777" w:rsidR="00CA7016" w:rsidRPr="00A0513E" w:rsidRDefault="00CA7016" w:rsidP="003C3F6A">
            <w:pPr>
              <w:pStyle w:val="02Tabletext"/>
            </w:pPr>
            <w:r w:rsidRPr="00A0513E">
              <w:t xml:space="preserve">Detection of viral, atypical pneumonia pathogens and </w:t>
            </w:r>
            <w:r w:rsidRPr="0055063D">
              <w:rPr>
                <w:i/>
              </w:rPr>
              <w:t>Bordetella</w:t>
            </w:r>
            <w:r w:rsidRPr="00A0513E">
              <w:t xml:space="preserve"> sp</w:t>
            </w:r>
            <w:r>
              <w:t>p</w:t>
            </w:r>
            <w:r w:rsidRPr="00A0513E">
              <w:t>. nucleic acid from nasal swabs, throat swabs, nasopharyngeal aspirates and lower respiratory tract samples. Specimens from 1 or more sites. 3 tests or more</w:t>
            </w:r>
          </w:p>
        </w:tc>
        <w:tc>
          <w:tcPr>
            <w:tcW w:w="3402" w:type="dxa"/>
          </w:tcPr>
          <w:p w14:paraId="0674972A" w14:textId="77777777" w:rsidR="00CA7016" w:rsidRPr="00A0513E" w:rsidRDefault="00CA7016" w:rsidP="003C3F6A">
            <w:pPr>
              <w:pStyle w:val="02Tabletext"/>
            </w:pPr>
            <w:r w:rsidRPr="00A0513E">
              <w:t xml:space="preserve">Create a new NAAT item for molecular testing of viral, atypical pneumonia pathogens and </w:t>
            </w:r>
            <w:r w:rsidRPr="00266994">
              <w:rPr>
                <w:i/>
              </w:rPr>
              <w:t>Bordetella</w:t>
            </w:r>
            <w:r w:rsidRPr="00A0513E">
              <w:t xml:space="preserve"> species from swabs and lower respiratory tract samples. </w:t>
            </w:r>
          </w:p>
        </w:tc>
        <w:tc>
          <w:tcPr>
            <w:tcW w:w="941" w:type="dxa"/>
          </w:tcPr>
          <w:p w14:paraId="41D7C847" w14:textId="77777777" w:rsidR="00CA7016" w:rsidRPr="00A0513E" w:rsidRDefault="00CA7016" w:rsidP="003C3F6A">
            <w:pPr>
              <w:pStyle w:val="02Tabletext"/>
              <w:jc w:val="center"/>
            </w:pPr>
            <w:r>
              <w:fldChar w:fldCharType="begin"/>
            </w:r>
            <w:r>
              <w:instrText xml:space="preserve"> REF _Ref487790415 \r \h </w:instrText>
            </w:r>
            <w:r>
              <w:fldChar w:fldCharType="separate"/>
            </w:r>
            <w:r w:rsidR="007A1648">
              <w:t>4.</w:t>
            </w:r>
            <w:r w:rsidR="00B50363">
              <w:t>4</w:t>
            </w:r>
            <w:r w:rsidR="007A1648">
              <w:t>.1</w:t>
            </w:r>
            <w:r>
              <w:fldChar w:fldCharType="end"/>
            </w:r>
          </w:p>
        </w:tc>
      </w:tr>
      <w:tr w:rsidR="00CA7016" w:rsidRPr="004228E4" w14:paraId="6399279D" w14:textId="77777777" w:rsidTr="008302B1">
        <w:tc>
          <w:tcPr>
            <w:tcW w:w="1129" w:type="dxa"/>
          </w:tcPr>
          <w:p w14:paraId="253BECF6" w14:textId="77777777" w:rsidR="00CA7016" w:rsidRPr="00A0513E" w:rsidRDefault="00CA7016" w:rsidP="003C3F6A">
            <w:pPr>
              <w:pStyle w:val="02Tabletext"/>
            </w:pPr>
            <w:r>
              <w:t>693XI</w:t>
            </w:r>
          </w:p>
        </w:tc>
        <w:tc>
          <w:tcPr>
            <w:tcW w:w="3544" w:type="dxa"/>
          </w:tcPr>
          <w:p w14:paraId="06FE5D08" w14:textId="77777777" w:rsidR="00CA7016" w:rsidRPr="00A0513E" w:rsidRDefault="00CA7016" w:rsidP="003C3F6A">
            <w:pPr>
              <w:pStyle w:val="02Tabletext"/>
            </w:pPr>
            <w:r w:rsidRPr="00A0513E">
              <w:t xml:space="preserve">Detection of </w:t>
            </w:r>
            <w:r w:rsidRPr="0055063D">
              <w:rPr>
                <w:i/>
              </w:rPr>
              <w:t>M. tuberculosis</w:t>
            </w:r>
            <w:r w:rsidRPr="00A0513E">
              <w:t xml:space="preserve"> and antimicrobial molecular resistance nucleic acid from respiratory or non-pulmonary </w:t>
            </w:r>
            <w:r w:rsidRPr="00A0513E">
              <w:lastRenderedPageBreak/>
              <w:t>specimens where there is high clinical suspicion</w:t>
            </w:r>
          </w:p>
        </w:tc>
        <w:tc>
          <w:tcPr>
            <w:tcW w:w="3402" w:type="dxa"/>
          </w:tcPr>
          <w:p w14:paraId="6743B034" w14:textId="77777777" w:rsidR="00CA7016" w:rsidRPr="00A0513E" w:rsidRDefault="00CA7016" w:rsidP="003C3F6A">
            <w:pPr>
              <w:pStyle w:val="02Tabletext"/>
            </w:pPr>
            <w:r w:rsidRPr="00A0513E">
              <w:lastRenderedPageBreak/>
              <w:t xml:space="preserve">Create a new NAAT item for the detection of </w:t>
            </w:r>
            <w:r w:rsidRPr="00266994">
              <w:rPr>
                <w:i/>
              </w:rPr>
              <w:t>M. tuberculosis</w:t>
            </w:r>
            <w:r w:rsidRPr="00A0513E">
              <w:t xml:space="preserve"> (MTB) antibiotic resistance and antimicrobial molecular </w:t>
            </w:r>
            <w:r w:rsidRPr="00A0513E">
              <w:lastRenderedPageBreak/>
              <w:t>resistance nucleic acid from respiratory or non-pulmonary specimens</w:t>
            </w:r>
            <w:r>
              <w:t>.</w:t>
            </w:r>
          </w:p>
        </w:tc>
        <w:tc>
          <w:tcPr>
            <w:tcW w:w="941" w:type="dxa"/>
          </w:tcPr>
          <w:p w14:paraId="2ACBB2DA" w14:textId="77777777" w:rsidR="00CA7016" w:rsidRPr="00A0513E" w:rsidRDefault="00CA7016" w:rsidP="003C3F6A">
            <w:pPr>
              <w:pStyle w:val="02Tabletext"/>
              <w:jc w:val="center"/>
            </w:pPr>
            <w:r>
              <w:lastRenderedPageBreak/>
              <w:fldChar w:fldCharType="begin"/>
            </w:r>
            <w:r>
              <w:instrText xml:space="preserve"> REF _Ref487790437 \r \h </w:instrText>
            </w:r>
            <w:r>
              <w:fldChar w:fldCharType="separate"/>
            </w:r>
            <w:r w:rsidR="007A1648">
              <w:t>4.</w:t>
            </w:r>
            <w:r w:rsidR="00B50363">
              <w:t>5</w:t>
            </w:r>
            <w:r w:rsidR="007A1648">
              <w:t>.1</w:t>
            </w:r>
            <w:r>
              <w:fldChar w:fldCharType="end"/>
            </w:r>
          </w:p>
        </w:tc>
      </w:tr>
      <w:tr w:rsidR="00CA7016" w:rsidRPr="004228E4" w14:paraId="52493C99" w14:textId="77777777" w:rsidTr="008302B1">
        <w:tc>
          <w:tcPr>
            <w:tcW w:w="1129" w:type="dxa"/>
          </w:tcPr>
          <w:p w14:paraId="0591AAC0" w14:textId="77777777" w:rsidR="00CA7016" w:rsidRPr="00A0513E" w:rsidRDefault="00CA7016" w:rsidP="003C3F6A">
            <w:pPr>
              <w:pStyle w:val="02Tabletext"/>
            </w:pPr>
            <w:r>
              <w:t>693XJ</w:t>
            </w:r>
          </w:p>
        </w:tc>
        <w:tc>
          <w:tcPr>
            <w:tcW w:w="3544" w:type="dxa"/>
          </w:tcPr>
          <w:p w14:paraId="40502CC4" w14:textId="77777777" w:rsidR="00CA7016" w:rsidRPr="00A0513E" w:rsidRDefault="00CA7016" w:rsidP="003C3F6A">
            <w:pPr>
              <w:pStyle w:val="02Tabletext"/>
            </w:pPr>
            <w:r w:rsidRPr="00A0513E">
              <w:t>Detection of pathogenic organisms from skin or superficial site specimens using nucleic acid amplification techniques (NAAT)</w:t>
            </w:r>
          </w:p>
        </w:tc>
        <w:tc>
          <w:tcPr>
            <w:tcW w:w="3402" w:type="dxa"/>
          </w:tcPr>
          <w:p w14:paraId="5ED22AB3" w14:textId="77777777" w:rsidR="00CA7016" w:rsidRPr="00A0513E" w:rsidRDefault="00CA7016" w:rsidP="003C3F6A">
            <w:pPr>
              <w:pStyle w:val="02Tabletext"/>
            </w:pPr>
            <w:r w:rsidRPr="00A0513E">
              <w:t xml:space="preserve">Create a new NAAT item for the detection of pathogenic organisms from skin or superficial site specimens using </w:t>
            </w:r>
            <w:r w:rsidR="007C7F60">
              <w:t xml:space="preserve">dermatophyte detection by </w:t>
            </w:r>
            <w:r w:rsidRPr="00A0513E">
              <w:t>nucleic acid amplification techniques</w:t>
            </w:r>
            <w:r>
              <w:t>.</w:t>
            </w:r>
          </w:p>
        </w:tc>
        <w:tc>
          <w:tcPr>
            <w:tcW w:w="941" w:type="dxa"/>
          </w:tcPr>
          <w:p w14:paraId="3FBD0A84" w14:textId="77777777" w:rsidR="00CA7016" w:rsidRPr="00A0513E" w:rsidRDefault="00CA7016" w:rsidP="003C3F6A">
            <w:pPr>
              <w:pStyle w:val="02Tabletext"/>
              <w:jc w:val="center"/>
            </w:pPr>
            <w:r>
              <w:fldChar w:fldCharType="begin"/>
            </w:r>
            <w:r>
              <w:instrText xml:space="preserve"> REF _Ref487790455 \r \h </w:instrText>
            </w:r>
            <w:r>
              <w:fldChar w:fldCharType="separate"/>
            </w:r>
            <w:r w:rsidR="007A1648">
              <w:t>4.</w:t>
            </w:r>
            <w:r w:rsidR="00B50363">
              <w:t>6</w:t>
            </w:r>
            <w:r w:rsidR="007A1648">
              <w:t>.1</w:t>
            </w:r>
            <w:r>
              <w:fldChar w:fldCharType="end"/>
            </w:r>
          </w:p>
        </w:tc>
      </w:tr>
      <w:tr w:rsidR="00CA7016" w:rsidRPr="004228E4" w14:paraId="5199B4EB" w14:textId="77777777" w:rsidTr="008302B1">
        <w:tc>
          <w:tcPr>
            <w:tcW w:w="1129" w:type="dxa"/>
          </w:tcPr>
          <w:p w14:paraId="5EA6A0D5" w14:textId="77777777" w:rsidR="00CA7016" w:rsidRPr="00A0513E" w:rsidRDefault="00CA7016" w:rsidP="003C3F6A">
            <w:pPr>
              <w:pStyle w:val="02Tabletext"/>
            </w:pPr>
            <w:r>
              <w:t>693XK</w:t>
            </w:r>
          </w:p>
        </w:tc>
        <w:tc>
          <w:tcPr>
            <w:tcW w:w="3544" w:type="dxa"/>
          </w:tcPr>
          <w:p w14:paraId="3974F0C2" w14:textId="77777777" w:rsidR="00CA7016" w:rsidRPr="00A0513E" w:rsidRDefault="00CA7016" w:rsidP="003C3F6A">
            <w:pPr>
              <w:pStyle w:val="02Tabletext"/>
            </w:pPr>
            <w:r w:rsidRPr="00A0513E">
              <w:t>Detection of pathogenic organisms from sterile sites, CNS and ocular specimens using nucleic acid amplification techniques (NAAT)</w:t>
            </w:r>
          </w:p>
        </w:tc>
        <w:tc>
          <w:tcPr>
            <w:tcW w:w="3402" w:type="dxa"/>
          </w:tcPr>
          <w:p w14:paraId="56451319" w14:textId="77777777" w:rsidR="00CA7016" w:rsidRPr="00A0513E" w:rsidRDefault="00CA7016" w:rsidP="003C3F6A">
            <w:pPr>
              <w:pStyle w:val="02Tabletext"/>
            </w:pPr>
            <w:r w:rsidRPr="00A0513E">
              <w:t xml:space="preserve">Create a new NAAT item for the detection of pathogenic organisms from sterile sites such as the </w:t>
            </w:r>
            <w:r>
              <w:t>c</w:t>
            </w:r>
            <w:r w:rsidRPr="00A0513E">
              <w:t xml:space="preserve">entral </w:t>
            </w:r>
            <w:r>
              <w:t>n</w:t>
            </w:r>
            <w:r w:rsidRPr="00A0513E">
              <w:t xml:space="preserve">ervous </w:t>
            </w:r>
            <w:r>
              <w:t>s</w:t>
            </w:r>
            <w:r w:rsidRPr="00A0513E">
              <w:t>ystem (CNS) and ocular specimens</w:t>
            </w:r>
            <w:r>
              <w:t>.</w:t>
            </w:r>
          </w:p>
        </w:tc>
        <w:tc>
          <w:tcPr>
            <w:tcW w:w="941" w:type="dxa"/>
          </w:tcPr>
          <w:p w14:paraId="32FA9101" w14:textId="77777777" w:rsidR="00CA7016" w:rsidRPr="00A0513E" w:rsidRDefault="00CA7016" w:rsidP="003C3F6A">
            <w:pPr>
              <w:pStyle w:val="02Tabletext"/>
              <w:jc w:val="center"/>
            </w:pPr>
            <w:r>
              <w:fldChar w:fldCharType="begin"/>
            </w:r>
            <w:r>
              <w:instrText xml:space="preserve"> REF _Ref487790469 \r \h </w:instrText>
            </w:r>
            <w:r>
              <w:fldChar w:fldCharType="separate"/>
            </w:r>
            <w:r w:rsidR="007A1648">
              <w:t>4.</w:t>
            </w:r>
            <w:r w:rsidR="00B50363">
              <w:t>7</w:t>
            </w:r>
            <w:r w:rsidR="007A1648">
              <w:t>.1</w:t>
            </w:r>
            <w:r>
              <w:fldChar w:fldCharType="end"/>
            </w:r>
          </w:p>
        </w:tc>
      </w:tr>
      <w:tr w:rsidR="00CA7016" w:rsidRPr="004228E4" w14:paraId="52534962" w14:textId="77777777" w:rsidTr="008302B1">
        <w:tc>
          <w:tcPr>
            <w:tcW w:w="1129" w:type="dxa"/>
          </w:tcPr>
          <w:p w14:paraId="10BE883F" w14:textId="77777777" w:rsidR="00CA7016" w:rsidRPr="00A0513E" w:rsidRDefault="00CA7016" w:rsidP="003C3F6A">
            <w:pPr>
              <w:pStyle w:val="02Tabletext"/>
            </w:pPr>
            <w:r w:rsidRPr="00A0513E">
              <w:t xml:space="preserve">Interim </w:t>
            </w:r>
            <w:r>
              <w:t>m</w:t>
            </w:r>
            <w:r w:rsidRPr="00A0513E">
              <w:t>odel item 694XA</w:t>
            </w:r>
          </w:p>
        </w:tc>
        <w:tc>
          <w:tcPr>
            <w:tcW w:w="3544" w:type="dxa"/>
          </w:tcPr>
          <w:p w14:paraId="787D8970" w14:textId="77777777" w:rsidR="00CA7016" w:rsidRPr="00A0513E" w:rsidRDefault="00CA7016" w:rsidP="003C3F6A">
            <w:pPr>
              <w:pStyle w:val="02Tabletext"/>
            </w:pPr>
            <w:r w:rsidRPr="00A0513E">
              <w:t xml:space="preserve">Testing for hepatitis viruses </w:t>
            </w:r>
            <w:r>
              <w:t xml:space="preserve">A, B &amp; C </w:t>
            </w:r>
            <w:r w:rsidRPr="00A0513E">
              <w:t>to determine immune status, and to diagnose; or monitor acute or chronic hepatitis</w:t>
            </w:r>
            <w:r>
              <w:t xml:space="preserve"> </w:t>
            </w:r>
            <w:r w:rsidRPr="00A0513E">
              <w:t>- 3 or more tests</w:t>
            </w:r>
          </w:p>
        </w:tc>
        <w:tc>
          <w:tcPr>
            <w:tcW w:w="3402" w:type="dxa"/>
          </w:tcPr>
          <w:p w14:paraId="030E8281" w14:textId="77777777" w:rsidR="00CA7016" w:rsidRPr="00A0513E" w:rsidRDefault="00CA7016" w:rsidP="003C3F6A">
            <w:pPr>
              <w:pStyle w:val="02Tabletext"/>
            </w:pPr>
            <w:r w:rsidRPr="00A0513E">
              <w:t>Delete items 69475, 69478, and 69481 and merge into one new item to cover any and all tests for hepatitis viruses</w:t>
            </w:r>
            <w:r>
              <w:t xml:space="preserve"> A, B &amp; C,</w:t>
            </w:r>
            <w:r w:rsidRPr="00A0513E">
              <w:t xml:space="preserve"> including </w:t>
            </w:r>
            <w:r>
              <w:t xml:space="preserve">from </w:t>
            </w:r>
            <w:r w:rsidRPr="00A0513E">
              <w:t xml:space="preserve">checking immune status to diagnosing or monitoring acute or chronic hepatitis, </w:t>
            </w:r>
            <w:r>
              <w:t xml:space="preserve">up to </w:t>
            </w:r>
            <w:r w:rsidRPr="00A0513E">
              <w:t>3 or more tests</w:t>
            </w:r>
            <w:r>
              <w:t>.</w:t>
            </w:r>
          </w:p>
        </w:tc>
        <w:tc>
          <w:tcPr>
            <w:tcW w:w="941" w:type="dxa"/>
          </w:tcPr>
          <w:p w14:paraId="5EB1493B" w14:textId="77777777" w:rsidR="00CA7016" w:rsidRPr="00A0513E" w:rsidRDefault="00CA7016" w:rsidP="003C3F6A">
            <w:pPr>
              <w:pStyle w:val="02Tabletext"/>
              <w:jc w:val="center"/>
            </w:pPr>
            <w:r>
              <w:fldChar w:fldCharType="begin"/>
            </w:r>
            <w:r>
              <w:instrText xml:space="preserve"> REF _Ref487790523 \r \h </w:instrText>
            </w:r>
            <w:r>
              <w:fldChar w:fldCharType="separate"/>
            </w:r>
            <w:r w:rsidR="007A1648">
              <w:t>4.</w:t>
            </w:r>
            <w:r w:rsidR="00D647FF">
              <w:t>9.3</w:t>
            </w:r>
            <w:r>
              <w:fldChar w:fldCharType="end"/>
            </w:r>
          </w:p>
        </w:tc>
      </w:tr>
      <w:tr w:rsidR="00CA7016" w:rsidRPr="004228E4" w14:paraId="6A93874E" w14:textId="77777777" w:rsidTr="008302B1">
        <w:tc>
          <w:tcPr>
            <w:tcW w:w="1129" w:type="dxa"/>
          </w:tcPr>
          <w:p w14:paraId="60330320" w14:textId="77777777" w:rsidR="00CA7016" w:rsidRPr="00A0513E" w:rsidRDefault="00CA7016" w:rsidP="003C3F6A">
            <w:pPr>
              <w:pStyle w:val="02Tabletext"/>
            </w:pPr>
            <w:r w:rsidRPr="001F1D46">
              <w:rPr>
                <w:color w:val="000000"/>
              </w:rPr>
              <w:t>694XB</w:t>
            </w:r>
          </w:p>
        </w:tc>
        <w:tc>
          <w:tcPr>
            <w:tcW w:w="3544" w:type="dxa"/>
          </w:tcPr>
          <w:p w14:paraId="200BCA41" w14:textId="77777777" w:rsidR="00CA7016" w:rsidRPr="001F1D46" w:rsidRDefault="00CA7016" w:rsidP="003C3F6A">
            <w:pPr>
              <w:pStyle w:val="02Tabletext"/>
            </w:pPr>
            <w:r w:rsidRPr="001F1D46">
              <w:rPr>
                <w:color w:val="000000"/>
              </w:rPr>
              <w:t>Test(s) to determine viral carriage of hepatitis D virus (in a HBs positive patient) or hepatitis E virus in a patient non-reactive in testing to other hepatitis viruses. One test only.</w:t>
            </w:r>
          </w:p>
        </w:tc>
        <w:tc>
          <w:tcPr>
            <w:tcW w:w="3402" w:type="dxa"/>
          </w:tcPr>
          <w:p w14:paraId="7F5ADB1A" w14:textId="77777777" w:rsidR="00CA7016" w:rsidRPr="001F1D46" w:rsidRDefault="00CA7016" w:rsidP="003C3F6A">
            <w:pPr>
              <w:pStyle w:val="02Tabletext"/>
            </w:pPr>
            <w:r w:rsidRPr="001F1D46">
              <w:rPr>
                <w:color w:val="000000"/>
              </w:rPr>
              <w:t xml:space="preserve">Create a new Item for the detection of </w:t>
            </w:r>
            <w:r w:rsidR="007F5CEC">
              <w:rPr>
                <w:color w:val="000000"/>
              </w:rPr>
              <w:t>h</w:t>
            </w:r>
            <w:r w:rsidR="007F5CEC" w:rsidRPr="001F1D46">
              <w:rPr>
                <w:color w:val="000000"/>
              </w:rPr>
              <w:t xml:space="preserve">epatitis </w:t>
            </w:r>
            <w:r w:rsidRPr="001F1D46">
              <w:rPr>
                <w:color w:val="000000"/>
              </w:rPr>
              <w:t xml:space="preserve">D and </w:t>
            </w:r>
            <w:r w:rsidR="007F5CEC">
              <w:rPr>
                <w:color w:val="000000"/>
              </w:rPr>
              <w:t>h</w:t>
            </w:r>
            <w:r w:rsidR="007F5CEC" w:rsidRPr="001F1D46">
              <w:rPr>
                <w:color w:val="000000"/>
              </w:rPr>
              <w:t xml:space="preserve">epatitis </w:t>
            </w:r>
            <w:r w:rsidRPr="001F1D46">
              <w:rPr>
                <w:color w:val="000000"/>
              </w:rPr>
              <w:t>E</w:t>
            </w:r>
            <w:r w:rsidR="007F5CEC">
              <w:rPr>
                <w:color w:val="000000"/>
              </w:rPr>
              <w:t>,</w:t>
            </w:r>
            <w:r w:rsidRPr="001F1D46">
              <w:rPr>
                <w:color w:val="000000"/>
              </w:rPr>
              <w:t xml:space="preserve"> with distinct clinical indicators</w:t>
            </w:r>
          </w:p>
        </w:tc>
        <w:tc>
          <w:tcPr>
            <w:tcW w:w="941" w:type="dxa"/>
          </w:tcPr>
          <w:p w14:paraId="5B947D30" w14:textId="77777777" w:rsidR="00CA7016" w:rsidRPr="00A0513E" w:rsidRDefault="00D647FF" w:rsidP="003C3F6A">
            <w:pPr>
              <w:pStyle w:val="02Tabletext"/>
              <w:jc w:val="center"/>
            </w:pPr>
            <w:r>
              <w:t>4.9.3</w:t>
            </w:r>
          </w:p>
        </w:tc>
      </w:tr>
      <w:tr w:rsidR="00CA7016" w:rsidRPr="004228E4" w14:paraId="3600E0B7" w14:textId="77777777" w:rsidTr="008302B1">
        <w:tc>
          <w:tcPr>
            <w:tcW w:w="1129" w:type="dxa"/>
          </w:tcPr>
          <w:p w14:paraId="38BAB89E" w14:textId="77777777" w:rsidR="00CA7016" w:rsidRPr="00A0513E" w:rsidRDefault="00CA7016" w:rsidP="003C3F6A">
            <w:pPr>
              <w:pStyle w:val="02Tabletext"/>
            </w:pPr>
            <w:r w:rsidRPr="00A0513E">
              <w:t>69321-X</w:t>
            </w:r>
          </w:p>
        </w:tc>
        <w:tc>
          <w:tcPr>
            <w:tcW w:w="3544" w:type="dxa"/>
          </w:tcPr>
          <w:p w14:paraId="6E4953D9" w14:textId="77777777" w:rsidR="00CA7016" w:rsidRPr="00A0513E" w:rsidRDefault="00D2050A" w:rsidP="003C3F6A">
            <w:pPr>
              <w:pStyle w:val="02Tabletext"/>
            </w:pPr>
            <w:r w:rsidRPr="00A0513E">
              <w:t>Microscopy, cell counts (whe</w:t>
            </w:r>
            <w:r>
              <w:t>n</w:t>
            </w:r>
            <w:r w:rsidRPr="00A0513E">
              <w:t xml:space="preserve"> indicated)</w:t>
            </w:r>
            <w:r>
              <w:t xml:space="preserve"> </w:t>
            </w:r>
            <w:r w:rsidRPr="00A0513E">
              <w:t>and culture of aspirates of body cavities, synovial fluid, or CSF for the presence of pathogenic microorganisms involving aerobic and anaerobic cultures and the use of different culture media, and including (if performed): (a) pathogen identification and antibiotic susceptibility testing; or (b) a service described in item 69300; specimens from 1 or more sites.</w:t>
            </w:r>
          </w:p>
        </w:tc>
        <w:tc>
          <w:tcPr>
            <w:tcW w:w="3402" w:type="dxa"/>
          </w:tcPr>
          <w:p w14:paraId="0E228C7E" w14:textId="77777777" w:rsidR="00CA7016" w:rsidRPr="00A0513E" w:rsidRDefault="00CA7016" w:rsidP="003C3F6A">
            <w:pPr>
              <w:pStyle w:val="02Tabletext"/>
            </w:pPr>
            <w:r w:rsidRPr="00A0513E">
              <w:t>Revise and separate/split the current item 69321 to recognise the different complexity associated with testing specimens from different sites. Create an item for the microscopy and culture of (a) post-operative wounds or operative or biopsy specimens, and an item for (b) aspirates of body fluids, synovial fluids and CSF.</w:t>
            </w:r>
          </w:p>
        </w:tc>
        <w:tc>
          <w:tcPr>
            <w:tcW w:w="941" w:type="dxa"/>
          </w:tcPr>
          <w:p w14:paraId="5E747D89" w14:textId="77777777" w:rsidR="00CA7016" w:rsidRPr="00A0513E" w:rsidRDefault="00CA7016" w:rsidP="003C3F6A">
            <w:pPr>
              <w:pStyle w:val="02Tabletext"/>
              <w:jc w:val="center"/>
            </w:pPr>
            <w:r>
              <w:t>4.1</w:t>
            </w:r>
            <w:r w:rsidR="002878E6">
              <w:t>3</w:t>
            </w:r>
          </w:p>
        </w:tc>
      </w:tr>
      <w:tr w:rsidR="00CA7016" w:rsidRPr="004228E4" w14:paraId="569DD96F" w14:textId="77777777" w:rsidTr="008302B1">
        <w:tc>
          <w:tcPr>
            <w:tcW w:w="1129" w:type="dxa"/>
          </w:tcPr>
          <w:p w14:paraId="5AB98E31" w14:textId="77777777" w:rsidR="00CA7016" w:rsidRPr="00A0513E" w:rsidRDefault="002878E6" w:rsidP="003C3F6A">
            <w:pPr>
              <w:pStyle w:val="02Tabletext"/>
            </w:pPr>
            <w:r>
              <w:t>Antenatal</w:t>
            </w:r>
            <w:r w:rsidR="00CA7016" w:rsidRPr="00A0513E">
              <w:t xml:space="preserve"> item</w:t>
            </w:r>
          </w:p>
        </w:tc>
        <w:tc>
          <w:tcPr>
            <w:tcW w:w="3544" w:type="dxa"/>
          </w:tcPr>
          <w:p w14:paraId="1B90D31B" w14:textId="77777777" w:rsidR="00CA7016" w:rsidRPr="00A0513E" w:rsidRDefault="00CA7016" w:rsidP="003C3F6A">
            <w:pPr>
              <w:pStyle w:val="02Tabletext"/>
            </w:pPr>
            <w:r w:rsidRPr="00A0513E">
              <w:t xml:space="preserve">First trimester antenatal screen including </w:t>
            </w:r>
            <w:proofErr w:type="gramStart"/>
            <w:r w:rsidRPr="00A0513E">
              <w:t>all of</w:t>
            </w:r>
            <w:proofErr w:type="gramEnd"/>
            <w:r w:rsidRPr="00A0513E">
              <w:t xml:space="preserve"> the following:</w:t>
            </w:r>
          </w:p>
          <w:p w14:paraId="1DFF7C77" w14:textId="77777777" w:rsidR="00CA7016" w:rsidRPr="00A0513E" w:rsidRDefault="00CA7016" w:rsidP="003C3F6A">
            <w:pPr>
              <w:pStyle w:val="02Tabletext"/>
            </w:pPr>
            <w:r w:rsidRPr="00A0513E">
              <w:t>1) Erythrocyte count, haematocrit, haemoglobin, calculation or measurement of red cell index or indices, platelet count, leucocyte</w:t>
            </w:r>
            <w:r>
              <w:t xml:space="preserve"> </w:t>
            </w:r>
            <w:r w:rsidRPr="00A0513E">
              <w:t xml:space="preserve">count and manual or instrument generated differential count - not being a service </w:t>
            </w:r>
            <w:r>
              <w:t xml:space="preserve">in which </w:t>
            </w:r>
            <w:r w:rsidRPr="00A0513E">
              <w:t>haemoglobin only is requested - one or more instrument</w:t>
            </w:r>
            <w:r>
              <w:t>-</w:t>
            </w:r>
            <w:r w:rsidRPr="00A0513E">
              <w:t>generated set of results from a single sample; and (if performed) a morphological assessment of a blood film</w:t>
            </w:r>
            <w:r>
              <w:t>;</w:t>
            </w:r>
          </w:p>
          <w:p w14:paraId="6D56A9E9" w14:textId="77777777" w:rsidR="00CA7016" w:rsidRPr="00A0513E" w:rsidRDefault="00CA7016" w:rsidP="003C3F6A">
            <w:pPr>
              <w:pStyle w:val="02Tabletext"/>
            </w:pPr>
            <w:r w:rsidRPr="00A0513E">
              <w:t>and</w:t>
            </w:r>
          </w:p>
          <w:p w14:paraId="30C130D4" w14:textId="77777777" w:rsidR="00CA7016" w:rsidRPr="00A0513E" w:rsidRDefault="00CA7016" w:rsidP="003C3F6A">
            <w:pPr>
              <w:pStyle w:val="02Tabletext"/>
            </w:pPr>
            <w:r w:rsidRPr="00A0513E">
              <w:t>2) Blood grouping (including back-grouping if performed), and examination of serum for Rh and other blood group antibodies,</w:t>
            </w:r>
            <w:r>
              <w:t xml:space="preserve"> </w:t>
            </w:r>
            <w:r w:rsidRPr="00A0513E">
              <w:t xml:space="preserve">including identification and quantitation of any antibodies </w:t>
            </w:r>
            <w:proofErr w:type="gramStart"/>
            <w:r w:rsidRPr="00A0513E">
              <w:t>detected</w:t>
            </w:r>
            <w:r>
              <w:t>;</w:t>
            </w:r>
            <w:proofErr w:type="gramEnd"/>
          </w:p>
          <w:p w14:paraId="7E7AFF1E" w14:textId="77777777" w:rsidR="00CA7016" w:rsidRPr="00A0513E" w:rsidRDefault="00CA7016" w:rsidP="003C3F6A">
            <w:pPr>
              <w:pStyle w:val="02Tabletext"/>
            </w:pPr>
            <w:r w:rsidRPr="00A0513E">
              <w:t>and</w:t>
            </w:r>
          </w:p>
          <w:p w14:paraId="4F9A1463" w14:textId="77777777" w:rsidR="00CA7016" w:rsidRPr="00A0513E" w:rsidRDefault="00CA7016" w:rsidP="003C3F6A">
            <w:pPr>
              <w:pStyle w:val="02Tabletext"/>
            </w:pPr>
            <w:r w:rsidRPr="00A0513E">
              <w:t xml:space="preserve">Urine examination (including serial examination) by any means other than simple culture by dip slide, including: </w:t>
            </w:r>
          </w:p>
          <w:p w14:paraId="650D08C8" w14:textId="77777777" w:rsidR="00CA7016" w:rsidRPr="00A0513E" w:rsidRDefault="00CA7016" w:rsidP="003C3F6A">
            <w:pPr>
              <w:pStyle w:val="02Tabletext"/>
            </w:pPr>
            <w:r w:rsidRPr="00A0513E">
              <w:t xml:space="preserve">(a) cell count; and </w:t>
            </w:r>
          </w:p>
          <w:p w14:paraId="4016D34C" w14:textId="77777777" w:rsidR="00CA7016" w:rsidRPr="00A0513E" w:rsidRDefault="00CA7016" w:rsidP="003C3F6A">
            <w:pPr>
              <w:pStyle w:val="02Tabletext"/>
            </w:pPr>
            <w:r w:rsidRPr="00A0513E">
              <w:t xml:space="preserve">(b) culture; and </w:t>
            </w:r>
          </w:p>
          <w:p w14:paraId="46B4E100" w14:textId="77777777" w:rsidR="00CA7016" w:rsidRPr="00A0513E" w:rsidRDefault="00CA7016" w:rsidP="003C3F6A">
            <w:pPr>
              <w:pStyle w:val="02Tabletext"/>
            </w:pPr>
            <w:r w:rsidRPr="00A0513E">
              <w:t xml:space="preserve">(c) colony count; and </w:t>
            </w:r>
          </w:p>
          <w:p w14:paraId="2428A766" w14:textId="77777777" w:rsidR="00CA7016" w:rsidRPr="00A0513E" w:rsidRDefault="00CA7016" w:rsidP="003C3F6A">
            <w:pPr>
              <w:pStyle w:val="02Tabletext"/>
            </w:pPr>
            <w:r w:rsidRPr="00A0513E">
              <w:t xml:space="preserve">(d) (if performed) stained preparations; and </w:t>
            </w:r>
          </w:p>
          <w:p w14:paraId="46AACB32" w14:textId="77777777" w:rsidR="00CA7016" w:rsidRPr="00A0513E" w:rsidRDefault="00CA7016" w:rsidP="003C3F6A">
            <w:pPr>
              <w:pStyle w:val="02Tabletext"/>
            </w:pPr>
            <w:r w:rsidRPr="00A0513E">
              <w:t xml:space="preserve">(e) (if performed) identification of cultured pathogens; and </w:t>
            </w:r>
          </w:p>
          <w:p w14:paraId="21422085" w14:textId="77777777" w:rsidR="00CA7016" w:rsidRPr="00A0513E" w:rsidRDefault="00CA7016" w:rsidP="003C3F6A">
            <w:pPr>
              <w:pStyle w:val="02Tabletext"/>
            </w:pPr>
            <w:r w:rsidRPr="00A0513E">
              <w:lastRenderedPageBreak/>
              <w:t xml:space="preserve">(f) (if performed) antibiotic susceptibility testing; and </w:t>
            </w:r>
          </w:p>
          <w:p w14:paraId="00E6629D" w14:textId="77777777" w:rsidR="00CA7016" w:rsidRPr="00A0513E" w:rsidRDefault="00CA7016" w:rsidP="003C3F6A">
            <w:pPr>
              <w:pStyle w:val="02Tabletext"/>
            </w:pPr>
            <w:r w:rsidRPr="00A0513E">
              <w:t xml:space="preserve">(g) (if performed) examination for pH, specific gravity, blood, protein, urobilinogen, sugar, acetone or bile </w:t>
            </w:r>
            <w:proofErr w:type="gramStart"/>
            <w:r w:rsidRPr="00A0513E">
              <w:t>salts</w:t>
            </w:r>
            <w:r>
              <w:t>;</w:t>
            </w:r>
            <w:proofErr w:type="gramEnd"/>
          </w:p>
          <w:p w14:paraId="2161E1C7" w14:textId="77777777" w:rsidR="00CA7016" w:rsidRPr="00A0513E" w:rsidRDefault="00CA7016" w:rsidP="003C3F6A">
            <w:pPr>
              <w:pStyle w:val="02Tabletext"/>
            </w:pPr>
            <w:r w:rsidRPr="00A0513E">
              <w:t>and</w:t>
            </w:r>
          </w:p>
          <w:p w14:paraId="431F405F" w14:textId="77777777" w:rsidR="00CA7016" w:rsidRPr="00A0513E" w:rsidRDefault="00CA7016" w:rsidP="003C3F6A">
            <w:pPr>
              <w:pStyle w:val="02Tabletext"/>
            </w:pPr>
            <w:r w:rsidRPr="00A0513E">
              <w:t>Microbiological serology during a pregnancy (except in the investigation of a clinically apparent intercurrent microbial illness or</w:t>
            </w:r>
            <w:r>
              <w:t xml:space="preserve"> </w:t>
            </w:r>
            <w:r w:rsidRPr="00A0513E">
              <w:t xml:space="preserve">close contact with a patient </w:t>
            </w:r>
            <w:r>
              <w:t>who has</w:t>
            </w:r>
            <w:r w:rsidRPr="00A0513E">
              <w:t xml:space="preserve"> parvovirus infection or varicella during that pregnancy) including the determination of all 5 of the following - rubella immune status, specific syphilis serology, carriage of </w:t>
            </w:r>
            <w:r>
              <w:t>h</w:t>
            </w:r>
            <w:r w:rsidRPr="00A0513E">
              <w:t>epatitis B</w:t>
            </w:r>
            <w:r>
              <w:t xml:space="preserve"> or</w:t>
            </w:r>
            <w:r w:rsidRPr="00A0513E">
              <w:t xml:space="preserve"> </w:t>
            </w:r>
            <w:r>
              <w:t>h</w:t>
            </w:r>
            <w:r w:rsidRPr="00A0513E">
              <w:t>epatitis C antibody</w:t>
            </w:r>
            <w:r>
              <w:t xml:space="preserve"> or</w:t>
            </w:r>
            <w:r w:rsidRPr="00A0513E">
              <w:t xml:space="preserve"> HIV antibody.</w:t>
            </w:r>
          </w:p>
          <w:p w14:paraId="20F560E1" w14:textId="77777777" w:rsidR="00CA7016" w:rsidRPr="00A0513E" w:rsidRDefault="00CA7016" w:rsidP="003C3F6A">
            <w:pPr>
              <w:pStyle w:val="02Tabletext"/>
            </w:pPr>
          </w:p>
          <w:p w14:paraId="00926A2A" w14:textId="77777777" w:rsidR="00CA7016" w:rsidRPr="00A0513E" w:rsidRDefault="00CA7016" w:rsidP="003C3F6A">
            <w:pPr>
              <w:pStyle w:val="02Tabletext"/>
            </w:pPr>
            <w:r w:rsidRPr="00A0513E">
              <w:t>This item includes (if performed) any test described in 65060, 65070, 65072, 65096, 69333, 69415 and 69384.</w:t>
            </w:r>
          </w:p>
          <w:p w14:paraId="0BFF793F" w14:textId="77777777" w:rsidR="00CA7016" w:rsidRPr="00A0513E" w:rsidRDefault="00CA7016" w:rsidP="003C3F6A">
            <w:pPr>
              <w:pStyle w:val="02Tabletext"/>
            </w:pPr>
            <w:r w:rsidRPr="00A0513E">
              <w:t>(Item is subject to rule 25)</w:t>
            </w:r>
          </w:p>
          <w:p w14:paraId="62DB0AE7" w14:textId="77777777" w:rsidR="00CA7016" w:rsidRPr="00A0513E" w:rsidRDefault="00CA7016" w:rsidP="003C3F6A">
            <w:pPr>
              <w:pStyle w:val="02Tabletext"/>
            </w:pPr>
            <w:r w:rsidRPr="00A0513E">
              <w:t>Rule 25 would be once per year per pregnancy.</w:t>
            </w:r>
          </w:p>
        </w:tc>
        <w:tc>
          <w:tcPr>
            <w:tcW w:w="3402" w:type="dxa"/>
          </w:tcPr>
          <w:p w14:paraId="083E1AEC" w14:textId="77777777" w:rsidR="00CA7016" w:rsidRPr="00A0513E" w:rsidRDefault="00CA7016" w:rsidP="003C3F6A">
            <w:pPr>
              <w:pStyle w:val="02Tabletext"/>
            </w:pPr>
            <w:r w:rsidRPr="00A0513E">
              <w:lastRenderedPageBreak/>
              <w:t>The Obstetrics Clinical Committee has recommended that there should be one item that includes the basic pathology tests that all pregnant women should have in the first trimester. This will standardise antenatal pathology screening in line with national guidelines and improve health outcomes for pregnant women and their babies.</w:t>
            </w:r>
            <w:r w:rsidR="005B5FE2">
              <w:t xml:space="preserve"> </w:t>
            </w:r>
          </w:p>
        </w:tc>
        <w:tc>
          <w:tcPr>
            <w:tcW w:w="941" w:type="dxa"/>
          </w:tcPr>
          <w:p w14:paraId="519B872E" w14:textId="77777777" w:rsidR="00CA7016" w:rsidRPr="00A0513E" w:rsidRDefault="00CA7016" w:rsidP="003C3F6A">
            <w:pPr>
              <w:pStyle w:val="02Tabletext"/>
              <w:jc w:val="center"/>
            </w:pPr>
            <w:r>
              <w:t>4.15</w:t>
            </w:r>
          </w:p>
        </w:tc>
      </w:tr>
      <w:tr w:rsidR="00CA7016" w:rsidRPr="004228E4" w14:paraId="2EB04CEB" w14:textId="77777777" w:rsidTr="008302B1">
        <w:tc>
          <w:tcPr>
            <w:tcW w:w="1129" w:type="dxa"/>
          </w:tcPr>
          <w:p w14:paraId="00AB5C7B" w14:textId="77777777" w:rsidR="00CA7016" w:rsidRPr="00A0513E" w:rsidRDefault="00CA7016" w:rsidP="003C3F6A">
            <w:pPr>
              <w:pStyle w:val="02Tabletext"/>
            </w:pPr>
            <w:r w:rsidRPr="00A0513E">
              <w:t>69399</w:t>
            </w:r>
          </w:p>
        </w:tc>
        <w:tc>
          <w:tcPr>
            <w:tcW w:w="3544" w:type="dxa"/>
          </w:tcPr>
          <w:p w14:paraId="49079667" w14:textId="77777777" w:rsidR="00CA7016" w:rsidRPr="004228E4" w:rsidRDefault="00CA7016" w:rsidP="003C3F6A">
            <w:pPr>
              <w:pStyle w:val="02Tabletext"/>
            </w:pPr>
          </w:p>
        </w:tc>
        <w:tc>
          <w:tcPr>
            <w:tcW w:w="3402" w:type="dxa"/>
          </w:tcPr>
          <w:p w14:paraId="4321BE58" w14:textId="77777777" w:rsidR="00CA7016" w:rsidRPr="00A0513E" w:rsidRDefault="00CA7016" w:rsidP="003C3F6A">
            <w:pPr>
              <w:pStyle w:val="02Tabletext"/>
            </w:pPr>
            <w:r>
              <w:t>Reinstatement of serology item for 6 or more tests.</w:t>
            </w:r>
          </w:p>
        </w:tc>
        <w:tc>
          <w:tcPr>
            <w:tcW w:w="941" w:type="dxa"/>
          </w:tcPr>
          <w:p w14:paraId="008FFB82" w14:textId="77777777" w:rsidR="00CA7016" w:rsidRPr="00A0513E" w:rsidRDefault="00D647FF" w:rsidP="003C3F6A">
            <w:pPr>
              <w:pStyle w:val="02Tabletext"/>
              <w:jc w:val="center"/>
            </w:pPr>
            <w:r>
              <w:t>4.10</w:t>
            </w:r>
          </w:p>
        </w:tc>
      </w:tr>
      <w:tr w:rsidR="008302B1" w:rsidRPr="004228E4" w14:paraId="39513B41" w14:textId="77777777" w:rsidTr="008302B1">
        <w:tc>
          <w:tcPr>
            <w:tcW w:w="1129" w:type="dxa"/>
          </w:tcPr>
          <w:p w14:paraId="3C83B108" w14:textId="77777777" w:rsidR="008302B1" w:rsidRPr="00A0513E" w:rsidRDefault="008302B1" w:rsidP="008302B1">
            <w:pPr>
              <w:pStyle w:val="02Tabletext"/>
            </w:pPr>
            <w:r w:rsidRPr="00A0513E">
              <w:t>New item</w:t>
            </w:r>
          </w:p>
          <w:p w14:paraId="232B6732" w14:textId="77777777" w:rsidR="008302B1" w:rsidRPr="00A0513E" w:rsidRDefault="008302B1" w:rsidP="008302B1">
            <w:pPr>
              <w:pStyle w:val="02Tabletext"/>
            </w:pPr>
            <w:r>
              <w:t>orthopaedic tissues 1</w:t>
            </w:r>
          </w:p>
          <w:p w14:paraId="5322BEE2" w14:textId="77777777" w:rsidR="008302B1" w:rsidRPr="00A0513E" w:rsidRDefault="008302B1" w:rsidP="008302B1">
            <w:pPr>
              <w:pStyle w:val="02Tabletext"/>
            </w:pPr>
          </w:p>
        </w:tc>
        <w:tc>
          <w:tcPr>
            <w:tcW w:w="3544" w:type="dxa"/>
          </w:tcPr>
          <w:p w14:paraId="7701B625" w14:textId="77777777" w:rsidR="008302B1" w:rsidRPr="00A0513E" w:rsidRDefault="008302B1" w:rsidP="008302B1">
            <w:pPr>
              <w:pStyle w:val="02Tabletext"/>
            </w:pPr>
            <w:r w:rsidRPr="00A0513E">
              <w:t xml:space="preserve">Microscopy and culture of intraoperative biopsies in the assessment of prosthetic joint infections of </w:t>
            </w:r>
            <w:r>
              <w:t>3</w:t>
            </w:r>
            <w:r w:rsidRPr="00A0513E">
              <w:t xml:space="preserve"> specimens involving aerobic and anaerobic culture and including if performed:</w:t>
            </w:r>
          </w:p>
          <w:p w14:paraId="17B5A5AD" w14:textId="77777777" w:rsidR="008302B1" w:rsidRPr="004228E4" w:rsidRDefault="008302B1" w:rsidP="008302B1">
            <w:pPr>
              <w:pStyle w:val="02Tabletext"/>
            </w:pPr>
            <w:r w:rsidRPr="00A0513E">
              <w:t>Pathogen identification and antibiotic susceptibility testing to determine the significance based on indistinguishable isolates being detected from 2 or more specimens.</w:t>
            </w:r>
          </w:p>
        </w:tc>
        <w:tc>
          <w:tcPr>
            <w:tcW w:w="3402" w:type="dxa"/>
          </w:tcPr>
          <w:p w14:paraId="2EA1979E" w14:textId="77777777" w:rsidR="005B5FE2" w:rsidRPr="005B5FE2" w:rsidRDefault="005B5FE2" w:rsidP="005B5FE2">
            <w:pPr>
              <w:pStyle w:val="02Tabletext"/>
              <w:rPr>
                <w:lang w:val="en-US"/>
              </w:rPr>
            </w:pPr>
            <w:r w:rsidRPr="005B5FE2">
              <w:rPr>
                <w:lang w:val="en-US"/>
              </w:rPr>
              <w:t>Propose three new item numbers for the collection of &gt; 3 and ≤ 5 samples to determine prosthetic joint infection.</w:t>
            </w:r>
          </w:p>
          <w:p w14:paraId="084263F7" w14:textId="77777777" w:rsidR="008302B1" w:rsidRDefault="008302B1" w:rsidP="008302B1">
            <w:pPr>
              <w:pStyle w:val="02Tabletext"/>
            </w:pPr>
          </w:p>
        </w:tc>
        <w:tc>
          <w:tcPr>
            <w:tcW w:w="941" w:type="dxa"/>
          </w:tcPr>
          <w:p w14:paraId="7601ACDB" w14:textId="77777777" w:rsidR="008302B1" w:rsidRDefault="008302B1" w:rsidP="008302B1">
            <w:pPr>
              <w:pStyle w:val="02Tabletext"/>
              <w:jc w:val="center"/>
            </w:pPr>
            <w:r>
              <w:t>5.1.1</w:t>
            </w:r>
          </w:p>
        </w:tc>
      </w:tr>
      <w:tr w:rsidR="008302B1" w:rsidRPr="004228E4" w14:paraId="6627C411" w14:textId="77777777" w:rsidTr="008302B1">
        <w:tc>
          <w:tcPr>
            <w:tcW w:w="1129" w:type="dxa"/>
          </w:tcPr>
          <w:p w14:paraId="7C5B0374" w14:textId="77777777" w:rsidR="008302B1" w:rsidRPr="00A0513E" w:rsidRDefault="008302B1" w:rsidP="008302B1">
            <w:pPr>
              <w:pStyle w:val="02Tabletext"/>
            </w:pPr>
            <w:r w:rsidRPr="00A0513E">
              <w:t>New item</w:t>
            </w:r>
            <w:r>
              <w:t xml:space="preserve"> orthopaedic tissues 2</w:t>
            </w:r>
          </w:p>
          <w:p w14:paraId="4AA066FC" w14:textId="77777777" w:rsidR="008302B1" w:rsidRPr="00A0513E" w:rsidRDefault="008302B1" w:rsidP="008302B1">
            <w:pPr>
              <w:pStyle w:val="02Tabletext"/>
            </w:pPr>
          </w:p>
          <w:p w14:paraId="069BB67B" w14:textId="77777777" w:rsidR="008302B1" w:rsidRPr="00A0513E" w:rsidRDefault="008302B1" w:rsidP="008302B1">
            <w:pPr>
              <w:pStyle w:val="02Tabletext"/>
            </w:pPr>
          </w:p>
        </w:tc>
        <w:tc>
          <w:tcPr>
            <w:tcW w:w="3544" w:type="dxa"/>
          </w:tcPr>
          <w:p w14:paraId="1EB43380" w14:textId="77777777" w:rsidR="008302B1" w:rsidRPr="00A0513E" w:rsidRDefault="008302B1" w:rsidP="008302B1">
            <w:pPr>
              <w:pStyle w:val="02Tabletext"/>
            </w:pPr>
            <w:r w:rsidRPr="00A0513E">
              <w:t xml:space="preserve">Microscopy and culture of intraoperative biopsies in the assessment of prosthetic joint infections of </w:t>
            </w:r>
            <w:r>
              <w:t>4</w:t>
            </w:r>
            <w:r w:rsidRPr="00A0513E">
              <w:t xml:space="preserve"> specimens involving aerobic and anaerobic culture and including if performed:</w:t>
            </w:r>
          </w:p>
          <w:p w14:paraId="02286C6D" w14:textId="77777777" w:rsidR="008302B1" w:rsidRPr="00A0513E" w:rsidRDefault="008302B1" w:rsidP="008302B1">
            <w:pPr>
              <w:pStyle w:val="02Tabletext"/>
            </w:pPr>
            <w:r w:rsidRPr="00A0513E">
              <w:t>(a) Pathogen identification and antibiotic susceptibility testing to determine the significance based on</w:t>
            </w:r>
            <w:r>
              <w:t xml:space="preserve"> </w:t>
            </w:r>
            <w:r w:rsidRPr="00A0513E">
              <w:t>indistinguishable isolates being detected from 2 or more specimens.</w:t>
            </w:r>
          </w:p>
          <w:p w14:paraId="63D44A8B" w14:textId="77777777" w:rsidR="008302B1" w:rsidRPr="004228E4" w:rsidRDefault="008302B1" w:rsidP="008302B1">
            <w:pPr>
              <w:pStyle w:val="02Tabletext"/>
            </w:pPr>
            <w:r w:rsidRPr="00A0513E">
              <w:t xml:space="preserve">(b) A service described in </w:t>
            </w:r>
            <w:r>
              <w:t xml:space="preserve">new </w:t>
            </w:r>
            <w:r w:rsidRPr="00A0513E">
              <w:t xml:space="preserve">item </w:t>
            </w:r>
            <w:r>
              <w:t>orthopaedic tissues 1.</w:t>
            </w:r>
          </w:p>
        </w:tc>
        <w:tc>
          <w:tcPr>
            <w:tcW w:w="3402" w:type="dxa"/>
          </w:tcPr>
          <w:p w14:paraId="623C9222" w14:textId="77777777" w:rsidR="008302B1" w:rsidRDefault="005B5FE2" w:rsidP="008302B1">
            <w:pPr>
              <w:pStyle w:val="02Tabletext"/>
            </w:pPr>
            <w:r>
              <w:t>As above</w:t>
            </w:r>
          </w:p>
        </w:tc>
        <w:tc>
          <w:tcPr>
            <w:tcW w:w="941" w:type="dxa"/>
          </w:tcPr>
          <w:p w14:paraId="48BF18D0" w14:textId="77777777" w:rsidR="008302B1" w:rsidRDefault="008302B1" w:rsidP="008302B1">
            <w:pPr>
              <w:pStyle w:val="02Tabletext"/>
              <w:jc w:val="center"/>
            </w:pPr>
            <w:r>
              <w:t>5.1.1</w:t>
            </w:r>
          </w:p>
        </w:tc>
      </w:tr>
      <w:tr w:rsidR="008302B1" w:rsidRPr="004228E4" w14:paraId="3F120E48" w14:textId="77777777" w:rsidTr="008302B1">
        <w:tc>
          <w:tcPr>
            <w:tcW w:w="1129" w:type="dxa"/>
          </w:tcPr>
          <w:p w14:paraId="1E99BE95" w14:textId="77777777" w:rsidR="008302B1" w:rsidRPr="00A0513E" w:rsidRDefault="008302B1" w:rsidP="008302B1">
            <w:pPr>
              <w:pStyle w:val="02Tabletext"/>
            </w:pPr>
            <w:r w:rsidRPr="00A0513E">
              <w:t>New item</w:t>
            </w:r>
            <w:r>
              <w:t xml:space="preserve"> orthopaedic tissues 3</w:t>
            </w:r>
          </w:p>
          <w:p w14:paraId="0B311E04" w14:textId="77777777" w:rsidR="008302B1" w:rsidRPr="00A0513E" w:rsidRDefault="008302B1" w:rsidP="008302B1">
            <w:pPr>
              <w:pStyle w:val="02Tabletext"/>
            </w:pPr>
          </w:p>
          <w:p w14:paraId="765948A8" w14:textId="77777777" w:rsidR="008302B1" w:rsidRPr="00A0513E" w:rsidRDefault="008302B1" w:rsidP="008302B1">
            <w:pPr>
              <w:pStyle w:val="02Tabletext"/>
            </w:pPr>
          </w:p>
        </w:tc>
        <w:tc>
          <w:tcPr>
            <w:tcW w:w="3544" w:type="dxa"/>
          </w:tcPr>
          <w:p w14:paraId="5A4540A1" w14:textId="77777777" w:rsidR="008302B1" w:rsidRPr="00A0513E" w:rsidRDefault="008302B1" w:rsidP="008302B1">
            <w:pPr>
              <w:pStyle w:val="02Tabletext"/>
            </w:pPr>
            <w:r w:rsidRPr="00A0513E">
              <w:t xml:space="preserve">Microscopy and culture of intraoperative biopsies in the assessment of prosthetic joint infections of </w:t>
            </w:r>
            <w:r>
              <w:t>5</w:t>
            </w:r>
            <w:r w:rsidRPr="00A0513E">
              <w:t xml:space="preserve"> or more specimens involving aerobic and anaerobic culture and including if performed:</w:t>
            </w:r>
          </w:p>
          <w:p w14:paraId="2DCD3409" w14:textId="77777777" w:rsidR="008302B1" w:rsidRPr="00A0513E" w:rsidRDefault="008302B1" w:rsidP="008302B1">
            <w:pPr>
              <w:pStyle w:val="02Tabletext"/>
            </w:pPr>
            <w:r w:rsidRPr="00A0513E">
              <w:t>(a) Pathogen identification and antibiotic susceptibility testing to determine the significance based on</w:t>
            </w:r>
            <w:r>
              <w:t xml:space="preserve"> </w:t>
            </w:r>
            <w:r w:rsidRPr="00A0513E">
              <w:t>indistinguishable isolates being detected from 2 or more specimens.</w:t>
            </w:r>
          </w:p>
          <w:p w14:paraId="3452050D" w14:textId="77777777" w:rsidR="008302B1" w:rsidRPr="004228E4" w:rsidRDefault="008302B1" w:rsidP="008302B1">
            <w:pPr>
              <w:pStyle w:val="02Tabletext"/>
            </w:pPr>
            <w:r w:rsidRPr="00A0513E">
              <w:t xml:space="preserve">(b) A service described </w:t>
            </w:r>
            <w:r>
              <w:t>in new item orthopaedic tissues 1 and new item orthopaedic tissues 2.</w:t>
            </w:r>
          </w:p>
        </w:tc>
        <w:tc>
          <w:tcPr>
            <w:tcW w:w="3402" w:type="dxa"/>
          </w:tcPr>
          <w:p w14:paraId="49989E03" w14:textId="77777777" w:rsidR="008302B1" w:rsidRDefault="005B5FE2" w:rsidP="008302B1">
            <w:pPr>
              <w:pStyle w:val="02Tabletext"/>
            </w:pPr>
            <w:r>
              <w:t>As above</w:t>
            </w:r>
          </w:p>
        </w:tc>
        <w:tc>
          <w:tcPr>
            <w:tcW w:w="941" w:type="dxa"/>
          </w:tcPr>
          <w:p w14:paraId="7EF2AE34" w14:textId="77777777" w:rsidR="008302B1" w:rsidRDefault="008302B1" w:rsidP="008302B1">
            <w:pPr>
              <w:pStyle w:val="02Tabletext"/>
              <w:jc w:val="center"/>
            </w:pPr>
            <w:r>
              <w:t>5.1.1</w:t>
            </w:r>
          </w:p>
        </w:tc>
      </w:tr>
      <w:tr w:rsidR="00C869B0" w:rsidRPr="004228E4" w14:paraId="1D8F5DDD" w14:textId="77777777" w:rsidTr="008302B1">
        <w:tc>
          <w:tcPr>
            <w:tcW w:w="1129" w:type="dxa"/>
          </w:tcPr>
          <w:p w14:paraId="32BAB0B5" w14:textId="77777777" w:rsidR="00C869B0" w:rsidRPr="00A0513E" w:rsidRDefault="00C869B0" w:rsidP="00C869B0">
            <w:pPr>
              <w:pStyle w:val="02Tabletext"/>
            </w:pPr>
            <w:r>
              <w:lastRenderedPageBreak/>
              <w:t>New item MRO 1</w:t>
            </w:r>
          </w:p>
        </w:tc>
        <w:tc>
          <w:tcPr>
            <w:tcW w:w="3544" w:type="dxa"/>
          </w:tcPr>
          <w:p w14:paraId="3F19CD58" w14:textId="77777777" w:rsidR="00C869B0" w:rsidRPr="00A0513E" w:rsidRDefault="00C869B0" w:rsidP="00C869B0">
            <w:pPr>
              <w:pStyle w:val="02Tabletext"/>
            </w:pPr>
            <w:r>
              <w:t>Culture</w:t>
            </w:r>
            <w:r w:rsidRPr="00A0513E">
              <w:t xml:space="preserve"> of specimens (skin; nose, throat, groin, rectal swab, faeces) to determine the presence of </w:t>
            </w:r>
            <w:r>
              <w:t>multi-resistant</w:t>
            </w:r>
            <w:r w:rsidRPr="00A0513E">
              <w:t xml:space="preserve"> organisms.</w:t>
            </w:r>
          </w:p>
          <w:p w14:paraId="5BE78EA5" w14:textId="77777777" w:rsidR="00C869B0" w:rsidRPr="00A0513E" w:rsidRDefault="00C869B0" w:rsidP="00C869B0">
            <w:pPr>
              <w:pStyle w:val="02Tabletext"/>
            </w:pPr>
            <w:r w:rsidRPr="00A0513E">
              <w:t xml:space="preserve">Including (if performed): </w:t>
            </w:r>
          </w:p>
          <w:p w14:paraId="5D583C70" w14:textId="77777777" w:rsidR="00C869B0" w:rsidRPr="00A0513E" w:rsidRDefault="00C869B0" w:rsidP="00C869B0">
            <w:pPr>
              <w:pStyle w:val="02Tabletext"/>
            </w:pPr>
            <w:r w:rsidRPr="00A0513E">
              <w:t>pathogen identification and antibiotic susceptibility testing</w:t>
            </w:r>
            <w:r>
              <w:t>.</w:t>
            </w:r>
          </w:p>
        </w:tc>
        <w:tc>
          <w:tcPr>
            <w:tcW w:w="3402" w:type="dxa"/>
          </w:tcPr>
          <w:p w14:paraId="1D136F21" w14:textId="77777777" w:rsidR="00C869B0" w:rsidRPr="00C869B0" w:rsidRDefault="00C869B0" w:rsidP="00C869B0">
            <w:pPr>
              <w:pStyle w:val="02Tabletext"/>
              <w:rPr>
                <w:lang w:val="en-US"/>
              </w:rPr>
            </w:pPr>
            <w:r w:rsidRPr="00C869B0">
              <w:rPr>
                <w:lang w:val="en-US"/>
              </w:rPr>
              <w:t xml:space="preserve">Create a new item number to fund the testing for multi-resistant organisms (MRO) from appropriate sites. </w:t>
            </w:r>
          </w:p>
          <w:p w14:paraId="0D9B01AF" w14:textId="77777777" w:rsidR="00C869B0" w:rsidRDefault="00C869B0" w:rsidP="00C869B0">
            <w:pPr>
              <w:pStyle w:val="02Tabletext"/>
            </w:pPr>
          </w:p>
        </w:tc>
        <w:tc>
          <w:tcPr>
            <w:tcW w:w="941" w:type="dxa"/>
          </w:tcPr>
          <w:p w14:paraId="0E9C4F00" w14:textId="77777777" w:rsidR="00C869B0" w:rsidRDefault="00C869B0" w:rsidP="00C869B0">
            <w:pPr>
              <w:pStyle w:val="02Tabletext"/>
              <w:jc w:val="center"/>
            </w:pPr>
            <w:r>
              <w:t>5.2.1</w:t>
            </w:r>
          </w:p>
        </w:tc>
      </w:tr>
      <w:tr w:rsidR="00C869B0" w:rsidRPr="004228E4" w14:paraId="3D26D879" w14:textId="77777777" w:rsidTr="008302B1">
        <w:tc>
          <w:tcPr>
            <w:tcW w:w="1129" w:type="dxa"/>
          </w:tcPr>
          <w:p w14:paraId="201096DE" w14:textId="77777777" w:rsidR="00C869B0" w:rsidRPr="00A0513E" w:rsidRDefault="00C869B0" w:rsidP="00C869B0">
            <w:pPr>
              <w:pStyle w:val="02Tabletext"/>
            </w:pPr>
            <w:r>
              <w:t>New item MRO 2</w:t>
            </w:r>
          </w:p>
        </w:tc>
        <w:tc>
          <w:tcPr>
            <w:tcW w:w="3544" w:type="dxa"/>
          </w:tcPr>
          <w:p w14:paraId="3778833D" w14:textId="77777777" w:rsidR="00C869B0" w:rsidRPr="00A0513E" w:rsidRDefault="00C869B0" w:rsidP="00C869B0">
            <w:pPr>
              <w:pStyle w:val="02Tabletext"/>
            </w:pPr>
            <w:r w:rsidRPr="00A0513E">
              <w:t>Confirmation of antibiotic resistant organisms using NAAT.</w:t>
            </w:r>
          </w:p>
          <w:p w14:paraId="254F84AB" w14:textId="77777777" w:rsidR="00C869B0" w:rsidRPr="00A0513E" w:rsidRDefault="00C869B0" w:rsidP="00C869B0">
            <w:pPr>
              <w:pStyle w:val="02Tabletext"/>
            </w:pPr>
            <w:r w:rsidRPr="00A0513E">
              <w:t>This test should only be performed after item MRO1</w:t>
            </w:r>
            <w:r>
              <w:t>.</w:t>
            </w:r>
          </w:p>
        </w:tc>
        <w:tc>
          <w:tcPr>
            <w:tcW w:w="3402" w:type="dxa"/>
          </w:tcPr>
          <w:p w14:paraId="76A14EDD" w14:textId="77777777" w:rsidR="00C869B0" w:rsidRDefault="00C869B0" w:rsidP="00C869B0">
            <w:pPr>
              <w:pStyle w:val="02Tabletext"/>
            </w:pPr>
            <w:r>
              <w:t>As above</w:t>
            </w:r>
          </w:p>
        </w:tc>
        <w:tc>
          <w:tcPr>
            <w:tcW w:w="941" w:type="dxa"/>
          </w:tcPr>
          <w:p w14:paraId="255B5DB6" w14:textId="77777777" w:rsidR="00C869B0" w:rsidRDefault="00C869B0" w:rsidP="00C869B0">
            <w:pPr>
              <w:pStyle w:val="02Tabletext"/>
              <w:jc w:val="center"/>
            </w:pPr>
            <w:r>
              <w:t>5.2.1</w:t>
            </w:r>
          </w:p>
        </w:tc>
      </w:tr>
      <w:tr w:rsidR="00C869B0" w:rsidRPr="004228E4" w14:paraId="611A0C67" w14:textId="77777777" w:rsidTr="008302B1">
        <w:tc>
          <w:tcPr>
            <w:tcW w:w="1129" w:type="dxa"/>
          </w:tcPr>
          <w:p w14:paraId="164B6D21" w14:textId="77777777" w:rsidR="00C869B0" w:rsidRPr="00A0513E" w:rsidRDefault="00C869B0" w:rsidP="00C869B0">
            <w:pPr>
              <w:pStyle w:val="02Tabletext"/>
            </w:pPr>
            <w:r>
              <w:t>New item reflex culture 1</w:t>
            </w:r>
          </w:p>
        </w:tc>
        <w:tc>
          <w:tcPr>
            <w:tcW w:w="3544" w:type="dxa"/>
          </w:tcPr>
          <w:p w14:paraId="66A6564A" w14:textId="77777777" w:rsidR="00C869B0" w:rsidRPr="004228E4" w:rsidRDefault="00C869B0" w:rsidP="00C869B0">
            <w:pPr>
              <w:pStyle w:val="02Tabletext"/>
            </w:pPr>
            <w:r w:rsidRPr="00854DF5">
              <w:rPr>
                <w:lang w:val="en-AU"/>
              </w:rPr>
              <w:t xml:space="preserve">Reflex culture of specimen where culture independent detection of microbial pathogen of public health significance, with referral of the isolate to </w:t>
            </w:r>
            <w:r>
              <w:rPr>
                <w:lang w:val="en-AU"/>
              </w:rPr>
              <w:t>a p</w:t>
            </w:r>
            <w:r w:rsidRPr="00854DF5">
              <w:rPr>
                <w:lang w:val="en-AU"/>
              </w:rPr>
              <w:t xml:space="preserve">ublic </w:t>
            </w:r>
            <w:r>
              <w:rPr>
                <w:lang w:val="en-AU"/>
              </w:rPr>
              <w:t>h</w:t>
            </w:r>
            <w:r w:rsidRPr="00854DF5">
              <w:rPr>
                <w:lang w:val="en-AU"/>
              </w:rPr>
              <w:t>ealth laboratory.</w:t>
            </w:r>
          </w:p>
        </w:tc>
        <w:tc>
          <w:tcPr>
            <w:tcW w:w="3402" w:type="dxa"/>
          </w:tcPr>
          <w:p w14:paraId="164943C8" w14:textId="77777777" w:rsidR="00C869B0" w:rsidRPr="005B5FE2" w:rsidRDefault="00C869B0" w:rsidP="00C869B0">
            <w:pPr>
              <w:pStyle w:val="02Tabletext"/>
              <w:rPr>
                <w:lang w:val="en-US"/>
              </w:rPr>
            </w:pPr>
            <w:r>
              <w:rPr>
                <w:lang w:val="en-US"/>
              </w:rPr>
              <w:t xml:space="preserve">Introduce a new item number for </w:t>
            </w:r>
            <w:r w:rsidRPr="005B5FE2">
              <w:rPr>
                <w:lang w:val="en-US"/>
              </w:rPr>
              <w:t>reflex culture of positive PCR results for pathogens of public health significance as listed in the National Notifiable Disease List (NNDL)</w:t>
            </w:r>
          </w:p>
        </w:tc>
        <w:tc>
          <w:tcPr>
            <w:tcW w:w="941" w:type="dxa"/>
          </w:tcPr>
          <w:p w14:paraId="13B9FC8B" w14:textId="77777777" w:rsidR="00C869B0" w:rsidRDefault="00C869B0" w:rsidP="00C869B0">
            <w:pPr>
              <w:pStyle w:val="02Tabletext"/>
              <w:jc w:val="center"/>
            </w:pPr>
            <w:r>
              <w:t>5.2.2</w:t>
            </w:r>
          </w:p>
        </w:tc>
      </w:tr>
      <w:tr w:rsidR="00C869B0" w:rsidRPr="004228E4" w14:paraId="14CC3BB5" w14:textId="77777777" w:rsidTr="008302B1">
        <w:tc>
          <w:tcPr>
            <w:tcW w:w="1129" w:type="dxa"/>
          </w:tcPr>
          <w:p w14:paraId="3F5AB631" w14:textId="77777777" w:rsidR="00C869B0" w:rsidRDefault="00C869B0" w:rsidP="00C869B0">
            <w:pPr>
              <w:pStyle w:val="02Tabletext"/>
            </w:pPr>
            <w:r>
              <w:t>New item reflex culture 2</w:t>
            </w:r>
          </w:p>
        </w:tc>
        <w:tc>
          <w:tcPr>
            <w:tcW w:w="3544" w:type="dxa"/>
          </w:tcPr>
          <w:p w14:paraId="160C496C" w14:textId="77777777" w:rsidR="00C869B0" w:rsidRPr="00854DF5" w:rsidRDefault="00C869B0" w:rsidP="00C869B0">
            <w:pPr>
              <w:pStyle w:val="02Tabletext"/>
              <w:rPr>
                <w:lang w:val="en-AU"/>
              </w:rPr>
            </w:pPr>
            <w:r w:rsidRPr="00A0513E">
              <w:t xml:space="preserve">Packaging of an isolate or a specimen of pathogen of public health significance for transfer to </w:t>
            </w:r>
            <w:r>
              <w:t xml:space="preserve">a </w:t>
            </w:r>
            <w:r w:rsidRPr="00A0513E">
              <w:t>public health reference laboratory for phenotypic, genotypic and serological characterisation.</w:t>
            </w:r>
          </w:p>
        </w:tc>
        <w:tc>
          <w:tcPr>
            <w:tcW w:w="3402" w:type="dxa"/>
          </w:tcPr>
          <w:p w14:paraId="706982FB" w14:textId="77777777" w:rsidR="00C869B0" w:rsidRPr="005B5FE2" w:rsidRDefault="00C869B0" w:rsidP="00C869B0">
            <w:pPr>
              <w:pStyle w:val="02Tabletext"/>
              <w:rPr>
                <w:lang w:val="en-US"/>
              </w:rPr>
            </w:pPr>
            <w:r>
              <w:rPr>
                <w:lang w:val="en-US"/>
              </w:rPr>
              <w:t xml:space="preserve">Introduce a new item number for </w:t>
            </w:r>
            <w:r w:rsidRPr="005B5FE2">
              <w:rPr>
                <w:lang w:val="en-US"/>
              </w:rPr>
              <w:t xml:space="preserve">packaging for transfer of these specimens to public health reference laboratories for phenotypic, genotypic and serological </w:t>
            </w:r>
            <w:proofErr w:type="spellStart"/>
            <w:r w:rsidRPr="005B5FE2">
              <w:rPr>
                <w:lang w:val="en-US"/>
              </w:rPr>
              <w:t>characterisation</w:t>
            </w:r>
            <w:proofErr w:type="spellEnd"/>
            <w:r w:rsidRPr="005B5FE2">
              <w:rPr>
                <w:lang w:val="en-US"/>
              </w:rPr>
              <w:t xml:space="preserve">. </w:t>
            </w:r>
          </w:p>
          <w:p w14:paraId="1AD2D3B8" w14:textId="77777777" w:rsidR="00C869B0" w:rsidRDefault="00C869B0" w:rsidP="00C869B0">
            <w:pPr>
              <w:pStyle w:val="02Tabletext"/>
            </w:pPr>
          </w:p>
        </w:tc>
        <w:tc>
          <w:tcPr>
            <w:tcW w:w="941" w:type="dxa"/>
          </w:tcPr>
          <w:p w14:paraId="2510E920" w14:textId="77777777" w:rsidR="00C869B0" w:rsidRDefault="00C869B0" w:rsidP="00C869B0">
            <w:pPr>
              <w:pStyle w:val="02Tabletext"/>
              <w:jc w:val="center"/>
            </w:pPr>
            <w:r>
              <w:t>5.2.2</w:t>
            </w:r>
          </w:p>
        </w:tc>
      </w:tr>
    </w:tbl>
    <w:p w14:paraId="7A1B4260" w14:textId="77777777" w:rsidR="00CA7016" w:rsidRDefault="00CA7016" w:rsidP="00CA7016"/>
    <w:p w14:paraId="02CE62DA" w14:textId="77777777" w:rsidR="00CA7016" w:rsidRPr="00A0513E" w:rsidRDefault="00CA7016" w:rsidP="00CA7016">
      <w:r>
        <w:br w:type="page"/>
      </w:r>
    </w:p>
    <w:p w14:paraId="42B2EFFB" w14:textId="77777777" w:rsidR="00CA7016" w:rsidRDefault="00CA7016" w:rsidP="00CA7016">
      <w:pPr>
        <w:pStyle w:val="Heading2Report"/>
        <w:sectPr w:rsidR="00CA7016" w:rsidSect="003C3F6A">
          <w:headerReference w:type="default" r:id="rId28"/>
          <w:footerReference w:type="default" r:id="rId29"/>
          <w:pgSz w:w="11906" w:h="16838"/>
          <w:pgMar w:top="1440" w:right="1440" w:bottom="1440" w:left="1440" w:header="708" w:footer="708" w:gutter="0"/>
          <w:pgNumType w:start="1"/>
          <w:cols w:space="708"/>
          <w:docGrid w:linePitch="360"/>
        </w:sectPr>
      </w:pPr>
    </w:p>
    <w:p w14:paraId="65AD3F29" w14:textId="77777777" w:rsidR="00CA7016" w:rsidRPr="00A0513E" w:rsidRDefault="00CA7016" w:rsidP="00CA7016">
      <w:pPr>
        <w:pStyle w:val="Heading1"/>
      </w:pPr>
      <w:bookmarkStart w:id="457" w:name="_Toc12886613"/>
      <w:bookmarkStart w:id="458" w:name="_Toc486939219"/>
      <w:r>
        <w:lastRenderedPageBreak/>
        <w:t>Appendix C—Summary for consumers</w:t>
      </w:r>
      <w:bookmarkEnd w:id="457"/>
      <w:r>
        <w:t xml:space="preserve"> </w:t>
      </w:r>
      <w:bookmarkEnd w:id="458"/>
    </w:p>
    <w:p w14:paraId="425CE39B" w14:textId="77777777" w:rsidR="00CA7016" w:rsidRPr="00FC1976" w:rsidRDefault="00CA7016" w:rsidP="002B24BA">
      <w:pPr>
        <w:spacing w:after="240"/>
      </w:pPr>
      <w:r w:rsidRPr="00FC1976">
        <w:t xml:space="preserve">This table describes the </w:t>
      </w:r>
      <w:r>
        <w:t>pathology</w:t>
      </w:r>
      <w:r w:rsidRPr="00FC1976">
        <w:t xml:space="preserve"> service</w:t>
      </w:r>
      <w:r w:rsidR="00D41D8B">
        <w:t>s</w:t>
      </w:r>
      <w:r w:rsidRPr="00FC1976">
        <w:t>,</w:t>
      </w:r>
      <w:r>
        <w:t xml:space="preserve"> the</w:t>
      </w:r>
      <w:r w:rsidRPr="00FC1976">
        <w:t xml:space="preserve"> recommendation</w:t>
      </w:r>
      <w:r>
        <w:t>(</w:t>
      </w:r>
      <w:r w:rsidRPr="00FC1976">
        <w:t>s</w:t>
      </w:r>
      <w:r>
        <w:t>)</w:t>
      </w:r>
      <w:r w:rsidRPr="00FC1976">
        <w:t xml:space="preserve"> of the </w:t>
      </w:r>
      <w:r>
        <w:t>c</w:t>
      </w:r>
      <w:r w:rsidRPr="00FC1976">
        <w:t xml:space="preserve">linical </w:t>
      </w:r>
      <w:r>
        <w:t>e</w:t>
      </w:r>
      <w:r w:rsidRPr="00FC1976">
        <w:t>xperts and why the recommendation</w:t>
      </w:r>
      <w:r>
        <w:t>(s)</w:t>
      </w:r>
      <w:r w:rsidRPr="00FC1976">
        <w:t xml:space="preserve"> has been made.</w:t>
      </w:r>
    </w:p>
    <w:p w14:paraId="009497BD" w14:textId="77777777" w:rsidR="00CA7016" w:rsidRPr="00AE06DE" w:rsidRDefault="00CA7016" w:rsidP="002B24BA">
      <w:pPr>
        <w:pStyle w:val="01Tableheaderrow"/>
      </w:pPr>
      <w:r w:rsidRPr="00C702A9">
        <w:t>Recommendation</w:t>
      </w:r>
      <w:r>
        <w:t>s</w:t>
      </w:r>
      <w:r w:rsidRPr="00C702A9">
        <w:t xml:space="preserve"> </w:t>
      </w:r>
      <w:r w:rsidRPr="00C702A9">
        <w:fldChar w:fldCharType="begin"/>
      </w:r>
      <w:r w:rsidRPr="00AE06DE">
        <w:instrText xml:space="preserve"> SEQ Recommendation \* ARABIC </w:instrText>
      </w:r>
      <w:r w:rsidRPr="00C702A9">
        <w:fldChar w:fldCharType="separate"/>
      </w:r>
      <w:r w:rsidR="007A1648">
        <w:rPr>
          <w:noProof/>
        </w:rPr>
        <w:t>1</w:t>
      </w:r>
      <w:r w:rsidRPr="00C702A9">
        <w:fldChar w:fldCharType="end"/>
      </w:r>
      <w:r>
        <w:t xml:space="preserve"> to 8</w:t>
      </w:r>
      <w:r w:rsidRPr="00C702A9">
        <w:t xml:space="preserve">: </w:t>
      </w:r>
      <w:r>
        <w:t>System framework for microbiology testing using NAAT</w:t>
      </w:r>
      <w:r w:rsidRPr="00AE06DE">
        <w:t xml:space="preserve"> </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s"/>
        <w:tblDescription w:val="Appendix C is a summary for consumers. Each table describes the medical service, the recommendation(s) of the clinical experts and why the recommendation(s) has/have been made.&#10;Each table lists Item numbers, What they do, Committee recommendation, What would be different and Why. This table contains Recommendations 1 to 8: System framework for microbiology testing using NAAT "/>
      </w:tblPr>
      <w:tblGrid>
        <w:gridCol w:w="2126"/>
        <w:gridCol w:w="3118"/>
        <w:gridCol w:w="3086"/>
        <w:gridCol w:w="2977"/>
        <w:gridCol w:w="3118"/>
      </w:tblGrid>
      <w:tr w:rsidR="00CA7016" w:rsidRPr="00FC1976" w14:paraId="3C5B87EE" w14:textId="77777777" w:rsidTr="003C3F6A">
        <w:trPr>
          <w:cantSplit/>
          <w:tblHeader/>
        </w:trPr>
        <w:tc>
          <w:tcPr>
            <w:tcW w:w="2126" w:type="dxa"/>
          </w:tcPr>
          <w:p w14:paraId="5F8DECC0" w14:textId="77777777" w:rsidR="00CA7016" w:rsidRPr="00A0513E" w:rsidRDefault="00CA7016" w:rsidP="003C3F6A">
            <w:pPr>
              <w:pStyle w:val="01Tableheaderrow"/>
            </w:pPr>
            <w:r>
              <w:t xml:space="preserve">This table contains </w:t>
            </w:r>
          </w:p>
        </w:tc>
        <w:tc>
          <w:tcPr>
            <w:tcW w:w="3118" w:type="dxa"/>
          </w:tcPr>
          <w:p w14:paraId="62C05957" w14:textId="77777777" w:rsidR="00CA7016" w:rsidRPr="00A0513E" w:rsidRDefault="00CA7016" w:rsidP="003C3F6A">
            <w:pPr>
              <w:pStyle w:val="01Tableheaderrow"/>
            </w:pPr>
            <w:r w:rsidRPr="00A0513E">
              <w:t xml:space="preserve">What </w:t>
            </w:r>
            <w:r>
              <w:t xml:space="preserve">they </w:t>
            </w:r>
            <w:r w:rsidRPr="00A0513E">
              <w:t>do</w:t>
            </w:r>
          </w:p>
        </w:tc>
        <w:tc>
          <w:tcPr>
            <w:tcW w:w="3086" w:type="dxa"/>
          </w:tcPr>
          <w:p w14:paraId="083050E0" w14:textId="77777777" w:rsidR="00CA7016" w:rsidRPr="00A0513E" w:rsidRDefault="00CA7016" w:rsidP="003C3F6A">
            <w:pPr>
              <w:pStyle w:val="01Tableheaderrow"/>
            </w:pPr>
            <w:r w:rsidRPr="00A0513E">
              <w:t>Committee recommendation</w:t>
            </w:r>
          </w:p>
        </w:tc>
        <w:tc>
          <w:tcPr>
            <w:tcW w:w="2977" w:type="dxa"/>
          </w:tcPr>
          <w:p w14:paraId="409B54ED" w14:textId="77777777" w:rsidR="00CA7016" w:rsidRPr="00A0513E" w:rsidRDefault="00CA7016" w:rsidP="003C3F6A">
            <w:pPr>
              <w:pStyle w:val="01Tableheaderrow"/>
            </w:pPr>
            <w:r w:rsidRPr="00A0513E">
              <w:t>What would be different</w:t>
            </w:r>
          </w:p>
        </w:tc>
        <w:tc>
          <w:tcPr>
            <w:tcW w:w="3118" w:type="dxa"/>
          </w:tcPr>
          <w:p w14:paraId="2215E0BD" w14:textId="77777777" w:rsidR="00CA7016" w:rsidRPr="00A0513E" w:rsidRDefault="00CA7016" w:rsidP="003C3F6A">
            <w:pPr>
              <w:pStyle w:val="01Tableheaderrow"/>
            </w:pPr>
            <w:r w:rsidRPr="00A0513E">
              <w:t>Why</w:t>
            </w:r>
          </w:p>
        </w:tc>
      </w:tr>
      <w:tr w:rsidR="00CA7016" w:rsidRPr="00FC1976" w14:paraId="6B14DF77" w14:textId="77777777" w:rsidTr="003C3F6A">
        <w:trPr>
          <w:cantSplit/>
        </w:trPr>
        <w:tc>
          <w:tcPr>
            <w:tcW w:w="2126" w:type="dxa"/>
          </w:tcPr>
          <w:p w14:paraId="1E7A8410" w14:textId="77777777" w:rsidR="00CA7016" w:rsidRPr="00A0513E" w:rsidRDefault="00CA7016" w:rsidP="003C3F6A">
            <w:pPr>
              <w:pStyle w:val="02Tabletext"/>
            </w:pPr>
            <w:r>
              <w:t>69494-69498 and new items 693XA -693XK</w:t>
            </w:r>
          </w:p>
        </w:tc>
        <w:tc>
          <w:tcPr>
            <w:tcW w:w="3118" w:type="dxa"/>
          </w:tcPr>
          <w:p w14:paraId="5D29220B" w14:textId="77777777" w:rsidR="00CA7016" w:rsidRPr="00A0513E" w:rsidRDefault="00BD5D51" w:rsidP="003C3F6A">
            <w:pPr>
              <w:pStyle w:val="02Tabletext"/>
            </w:pPr>
            <w:r>
              <w:t>N</w:t>
            </w:r>
            <w:r w:rsidR="00CA7016" w:rsidRPr="00A0513E">
              <w:t>ucleic acid amplification test</w:t>
            </w:r>
            <w:r>
              <w:t>s</w:t>
            </w:r>
            <w:r w:rsidR="00CA7016" w:rsidRPr="00A0513E">
              <w:t xml:space="preserve"> (NAAT) </w:t>
            </w:r>
            <w:r>
              <w:t xml:space="preserve">are </w:t>
            </w:r>
            <w:r w:rsidR="00CA7016" w:rsidRPr="00A0513E">
              <w:t>molecular test</w:t>
            </w:r>
            <w:r>
              <w:t>s</w:t>
            </w:r>
            <w:r w:rsidR="00CA7016" w:rsidRPr="00A0513E">
              <w:t xml:space="preserve"> that detect the genetic material (</w:t>
            </w:r>
            <w:hyperlink r:id="rId30" w:tooltip="DNA" w:history="1">
              <w:r w:rsidR="00CA7016" w:rsidRPr="00A0513E">
                <w:t>DNA</w:t>
              </w:r>
            </w:hyperlink>
            <w:r w:rsidR="00CA7016" w:rsidRPr="00A0513E">
              <w:t xml:space="preserve">) of organisms. NAAT have significant sensitivity and turnaround time advantages over traditional culture-based methods, potentially returning same-day results. NAAT for viruses are well established and an increasing number of commercial multi-target assays are now available for bacteria and parasites. </w:t>
            </w:r>
          </w:p>
        </w:tc>
        <w:tc>
          <w:tcPr>
            <w:tcW w:w="3086" w:type="dxa"/>
          </w:tcPr>
          <w:p w14:paraId="0E0BDDBC" w14:textId="77777777" w:rsidR="00CA7016" w:rsidRPr="00A0513E" w:rsidRDefault="00CA7016" w:rsidP="003C3F6A">
            <w:pPr>
              <w:pStyle w:val="02Tabletext"/>
            </w:pPr>
            <w:r>
              <w:t xml:space="preserve">Replace the current ‘generic’ items that covers all molecular tests with a series of new item numbers based on body systems. The new items will specify which body system the tests are being performed on. </w:t>
            </w:r>
          </w:p>
        </w:tc>
        <w:tc>
          <w:tcPr>
            <w:tcW w:w="2977" w:type="dxa"/>
          </w:tcPr>
          <w:p w14:paraId="784631B0" w14:textId="77777777" w:rsidR="00CA7016" w:rsidRPr="00A0513E" w:rsidRDefault="00CA7016" w:rsidP="003C3F6A">
            <w:pPr>
              <w:pStyle w:val="02Tabletext"/>
            </w:pPr>
            <w:r>
              <w:t>In time, these recommendations will have patient benefits. Through the proposed initial changes, requesters will order tests and</w:t>
            </w:r>
            <w:r w:rsidR="00BD5D51">
              <w:t>,</w:t>
            </w:r>
            <w:r>
              <w:t xml:space="preserve"> depending on where in the body the samples come from, pathologists will use the new specific item number for payment. </w:t>
            </w:r>
          </w:p>
          <w:p w14:paraId="37ED1636" w14:textId="77777777" w:rsidR="00CA7016" w:rsidRPr="00A0513E" w:rsidRDefault="00CA7016" w:rsidP="002B24BA">
            <w:pPr>
              <w:pStyle w:val="02Tabletext"/>
              <w:spacing w:before="60"/>
            </w:pPr>
            <w:r>
              <w:t xml:space="preserve">The information about what sort of tests are being ordered and funded through the MBS will enable further </w:t>
            </w:r>
            <w:r w:rsidR="00BD5D51">
              <w:t xml:space="preserve">future </w:t>
            </w:r>
            <w:r>
              <w:t>development of the schedule and information systems to assist requesters to order the most appropriate tests for specific clinical conditions.</w:t>
            </w:r>
          </w:p>
        </w:tc>
        <w:tc>
          <w:tcPr>
            <w:tcW w:w="3118" w:type="dxa"/>
          </w:tcPr>
          <w:p w14:paraId="1D79F767" w14:textId="77777777" w:rsidR="00CA7016" w:rsidRPr="00A0513E" w:rsidRDefault="00CA7016" w:rsidP="002B24BA">
            <w:pPr>
              <w:pStyle w:val="02Tabletext"/>
              <w:spacing w:after="60"/>
            </w:pPr>
            <w:r>
              <w:t xml:space="preserve">NAAT tests will be used for many more organisms and will replace many other traditional methods in the schedule in the future. As this is a growing area, it will be important to know what tests are being ordered for what reasons. By making the schedule more detailed and based on body systems, information can be used to develop processes to assist requesters to order the most appropriate tests for different clinical conditions. At </w:t>
            </w:r>
            <w:r w:rsidR="00BD5D51">
              <w:t>present</w:t>
            </w:r>
            <w:r>
              <w:t xml:space="preserve"> more than 1.3 million tests are ordered under the general item, with no information available to improved ordering systems around these.</w:t>
            </w:r>
          </w:p>
        </w:tc>
      </w:tr>
    </w:tbl>
    <w:p w14:paraId="1ACDC926" w14:textId="77777777" w:rsidR="00CA7016" w:rsidRDefault="00CA7016" w:rsidP="002B4370">
      <w:pPr>
        <w:pStyle w:val="01Tableheaderrow"/>
        <w:keepNext/>
      </w:pPr>
      <w:r>
        <w:lastRenderedPageBreak/>
        <w:t>Recommendation 9: Hepatitis serology items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2"/>
        <w:tblDescription w:val="Appendix C is a summary for consumers. Each table describes the medical service, the recommendation(s) of the clinical experts and why the recommendation(s) has/have been made.&#10;Each table lists Item numbers, What they do, Committee recommendation, What would be different and Why. This table contains Recommendation 9: Hepatitis serology items"/>
      </w:tblPr>
      <w:tblGrid>
        <w:gridCol w:w="2126"/>
        <w:gridCol w:w="3118"/>
        <w:gridCol w:w="3086"/>
        <w:gridCol w:w="2977"/>
        <w:gridCol w:w="3118"/>
      </w:tblGrid>
      <w:tr w:rsidR="00CA7016" w:rsidRPr="00FC1976" w14:paraId="234F7E7C" w14:textId="77777777" w:rsidTr="003C3F6A">
        <w:trPr>
          <w:cantSplit/>
          <w:tblHeader/>
        </w:trPr>
        <w:tc>
          <w:tcPr>
            <w:tcW w:w="2126" w:type="dxa"/>
          </w:tcPr>
          <w:p w14:paraId="63AA8674" w14:textId="77777777" w:rsidR="00CA7016" w:rsidRPr="00A0513E" w:rsidRDefault="00CA7016" w:rsidP="003C3F6A">
            <w:pPr>
              <w:pStyle w:val="01Tableheaderrow"/>
            </w:pPr>
            <w:r w:rsidRPr="00A0513E">
              <w:t>Item</w:t>
            </w:r>
            <w:r>
              <w:t>s</w:t>
            </w:r>
          </w:p>
        </w:tc>
        <w:tc>
          <w:tcPr>
            <w:tcW w:w="3118" w:type="dxa"/>
          </w:tcPr>
          <w:p w14:paraId="1FF4ED34" w14:textId="77777777" w:rsidR="00CA7016" w:rsidRPr="00A0513E" w:rsidRDefault="00CA7016" w:rsidP="003C3F6A">
            <w:pPr>
              <w:pStyle w:val="01Tableheaderrow"/>
            </w:pPr>
            <w:r w:rsidRPr="00A0513E">
              <w:t xml:space="preserve">What </w:t>
            </w:r>
            <w:r>
              <w:t xml:space="preserve">they </w:t>
            </w:r>
            <w:r w:rsidRPr="00A0513E">
              <w:t>do</w:t>
            </w:r>
          </w:p>
        </w:tc>
        <w:tc>
          <w:tcPr>
            <w:tcW w:w="3086" w:type="dxa"/>
          </w:tcPr>
          <w:p w14:paraId="123CAE4C" w14:textId="77777777" w:rsidR="00CA7016" w:rsidRPr="00A0513E" w:rsidRDefault="00CA7016" w:rsidP="003C3F6A">
            <w:pPr>
              <w:pStyle w:val="01Tableheaderrow"/>
            </w:pPr>
            <w:r w:rsidRPr="00A0513E">
              <w:t>Committee recommendation</w:t>
            </w:r>
          </w:p>
        </w:tc>
        <w:tc>
          <w:tcPr>
            <w:tcW w:w="2977" w:type="dxa"/>
          </w:tcPr>
          <w:p w14:paraId="3CF75B3F" w14:textId="77777777" w:rsidR="00CA7016" w:rsidRPr="00A0513E" w:rsidRDefault="00CA7016" w:rsidP="003C3F6A">
            <w:pPr>
              <w:pStyle w:val="01Tableheaderrow"/>
            </w:pPr>
            <w:r w:rsidRPr="00A0513E">
              <w:t>What would be different</w:t>
            </w:r>
          </w:p>
        </w:tc>
        <w:tc>
          <w:tcPr>
            <w:tcW w:w="3118" w:type="dxa"/>
          </w:tcPr>
          <w:p w14:paraId="78745E38" w14:textId="77777777" w:rsidR="00CA7016" w:rsidRPr="00A0513E" w:rsidRDefault="00CA7016" w:rsidP="003C3F6A">
            <w:pPr>
              <w:pStyle w:val="01Tableheaderrow"/>
            </w:pPr>
            <w:r w:rsidRPr="00A0513E">
              <w:t>Why</w:t>
            </w:r>
          </w:p>
        </w:tc>
      </w:tr>
      <w:tr w:rsidR="00CA7016" w:rsidRPr="00FC1976" w14:paraId="52BD2DF6" w14:textId="77777777" w:rsidTr="003C3F6A">
        <w:trPr>
          <w:cantSplit/>
        </w:trPr>
        <w:tc>
          <w:tcPr>
            <w:tcW w:w="2126" w:type="dxa"/>
          </w:tcPr>
          <w:p w14:paraId="3BB42381" w14:textId="77777777" w:rsidR="00CA7016" w:rsidRPr="00A0513E" w:rsidRDefault="00CA7016" w:rsidP="003C3F6A">
            <w:pPr>
              <w:pStyle w:val="02Tabletext"/>
            </w:pPr>
            <w:r w:rsidRPr="00A0513E">
              <w:t>69475</w:t>
            </w:r>
            <w:r>
              <w:t>–</w:t>
            </w:r>
            <w:r w:rsidRPr="00A0513E">
              <w:t>69484 and new items</w:t>
            </w:r>
            <w:r>
              <w:t xml:space="preserve"> 6947A-6947E</w:t>
            </w:r>
          </w:p>
        </w:tc>
        <w:tc>
          <w:tcPr>
            <w:tcW w:w="3118" w:type="dxa"/>
          </w:tcPr>
          <w:p w14:paraId="08C2D825" w14:textId="77777777" w:rsidR="00CA7016" w:rsidRPr="00A0513E" w:rsidRDefault="00CA7016" w:rsidP="003C3F6A">
            <w:pPr>
              <w:pStyle w:val="02Tabletext"/>
            </w:pPr>
            <w:r>
              <w:t xml:space="preserve">Blood tests are used to detect, measure and monitor hepatitis infections. There are different hepatitis viruses that cause different types of hepatitis (A, B, C, D, E) and the national testing guidelines </w:t>
            </w:r>
            <w:r w:rsidRPr="00A0513E">
              <w:t>are different for each virus and for different patient populations.</w:t>
            </w:r>
          </w:p>
        </w:tc>
        <w:tc>
          <w:tcPr>
            <w:tcW w:w="3086" w:type="dxa"/>
          </w:tcPr>
          <w:p w14:paraId="35EAB379" w14:textId="77777777" w:rsidR="00CA7016" w:rsidRPr="00A0513E" w:rsidRDefault="00CA7016" w:rsidP="003C3F6A">
            <w:pPr>
              <w:pStyle w:val="02Tabletext"/>
            </w:pPr>
            <w:r w:rsidRPr="00A0513E">
              <w:t xml:space="preserve">The ‘ideal’ recommendation is to match the </w:t>
            </w:r>
            <w:r>
              <w:t>S</w:t>
            </w:r>
            <w:r w:rsidRPr="00A0513E">
              <w:t>chedule to the treatment guidelines for the different hepatitis viruses. Unfortunately, this is very complicated and impractical to do without better information systems.</w:t>
            </w:r>
          </w:p>
          <w:p w14:paraId="07F3ECFF" w14:textId="77777777" w:rsidR="00CA7016" w:rsidRPr="00A0513E" w:rsidRDefault="00CA7016" w:rsidP="003C3F6A">
            <w:pPr>
              <w:pStyle w:val="02Tabletext"/>
            </w:pPr>
            <w:r w:rsidRPr="00A0513E">
              <w:t>In the meantime, the recommendation is to simplify the schedule and</w:t>
            </w:r>
            <w:r>
              <w:t>,</w:t>
            </w:r>
            <w:r w:rsidRPr="00A0513E">
              <w:t xml:space="preserve"> depending on the information provided by the requester, the pathologist will perform the necessary number of tests using the simplified schedule.</w:t>
            </w:r>
          </w:p>
        </w:tc>
        <w:tc>
          <w:tcPr>
            <w:tcW w:w="2977" w:type="dxa"/>
          </w:tcPr>
          <w:p w14:paraId="33D7A36B" w14:textId="77777777" w:rsidR="00CA7016" w:rsidRPr="00A0513E" w:rsidRDefault="00CA7016" w:rsidP="003C3F6A">
            <w:pPr>
              <w:pStyle w:val="02Tabletext"/>
            </w:pPr>
            <w:r w:rsidRPr="00A0513E">
              <w:t xml:space="preserve">There will be no difference for patients. Some patients will require </w:t>
            </w:r>
            <w:r>
              <w:t xml:space="preserve">fewer </w:t>
            </w:r>
            <w:r w:rsidRPr="00A0513E">
              <w:t xml:space="preserve">tests performed by the pathologist and others will require more, depending on the </w:t>
            </w:r>
            <w:r>
              <w:t>n</w:t>
            </w:r>
            <w:r w:rsidRPr="00A0513E">
              <w:t>ational testing guidelines.</w:t>
            </w:r>
          </w:p>
          <w:p w14:paraId="72A4FCDC" w14:textId="77777777" w:rsidR="00CA7016" w:rsidRPr="00A0513E" w:rsidRDefault="00CA7016" w:rsidP="003C3F6A">
            <w:pPr>
              <w:pStyle w:val="02Tabletext"/>
            </w:pPr>
            <w:r w:rsidRPr="00A0513E">
              <w:t>The ‘ideal’ model would allow more specific test ordering and provide requesters with more guidance on which tests to order for which patient populations.</w:t>
            </w:r>
          </w:p>
          <w:p w14:paraId="3E857E94" w14:textId="77777777" w:rsidR="00CA7016" w:rsidRPr="00A0513E" w:rsidRDefault="00CA7016" w:rsidP="003C3F6A">
            <w:pPr>
              <w:pStyle w:val="02Tabletext"/>
            </w:pPr>
          </w:p>
        </w:tc>
        <w:tc>
          <w:tcPr>
            <w:tcW w:w="3118" w:type="dxa"/>
          </w:tcPr>
          <w:p w14:paraId="2255DAF2" w14:textId="77777777" w:rsidR="00CA7016" w:rsidRPr="00A0513E" w:rsidRDefault="00CA7016" w:rsidP="002B4370">
            <w:pPr>
              <w:pStyle w:val="02Tabletext"/>
              <w:spacing w:after="60"/>
            </w:pPr>
            <w:r>
              <w:t>Ordering hepatitis tests can be confusing for requesters, and unless enough information is provided, it can be difficult for pathologists to know how many tests to perform. Applying the current Schedule is difficult without the detailed clinical information. Until better information and ordering systems have been developed, it is better to make the Schedule very basic and, depending on the request, the type of hepatitis and the patient’s clinical situation, the pathologist will decide which tests are most appropriate.</w:t>
            </w:r>
          </w:p>
        </w:tc>
      </w:tr>
    </w:tbl>
    <w:p w14:paraId="3E990B1D" w14:textId="77777777" w:rsidR="00CA7016" w:rsidRDefault="00CA7016" w:rsidP="00CA7016"/>
    <w:p w14:paraId="104C1BB9" w14:textId="77777777" w:rsidR="00CA7016" w:rsidRDefault="00CA7016" w:rsidP="002B4370">
      <w:pPr>
        <w:pStyle w:val="01Tableheaderrow"/>
      </w:pPr>
      <w:bookmarkStart w:id="459" w:name="_Hlk494801691"/>
      <w:r>
        <w:t>Recommendation 10: Serology items and Epstein–Barr virus (EBV)</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3"/>
        <w:tblDescription w:val="Appendix C is a summary for consumers. Each table describes the medical service, the recommendation(s) of the clinical experts and why the recommendation(s) has/have been made.&#10;Each table lists Item numbers, What they do, Committee recommendation, What would be different and Why. This table contains Recommendation 10: Serology items and Epstein–Barr virus (EBV)"/>
      </w:tblPr>
      <w:tblGrid>
        <w:gridCol w:w="2126"/>
        <w:gridCol w:w="3118"/>
        <w:gridCol w:w="3086"/>
        <w:gridCol w:w="2977"/>
        <w:gridCol w:w="3118"/>
      </w:tblGrid>
      <w:tr w:rsidR="00CA7016" w:rsidRPr="00FC1976" w14:paraId="5FD4EE0E" w14:textId="77777777" w:rsidTr="003C3F6A">
        <w:trPr>
          <w:cantSplit/>
          <w:tblHeader/>
        </w:trPr>
        <w:tc>
          <w:tcPr>
            <w:tcW w:w="2126" w:type="dxa"/>
          </w:tcPr>
          <w:p w14:paraId="52D046EC" w14:textId="77777777" w:rsidR="00CA7016" w:rsidRPr="00A0513E" w:rsidRDefault="00CA7016" w:rsidP="003C3F6A">
            <w:pPr>
              <w:pStyle w:val="01Tableheaderrow"/>
            </w:pPr>
            <w:r w:rsidRPr="00A0513E">
              <w:t>Item</w:t>
            </w:r>
            <w:r>
              <w:t>s</w:t>
            </w:r>
          </w:p>
        </w:tc>
        <w:tc>
          <w:tcPr>
            <w:tcW w:w="3118" w:type="dxa"/>
          </w:tcPr>
          <w:p w14:paraId="1B3DA6DA" w14:textId="77777777" w:rsidR="00CA7016" w:rsidRPr="00A0513E" w:rsidRDefault="00CA7016" w:rsidP="003C3F6A">
            <w:pPr>
              <w:pStyle w:val="01Tableheaderrow"/>
            </w:pPr>
            <w:r w:rsidRPr="00A0513E">
              <w:t xml:space="preserve">What </w:t>
            </w:r>
            <w:r>
              <w:t xml:space="preserve">they </w:t>
            </w:r>
            <w:r w:rsidRPr="00A0513E">
              <w:t xml:space="preserve">do </w:t>
            </w:r>
          </w:p>
        </w:tc>
        <w:tc>
          <w:tcPr>
            <w:tcW w:w="3086" w:type="dxa"/>
          </w:tcPr>
          <w:p w14:paraId="2736A7E1" w14:textId="77777777" w:rsidR="00CA7016" w:rsidRPr="00A0513E" w:rsidRDefault="00CA7016" w:rsidP="003C3F6A">
            <w:pPr>
              <w:pStyle w:val="01Tableheaderrow"/>
            </w:pPr>
            <w:r w:rsidRPr="00A0513E">
              <w:t>Committee recommendation</w:t>
            </w:r>
          </w:p>
        </w:tc>
        <w:tc>
          <w:tcPr>
            <w:tcW w:w="2977" w:type="dxa"/>
          </w:tcPr>
          <w:p w14:paraId="76D31C6E" w14:textId="77777777" w:rsidR="00CA7016" w:rsidRPr="00A0513E" w:rsidRDefault="00CA7016" w:rsidP="003C3F6A">
            <w:pPr>
              <w:pStyle w:val="01Tableheaderrow"/>
            </w:pPr>
            <w:r w:rsidRPr="00A0513E">
              <w:t>What would be different</w:t>
            </w:r>
          </w:p>
        </w:tc>
        <w:tc>
          <w:tcPr>
            <w:tcW w:w="3118" w:type="dxa"/>
          </w:tcPr>
          <w:p w14:paraId="1BF6A2EC" w14:textId="77777777" w:rsidR="00CA7016" w:rsidRPr="00A0513E" w:rsidRDefault="00CA7016" w:rsidP="003C3F6A">
            <w:pPr>
              <w:pStyle w:val="01Tableheaderrow"/>
            </w:pPr>
            <w:r w:rsidRPr="00A0513E">
              <w:t>Why</w:t>
            </w:r>
          </w:p>
        </w:tc>
      </w:tr>
      <w:tr w:rsidR="00CA7016" w:rsidRPr="00FC1976" w14:paraId="4A44ADE8" w14:textId="77777777" w:rsidTr="003C3F6A">
        <w:trPr>
          <w:cantSplit/>
        </w:trPr>
        <w:tc>
          <w:tcPr>
            <w:tcW w:w="2126" w:type="dxa"/>
          </w:tcPr>
          <w:p w14:paraId="06BD8361" w14:textId="77777777" w:rsidR="00CA7016" w:rsidRPr="00A0513E" w:rsidRDefault="00CA7016" w:rsidP="003C3F6A">
            <w:pPr>
              <w:pStyle w:val="02Tabletext"/>
            </w:pPr>
            <w:r w:rsidRPr="00A0513E">
              <w:t>69384-69401, 69472 and 69474</w:t>
            </w:r>
          </w:p>
        </w:tc>
        <w:tc>
          <w:tcPr>
            <w:tcW w:w="3118" w:type="dxa"/>
          </w:tcPr>
          <w:p w14:paraId="2F65D01E" w14:textId="77777777" w:rsidR="00CA7016" w:rsidRPr="00A0513E" w:rsidRDefault="00CA7016" w:rsidP="003C3F6A">
            <w:pPr>
              <w:pStyle w:val="02Tabletext"/>
            </w:pPr>
            <w:r w:rsidRPr="00A0513E">
              <w:t>A serology blood test is performed to detect and measure the levels of antibodies as a result of exposure to a particular bacteria or virus. When people are exposed to bacteria or viruses their body’s immune system produces specific antibodies against the organism. Antibody levels</w:t>
            </w:r>
            <w:r>
              <w:t xml:space="preserve"> </w:t>
            </w:r>
            <w:r w:rsidRPr="00A0513E">
              <w:t>help determine whether an infection occurred recently or years ago.</w:t>
            </w:r>
          </w:p>
        </w:tc>
        <w:tc>
          <w:tcPr>
            <w:tcW w:w="3086" w:type="dxa"/>
          </w:tcPr>
          <w:p w14:paraId="6FEDEB5B" w14:textId="77777777" w:rsidR="00CA7016" w:rsidRPr="00A0513E" w:rsidRDefault="00CA7016" w:rsidP="003C3F6A">
            <w:pPr>
              <w:pStyle w:val="02Tabletext"/>
            </w:pPr>
            <w:r w:rsidRPr="00A0513E">
              <w:t>Increase the number of serology tests that can be claimed from a maximum of 5 to a maximum of 6.</w:t>
            </w:r>
          </w:p>
          <w:p w14:paraId="156B07CF" w14:textId="77777777" w:rsidR="00CA7016" w:rsidRPr="00263286" w:rsidRDefault="00CA7016" w:rsidP="003C3F6A">
            <w:pPr>
              <w:pStyle w:val="02Tabletext"/>
            </w:pPr>
            <w:r w:rsidRPr="00A0513E">
              <w:t>Include in the maximum number of tests, the tests required for Epstein</w:t>
            </w:r>
            <w:r>
              <w:t>–</w:t>
            </w:r>
            <w:r w:rsidRPr="00A0513E">
              <w:t xml:space="preserve">Barr </w:t>
            </w:r>
            <w:r>
              <w:t>v</w:t>
            </w:r>
            <w:r w:rsidRPr="00A0513E">
              <w:t>irus</w:t>
            </w:r>
            <w:r>
              <w:t>,</w:t>
            </w:r>
            <w:r w:rsidRPr="00A0513E">
              <w:t xml:space="preserve"> which are currently claimed under separate item numbers.</w:t>
            </w:r>
          </w:p>
        </w:tc>
        <w:tc>
          <w:tcPr>
            <w:tcW w:w="2977" w:type="dxa"/>
          </w:tcPr>
          <w:p w14:paraId="46174C84" w14:textId="77777777" w:rsidR="00CA7016" w:rsidRPr="00A0513E" w:rsidRDefault="00CA7016" w:rsidP="003C3F6A">
            <w:pPr>
              <w:pStyle w:val="02Tabletext"/>
            </w:pPr>
            <w:r w:rsidRPr="00A0513E">
              <w:t>There would be no difference to patients. This change recognises the shift in testing patterns and the use of results to determine the best treatment methods for infections. It recognises the increase in the types of diseases and changes in organisms in Australia over the past 20 years since these items were introduced to the MBS.</w:t>
            </w:r>
          </w:p>
        </w:tc>
        <w:tc>
          <w:tcPr>
            <w:tcW w:w="3118" w:type="dxa"/>
          </w:tcPr>
          <w:p w14:paraId="06DF4643" w14:textId="77777777" w:rsidR="00CA7016" w:rsidRPr="00A0513E" w:rsidRDefault="00CA7016" w:rsidP="003C3F6A">
            <w:pPr>
              <w:pStyle w:val="02Tabletext"/>
            </w:pPr>
            <w:r w:rsidRPr="00A0513E">
              <w:t xml:space="preserve">The serology items were introduced to the MBS in 1996. Since then many new diseases have emerged in the Australian community, and it is now not uncommon that at least </w:t>
            </w:r>
            <w:r w:rsidR="00E4094D" w:rsidRPr="00A0513E">
              <w:t>6</w:t>
            </w:r>
            <w:r w:rsidR="00E4094D">
              <w:t> </w:t>
            </w:r>
            <w:r w:rsidRPr="00A0513E">
              <w:t>different tests are required for common clinical situations.</w:t>
            </w:r>
          </w:p>
          <w:p w14:paraId="3E9737CE" w14:textId="77777777" w:rsidR="00CA7016" w:rsidRPr="0000588C" w:rsidRDefault="00CA7016" w:rsidP="002B4370">
            <w:pPr>
              <w:pStyle w:val="02Tabletext"/>
              <w:spacing w:after="60"/>
            </w:pPr>
            <w:r w:rsidRPr="00A0513E">
              <w:t xml:space="preserve">This information can improve diagnosis and management of </w:t>
            </w:r>
            <w:proofErr w:type="gramStart"/>
            <w:r w:rsidRPr="00A0513E">
              <w:t>infections, and</w:t>
            </w:r>
            <w:proofErr w:type="gramEnd"/>
            <w:r w:rsidRPr="00A0513E">
              <w:t xml:space="preserve"> can indicate whether use of antimicrobials is required. This benefits patients and the wider community.</w:t>
            </w:r>
          </w:p>
        </w:tc>
      </w:tr>
      <w:bookmarkEnd w:id="459"/>
    </w:tbl>
    <w:p w14:paraId="47D06F7A" w14:textId="77777777" w:rsidR="00CA7016" w:rsidRDefault="00CA7016" w:rsidP="00CA7016"/>
    <w:p w14:paraId="22517F20" w14:textId="77777777" w:rsidR="00CA7016" w:rsidRDefault="00CA7016" w:rsidP="00CA7016"/>
    <w:p w14:paraId="2B86C65E" w14:textId="77777777" w:rsidR="00CA7016" w:rsidRDefault="00CA7016" w:rsidP="002B4370">
      <w:pPr>
        <w:pStyle w:val="01Tableheaderrow"/>
        <w:keepNext/>
      </w:pPr>
      <w:r>
        <w:lastRenderedPageBreak/>
        <w:t>Recommendation 11: Sit</w:t>
      </w:r>
      <w:r w:rsidRPr="00B96BC0">
        <w:t xml:space="preserve">e specific culture and microscopy tests </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4"/>
        <w:tblDescription w:val="Appendix C is a summary for consumers. Each table describes the medical service, the recommendation(s) of the clinical experts and why the recommendation(s) has/have been made.&#10;Each table lists Item numbers, What they do, Committee recommendation, What would be different and Why. This table contains Recommendation 11: Site specific culture and microscopy tests "/>
      </w:tblPr>
      <w:tblGrid>
        <w:gridCol w:w="2126"/>
        <w:gridCol w:w="3118"/>
        <w:gridCol w:w="3086"/>
        <w:gridCol w:w="2977"/>
        <w:gridCol w:w="3118"/>
      </w:tblGrid>
      <w:tr w:rsidR="00CA7016" w:rsidRPr="00FC1976" w14:paraId="75B797BE" w14:textId="77777777" w:rsidTr="003C3F6A">
        <w:trPr>
          <w:cantSplit/>
          <w:tblHeader/>
        </w:trPr>
        <w:tc>
          <w:tcPr>
            <w:tcW w:w="2126" w:type="dxa"/>
          </w:tcPr>
          <w:p w14:paraId="6C74D285" w14:textId="77777777" w:rsidR="00CA7016" w:rsidRPr="00A0513E" w:rsidRDefault="00CA7016" w:rsidP="003C3F6A">
            <w:pPr>
              <w:pStyle w:val="01Tableheaderrow"/>
            </w:pPr>
            <w:r w:rsidRPr="00A0513E">
              <w:t>Item</w:t>
            </w:r>
            <w:r>
              <w:t>s</w:t>
            </w:r>
          </w:p>
        </w:tc>
        <w:tc>
          <w:tcPr>
            <w:tcW w:w="3118" w:type="dxa"/>
          </w:tcPr>
          <w:p w14:paraId="58BD385E" w14:textId="77777777" w:rsidR="00CA7016" w:rsidRPr="00A0513E" w:rsidRDefault="00CA7016" w:rsidP="003C3F6A">
            <w:pPr>
              <w:pStyle w:val="01Tableheaderrow"/>
            </w:pPr>
            <w:r w:rsidRPr="00A0513E">
              <w:t xml:space="preserve">What </w:t>
            </w:r>
            <w:r>
              <w:t xml:space="preserve">they </w:t>
            </w:r>
            <w:r w:rsidRPr="00A0513E">
              <w:t xml:space="preserve">do </w:t>
            </w:r>
          </w:p>
        </w:tc>
        <w:tc>
          <w:tcPr>
            <w:tcW w:w="3086" w:type="dxa"/>
          </w:tcPr>
          <w:p w14:paraId="6E285852" w14:textId="77777777" w:rsidR="00CA7016" w:rsidRPr="00A0513E" w:rsidRDefault="00CA7016" w:rsidP="003C3F6A">
            <w:pPr>
              <w:pStyle w:val="01Tableheaderrow"/>
            </w:pPr>
            <w:r w:rsidRPr="00A0513E">
              <w:t>Committee recommendation</w:t>
            </w:r>
          </w:p>
        </w:tc>
        <w:tc>
          <w:tcPr>
            <w:tcW w:w="2977" w:type="dxa"/>
          </w:tcPr>
          <w:p w14:paraId="1CD12A64" w14:textId="77777777" w:rsidR="00CA7016" w:rsidRPr="00A0513E" w:rsidRDefault="00CA7016" w:rsidP="003C3F6A">
            <w:pPr>
              <w:pStyle w:val="01Tableheaderrow"/>
            </w:pPr>
            <w:r w:rsidRPr="00A0513E">
              <w:t>What would be different</w:t>
            </w:r>
          </w:p>
        </w:tc>
        <w:tc>
          <w:tcPr>
            <w:tcW w:w="3118" w:type="dxa"/>
          </w:tcPr>
          <w:p w14:paraId="1F5407AF" w14:textId="77777777" w:rsidR="00CA7016" w:rsidRPr="00A0513E" w:rsidRDefault="00CA7016" w:rsidP="003C3F6A">
            <w:pPr>
              <w:pStyle w:val="01Tableheaderrow"/>
            </w:pPr>
            <w:r w:rsidRPr="00A0513E">
              <w:t>Why</w:t>
            </w:r>
          </w:p>
        </w:tc>
      </w:tr>
      <w:tr w:rsidR="00CA7016" w:rsidRPr="00FC1976" w14:paraId="531E0170" w14:textId="77777777" w:rsidTr="003C3F6A">
        <w:trPr>
          <w:cantSplit/>
        </w:trPr>
        <w:tc>
          <w:tcPr>
            <w:tcW w:w="2126" w:type="dxa"/>
          </w:tcPr>
          <w:p w14:paraId="1F4545B1" w14:textId="77777777" w:rsidR="00CA7016" w:rsidRPr="00A0513E" w:rsidRDefault="00CA7016" w:rsidP="003C3F6A">
            <w:pPr>
              <w:pStyle w:val="02Tabletext"/>
            </w:pPr>
            <w:r>
              <w:t xml:space="preserve">69303, 69306, 69312, </w:t>
            </w:r>
            <w:r w:rsidRPr="00B96BC0">
              <w:t>69318</w:t>
            </w:r>
          </w:p>
        </w:tc>
        <w:tc>
          <w:tcPr>
            <w:tcW w:w="3118" w:type="dxa"/>
          </w:tcPr>
          <w:p w14:paraId="3F8F5FE8" w14:textId="77777777" w:rsidR="00CA7016" w:rsidRPr="00A0513E" w:rsidRDefault="00CA7016" w:rsidP="003C3F6A">
            <w:pPr>
              <w:pStyle w:val="02Tabletext"/>
            </w:pPr>
            <w:r>
              <w:t>Samples of body fluids and</w:t>
            </w:r>
            <w:r w:rsidRPr="00A0513E">
              <w:t xml:space="preserve"> tissue</w:t>
            </w:r>
            <w:r>
              <w:t>,</w:t>
            </w:r>
            <w:r w:rsidRPr="00A0513E">
              <w:t xml:space="preserve"> come from various sites throughout the body, depending on the suspected source of infection. </w:t>
            </w:r>
          </w:p>
          <w:p w14:paraId="7A5F217E" w14:textId="77777777" w:rsidR="00CA7016" w:rsidRPr="00A0513E" w:rsidRDefault="00CA7016" w:rsidP="003C3F6A">
            <w:pPr>
              <w:pStyle w:val="02Tabletext"/>
            </w:pPr>
            <w:r w:rsidRPr="002B4370">
              <w:rPr>
                <w:i/>
              </w:rPr>
              <w:t>Microscopy:</w:t>
            </w:r>
            <w:r>
              <w:t xml:space="preserve"> </w:t>
            </w:r>
            <w:r w:rsidRPr="00A0513E">
              <w:t xml:space="preserve">the sample can be viewed under a microscope in the laboratory. This enables a quick initial report, such as ‘Gram positive cocci seen’, to be telephoned to the clinician if necessary. </w:t>
            </w:r>
            <w:r>
              <w:t>When c</w:t>
            </w:r>
            <w:r w:rsidRPr="00A0513E">
              <w:t>ombined with an accurate clinical picture this may be enough to initiate targeted treatment.</w:t>
            </w:r>
          </w:p>
          <w:p w14:paraId="2E94D34A" w14:textId="77777777" w:rsidR="00CA7016" w:rsidRPr="00A0513E" w:rsidRDefault="00CA7016" w:rsidP="002B4370">
            <w:pPr>
              <w:pStyle w:val="02Tabletext"/>
              <w:spacing w:after="60"/>
            </w:pPr>
            <w:r w:rsidRPr="002B4370">
              <w:rPr>
                <w:i/>
              </w:rPr>
              <w:t>Culture:</w:t>
            </w:r>
            <w:r w:rsidRPr="00A0513E">
              <w:t xml:space="preserve"> a sample from the original culture is grown to create a pure sample to enable further identification of an organism. This is valuable if the organism is </w:t>
            </w:r>
            <w:proofErr w:type="gramStart"/>
            <w:r w:rsidRPr="00A0513E">
              <w:t>unusual, and</w:t>
            </w:r>
            <w:proofErr w:type="gramEnd"/>
            <w:r w:rsidRPr="00A0513E">
              <w:t xml:space="preserve"> may confirm or indicate a change to treatment. Culturing can also enable a bacterial count to be made, which can assist in deciding whether a wound is colonised or infected, and </w:t>
            </w:r>
            <w:r>
              <w:t xml:space="preserve">so </w:t>
            </w:r>
            <w:r w:rsidRPr="00A0513E">
              <w:t>what the treatment plan</w:t>
            </w:r>
            <w:r>
              <w:t xml:space="preserve"> </w:t>
            </w:r>
            <w:r w:rsidRPr="00A0513E">
              <w:t>would be.</w:t>
            </w:r>
          </w:p>
        </w:tc>
        <w:tc>
          <w:tcPr>
            <w:tcW w:w="3086" w:type="dxa"/>
          </w:tcPr>
          <w:p w14:paraId="1E7A82BF" w14:textId="77777777" w:rsidR="00CA7016" w:rsidRPr="00A0513E" w:rsidRDefault="00CA7016" w:rsidP="003C3F6A">
            <w:pPr>
              <w:pStyle w:val="02Tabletext"/>
            </w:pPr>
            <w:r w:rsidRPr="00A0513E">
              <w:t>The culture and microscopy tests for different specimen types from different body systems should be separate items.</w:t>
            </w:r>
          </w:p>
        </w:tc>
        <w:tc>
          <w:tcPr>
            <w:tcW w:w="2977" w:type="dxa"/>
          </w:tcPr>
          <w:p w14:paraId="5CF68A17" w14:textId="77777777" w:rsidR="00CA7016" w:rsidRPr="00A0513E" w:rsidRDefault="00CA7016" w:rsidP="003C3F6A">
            <w:pPr>
              <w:pStyle w:val="02Tabletext"/>
            </w:pPr>
            <w:r w:rsidRPr="00A0513E">
              <w:t xml:space="preserve">There will be no difference for patients. This change recognises that different specimens taken from different body systems are collected, handled, tested and reported separately and as such are independent of each other. </w:t>
            </w:r>
            <w:proofErr w:type="gramStart"/>
            <w:r w:rsidRPr="00A0513E">
              <w:t>At the moment</w:t>
            </w:r>
            <w:proofErr w:type="gramEnd"/>
            <w:r w:rsidRPr="00A0513E">
              <w:t>, if specimens are taken from 3 separate parts of the body, pathologists can only claim for one item, regardless of the different tests and reports required for different types of specimens.</w:t>
            </w:r>
          </w:p>
        </w:tc>
        <w:tc>
          <w:tcPr>
            <w:tcW w:w="3118" w:type="dxa"/>
          </w:tcPr>
          <w:p w14:paraId="791C70BD" w14:textId="77777777" w:rsidR="00CA7016" w:rsidRPr="0032025C" w:rsidRDefault="00CA7016" w:rsidP="003C3F6A">
            <w:pPr>
              <w:pStyle w:val="02Tabletext"/>
            </w:pPr>
            <w:r w:rsidRPr="00A0513E">
              <w:t xml:space="preserve">Currently, the item descriptors include any tests performed on specimens from other sites. As each of these site-specific tests </w:t>
            </w:r>
            <w:r>
              <w:t>is</w:t>
            </w:r>
            <w:r w:rsidRPr="00A0513E">
              <w:t xml:space="preserve"> independent in terms of laboratory processes, consumables and resources</w:t>
            </w:r>
            <w:r>
              <w:t>,</w:t>
            </w:r>
            <w:r w:rsidRPr="00A0513E">
              <w:t xml:space="preserve"> the Committee recommended they should be funded separately.</w:t>
            </w:r>
          </w:p>
        </w:tc>
      </w:tr>
    </w:tbl>
    <w:p w14:paraId="412A0C6A" w14:textId="77777777" w:rsidR="00CA7016" w:rsidRPr="00A0513E" w:rsidRDefault="00CA7016" w:rsidP="002B4370">
      <w:pPr>
        <w:pStyle w:val="01Tableheaderrow"/>
        <w:keepNext/>
      </w:pPr>
      <w:r>
        <w:lastRenderedPageBreak/>
        <w:t>Recommendation 12</w:t>
      </w:r>
      <w:r w:rsidRPr="00A0513E">
        <w:t>: HIV/STI Rule 3 exemption</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5"/>
        <w:tblDescription w:val="Appendix C is a summary for consumers. Each table describes the medical service, the recommendation(s) of the clinical experts and why the recommendation(s) has/have been made.&#10;Each table lists Item numbers, What they do, Committee recommendation, What would be different and Why. This table contains Recommendation 12: HIV/STI Rule 3 exemption"/>
      </w:tblPr>
      <w:tblGrid>
        <w:gridCol w:w="2126"/>
        <w:gridCol w:w="3118"/>
        <w:gridCol w:w="3086"/>
        <w:gridCol w:w="2977"/>
        <w:gridCol w:w="3118"/>
      </w:tblGrid>
      <w:tr w:rsidR="00CA7016" w:rsidRPr="00FC1976" w14:paraId="2F9EC6FF" w14:textId="77777777" w:rsidTr="003C3F6A">
        <w:trPr>
          <w:cantSplit/>
          <w:tblHeader/>
        </w:trPr>
        <w:tc>
          <w:tcPr>
            <w:tcW w:w="2126" w:type="dxa"/>
          </w:tcPr>
          <w:p w14:paraId="052B197A" w14:textId="77777777" w:rsidR="00CA7016" w:rsidRPr="00A0513E" w:rsidRDefault="00CA7016" w:rsidP="003C3F6A">
            <w:pPr>
              <w:pStyle w:val="01Tableheaderrow"/>
            </w:pPr>
            <w:r w:rsidRPr="00A0513E">
              <w:t xml:space="preserve">Item </w:t>
            </w:r>
          </w:p>
        </w:tc>
        <w:tc>
          <w:tcPr>
            <w:tcW w:w="3118" w:type="dxa"/>
          </w:tcPr>
          <w:p w14:paraId="617CFE10" w14:textId="77777777" w:rsidR="00CA7016" w:rsidRPr="00A0513E" w:rsidRDefault="00CA7016" w:rsidP="003C3F6A">
            <w:pPr>
              <w:pStyle w:val="01Tableheaderrow"/>
            </w:pPr>
            <w:r w:rsidRPr="00A0513E">
              <w:t xml:space="preserve">What it does </w:t>
            </w:r>
          </w:p>
        </w:tc>
        <w:tc>
          <w:tcPr>
            <w:tcW w:w="3086" w:type="dxa"/>
          </w:tcPr>
          <w:p w14:paraId="132B941E" w14:textId="77777777" w:rsidR="00CA7016" w:rsidRPr="00A0513E" w:rsidRDefault="00CA7016" w:rsidP="003C3F6A">
            <w:pPr>
              <w:pStyle w:val="01Tableheaderrow"/>
            </w:pPr>
            <w:r w:rsidRPr="00A0513E">
              <w:t>Committee recommendation</w:t>
            </w:r>
          </w:p>
        </w:tc>
        <w:tc>
          <w:tcPr>
            <w:tcW w:w="2977" w:type="dxa"/>
          </w:tcPr>
          <w:p w14:paraId="09DDF062" w14:textId="77777777" w:rsidR="00CA7016" w:rsidRPr="00A0513E" w:rsidRDefault="00CA7016" w:rsidP="003C3F6A">
            <w:pPr>
              <w:pStyle w:val="01Tableheaderrow"/>
            </w:pPr>
            <w:r w:rsidRPr="00A0513E">
              <w:t>What would be different</w:t>
            </w:r>
          </w:p>
        </w:tc>
        <w:tc>
          <w:tcPr>
            <w:tcW w:w="3118" w:type="dxa"/>
          </w:tcPr>
          <w:p w14:paraId="225B9CE5" w14:textId="77777777" w:rsidR="00CA7016" w:rsidRPr="00A0513E" w:rsidRDefault="00CA7016" w:rsidP="003C3F6A">
            <w:pPr>
              <w:pStyle w:val="01Tableheaderrow"/>
            </w:pPr>
            <w:r w:rsidRPr="00A0513E">
              <w:t>Why</w:t>
            </w:r>
          </w:p>
        </w:tc>
      </w:tr>
      <w:tr w:rsidR="00CA7016" w:rsidRPr="00FC1976" w14:paraId="59D992E3" w14:textId="77777777" w:rsidTr="003C3F6A">
        <w:trPr>
          <w:cantSplit/>
        </w:trPr>
        <w:tc>
          <w:tcPr>
            <w:tcW w:w="2126" w:type="dxa"/>
          </w:tcPr>
          <w:p w14:paraId="7944FB40" w14:textId="77777777" w:rsidR="00CA7016" w:rsidRPr="00A0513E" w:rsidRDefault="00CA7016" w:rsidP="003C3F6A">
            <w:pPr>
              <w:pStyle w:val="02Tabletext"/>
            </w:pPr>
            <w:r w:rsidRPr="00A0513E">
              <w:t>69317, 69319, 69384, 69387,69390,69396,</w:t>
            </w:r>
            <w:r>
              <w:t xml:space="preserve"> </w:t>
            </w:r>
            <w:r w:rsidRPr="00A0513E">
              <w:t>69494</w:t>
            </w:r>
          </w:p>
        </w:tc>
        <w:tc>
          <w:tcPr>
            <w:tcW w:w="3118" w:type="dxa"/>
          </w:tcPr>
          <w:p w14:paraId="6667C58D" w14:textId="77777777" w:rsidR="00CA7016" w:rsidRPr="00A0513E" w:rsidRDefault="00CA7016" w:rsidP="003C3F6A">
            <w:pPr>
              <w:pStyle w:val="02Tabletext"/>
            </w:pPr>
            <w:r w:rsidRPr="00A0513E">
              <w:t xml:space="preserve">Rule 3 Exemption provides exemptions to the multiple </w:t>
            </w:r>
            <w:proofErr w:type="gramStart"/>
            <w:r w:rsidRPr="00A0513E">
              <w:t>services rule</w:t>
            </w:r>
            <w:proofErr w:type="gramEnd"/>
            <w:r w:rsidRPr="00A0513E">
              <w:t xml:space="preserve"> and has been applied to certain specified tests (e.g. full blood count) for certain conditions or therapies (e.g. chemotherapy for </w:t>
            </w:r>
            <w:r w:rsidR="00F2388A">
              <w:t>cancer</w:t>
            </w:r>
            <w:r w:rsidRPr="00A0513E">
              <w:t xml:space="preserve">). It is intended to cover seriously or chronically ill patients who require </w:t>
            </w:r>
            <w:proofErr w:type="gramStart"/>
            <w:r w:rsidRPr="00A0513E">
              <w:t>particular tests</w:t>
            </w:r>
            <w:proofErr w:type="gramEnd"/>
            <w:r w:rsidRPr="00A0513E">
              <w:t xml:space="preserve"> under specified circumstances </w:t>
            </w:r>
          </w:p>
          <w:p w14:paraId="3612A371" w14:textId="77777777" w:rsidR="00CA7016" w:rsidRPr="00A0513E" w:rsidRDefault="00CA7016" w:rsidP="002B4370">
            <w:pPr>
              <w:pStyle w:val="02Tabletext"/>
              <w:spacing w:after="60"/>
            </w:pPr>
            <w:r>
              <w:t>It a</w:t>
            </w:r>
            <w:r w:rsidRPr="00A0513E">
              <w:t>llows for tests to be repeated up to 6 times over a 24-hour period, or</w:t>
            </w:r>
            <w:r>
              <w:t> </w:t>
            </w:r>
            <w:r w:rsidRPr="00A0513E">
              <w:t>tests that are requested up to 6</w:t>
            </w:r>
            <w:r>
              <w:t> </w:t>
            </w:r>
            <w:r w:rsidRPr="00A0513E">
              <w:t>times on a single request form and performed within 6 months of the date of request, to be eligible for Medicare benefits. It enables patients to have the tests regularly without need</w:t>
            </w:r>
            <w:r>
              <w:t>ing</w:t>
            </w:r>
            <w:r w:rsidRPr="00A0513E">
              <w:t xml:space="preserve"> to go to a GP for a request form each time.</w:t>
            </w:r>
          </w:p>
        </w:tc>
        <w:tc>
          <w:tcPr>
            <w:tcW w:w="3086" w:type="dxa"/>
          </w:tcPr>
          <w:p w14:paraId="0414EB23" w14:textId="77777777" w:rsidR="00CA7016" w:rsidRPr="00A0513E" w:rsidRDefault="00CA7016" w:rsidP="003C3F6A">
            <w:pPr>
              <w:pStyle w:val="02Tabletext"/>
            </w:pPr>
            <w:r w:rsidRPr="00A0513E">
              <w:t xml:space="preserve">Apply Rule 3 exemption to HIV/STI testing (chlamydia and gonorrhoea NAAT testing and </w:t>
            </w:r>
            <w:r>
              <w:t>HIV</w:t>
            </w:r>
            <w:r w:rsidRPr="00A0513E">
              <w:t xml:space="preserve"> serology) in the ASHM proposed high</w:t>
            </w:r>
            <w:r>
              <w:t>-</w:t>
            </w:r>
            <w:r w:rsidRPr="00A0513E">
              <w:t>risk population.</w:t>
            </w:r>
            <w:r>
              <w:t xml:space="preserve"> </w:t>
            </w:r>
          </w:p>
        </w:tc>
        <w:tc>
          <w:tcPr>
            <w:tcW w:w="2977" w:type="dxa"/>
          </w:tcPr>
          <w:p w14:paraId="318D6353" w14:textId="77777777" w:rsidR="00CA7016" w:rsidRPr="00A0513E" w:rsidRDefault="00CA7016" w:rsidP="003C3F6A">
            <w:pPr>
              <w:pStyle w:val="02Tabletext"/>
            </w:pPr>
            <w:r w:rsidRPr="00A0513E">
              <w:t>HIV and STI testing are currently covered by separate items, with a new GP consultation required for each test.</w:t>
            </w:r>
            <w:r>
              <w:t xml:space="preserve"> </w:t>
            </w:r>
            <w:r w:rsidRPr="00A0513E">
              <w:t>Rule 3 Exemptions would allow for up to 4 tests in a 6</w:t>
            </w:r>
            <w:r>
              <w:t>-</w:t>
            </w:r>
            <w:r w:rsidRPr="00A0513E">
              <w:t>month period for HIV and STI testing in high</w:t>
            </w:r>
            <w:r>
              <w:t>-</w:t>
            </w:r>
            <w:r w:rsidRPr="00A0513E">
              <w:t>risk populations without the requirement of additional GP consultations.</w:t>
            </w:r>
          </w:p>
        </w:tc>
        <w:tc>
          <w:tcPr>
            <w:tcW w:w="3118" w:type="dxa"/>
          </w:tcPr>
          <w:p w14:paraId="1828372E" w14:textId="77777777" w:rsidR="00CA7016" w:rsidRPr="00A0513E" w:rsidRDefault="00CA7016" w:rsidP="003C3F6A">
            <w:pPr>
              <w:pStyle w:val="02Tabletext"/>
            </w:pPr>
            <w:r w:rsidRPr="00A0513E">
              <w:t>Clinical guidelines recommend regular testing for HIV and STIs in high</w:t>
            </w:r>
            <w:r>
              <w:t>-</w:t>
            </w:r>
            <w:r w:rsidRPr="00A0513E">
              <w:t>risk populations. Removing the need for these patients to have to go to their GP each time for a request form will make it easier and more practical for them to be tested. Ensuring these patients are tested is an important public health issue that will have benefits across the health system</w:t>
            </w:r>
            <w:r>
              <w:t>,</w:t>
            </w:r>
            <w:r w:rsidRPr="00A0513E">
              <w:t xml:space="preserve"> including an increase in detection</w:t>
            </w:r>
            <w:r>
              <w:t>,</w:t>
            </w:r>
            <w:r w:rsidRPr="00A0513E">
              <w:t xml:space="preserve"> an increase in transmission aversion rates and a decrease in costs to the overall health system from HIV and STIs.</w:t>
            </w:r>
          </w:p>
        </w:tc>
      </w:tr>
    </w:tbl>
    <w:p w14:paraId="0AE4EAA1" w14:textId="77777777" w:rsidR="00CA7016" w:rsidRDefault="00CA7016" w:rsidP="00CA7016"/>
    <w:p w14:paraId="0B09E601" w14:textId="77777777" w:rsidR="00CA7016" w:rsidRDefault="00CA7016" w:rsidP="002B4370">
      <w:pPr>
        <w:pStyle w:val="01Tableheaderrow"/>
        <w:keepNext/>
      </w:pPr>
      <w:r>
        <w:t>Recommendation 13: Microscopy and culture of complicated hospital specimens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2"/>
        <w:tblDescription w:val="Appendix C is a summary for consumers. Each table describes the medical service, the recommendation(s) of the clinical experts and why the recommendation(s) has/have been made.&#10;Each table lists Item numbers, What they do, Committee recommendation, What would be different and Why. This table contains Recommendation 13: Microscopy and culture of complicated hospital specimens"/>
      </w:tblPr>
      <w:tblGrid>
        <w:gridCol w:w="2126"/>
        <w:gridCol w:w="3118"/>
        <w:gridCol w:w="3086"/>
        <w:gridCol w:w="2977"/>
        <w:gridCol w:w="3118"/>
      </w:tblGrid>
      <w:tr w:rsidR="00CA7016" w:rsidRPr="00FC1976" w14:paraId="1E501E4B" w14:textId="77777777" w:rsidTr="003C3F6A">
        <w:trPr>
          <w:cantSplit/>
          <w:tblHeader/>
        </w:trPr>
        <w:tc>
          <w:tcPr>
            <w:tcW w:w="2126" w:type="dxa"/>
          </w:tcPr>
          <w:p w14:paraId="15C95ABB" w14:textId="77777777" w:rsidR="00CA7016" w:rsidRPr="00A0513E" w:rsidRDefault="00CA7016" w:rsidP="003C3F6A">
            <w:pPr>
              <w:pStyle w:val="01Tableheaderrow"/>
            </w:pPr>
            <w:r w:rsidRPr="00A0513E">
              <w:t xml:space="preserve">Item </w:t>
            </w:r>
          </w:p>
        </w:tc>
        <w:tc>
          <w:tcPr>
            <w:tcW w:w="3118" w:type="dxa"/>
          </w:tcPr>
          <w:p w14:paraId="68AA6B68" w14:textId="77777777" w:rsidR="00CA7016" w:rsidRPr="00A0513E" w:rsidRDefault="00CA7016" w:rsidP="003C3F6A">
            <w:pPr>
              <w:pStyle w:val="01Tableheaderrow"/>
            </w:pPr>
            <w:r w:rsidRPr="00A0513E">
              <w:t xml:space="preserve">What it does </w:t>
            </w:r>
          </w:p>
        </w:tc>
        <w:tc>
          <w:tcPr>
            <w:tcW w:w="3086" w:type="dxa"/>
          </w:tcPr>
          <w:p w14:paraId="6CE76CD0" w14:textId="77777777" w:rsidR="00CA7016" w:rsidRPr="00A0513E" w:rsidRDefault="00CA7016" w:rsidP="003C3F6A">
            <w:pPr>
              <w:pStyle w:val="01Tableheaderrow"/>
            </w:pPr>
            <w:r w:rsidRPr="00A0513E">
              <w:t>Committee recommendation</w:t>
            </w:r>
          </w:p>
        </w:tc>
        <w:tc>
          <w:tcPr>
            <w:tcW w:w="2977" w:type="dxa"/>
          </w:tcPr>
          <w:p w14:paraId="05466752" w14:textId="77777777" w:rsidR="00CA7016" w:rsidRPr="00A0513E" w:rsidRDefault="00CA7016" w:rsidP="003C3F6A">
            <w:pPr>
              <w:pStyle w:val="01Tableheaderrow"/>
            </w:pPr>
            <w:r w:rsidRPr="00A0513E">
              <w:t>What would be different</w:t>
            </w:r>
          </w:p>
        </w:tc>
        <w:tc>
          <w:tcPr>
            <w:tcW w:w="3118" w:type="dxa"/>
          </w:tcPr>
          <w:p w14:paraId="78F65CB9" w14:textId="77777777" w:rsidR="00CA7016" w:rsidRPr="00A0513E" w:rsidRDefault="00CA7016" w:rsidP="003C3F6A">
            <w:pPr>
              <w:pStyle w:val="01Tableheaderrow"/>
            </w:pPr>
            <w:r w:rsidRPr="00A0513E">
              <w:t>Why</w:t>
            </w:r>
          </w:p>
        </w:tc>
      </w:tr>
      <w:tr w:rsidR="00CA7016" w:rsidRPr="00FC1976" w14:paraId="3EECE2F3" w14:textId="77777777" w:rsidTr="003C3F6A">
        <w:trPr>
          <w:cantSplit/>
        </w:trPr>
        <w:tc>
          <w:tcPr>
            <w:tcW w:w="2126" w:type="dxa"/>
          </w:tcPr>
          <w:p w14:paraId="02A6EB1B" w14:textId="77777777" w:rsidR="00CA7016" w:rsidRPr="00A0513E" w:rsidRDefault="00CA7016" w:rsidP="003C3F6A">
            <w:pPr>
              <w:pStyle w:val="02Tabletext"/>
            </w:pPr>
            <w:r>
              <w:t xml:space="preserve">Split/ new item </w:t>
            </w:r>
            <w:r w:rsidRPr="00A0513E">
              <w:t>69321</w:t>
            </w:r>
            <w:r>
              <w:t xml:space="preserve"> 6932</w:t>
            </w:r>
            <w:r w:rsidR="005B5FE2">
              <w:t>1-</w:t>
            </w:r>
            <w:r>
              <w:t>X</w:t>
            </w:r>
          </w:p>
        </w:tc>
        <w:tc>
          <w:tcPr>
            <w:tcW w:w="3118" w:type="dxa"/>
          </w:tcPr>
          <w:p w14:paraId="589625B3" w14:textId="77777777" w:rsidR="00CA7016" w:rsidRPr="00A0513E" w:rsidRDefault="00CA7016" w:rsidP="003C3F6A">
            <w:pPr>
              <w:pStyle w:val="02Tabletext"/>
            </w:pPr>
            <w:r w:rsidRPr="00A0513E">
              <w:t>Microscopy and culture tests are performed on complicated hospital specimens to identify organisms that may be causing an infection and determine which antibiotics may be suitable if treatment is required.</w:t>
            </w:r>
          </w:p>
          <w:p w14:paraId="13313B65" w14:textId="77777777" w:rsidR="00CA7016" w:rsidRPr="00241AA9" w:rsidRDefault="00CA7016" w:rsidP="002B4370">
            <w:pPr>
              <w:pStyle w:val="02Tabletext"/>
              <w:spacing w:after="60"/>
            </w:pPr>
            <w:r w:rsidRPr="003F4777">
              <w:t>The types of specimens can be either tissue</w:t>
            </w:r>
            <w:r w:rsidRPr="00A0513E">
              <w:t>s such as post-operative wounds, during an operation or biopsies, or fluids such as samples of body fluids, fluid from joints or the spine.</w:t>
            </w:r>
          </w:p>
        </w:tc>
        <w:tc>
          <w:tcPr>
            <w:tcW w:w="3086" w:type="dxa"/>
          </w:tcPr>
          <w:p w14:paraId="62C0435E" w14:textId="77777777" w:rsidR="00CA7016" w:rsidRPr="002A1292" w:rsidRDefault="00CA7016" w:rsidP="003C3F6A">
            <w:pPr>
              <w:pStyle w:val="02Tabletext"/>
            </w:pPr>
            <w:r w:rsidRPr="00A0513E">
              <w:t xml:space="preserve">Revise and separate/split the current item 69321 to recognise the different complexity associated with testing specimens from different sites. Create an item for the microscopy and culture of (a) post-operative wounds or operative or biopsy specimens, and an item for (b) aspirates of body fluids, synovial fluids and </w:t>
            </w:r>
            <w:r>
              <w:t>cerebrospinal fluid</w:t>
            </w:r>
            <w:r w:rsidRPr="00A0513E">
              <w:t>.</w:t>
            </w:r>
          </w:p>
        </w:tc>
        <w:tc>
          <w:tcPr>
            <w:tcW w:w="2977" w:type="dxa"/>
          </w:tcPr>
          <w:p w14:paraId="04E55767" w14:textId="77777777" w:rsidR="00CA7016" w:rsidRPr="00A0513E" w:rsidRDefault="00CA7016" w:rsidP="003C3F6A">
            <w:pPr>
              <w:pStyle w:val="02Tabletext"/>
            </w:pPr>
            <w:r w:rsidRPr="00A0513E">
              <w:t>There would be no difference to the patient. The time, materials and complexity of testing on complicated fluids is more than that required to test tissues.</w:t>
            </w:r>
          </w:p>
          <w:p w14:paraId="6D56AD42" w14:textId="77777777" w:rsidR="00CA7016" w:rsidRPr="00A0513E" w:rsidRDefault="00CA7016" w:rsidP="003C3F6A">
            <w:pPr>
              <w:pStyle w:val="02Tabletext"/>
            </w:pPr>
            <w:r w:rsidRPr="00A0513E">
              <w:t>Splitting this item will enable a review of the costing and to redistribute the fees to recognise that testing the fluids is more complicated and expensive to perform.</w:t>
            </w:r>
          </w:p>
        </w:tc>
        <w:tc>
          <w:tcPr>
            <w:tcW w:w="3118" w:type="dxa"/>
          </w:tcPr>
          <w:p w14:paraId="3141A893" w14:textId="77777777" w:rsidR="00CA7016" w:rsidRPr="002A1292" w:rsidRDefault="00CA7016" w:rsidP="003C3F6A">
            <w:pPr>
              <w:pStyle w:val="02Tabletext"/>
            </w:pPr>
            <w:r w:rsidRPr="00A0513E">
              <w:t xml:space="preserve">The workload and procedures involved in microscopy and culture of fluid samples is more complicated than samples obtained from anatomical sites. Additional tests such as differential cell counts are </w:t>
            </w:r>
            <w:proofErr w:type="gramStart"/>
            <w:r w:rsidRPr="00A0513E">
              <w:t>performed</w:t>
            </w:r>
            <w:proofErr w:type="gramEnd"/>
            <w:r w:rsidRPr="00A0513E">
              <w:t xml:space="preserve"> and microscopy may include the detection of crystals in fluids. Specimens may be added into blood culture bottles</w:t>
            </w:r>
            <w:r>
              <w:t>,</w:t>
            </w:r>
            <w:r w:rsidRPr="00A0513E">
              <w:t xml:space="preserve"> which increase the cost of consumables and monitoring.</w:t>
            </w:r>
          </w:p>
        </w:tc>
      </w:tr>
    </w:tbl>
    <w:p w14:paraId="20CB4C10" w14:textId="77777777" w:rsidR="00CA7016" w:rsidRDefault="00CA7016" w:rsidP="00CA7016"/>
    <w:p w14:paraId="3231B5BD" w14:textId="77777777" w:rsidR="00CA7016" w:rsidRDefault="00CA7016" w:rsidP="002B4370">
      <w:pPr>
        <w:pStyle w:val="01Tableheaderrow"/>
        <w:keepNext/>
      </w:pPr>
      <w:r>
        <w:lastRenderedPageBreak/>
        <w:t>Recommendation 14: Microscopy of wet film</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2"/>
        <w:tblDescription w:val="Appendix C is a summary for consumers. Each table describes the medical service, the recommendation(s) of the clinical experts and why the recommendation(s) has/have been made.&#10;Each table lists Item numbers, What they do, Committee recommendation, What would be different and Why. This table contains Recommendation 14: Microscopy of wet film"/>
      </w:tblPr>
      <w:tblGrid>
        <w:gridCol w:w="2126"/>
        <w:gridCol w:w="3118"/>
        <w:gridCol w:w="3086"/>
        <w:gridCol w:w="2977"/>
        <w:gridCol w:w="3118"/>
      </w:tblGrid>
      <w:tr w:rsidR="00CA7016" w:rsidRPr="00FC1976" w14:paraId="7FE85D65" w14:textId="77777777" w:rsidTr="003C3F6A">
        <w:trPr>
          <w:cantSplit/>
          <w:tblHeader/>
        </w:trPr>
        <w:tc>
          <w:tcPr>
            <w:tcW w:w="2126" w:type="dxa"/>
          </w:tcPr>
          <w:p w14:paraId="3815E8C8" w14:textId="77777777" w:rsidR="00CA7016" w:rsidRPr="00A0513E" w:rsidRDefault="00CA7016" w:rsidP="003C3F6A">
            <w:pPr>
              <w:pStyle w:val="01Tableheaderrow"/>
            </w:pPr>
            <w:r w:rsidRPr="00A0513E">
              <w:t xml:space="preserve">Item </w:t>
            </w:r>
          </w:p>
        </w:tc>
        <w:tc>
          <w:tcPr>
            <w:tcW w:w="3118" w:type="dxa"/>
          </w:tcPr>
          <w:p w14:paraId="3B900152" w14:textId="77777777" w:rsidR="00CA7016" w:rsidRPr="00A0513E" w:rsidRDefault="00CA7016" w:rsidP="003C3F6A">
            <w:pPr>
              <w:pStyle w:val="01Tableheaderrow"/>
            </w:pPr>
            <w:r w:rsidRPr="00A0513E">
              <w:t xml:space="preserve">What it does </w:t>
            </w:r>
          </w:p>
        </w:tc>
        <w:tc>
          <w:tcPr>
            <w:tcW w:w="3086" w:type="dxa"/>
          </w:tcPr>
          <w:p w14:paraId="1E8F7744" w14:textId="77777777" w:rsidR="00CA7016" w:rsidRPr="00A0513E" w:rsidRDefault="00CA7016" w:rsidP="003C3F6A">
            <w:pPr>
              <w:pStyle w:val="01Tableheaderrow"/>
            </w:pPr>
            <w:r w:rsidRPr="00A0513E">
              <w:t>Committee recommendation</w:t>
            </w:r>
          </w:p>
        </w:tc>
        <w:tc>
          <w:tcPr>
            <w:tcW w:w="2977" w:type="dxa"/>
          </w:tcPr>
          <w:p w14:paraId="00DF2254" w14:textId="77777777" w:rsidR="00CA7016" w:rsidRPr="00A0513E" w:rsidRDefault="00CA7016" w:rsidP="003C3F6A">
            <w:pPr>
              <w:pStyle w:val="01Tableheaderrow"/>
            </w:pPr>
            <w:r w:rsidRPr="00A0513E">
              <w:t>What would be different</w:t>
            </w:r>
          </w:p>
        </w:tc>
        <w:tc>
          <w:tcPr>
            <w:tcW w:w="3118" w:type="dxa"/>
          </w:tcPr>
          <w:p w14:paraId="0B34B3F4" w14:textId="77777777" w:rsidR="00CA7016" w:rsidRPr="00A0513E" w:rsidRDefault="00CA7016" w:rsidP="003C3F6A">
            <w:pPr>
              <w:pStyle w:val="01Tableheaderrow"/>
            </w:pPr>
            <w:r w:rsidRPr="00A0513E">
              <w:t>Why</w:t>
            </w:r>
          </w:p>
        </w:tc>
      </w:tr>
      <w:tr w:rsidR="00CA7016" w:rsidRPr="00FC1976" w14:paraId="134139E7" w14:textId="77777777" w:rsidTr="003C3F6A">
        <w:trPr>
          <w:cantSplit/>
        </w:trPr>
        <w:tc>
          <w:tcPr>
            <w:tcW w:w="2126" w:type="dxa"/>
          </w:tcPr>
          <w:p w14:paraId="1053FB85" w14:textId="77777777" w:rsidR="00CA7016" w:rsidRPr="00A0513E" w:rsidRDefault="00CA7016" w:rsidP="003C3F6A">
            <w:pPr>
              <w:pStyle w:val="02Tabletext"/>
            </w:pPr>
            <w:r>
              <w:t>69300</w:t>
            </w:r>
          </w:p>
        </w:tc>
        <w:tc>
          <w:tcPr>
            <w:tcW w:w="3118" w:type="dxa"/>
          </w:tcPr>
          <w:p w14:paraId="00E4D6F1" w14:textId="77777777" w:rsidR="00CA7016" w:rsidRPr="004B620F" w:rsidRDefault="00CA7016" w:rsidP="002B4370">
            <w:pPr>
              <w:pStyle w:val="02Tabletext"/>
              <w:spacing w:after="60"/>
            </w:pPr>
            <w:r w:rsidRPr="00A0513E">
              <w:t>Wet film microscopy involves mixing the specimen with liquid to be viewed under a microscope in the laboratory. It is used to identify organisms causing specific infections.</w:t>
            </w:r>
          </w:p>
        </w:tc>
        <w:tc>
          <w:tcPr>
            <w:tcW w:w="3086" w:type="dxa"/>
          </w:tcPr>
          <w:p w14:paraId="661682D0" w14:textId="77777777" w:rsidR="00CA7016" w:rsidRPr="002A1292" w:rsidRDefault="00CA7016" w:rsidP="003C3F6A">
            <w:pPr>
              <w:pStyle w:val="02Tabletext"/>
            </w:pPr>
            <w:r>
              <w:t>Amend</w:t>
            </w:r>
            <w:r w:rsidRPr="00A0513E">
              <w:t xml:space="preserve"> the descriptor to remov</w:t>
            </w:r>
            <w:r w:rsidR="00D50CBE">
              <w:t>e</w:t>
            </w:r>
            <w:r w:rsidRPr="00A0513E">
              <w:t xml:space="preserve"> methods that are no longer </w:t>
            </w:r>
            <w:proofErr w:type="gramStart"/>
            <w:r w:rsidRPr="00A0513E">
              <w:t>used</w:t>
            </w:r>
            <w:r w:rsidR="00D50CBE">
              <w:t>—</w:t>
            </w:r>
            <w:r w:rsidRPr="00A0513E">
              <w:t>examination</w:t>
            </w:r>
            <w:proofErr w:type="gramEnd"/>
            <w:r w:rsidRPr="00A0513E">
              <w:t xml:space="preserve"> of dermatophytes and dark ground illumination.</w:t>
            </w:r>
          </w:p>
        </w:tc>
        <w:tc>
          <w:tcPr>
            <w:tcW w:w="2977" w:type="dxa"/>
          </w:tcPr>
          <w:p w14:paraId="08A5464D" w14:textId="77777777" w:rsidR="00CA7016" w:rsidRPr="00A0513E" w:rsidRDefault="00CA7016" w:rsidP="003C3F6A">
            <w:pPr>
              <w:pStyle w:val="02Tabletext"/>
            </w:pPr>
            <w:r w:rsidRPr="00A0513E">
              <w:t>There will be no difference to patients. This change updates the item to remove methods that are no longer recommended or used.</w:t>
            </w:r>
          </w:p>
        </w:tc>
        <w:tc>
          <w:tcPr>
            <w:tcW w:w="3118" w:type="dxa"/>
          </w:tcPr>
          <w:p w14:paraId="4786A3A8" w14:textId="77777777" w:rsidR="00CA7016" w:rsidRPr="00A0513E" w:rsidRDefault="00CA7016" w:rsidP="003C3F6A">
            <w:pPr>
              <w:pStyle w:val="02Tabletext"/>
            </w:pPr>
            <w:r>
              <w:t xml:space="preserve">Over time, laboratory test methods </w:t>
            </w:r>
            <w:r w:rsidRPr="00A0513E">
              <w:t>improve, and older methods that were once used are now no longer used and can be deleted from the item descriptor.</w:t>
            </w:r>
          </w:p>
        </w:tc>
      </w:tr>
    </w:tbl>
    <w:p w14:paraId="48570C8A" w14:textId="77777777" w:rsidR="00CA7016" w:rsidRDefault="00CA7016" w:rsidP="00CA7016"/>
    <w:p w14:paraId="4E88D7C2" w14:textId="77777777" w:rsidR="00CA7016" w:rsidRPr="00005E6A" w:rsidRDefault="00CA7016" w:rsidP="002B4370">
      <w:pPr>
        <w:pStyle w:val="01Tableheaderrow"/>
        <w:keepNext/>
      </w:pPr>
      <w:r w:rsidRPr="00005E6A">
        <w:t xml:space="preserve">Recommendation </w:t>
      </w:r>
      <w:r>
        <w:t>15</w:t>
      </w:r>
      <w:r w:rsidRPr="00005E6A">
        <w:t>: Antenatal bundle</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2"/>
        <w:tblDescription w:val="Appendix C is a summary for consumers. Each table describes the medical service, the recommendation(s) of the clinical experts and why the recommendation(s) has/have been made.&#10;Each table lists Item numbers, What they do, Committee recommendation, What would be different and Why. This table contains Recommendation 15: Antenatal bundle"/>
      </w:tblPr>
      <w:tblGrid>
        <w:gridCol w:w="2126"/>
        <w:gridCol w:w="3118"/>
        <w:gridCol w:w="3086"/>
        <w:gridCol w:w="2977"/>
        <w:gridCol w:w="3118"/>
      </w:tblGrid>
      <w:tr w:rsidR="00CA7016" w:rsidRPr="00FC1976" w14:paraId="152AE2DE" w14:textId="77777777" w:rsidTr="003C3F6A">
        <w:trPr>
          <w:cantSplit/>
          <w:tblHeader/>
        </w:trPr>
        <w:tc>
          <w:tcPr>
            <w:tcW w:w="2126" w:type="dxa"/>
          </w:tcPr>
          <w:p w14:paraId="72CA0E35" w14:textId="77777777" w:rsidR="00CA7016" w:rsidRPr="00A0513E" w:rsidRDefault="00CA7016" w:rsidP="003C3F6A">
            <w:pPr>
              <w:pStyle w:val="01Tableheaderrow"/>
            </w:pPr>
            <w:r w:rsidRPr="00A0513E">
              <w:t xml:space="preserve">Item </w:t>
            </w:r>
          </w:p>
        </w:tc>
        <w:tc>
          <w:tcPr>
            <w:tcW w:w="3118" w:type="dxa"/>
          </w:tcPr>
          <w:p w14:paraId="4C8FF433" w14:textId="77777777" w:rsidR="00CA7016" w:rsidRPr="00A0513E" w:rsidRDefault="00CA7016" w:rsidP="003C3F6A">
            <w:pPr>
              <w:pStyle w:val="01Tableheaderrow"/>
            </w:pPr>
            <w:r w:rsidRPr="00A0513E">
              <w:t xml:space="preserve">What it does </w:t>
            </w:r>
          </w:p>
        </w:tc>
        <w:tc>
          <w:tcPr>
            <w:tcW w:w="3086" w:type="dxa"/>
          </w:tcPr>
          <w:p w14:paraId="49982690" w14:textId="77777777" w:rsidR="00CA7016" w:rsidRPr="00A0513E" w:rsidRDefault="00CA7016" w:rsidP="003C3F6A">
            <w:pPr>
              <w:pStyle w:val="01Tableheaderrow"/>
            </w:pPr>
            <w:r w:rsidRPr="00A0513E">
              <w:t>Committee recommendation</w:t>
            </w:r>
          </w:p>
        </w:tc>
        <w:tc>
          <w:tcPr>
            <w:tcW w:w="2977" w:type="dxa"/>
          </w:tcPr>
          <w:p w14:paraId="6D0C3A93" w14:textId="77777777" w:rsidR="00CA7016" w:rsidRPr="00A0513E" w:rsidRDefault="00CA7016" w:rsidP="003C3F6A">
            <w:pPr>
              <w:pStyle w:val="01Tableheaderrow"/>
            </w:pPr>
            <w:r w:rsidRPr="00A0513E">
              <w:t>What would be different</w:t>
            </w:r>
          </w:p>
        </w:tc>
        <w:tc>
          <w:tcPr>
            <w:tcW w:w="3118" w:type="dxa"/>
          </w:tcPr>
          <w:p w14:paraId="0930188F" w14:textId="77777777" w:rsidR="00CA7016" w:rsidRPr="00A0513E" w:rsidRDefault="00CA7016" w:rsidP="003C3F6A">
            <w:pPr>
              <w:pStyle w:val="01Tableheaderrow"/>
            </w:pPr>
            <w:r w:rsidRPr="00A0513E">
              <w:t>Why</w:t>
            </w:r>
          </w:p>
        </w:tc>
      </w:tr>
      <w:tr w:rsidR="00CA7016" w:rsidRPr="00FC1976" w14:paraId="73826759" w14:textId="77777777" w:rsidTr="003C3F6A">
        <w:trPr>
          <w:cantSplit/>
        </w:trPr>
        <w:tc>
          <w:tcPr>
            <w:tcW w:w="2126" w:type="dxa"/>
          </w:tcPr>
          <w:p w14:paraId="294E2BFA" w14:textId="77777777" w:rsidR="00CA7016" w:rsidRPr="00A0513E" w:rsidRDefault="00CA7016" w:rsidP="003C3F6A">
            <w:pPr>
              <w:pStyle w:val="02Tabletext"/>
            </w:pPr>
            <w:r>
              <w:t xml:space="preserve">69415, </w:t>
            </w:r>
            <w:r w:rsidRPr="00A0513E">
              <w:t>69333</w:t>
            </w:r>
          </w:p>
        </w:tc>
        <w:tc>
          <w:tcPr>
            <w:tcW w:w="3118" w:type="dxa"/>
          </w:tcPr>
          <w:p w14:paraId="36F9DAAE" w14:textId="77777777" w:rsidR="00CA7016" w:rsidRPr="00A0513E" w:rsidRDefault="00CA7016" w:rsidP="002B4370">
            <w:pPr>
              <w:pStyle w:val="02Tabletext"/>
              <w:spacing w:after="60"/>
            </w:pPr>
            <w:r w:rsidRPr="00A0513E">
              <w:t>The Committee has recommended that that all pregnant women should have</w:t>
            </w:r>
            <w:r w:rsidR="00D50CBE">
              <w:t xml:space="preserve"> certain </w:t>
            </w:r>
            <w:r w:rsidR="00D50CBE" w:rsidRPr="00A0513E">
              <w:t>basic pathology tests</w:t>
            </w:r>
            <w:r w:rsidRPr="00A0513E">
              <w:t xml:space="preserve"> in the first trimester. This will standardise antenatal pathology screening in line with national guidelines and improve health outcomes for pregnant women and their babies.</w:t>
            </w:r>
          </w:p>
        </w:tc>
        <w:tc>
          <w:tcPr>
            <w:tcW w:w="3086" w:type="dxa"/>
          </w:tcPr>
          <w:p w14:paraId="2A471C47" w14:textId="77777777" w:rsidR="00CA7016" w:rsidRPr="002A1292" w:rsidRDefault="00CA7016" w:rsidP="003C3F6A">
            <w:pPr>
              <w:pStyle w:val="02Tabletext"/>
            </w:pPr>
            <w:r>
              <w:t xml:space="preserve">The Committee supports the inclusion of item </w:t>
            </w:r>
            <w:r w:rsidRPr="00A0513E">
              <w:t>69333</w:t>
            </w:r>
            <w:r w:rsidR="00D50CBE">
              <w:t>—</w:t>
            </w:r>
            <w:r w:rsidRPr="00A0513E">
              <w:t>Urine</w:t>
            </w:r>
            <w:r>
              <w:t xml:space="preserve"> examination, and item 69415</w:t>
            </w:r>
            <w:r w:rsidR="00D50CBE">
              <w:t>—H</w:t>
            </w:r>
            <w:r w:rsidR="00D50CBE" w:rsidRPr="00A0513E">
              <w:t xml:space="preserve">epatitis </w:t>
            </w:r>
            <w:r w:rsidRPr="00A0513E">
              <w:t xml:space="preserve">B, </w:t>
            </w:r>
            <w:r>
              <w:t>h</w:t>
            </w:r>
            <w:r w:rsidRPr="00A0513E">
              <w:t xml:space="preserve">epatitis C, HIV, rubella, syphilis (item is for testing all </w:t>
            </w:r>
            <w:r w:rsidR="00D50CBE">
              <w:t xml:space="preserve">5 </w:t>
            </w:r>
            <w:r w:rsidRPr="00A0513E">
              <w:t>infections) into a ‘bundle’ of tests.</w:t>
            </w:r>
          </w:p>
        </w:tc>
        <w:tc>
          <w:tcPr>
            <w:tcW w:w="2977" w:type="dxa"/>
          </w:tcPr>
          <w:p w14:paraId="0514AC2F" w14:textId="77777777" w:rsidR="00CA7016" w:rsidRPr="00A0513E" w:rsidRDefault="00CA7016" w:rsidP="003C3F6A">
            <w:pPr>
              <w:pStyle w:val="02Tabletext"/>
            </w:pPr>
            <w:r w:rsidRPr="00A0513E">
              <w:t>All pregnant women will have the basic tests they need. By having one item number to cover the tests they need, the</w:t>
            </w:r>
            <w:r>
              <w:t xml:space="preserve"> risk</w:t>
            </w:r>
            <w:r w:rsidRPr="00A0513E">
              <w:t xml:space="preserve"> is reduced that one of the tests may be missed.</w:t>
            </w:r>
          </w:p>
        </w:tc>
        <w:tc>
          <w:tcPr>
            <w:tcW w:w="3118" w:type="dxa"/>
          </w:tcPr>
          <w:p w14:paraId="051E3921" w14:textId="77777777" w:rsidR="00CA7016" w:rsidRPr="00A0513E" w:rsidRDefault="00CA7016" w:rsidP="003C3F6A">
            <w:pPr>
              <w:pStyle w:val="02Tabletext"/>
            </w:pPr>
            <w:r>
              <w:t>National guidelines recommend that all Australian women should have a basic set of tests to check the health of them</w:t>
            </w:r>
            <w:r w:rsidR="00D50CBE">
              <w:t>selves</w:t>
            </w:r>
            <w:r>
              <w:t xml:space="preserve"> and their babies. This change will help reduce the risk of any of these important screening tests being missed.</w:t>
            </w:r>
          </w:p>
        </w:tc>
      </w:tr>
    </w:tbl>
    <w:p w14:paraId="6CC3C2A8" w14:textId="77777777" w:rsidR="00CA7016" w:rsidRDefault="00CA7016" w:rsidP="00CA7016"/>
    <w:p w14:paraId="2D0F94A7" w14:textId="77777777" w:rsidR="00CA7016" w:rsidRDefault="00CA7016" w:rsidP="002B4370">
      <w:pPr>
        <w:pStyle w:val="01Tableheaderrow"/>
        <w:keepNext/>
      </w:pPr>
      <w:r>
        <w:t>Recommendation to MSAC Executive 5.1.1: Orthopaedic tissues</w:t>
      </w:r>
      <w:r w:rsidR="005B5FE2">
        <w:t xml:space="preserve"> – new items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2"/>
        <w:tblDescription w:val="Appendix C is a summary for consumers. Each table describes the medical service, the recommendation(s) of the clinical experts and why the recommendation(s) has/have been made.&#10;Each table lists Item numbers, What they do, Committee recommendation, What would be different and Why. This table contains Recommendation to MSAC Executive 5.1.1: Orthopaedic tissues"/>
      </w:tblPr>
      <w:tblGrid>
        <w:gridCol w:w="2126"/>
        <w:gridCol w:w="3118"/>
        <w:gridCol w:w="3086"/>
        <w:gridCol w:w="2977"/>
        <w:gridCol w:w="3118"/>
      </w:tblGrid>
      <w:tr w:rsidR="00CA7016" w:rsidRPr="00FC1976" w14:paraId="08B339C9" w14:textId="77777777" w:rsidTr="003C3F6A">
        <w:trPr>
          <w:cantSplit/>
          <w:tblHeader/>
        </w:trPr>
        <w:tc>
          <w:tcPr>
            <w:tcW w:w="2126" w:type="dxa"/>
          </w:tcPr>
          <w:p w14:paraId="49C69A9E" w14:textId="77777777" w:rsidR="00CA7016" w:rsidRPr="00A0513E" w:rsidRDefault="00CA7016" w:rsidP="003C3F6A">
            <w:pPr>
              <w:pStyle w:val="01Tableheaderrow"/>
            </w:pPr>
            <w:r w:rsidRPr="00A0513E">
              <w:t xml:space="preserve">Item </w:t>
            </w:r>
          </w:p>
        </w:tc>
        <w:tc>
          <w:tcPr>
            <w:tcW w:w="3118" w:type="dxa"/>
          </w:tcPr>
          <w:p w14:paraId="632671F8" w14:textId="77777777" w:rsidR="00CA7016" w:rsidRPr="00A0513E" w:rsidRDefault="00CA7016" w:rsidP="003C3F6A">
            <w:pPr>
              <w:pStyle w:val="01Tableheaderrow"/>
            </w:pPr>
            <w:r w:rsidRPr="00A0513E">
              <w:t xml:space="preserve">What it does </w:t>
            </w:r>
          </w:p>
        </w:tc>
        <w:tc>
          <w:tcPr>
            <w:tcW w:w="3086" w:type="dxa"/>
          </w:tcPr>
          <w:p w14:paraId="54EF1760" w14:textId="77777777" w:rsidR="00CA7016" w:rsidRPr="00A0513E" w:rsidRDefault="00CA7016" w:rsidP="003C3F6A">
            <w:pPr>
              <w:pStyle w:val="01Tableheaderrow"/>
            </w:pPr>
            <w:r w:rsidRPr="00A0513E">
              <w:t>Committee recommendation</w:t>
            </w:r>
          </w:p>
        </w:tc>
        <w:tc>
          <w:tcPr>
            <w:tcW w:w="2977" w:type="dxa"/>
          </w:tcPr>
          <w:p w14:paraId="7360A75F" w14:textId="77777777" w:rsidR="00CA7016" w:rsidRPr="00A0513E" w:rsidRDefault="00CA7016" w:rsidP="003C3F6A">
            <w:pPr>
              <w:pStyle w:val="01Tableheaderrow"/>
            </w:pPr>
            <w:r w:rsidRPr="00A0513E">
              <w:t>What would be different</w:t>
            </w:r>
          </w:p>
        </w:tc>
        <w:tc>
          <w:tcPr>
            <w:tcW w:w="3118" w:type="dxa"/>
          </w:tcPr>
          <w:p w14:paraId="5E01DE1F" w14:textId="77777777" w:rsidR="00CA7016" w:rsidRPr="00A0513E" w:rsidRDefault="00CA7016" w:rsidP="003C3F6A">
            <w:pPr>
              <w:pStyle w:val="01Tableheaderrow"/>
            </w:pPr>
            <w:r w:rsidRPr="00A0513E">
              <w:t>Why</w:t>
            </w:r>
          </w:p>
        </w:tc>
      </w:tr>
      <w:tr w:rsidR="00CA7016" w:rsidRPr="00FC1976" w14:paraId="6510F696" w14:textId="77777777" w:rsidTr="003C3F6A">
        <w:trPr>
          <w:cantSplit/>
        </w:trPr>
        <w:tc>
          <w:tcPr>
            <w:tcW w:w="2126" w:type="dxa"/>
          </w:tcPr>
          <w:p w14:paraId="5EBC846C" w14:textId="77777777" w:rsidR="00CA7016" w:rsidRPr="00A0513E" w:rsidRDefault="00CA7016" w:rsidP="003C3F6A">
            <w:pPr>
              <w:pStyle w:val="02Tabletext"/>
            </w:pPr>
            <w:r>
              <w:t>New item/s</w:t>
            </w:r>
          </w:p>
        </w:tc>
        <w:tc>
          <w:tcPr>
            <w:tcW w:w="3118" w:type="dxa"/>
          </w:tcPr>
          <w:p w14:paraId="01310A1D" w14:textId="77777777" w:rsidR="00CA7016" w:rsidRPr="00A0513E" w:rsidRDefault="00CA7016" w:rsidP="003C3F6A">
            <w:pPr>
              <w:pStyle w:val="02Tabletext"/>
            </w:pPr>
            <w:r w:rsidRPr="00B22D20">
              <w:rPr>
                <w:lang w:val="en-US"/>
              </w:rPr>
              <w:t>International consensus guidelines demonstrate there is clinical benefit in the collection of &gt; 3 and ≤ 5 tissue specimens to monitor and manage infection</w:t>
            </w:r>
            <w:r>
              <w:rPr>
                <w:lang w:val="en-US"/>
              </w:rPr>
              <w:t xml:space="preserve"> in </w:t>
            </w:r>
            <w:proofErr w:type="spellStart"/>
            <w:r>
              <w:rPr>
                <w:lang w:val="en-US"/>
              </w:rPr>
              <w:t>orthopaedic</w:t>
            </w:r>
            <w:proofErr w:type="spellEnd"/>
            <w:r>
              <w:rPr>
                <w:lang w:val="en-US"/>
              </w:rPr>
              <w:t xml:space="preserve"> joint surgery. </w:t>
            </w:r>
          </w:p>
        </w:tc>
        <w:tc>
          <w:tcPr>
            <w:tcW w:w="3086" w:type="dxa"/>
          </w:tcPr>
          <w:p w14:paraId="515DBD12" w14:textId="77777777" w:rsidR="00CA7016" w:rsidRPr="00B22D20" w:rsidRDefault="00CA7016" w:rsidP="003C3F6A">
            <w:pPr>
              <w:pStyle w:val="02Tabletext"/>
              <w:rPr>
                <w:lang w:val="en-US"/>
              </w:rPr>
            </w:pPr>
            <w:r w:rsidRPr="00B22D20">
              <w:rPr>
                <w:lang w:val="en-US"/>
              </w:rPr>
              <w:t>Propose three new item numbers for the collection of &gt; 3 and ≤ 5 samples to determine prosthetic joint infection.</w:t>
            </w:r>
          </w:p>
          <w:p w14:paraId="142B40C5" w14:textId="77777777" w:rsidR="00CA7016" w:rsidRPr="002A1292" w:rsidRDefault="00CA7016" w:rsidP="003C3F6A">
            <w:pPr>
              <w:pStyle w:val="02Tabletext"/>
            </w:pPr>
          </w:p>
        </w:tc>
        <w:tc>
          <w:tcPr>
            <w:tcW w:w="2977" w:type="dxa"/>
          </w:tcPr>
          <w:p w14:paraId="5A6093B7" w14:textId="77777777" w:rsidR="00CA7016" w:rsidRPr="00B22D20" w:rsidRDefault="00CA7016" w:rsidP="002B4370">
            <w:pPr>
              <w:pStyle w:val="02Tabletext"/>
              <w:spacing w:after="60"/>
              <w:rPr>
                <w:lang w:val="en-US"/>
              </w:rPr>
            </w:pPr>
            <w:r w:rsidRPr="00B22D20">
              <w:rPr>
                <w:lang w:val="en-US"/>
              </w:rPr>
              <w:t>The number of samples required to be processed and the histology workload required is significant. This is a growing area and increased demand is expected in the future. Preserving prosthetic joints in place is a benefit to the patient and reduces additional costs to health.</w:t>
            </w:r>
          </w:p>
        </w:tc>
        <w:tc>
          <w:tcPr>
            <w:tcW w:w="3118" w:type="dxa"/>
          </w:tcPr>
          <w:p w14:paraId="460FBEA1" w14:textId="77777777" w:rsidR="00CA7016" w:rsidRPr="00A0513E" w:rsidRDefault="00CA7016" w:rsidP="003C3F6A">
            <w:pPr>
              <w:pStyle w:val="02Tabletext"/>
            </w:pPr>
            <w:r w:rsidRPr="00B22D20">
              <w:rPr>
                <w:lang w:val="en-US"/>
              </w:rPr>
              <w:t xml:space="preserve">There is currently no item in the Schedule that adequately covers this. Services are currently being billed under 69321, which does not </w:t>
            </w:r>
            <w:proofErr w:type="spellStart"/>
            <w:r w:rsidRPr="00B22D20">
              <w:rPr>
                <w:lang w:val="en-US"/>
              </w:rPr>
              <w:t>recognise</w:t>
            </w:r>
            <w:proofErr w:type="spellEnd"/>
            <w:r w:rsidRPr="00B22D20">
              <w:rPr>
                <w:lang w:val="en-US"/>
              </w:rPr>
              <w:t xml:space="preserve"> the workload and materials required for this procedure. </w:t>
            </w:r>
          </w:p>
        </w:tc>
      </w:tr>
    </w:tbl>
    <w:p w14:paraId="56D0B900" w14:textId="77777777" w:rsidR="00CA7016" w:rsidRDefault="00CA7016" w:rsidP="00CA7016">
      <w:pPr>
        <w:keepNext/>
      </w:pPr>
    </w:p>
    <w:p w14:paraId="20560D0B" w14:textId="77777777" w:rsidR="00CA7016" w:rsidRDefault="00CA7016" w:rsidP="002B4370">
      <w:pPr>
        <w:pStyle w:val="01Tableheaderrow"/>
        <w:keepNext/>
      </w:pPr>
      <w:r>
        <w:t xml:space="preserve">Recommendation to MSAC 5.2.1: Testing for </w:t>
      </w:r>
      <w:r w:rsidR="007E6AA2">
        <w:t>multi-resistant</w:t>
      </w:r>
      <w:r>
        <w:t xml:space="preserve"> organisms</w:t>
      </w:r>
      <w:r w:rsidR="005B5FE2">
        <w:t xml:space="preserve"> – new items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2"/>
        <w:tblDescription w:val="Appendix C is a summary for consumers. Each table describes the medical service, the recommendation(s) of the clinical experts and why the recommendation(s) has/have been made.&#10;Each table lists Item numbers, What they do, Committee recommendation, What would be different and Why. This tablet contains Recommendation to MSAC 5.2.1: Testing for multiresistant organisms"/>
      </w:tblPr>
      <w:tblGrid>
        <w:gridCol w:w="2126"/>
        <w:gridCol w:w="3118"/>
        <w:gridCol w:w="3086"/>
        <w:gridCol w:w="2977"/>
        <w:gridCol w:w="3118"/>
      </w:tblGrid>
      <w:tr w:rsidR="00CA7016" w:rsidRPr="00FC1976" w14:paraId="400A27AF" w14:textId="77777777" w:rsidTr="003C3F6A">
        <w:trPr>
          <w:cantSplit/>
          <w:tblHeader/>
        </w:trPr>
        <w:tc>
          <w:tcPr>
            <w:tcW w:w="2126" w:type="dxa"/>
          </w:tcPr>
          <w:p w14:paraId="203F22E2" w14:textId="77777777" w:rsidR="00CA7016" w:rsidRPr="00A0513E" w:rsidRDefault="00CA7016" w:rsidP="003C3F6A">
            <w:pPr>
              <w:pStyle w:val="01Tableheaderrow"/>
            </w:pPr>
            <w:r w:rsidRPr="00A0513E">
              <w:t xml:space="preserve">Item </w:t>
            </w:r>
          </w:p>
        </w:tc>
        <w:tc>
          <w:tcPr>
            <w:tcW w:w="3118" w:type="dxa"/>
          </w:tcPr>
          <w:p w14:paraId="312A014F" w14:textId="77777777" w:rsidR="00CA7016" w:rsidRPr="00A0513E" w:rsidRDefault="00CA7016" w:rsidP="003C3F6A">
            <w:pPr>
              <w:pStyle w:val="01Tableheaderrow"/>
            </w:pPr>
            <w:r w:rsidRPr="00A0513E">
              <w:t xml:space="preserve">What it does </w:t>
            </w:r>
          </w:p>
        </w:tc>
        <w:tc>
          <w:tcPr>
            <w:tcW w:w="3086" w:type="dxa"/>
          </w:tcPr>
          <w:p w14:paraId="3380F8EF" w14:textId="77777777" w:rsidR="00CA7016" w:rsidRPr="00A0513E" w:rsidRDefault="00CA7016" w:rsidP="003C3F6A">
            <w:pPr>
              <w:pStyle w:val="01Tableheaderrow"/>
            </w:pPr>
            <w:r w:rsidRPr="00A0513E">
              <w:t>Committee recommendation</w:t>
            </w:r>
          </w:p>
        </w:tc>
        <w:tc>
          <w:tcPr>
            <w:tcW w:w="2977" w:type="dxa"/>
          </w:tcPr>
          <w:p w14:paraId="75DABC5E" w14:textId="77777777" w:rsidR="00CA7016" w:rsidRPr="00A0513E" w:rsidRDefault="00CA7016" w:rsidP="003C3F6A">
            <w:pPr>
              <w:pStyle w:val="01Tableheaderrow"/>
            </w:pPr>
            <w:r w:rsidRPr="00A0513E">
              <w:t>What would be different</w:t>
            </w:r>
          </w:p>
        </w:tc>
        <w:tc>
          <w:tcPr>
            <w:tcW w:w="3118" w:type="dxa"/>
          </w:tcPr>
          <w:p w14:paraId="6379504B" w14:textId="77777777" w:rsidR="00CA7016" w:rsidRPr="00A0513E" w:rsidRDefault="00CA7016" w:rsidP="003C3F6A">
            <w:pPr>
              <w:pStyle w:val="01Tableheaderrow"/>
            </w:pPr>
            <w:r w:rsidRPr="00A0513E">
              <w:t>Why</w:t>
            </w:r>
          </w:p>
        </w:tc>
      </w:tr>
      <w:tr w:rsidR="00CA7016" w:rsidRPr="00FC1976" w14:paraId="48F517A5" w14:textId="77777777" w:rsidTr="003C3F6A">
        <w:trPr>
          <w:cantSplit/>
        </w:trPr>
        <w:tc>
          <w:tcPr>
            <w:tcW w:w="2126" w:type="dxa"/>
          </w:tcPr>
          <w:p w14:paraId="60A147A1" w14:textId="77777777" w:rsidR="00CA7016" w:rsidRPr="00A0513E" w:rsidRDefault="00CA7016" w:rsidP="003C3F6A">
            <w:pPr>
              <w:pStyle w:val="02Tabletext"/>
            </w:pPr>
            <w:r>
              <w:t>New item/s</w:t>
            </w:r>
          </w:p>
        </w:tc>
        <w:tc>
          <w:tcPr>
            <w:tcW w:w="3118" w:type="dxa"/>
          </w:tcPr>
          <w:p w14:paraId="2645CA46" w14:textId="77777777" w:rsidR="00CA7016" w:rsidRPr="00A0513E" w:rsidRDefault="00CA7016" w:rsidP="003C3F6A">
            <w:pPr>
              <w:pStyle w:val="02Tabletext"/>
            </w:pPr>
            <w:r>
              <w:t>Many organisms are developing resistance to antimicrobial</w:t>
            </w:r>
            <w:r w:rsidR="00D50CBE">
              <w:t xml:space="preserve"> agents</w:t>
            </w:r>
            <w:r>
              <w:t xml:space="preserve">. Identifying these significantly influences patient management and their clinical outcomes. </w:t>
            </w:r>
          </w:p>
          <w:p w14:paraId="5E6DB0A7" w14:textId="77777777" w:rsidR="00CA7016" w:rsidRPr="00A0513E" w:rsidRDefault="00CA7016" w:rsidP="003C3F6A">
            <w:pPr>
              <w:pStyle w:val="02Tabletext"/>
            </w:pPr>
            <w:r>
              <w:t xml:space="preserve">Understanding the patterns of </w:t>
            </w:r>
            <w:r w:rsidRPr="00A0513E">
              <w:t>resistance and antimicrobial</w:t>
            </w:r>
            <w:r>
              <w:t xml:space="preserve"> usage across the country is a n</w:t>
            </w:r>
            <w:r w:rsidRPr="00A0513E">
              <w:t>ational priority.</w:t>
            </w:r>
          </w:p>
        </w:tc>
        <w:tc>
          <w:tcPr>
            <w:tcW w:w="3086" w:type="dxa"/>
          </w:tcPr>
          <w:p w14:paraId="311ECC9D" w14:textId="77777777" w:rsidR="00CA7016" w:rsidRPr="002A1292" w:rsidRDefault="00CA7016" w:rsidP="003C3F6A">
            <w:pPr>
              <w:pStyle w:val="02Tabletext"/>
            </w:pPr>
            <w:r w:rsidRPr="000E0BE7">
              <w:t>Create new item number</w:t>
            </w:r>
            <w:r w:rsidRPr="00A0513E">
              <w:t>s to fund the testing for multi-resistant organisms (MRO) from appropriate sites.</w:t>
            </w:r>
          </w:p>
        </w:tc>
        <w:tc>
          <w:tcPr>
            <w:tcW w:w="2977" w:type="dxa"/>
          </w:tcPr>
          <w:p w14:paraId="059C63A1" w14:textId="77777777" w:rsidR="00CA7016" w:rsidRPr="00A0513E" w:rsidRDefault="00CA7016" w:rsidP="002B4370">
            <w:pPr>
              <w:pStyle w:val="02Tabletext"/>
              <w:spacing w:after="60"/>
            </w:pPr>
            <w:r>
              <w:t xml:space="preserve">Currently </w:t>
            </w:r>
            <w:r w:rsidRPr="00A0513E">
              <w:t xml:space="preserve">these tests are not funded. The importance of testing for resistance in important organisms and using antimicrobials appropriately is now well understood. These tests are </w:t>
            </w:r>
            <w:proofErr w:type="gramStart"/>
            <w:r w:rsidRPr="00A0513E">
              <w:t>expensive</w:t>
            </w:r>
            <w:proofErr w:type="gramEnd"/>
            <w:r w:rsidRPr="00A0513E">
              <w:t xml:space="preserve"> and the Committee recommends they should be funded. The impact is on individual patients as well as significant public health implications.</w:t>
            </w:r>
          </w:p>
        </w:tc>
        <w:tc>
          <w:tcPr>
            <w:tcW w:w="3118" w:type="dxa"/>
          </w:tcPr>
          <w:p w14:paraId="5BA6BAA1" w14:textId="77777777" w:rsidR="00CA7016" w:rsidRPr="00A0513E" w:rsidRDefault="00CA7016" w:rsidP="003C3F6A">
            <w:pPr>
              <w:pStyle w:val="02Tabletext"/>
            </w:pPr>
            <w:r>
              <w:t>These tests are not currently funded and are required to identify resistant organisms and ensure the most appropriate antimicrobials are used.</w:t>
            </w:r>
          </w:p>
          <w:p w14:paraId="26529399" w14:textId="77777777" w:rsidR="00CA7016" w:rsidRPr="00A0513E" w:rsidRDefault="00CA7016" w:rsidP="003C3F6A">
            <w:pPr>
              <w:pStyle w:val="02Tabletext"/>
            </w:pPr>
            <w:r>
              <w:t>These tests are expensive and are currently provided without reimbursement.</w:t>
            </w:r>
          </w:p>
        </w:tc>
      </w:tr>
    </w:tbl>
    <w:p w14:paraId="7D98DE38" w14:textId="77777777" w:rsidR="00CA7016" w:rsidRDefault="00CA7016" w:rsidP="00CA7016">
      <w:pPr>
        <w:keepNext/>
      </w:pPr>
    </w:p>
    <w:p w14:paraId="6C91FCE8" w14:textId="77777777" w:rsidR="00CA7016" w:rsidRPr="00A72DBE" w:rsidRDefault="00CA7016" w:rsidP="002B4370">
      <w:pPr>
        <w:pStyle w:val="01Tableheaderrow"/>
        <w:keepNext/>
      </w:pPr>
      <w:r w:rsidRPr="00A72DBE">
        <w:t>Recommendation to MSAC 5.2.2: Reflex cultures</w:t>
      </w:r>
      <w:r w:rsidR="005B5FE2">
        <w:t xml:space="preserve"> – new items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2"/>
        <w:tblDescription w:val="Appendix C is a summary for consumers. Each table describes the medical service, the recommendation(s) of the clinical experts and why the recommendation(s) has/have been made.&#10;Each table lists Item numbers, What they do, Committee recommendation, What would be different and Why. This table contains Recommendation to MSAC 5.2.2: Reflex cultures"/>
      </w:tblPr>
      <w:tblGrid>
        <w:gridCol w:w="2126"/>
        <w:gridCol w:w="3118"/>
        <w:gridCol w:w="3086"/>
        <w:gridCol w:w="2977"/>
        <w:gridCol w:w="3118"/>
      </w:tblGrid>
      <w:tr w:rsidR="00CA7016" w:rsidRPr="00FC1976" w14:paraId="47AA4E3B" w14:textId="77777777" w:rsidTr="003C3F6A">
        <w:trPr>
          <w:cantSplit/>
          <w:tblHeader/>
        </w:trPr>
        <w:tc>
          <w:tcPr>
            <w:tcW w:w="2126" w:type="dxa"/>
          </w:tcPr>
          <w:p w14:paraId="37A04625" w14:textId="77777777" w:rsidR="00CA7016" w:rsidRPr="00A0513E" w:rsidRDefault="00CA7016" w:rsidP="003C3F6A">
            <w:pPr>
              <w:pStyle w:val="01Tableheaderrow"/>
            </w:pPr>
            <w:r w:rsidRPr="00A0513E">
              <w:t xml:space="preserve">Item </w:t>
            </w:r>
          </w:p>
        </w:tc>
        <w:tc>
          <w:tcPr>
            <w:tcW w:w="3118" w:type="dxa"/>
          </w:tcPr>
          <w:p w14:paraId="1AAFC8A5" w14:textId="77777777" w:rsidR="00CA7016" w:rsidRPr="00A0513E" w:rsidRDefault="00CA7016" w:rsidP="003C3F6A">
            <w:pPr>
              <w:pStyle w:val="01Tableheaderrow"/>
            </w:pPr>
            <w:r w:rsidRPr="00A0513E">
              <w:t xml:space="preserve">What it does </w:t>
            </w:r>
          </w:p>
        </w:tc>
        <w:tc>
          <w:tcPr>
            <w:tcW w:w="3086" w:type="dxa"/>
          </w:tcPr>
          <w:p w14:paraId="64B11531" w14:textId="77777777" w:rsidR="00CA7016" w:rsidRPr="00A0513E" w:rsidRDefault="00CA7016" w:rsidP="003C3F6A">
            <w:pPr>
              <w:pStyle w:val="01Tableheaderrow"/>
            </w:pPr>
            <w:r w:rsidRPr="00A0513E">
              <w:t>Committee recommendation</w:t>
            </w:r>
          </w:p>
        </w:tc>
        <w:tc>
          <w:tcPr>
            <w:tcW w:w="2977" w:type="dxa"/>
          </w:tcPr>
          <w:p w14:paraId="7886DBEE" w14:textId="77777777" w:rsidR="00CA7016" w:rsidRPr="00A0513E" w:rsidRDefault="00CA7016" w:rsidP="003C3F6A">
            <w:pPr>
              <w:pStyle w:val="01Tableheaderrow"/>
            </w:pPr>
            <w:r w:rsidRPr="00A0513E">
              <w:t>What would be different</w:t>
            </w:r>
          </w:p>
        </w:tc>
        <w:tc>
          <w:tcPr>
            <w:tcW w:w="3118" w:type="dxa"/>
          </w:tcPr>
          <w:p w14:paraId="68B01F36" w14:textId="77777777" w:rsidR="00CA7016" w:rsidRPr="00A0513E" w:rsidRDefault="00CA7016" w:rsidP="003C3F6A">
            <w:pPr>
              <w:pStyle w:val="01Tableheaderrow"/>
            </w:pPr>
            <w:r w:rsidRPr="00A0513E">
              <w:t>Why</w:t>
            </w:r>
          </w:p>
        </w:tc>
      </w:tr>
      <w:tr w:rsidR="00CA7016" w:rsidRPr="00FC1976" w14:paraId="0B95ED81" w14:textId="77777777" w:rsidTr="003C3F6A">
        <w:trPr>
          <w:cantSplit/>
        </w:trPr>
        <w:tc>
          <w:tcPr>
            <w:tcW w:w="2126" w:type="dxa"/>
          </w:tcPr>
          <w:p w14:paraId="6B8811AF" w14:textId="77777777" w:rsidR="00CA7016" w:rsidRPr="00A0513E" w:rsidRDefault="00CA7016" w:rsidP="003C3F6A">
            <w:pPr>
              <w:pStyle w:val="02Tabletext"/>
            </w:pPr>
            <w:r>
              <w:t>New item/s</w:t>
            </w:r>
          </w:p>
        </w:tc>
        <w:tc>
          <w:tcPr>
            <w:tcW w:w="3118" w:type="dxa"/>
          </w:tcPr>
          <w:p w14:paraId="5E1B6820" w14:textId="77777777" w:rsidR="00CA7016" w:rsidRPr="00A0513E" w:rsidRDefault="008E1B75" w:rsidP="002B4370">
            <w:pPr>
              <w:pStyle w:val="02Tabletext"/>
              <w:spacing w:after="60"/>
            </w:pPr>
            <w:r>
              <w:t>For c</w:t>
            </w:r>
            <w:r w:rsidR="00CA7016">
              <w:t>ertain organisms identified as ‘pathogens of public health significance’</w:t>
            </w:r>
            <w:r>
              <w:t>,</w:t>
            </w:r>
            <w:r w:rsidR="00CA7016">
              <w:t xml:space="preserve"> laboratories are required to perform additional </w:t>
            </w:r>
            <w:r w:rsidR="00CA7016" w:rsidRPr="00A0513E">
              <w:t xml:space="preserve">‘reflex testing’ </w:t>
            </w:r>
            <w:proofErr w:type="gramStart"/>
            <w:r w:rsidR="00CA7016" w:rsidRPr="00A0513E">
              <w:t>and also</w:t>
            </w:r>
            <w:proofErr w:type="gramEnd"/>
            <w:r w:rsidR="00CA7016" w:rsidRPr="00A0513E">
              <w:t xml:space="preserve"> send the specimen to another reference laboratory for testing. This surveillance system enables close monitoring of certain infections across Australia and can help identify changes in infection patterns and help avoid spread of diseases.</w:t>
            </w:r>
          </w:p>
        </w:tc>
        <w:tc>
          <w:tcPr>
            <w:tcW w:w="3086" w:type="dxa"/>
          </w:tcPr>
          <w:p w14:paraId="5C766FB6" w14:textId="77777777" w:rsidR="00CA7016" w:rsidRPr="00A0513E" w:rsidRDefault="00CA7016" w:rsidP="003C3F6A">
            <w:pPr>
              <w:pStyle w:val="02Tabletext"/>
            </w:pPr>
            <w:r w:rsidRPr="00DB2303">
              <w:t>Support the proposal that new items numbers be introduced for:</w:t>
            </w:r>
          </w:p>
          <w:p w14:paraId="46A87C06" w14:textId="77777777" w:rsidR="00CA7016" w:rsidRPr="00A0513E" w:rsidRDefault="00CA7016" w:rsidP="003C3F6A">
            <w:pPr>
              <w:pStyle w:val="02Tabletext"/>
            </w:pPr>
            <w:r w:rsidRPr="00DB2303">
              <w:t xml:space="preserve">(a) reflex culture of positive </w:t>
            </w:r>
            <w:r>
              <w:t xml:space="preserve">test </w:t>
            </w:r>
            <w:r w:rsidRPr="00DB2303">
              <w:t xml:space="preserve">results </w:t>
            </w:r>
            <w:r>
              <w:t xml:space="preserve">(by polymerase chain reaction, </w:t>
            </w:r>
            <w:r w:rsidRPr="00DB2303">
              <w:t>PCR</w:t>
            </w:r>
            <w:r>
              <w:t xml:space="preserve">) </w:t>
            </w:r>
            <w:r w:rsidRPr="00DB2303">
              <w:t>for pathogens of public health significance as listed in the National Notifiable Disease List (NNDL)</w:t>
            </w:r>
            <w:r>
              <w:t>;</w:t>
            </w:r>
            <w:r w:rsidRPr="00DB2303">
              <w:t xml:space="preserve"> and </w:t>
            </w:r>
          </w:p>
          <w:p w14:paraId="48AAC307" w14:textId="77777777" w:rsidR="00CA7016" w:rsidRPr="002A1292" w:rsidRDefault="00CA7016">
            <w:pPr>
              <w:pStyle w:val="02Tabletext"/>
            </w:pPr>
            <w:r w:rsidRPr="00DB2303">
              <w:t>(b) packaging for transfer of these specimens to reference laboratories.</w:t>
            </w:r>
          </w:p>
        </w:tc>
        <w:tc>
          <w:tcPr>
            <w:tcW w:w="2977" w:type="dxa"/>
          </w:tcPr>
          <w:p w14:paraId="5A08BD02" w14:textId="77777777" w:rsidR="00CA7016" w:rsidRPr="00A0513E" w:rsidRDefault="00CA7016" w:rsidP="003C3F6A">
            <w:pPr>
              <w:pStyle w:val="02Tabletext"/>
            </w:pPr>
            <w:r>
              <w:t>Currently</w:t>
            </w:r>
            <w:r w:rsidRPr="00A0513E">
              <w:t xml:space="preserve"> these services are not </w:t>
            </w:r>
            <w:proofErr w:type="gramStart"/>
            <w:r w:rsidRPr="00A0513E">
              <w:t>funded</w:t>
            </w:r>
            <w:proofErr w:type="gramEnd"/>
            <w:r w:rsidRPr="00A0513E">
              <w:t xml:space="preserve"> and laboratories perform these tests without reimbursement. </w:t>
            </w:r>
          </w:p>
          <w:p w14:paraId="1C47CAEC" w14:textId="77777777" w:rsidR="00CA7016" w:rsidRPr="00A0513E" w:rsidRDefault="00CA7016" w:rsidP="003C3F6A">
            <w:pPr>
              <w:pStyle w:val="02Tabletext"/>
            </w:pPr>
            <w:r w:rsidRPr="00A0513E">
              <w:t xml:space="preserve">There would be no difference to patients, but funding of these items would help ensure all the specimens that should be reflex tested and transferred to reference laboratories </w:t>
            </w:r>
            <w:proofErr w:type="gramStart"/>
            <w:r w:rsidRPr="00A0513E">
              <w:t>actually are</w:t>
            </w:r>
            <w:proofErr w:type="gramEnd"/>
            <w:r w:rsidRPr="00A0513E">
              <w:t>.</w:t>
            </w:r>
          </w:p>
        </w:tc>
        <w:tc>
          <w:tcPr>
            <w:tcW w:w="3118" w:type="dxa"/>
          </w:tcPr>
          <w:p w14:paraId="0940875F" w14:textId="77777777" w:rsidR="00CA7016" w:rsidRPr="00A0513E" w:rsidRDefault="00CA7016" w:rsidP="003C3F6A">
            <w:pPr>
              <w:pStyle w:val="02Tabletext"/>
            </w:pPr>
            <w:r>
              <w:t xml:space="preserve">Public health surveillance of infection patterns is essential to avoid the outbreak of diseases. Laboratories are required to perform additional tests and services if certain organisms are identified and currently this is not </w:t>
            </w:r>
            <w:proofErr w:type="gramStart"/>
            <w:r>
              <w:t>funded</w:t>
            </w:r>
            <w:proofErr w:type="gramEnd"/>
            <w:r>
              <w:t xml:space="preserve"> and the costs are borne by the laboratory.</w:t>
            </w:r>
          </w:p>
        </w:tc>
      </w:tr>
    </w:tbl>
    <w:p w14:paraId="11C524DD" w14:textId="77777777" w:rsidR="00CA7016" w:rsidRPr="00A0513E" w:rsidRDefault="00CA7016" w:rsidP="00CA7016"/>
    <w:p w14:paraId="5323F233" w14:textId="77777777" w:rsidR="00CA7016" w:rsidRDefault="00CA7016" w:rsidP="00CA7016">
      <w:pPr>
        <w:pStyle w:val="Heading2Report"/>
        <w:sectPr w:rsidR="00CA7016" w:rsidSect="003C3F6A">
          <w:pgSz w:w="16838" w:h="11906" w:orient="landscape"/>
          <w:pgMar w:top="1440" w:right="1440" w:bottom="1440" w:left="1440" w:header="708" w:footer="708" w:gutter="0"/>
          <w:cols w:space="708"/>
          <w:docGrid w:linePitch="360"/>
        </w:sectPr>
      </w:pPr>
    </w:p>
    <w:p w14:paraId="250F660C" w14:textId="77777777" w:rsidR="00CA7016" w:rsidRPr="00A0513E" w:rsidRDefault="00CA7016" w:rsidP="00CA7016">
      <w:pPr>
        <w:pStyle w:val="Heading1"/>
      </w:pPr>
      <w:bookmarkStart w:id="460" w:name="_Toc486939220"/>
      <w:bookmarkStart w:id="461" w:name="_Toc12886614"/>
      <w:r>
        <w:lastRenderedPageBreak/>
        <w:t>Appendix D—Glossary</w:t>
      </w:r>
      <w:bookmarkEnd w:id="460"/>
      <w:bookmarkEnd w:id="461"/>
      <w:r>
        <w:t xml:space="preserve"> </w:t>
      </w:r>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Glossary"/>
        <w:tblDescription w:val="Appendix D is a glossary table containing two heading columns: Term and Description."/>
      </w:tblPr>
      <w:tblGrid>
        <w:gridCol w:w="2128"/>
        <w:gridCol w:w="6888"/>
      </w:tblGrid>
      <w:tr w:rsidR="00CA7016" w:rsidRPr="00FC1976" w14:paraId="203FFF27" w14:textId="77777777" w:rsidTr="003C3F6A">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EEECE1" w:themeFill="background2"/>
            <w:vAlign w:val="bottom"/>
          </w:tcPr>
          <w:p w14:paraId="5ACA93D4" w14:textId="77777777" w:rsidR="00CA7016" w:rsidRPr="00290B68" w:rsidRDefault="00CA7016" w:rsidP="003C3F6A">
            <w:pPr>
              <w:pStyle w:val="01Tableheaderrow"/>
              <w:rPr>
                <w:b/>
              </w:rPr>
            </w:pPr>
            <w:r w:rsidRPr="00290B68">
              <w:rPr>
                <w:b/>
              </w:rPr>
              <w:t>Term</w:t>
            </w:r>
          </w:p>
        </w:tc>
        <w:tc>
          <w:tcPr>
            <w:tcW w:w="0" w:type="dxa"/>
            <w:shd w:val="clear" w:color="auto" w:fill="EEECE1" w:themeFill="background2"/>
            <w:vAlign w:val="bottom"/>
          </w:tcPr>
          <w:p w14:paraId="28961212" w14:textId="77777777" w:rsidR="00CA7016" w:rsidRPr="00290B68" w:rsidRDefault="00CA7016" w:rsidP="003C3F6A">
            <w:pPr>
              <w:pStyle w:val="01Tableheaderrow"/>
              <w:rPr>
                <w:b/>
              </w:rPr>
            </w:pPr>
            <w:r w:rsidRPr="00290B68">
              <w:rPr>
                <w:b/>
              </w:rPr>
              <w:t>Description</w:t>
            </w:r>
          </w:p>
        </w:tc>
      </w:tr>
      <w:tr w:rsidR="00CA7016" w:rsidRPr="00FC1976" w14:paraId="087354A4" w14:textId="77777777" w:rsidTr="003C3F6A">
        <w:tc>
          <w:tcPr>
            <w:tcW w:w="2128" w:type="dxa"/>
          </w:tcPr>
          <w:p w14:paraId="522C4100" w14:textId="77777777" w:rsidR="00CA7016" w:rsidRPr="00A0513E" w:rsidRDefault="00CA7016" w:rsidP="003C3F6A">
            <w:pPr>
              <w:pStyle w:val="02Tabletext"/>
            </w:pPr>
            <w:r w:rsidRPr="00A0513E">
              <w:t>ABS</w:t>
            </w:r>
          </w:p>
        </w:tc>
        <w:tc>
          <w:tcPr>
            <w:tcW w:w="6888" w:type="dxa"/>
          </w:tcPr>
          <w:p w14:paraId="06C681EF" w14:textId="77777777" w:rsidR="00CA7016" w:rsidRPr="00A0513E" w:rsidRDefault="00CA7016" w:rsidP="003C3F6A">
            <w:pPr>
              <w:pStyle w:val="02Tabletext"/>
            </w:pPr>
            <w:r w:rsidRPr="00A0513E">
              <w:t xml:space="preserve">Australian Bureau of Statistics </w:t>
            </w:r>
          </w:p>
        </w:tc>
      </w:tr>
      <w:tr w:rsidR="008F0351" w:rsidRPr="00FC1976" w14:paraId="458857D6" w14:textId="77777777" w:rsidTr="003C3F6A">
        <w:tc>
          <w:tcPr>
            <w:tcW w:w="2128" w:type="dxa"/>
          </w:tcPr>
          <w:p w14:paraId="4B82CE80" w14:textId="77777777" w:rsidR="008F0351" w:rsidRDefault="008F0351" w:rsidP="003C3F6A">
            <w:pPr>
              <w:pStyle w:val="02Tabletext"/>
            </w:pPr>
            <w:r>
              <w:t>APA</w:t>
            </w:r>
          </w:p>
        </w:tc>
        <w:tc>
          <w:tcPr>
            <w:tcW w:w="6888" w:type="dxa"/>
          </w:tcPr>
          <w:p w14:paraId="7438E3CE" w14:textId="77777777" w:rsidR="008F0351" w:rsidRPr="00EE36E3" w:rsidRDefault="008F0351" w:rsidP="003C3F6A">
            <w:pPr>
              <w:pStyle w:val="02Tabletext"/>
            </w:pPr>
            <w:r w:rsidRPr="008F0351">
              <w:t>Approved Pathology Authority</w:t>
            </w:r>
          </w:p>
        </w:tc>
      </w:tr>
      <w:tr w:rsidR="00E67BF3" w:rsidRPr="00FC1976" w14:paraId="54BAA88D" w14:textId="77777777" w:rsidTr="003C3F6A">
        <w:tc>
          <w:tcPr>
            <w:tcW w:w="2128" w:type="dxa"/>
          </w:tcPr>
          <w:p w14:paraId="1A9E8C47" w14:textId="77777777" w:rsidR="00E67BF3" w:rsidRDefault="00E67BF3" w:rsidP="003C3F6A">
            <w:pPr>
              <w:pStyle w:val="02Tabletext"/>
            </w:pPr>
            <w:r>
              <w:t>APP</w:t>
            </w:r>
          </w:p>
        </w:tc>
        <w:tc>
          <w:tcPr>
            <w:tcW w:w="6888" w:type="dxa"/>
          </w:tcPr>
          <w:p w14:paraId="4F7849F9" w14:textId="77777777" w:rsidR="00E67BF3" w:rsidRPr="00EE36E3" w:rsidRDefault="00E67BF3" w:rsidP="003C3F6A">
            <w:pPr>
              <w:pStyle w:val="02Tabletext"/>
            </w:pPr>
            <w:r w:rsidRPr="008F0351">
              <w:t xml:space="preserve">Approved Pathology </w:t>
            </w:r>
            <w:r>
              <w:t>Practitioner</w:t>
            </w:r>
          </w:p>
        </w:tc>
      </w:tr>
      <w:tr w:rsidR="00A434DA" w:rsidRPr="00FC1976" w14:paraId="3995D5D6" w14:textId="77777777" w:rsidTr="003C3F6A">
        <w:tc>
          <w:tcPr>
            <w:tcW w:w="2128" w:type="dxa"/>
          </w:tcPr>
          <w:p w14:paraId="17E113EC" w14:textId="77777777" w:rsidR="00A434DA" w:rsidRPr="00A0513E" w:rsidRDefault="00A434DA" w:rsidP="003C3F6A">
            <w:pPr>
              <w:pStyle w:val="02Tabletext"/>
            </w:pPr>
            <w:r>
              <w:t>ASHM</w:t>
            </w:r>
          </w:p>
        </w:tc>
        <w:tc>
          <w:tcPr>
            <w:tcW w:w="6888" w:type="dxa"/>
          </w:tcPr>
          <w:p w14:paraId="30C61163" w14:textId="77777777" w:rsidR="00A434DA" w:rsidRPr="00A0513E" w:rsidRDefault="008F0351" w:rsidP="003C3F6A">
            <w:pPr>
              <w:pStyle w:val="02Tabletext"/>
            </w:pPr>
            <w:r w:rsidRPr="00EE36E3">
              <w:t>Australasian Society for HIV, Viral Hepatitis and Sexual Health Medicine</w:t>
            </w:r>
          </w:p>
        </w:tc>
      </w:tr>
      <w:tr w:rsidR="00CA7016" w:rsidRPr="00FC1976" w14:paraId="7DAC58C3" w14:textId="77777777" w:rsidTr="003C3F6A">
        <w:tc>
          <w:tcPr>
            <w:tcW w:w="2128" w:type="dxa"/>
          </w:tcPr>
          <w:p w14:paraId="44394889" w14:textId="77777777" w:rsidR="00CA7016" w:rsidRPr="00A0513E" w:rsidRDefault="00CA7016" w:rsidP="003C3F6A">
            <w:pPr>
              <w:pStyle w:val="02Tabletext"/>
            </w:pPr>
            <w:r w:rsidRPr="00A0513E">
              <w:t>CAGR</w:t>
            </w:r>
          </w:p>
        </w:tc>
        <w:tc>
          <w:tcPr>
            <w:tcW w:w="6888" w:type="dxa"/>
          </w:tcPr>
          <w:p w14:paraId="64A088C8" w14:textId="77777777" w:rsidR="00CA7016" w:rsidRPr="00A0513E" w:rsidRDefault="00CA7016" w:rsidP="003C3F6A">
            <w:pPr>
              <w:pStyle w:val="02Tabletext"/>
            </w:pPr>
            <w:r w:rsidRPr="00A0513E">
              <w:t xml:space="preserve">Compound annual growth rate, or the average annual growth rate over a specified time period. </w:t>
            </w:r>
          </w:p>
        </w:tc>
      </w:tr>
      <w:tr w:rsidR="00CA7016" w:rsidRPr="00FC1976" w14:paraId="375EE9BE" w14:textId="77777777" w:rsidTr="003C3F6A">
        <w:tc>
          <w:tcPr>
            <w:tcW w:w="2128" w:type="dxa"/>
          </w:tcPr>
          <w:p w14:paraId="57D6378F" w14:textId="77777777" w:rsidR="00CA7016" w:rsidRPr="00A0513E" w:rsidRDefault="00CA7016" w:rsidP="003C3F6A">
            <w:pPr>
              <w:pStyle w:val="02Tabletext"/>
            </w:pPr>
            <w:r w:rsidRPr="00A0513E">
              <w:t>Change</w:t>
            </w:r>
          </w:p>
        </w:tc>
        <w:tc>
          <w:tcPr>
            <w:tcW w:w="6888" w:type="dxa"/>
          </w:tcPr>
          <w:p w14:paraId="501E5991" w14:textId="77777777" w:rsidR="00CA7016" w:rsidRPr="00A0513E" w:rsidRDefault="00CA7016" w:rsidP="003C3F6A">
            <w:pPr>
              <w:pStyle w:val="02Tabletext"/>
            </w:pPr>
            <w:r w:rsidRPr="00A0513E">
              <w:t>When referring to an item, describes when the item and/or its services will be affected by the recommendations. This could result from a range of recommendations, such as: (</w:t>
            </w:r>
            <w:proofErr w:type="spellStart"/>
            <w:r w:rsidRPr="00A0513E">
              <w:t>i</w:t>
            </w:r>
            <w:proofErr w:type="spellEnd"/>
            <w:r w:rsidRPr="00A0513E">
              <w:t xml:space="preserve">) specific recommendations that affect the services provided by changing item descriptors or explanatory notes, (ii) the consolidation of item numbers, and (iii) splitting item numbers (e.g. splitting the current services provided across 2 or more items). </w:t>
            </w:r>
          </w:p>
        </w:tc>
      </w:tr>
      <w:tr w:rsidR="00CA7016" w:rsidRPr="00FC1976" w14:paraId="4327DBC9" w14:textId="77777777" w:rsidTr="003C3F6A">
        <w:tc>
          <w:tcPr>
            <w:tcW w:w="2128" w:type="dxa"/>
          </w:tcPr>
          <w:p w14:paraId="4F39DE3D" w14:textId="77777777" w:rsidR="00CA7016" w:rsidRPr="00A0513E" w:rsidRDefault="00CA7016" w:rsidP="003C3F6A">
            <w:pPr>
              <w:pStyle w:val="02Tabletext"/>
            </w:pPr>
            <w:r w:rsidRPr="00A0513E">
              <w:t>Coning, or episode coning</w:t>
            </w:r>
          </w:p>
        </w:tc>
        <w:tc>
          <w:tcPr>
            <w:tcW w:w="6888" w:type="dxa"/>
          </w:tcPr>
          <w:p w14:paraId="7A0F972F" w14:textId="77777777" w:rsidR="00CA7016" w:rsidRPr="00A0513E" w:rsidRDefault="00CA7016" w:rsidP="003C3F6A">
            <w:pPr>
              <w:pStyle w:val="02Tabletext"/>
            </w:pPr>
            <w:r w:rsidRPr="00772505">
              <w:t>Episode coning is an arrangement</w:t>
            </w:r>
            <w:r w:rsidRPr="00A0513E">
              <w:t xml:space="preserve"> that places an upper limit on the number of services in an episode for which Medicare benefits are </w:t>
            </w:r>
            <w:proofErr w:type="gramStart"/>
            <w:r w:rsidRPr="00A0513E">
              <w:t>payable, and</w:t>
            </w:r>
            <w:proofErr w:type="gramEnd"/>
            <w:r w:rsidRPr="00A0513E">
              <w:t xml:space="preserve"> was introduced to prevent over-servicing by doctors. Generally, when more than three items are requested in an episode by a GP for an out-of-hospital service, Medicare only pays for the three most expensive items. Pathology services requested for hospital in-patients, or ordered by specialists, are not subject to these coning arrangements.</w:t>
            </w:r>
          </w:p>
        </w:tc>
      </w:tr>
      <w:tr w:rsidR="00CA7016" w:rsidRPr="00FC1976" w14:paraId="12EBC0A5" w14:textId="77777777" w:rsidTr="003C3F6A">
        <w:tc>
          <w:tcPr>
            <w:tcW w:w="2128" w:type="dxa"/>
          </w:tcPr>
          <w:p w14:paraId="6B2795A5" w14:textId="77777777" w:rsidR="00CA7016" w:rsidRPr="00A0513E" w:rsidRDefault="00CA7016" w:rsidP="003C3F6A">
            <w:pPr>
              <w:pStyle w:val="02Tabletext"/>
            </w:pPr>
            <w:r w:rsidRPr="00A0513E">
              <w:t>Department, The</w:t>
            </w:r>
          </w:p>
        </w:tc>
        <w:tc>
          <w:tcPr>
            <w:tcW w:w="6888" w:type="dxa"/>
          </w:tcPr>
          <w:p w14:paraId="68A4BCCC" w14:textId="77777777" w:rsidR="00CA7016" w:rsidRPr="00A0513E" w:rsidRDefault="00CA7016" w:rsidP="003C3F6A">
            <w:pPr>
              <w:pStyle w:val="02Tabletext"/>
            </w:pPr>
            <w:r w:rsidRPr="00A0513E">
              <w:t>Australian Government Department of Health</w:t>
            </w:r>
          </w:p>
        </w:tc>
      </w:tr>
      <w:tr w:rsidR="00CA7016" w:rsidRPr="00FC1976" w14:paraId="5C5B02F1" w14:textId="77777777" w:rsidTr="003C3F6A">
        <w:tc>
          <w:tcPr>
            <w:tcW w:w="2128" w:type="dxa"/>
          </w:tcPr>
          <w:p w14:paraId="794A27F2" w14:textId="77777777" w:rsidR="00CA7016" w:rsidRPr="00A0513E" w:rsidRDefault="00CA7016" w:rsidP="003C3F6A">
            <w:pPr>
              <w:pStyle w:val="02Tabletext"/>
            </w:pPr>
            <w:r w:rsidRPr="00A0513E">
              <w:t>Delete</w:t>
            </w:r>
          </w:p>
        </w:tc>
        <w:tc>
          <w:tcPr>
            <w:tcW w:w="6888" w:type="dxa"/>
          </w:tcPr>
          <w:p w14:paraId="2CEB5CFC" w14:textId="77777777" w:rsidR="00CA7016" w:rsidRPr="00A0513E" w:rsidRDefault="00CA7016" w:rsidP="003C3F6A">
            <w:pPr>
              <w:pStyle w:val="02Tabletext"/>
            </w:pPr>
            <w:r w:rsidRPr="00A0513E">
              <w:t>Describes when an item is recommended for removal from the MBS and its services will no longer be provided under the MBS.</w:t>
            </w:r>
          </w:p>
        </w:tc>
      </w:tr>
      <w:tr w:rsidR="00CA7016" w:rsidRPr="00FC1976" w14:paraId="083FD119" w14:textId="77777777" w:rsidTr="003C3F6A">
        <w:tc>
          <w:tcPr>
            <w:tcW w:w="2128" w:type="dxa"/>
          </w:tcPr>
          <w:p w14:paraId="2A8CB7C3" w14:textId="77777777" w:rsidR="00CA7016" w:rsidRPr="00A0513E" w:rsidRDefault="00CA7016" w:rsidP="003C3F6A">
            <w:pPr>
              <w:pStyle w:val="02Tabletext"/>
            </w:pPr>
            <w:r w:rsidRPr="00A0513E">
              <w:t>FY</w:t>
            </w:r>
          </w:p>
        </w:tc>
        <w:tc>
          <w:tcPr>
            <w:tcW w:w="6888" w:type="dxa"/>
          </w:tcPr>
          <w:p w14:paraId="73727001" w14:textId="77777777" w:rsidR="00CA7016" w:rsidRPr="00A0513E" w:rsidRDefault="00CA7016" w:rsidP="003C3F6A">
            <w:pPr>
              <w:pStyle w:val="02Tabletext"/>
            </w:pPr>
            <w:r w:rsidRPr="00A0513E">
              <w:t>Financial year</w:t>
            </w:r>
          </w:p>
        </w:tc>
      </w:tr>
      <w:tr w:rsidR="00CA7016" w:rsidRPr="00FC1976" w14:paraId="705AA969" w14:textId="77777777" w:rsidTr="003C3F6A">
        <w:tc>
          <w:tcPr>
            <w:tcW w:w="2128" w:type="dxa"/>
          </w:tcPr>
          <w:p w14:paraId="134573F1" w14:textId="77777777" w:rsidR="00CA7016" w:rsidRPr="00A0513E" w:rsidRDefault="00CA7016" w:rsidP="003C3F6A">
            <w:pPr>
              <w:pStyle w:val="02Tabletext"/>
            </w:pPr>
            <w:r w:rsidRPr="00A0513E">
              <w:t>GP</w:t>
            </w:r>
          </w:p>
        </w:tc>
        <w:tc>
          <w:tcPr>
            <w:tcW w:w="6888" w:type="dxa"/>
          </w:tcPr>
          <w:p w14:paraId="6A7D9F71" w14:textId="77777777" w:rsidR="00CA7016" w:rsidRPr="00A0513E" w:rsidRDefault="00CA7016" w:rsidP="003C3F6A">
            <w:pPr>
              <w:pStyle w:val="02Tabletext"/>
            </w:pPr>
            <w:r w:rsidRPr="00A0513E">
              <w:t>General practitioner</w:t>
            </w:r>
          </w:p>
        </w:tc>
      </w:tr>
      <w:tr w:rsidR="00CA7016" w:rsidRPr="00FC1976" w14:paraId="559B86F1" w14:textId="77777777" w:rsidTr="003C3F6A">
        <w:tc>
          <w:tcPr>
            <w:tcW w:w="2128" w:type="dxa"/>
          </w:tcPr>
          <w:p w14:paraId="6122088B" w14:textId="77777777" w:rsidR="00CA7016" w:rsidRPr="00A0513E" w:rsidRDefault="00CA7016" w:rsidP="003C3F6A">
            <w:pPr>
              <w:pStyle w:val="02Tabletext"/>
            </w:pPr>
            <w:r w:rsidRPr="00A0513E">
              <w:t>High-value care</w:t>
            </w:r>
          </w:p>
        </w:tc>
        <w:tc>
          <w:tcPr>
            <w:tcW w:w="6888" w:type="dxa"/>
          </w:tcPr>
          <w:p w14:paraId="71AEAFCF" w14:textId="77777777" w:rsidR="00CA7016" w:rsidRPr="00A0513E" w:rsidRDefault="00CA7016" w:rsidP="003C3F6A">
            <w:pPr>
              <w:pStyle w:val="02Tabletext"/>
            </w:pPr>
            <w:r w:rsidRPr="00A0513E">
              <w:t>Services of proven efficacy reflecting current best medical practice, or for which the potential benefit to consumers exceeds the risk and costs.</w:t>
            </w:r>
          </w:p>
        </w:tc>
      </w:tr>
      <w:tr w:rsidR="00CA7016" w:rsidRPr="00FC1976" w14:paraId="5E448226" w14:textId="77777777" w:rsidTr="003C3F6A">
        <w:tc>
          <w:tcPr>
            <w:tcW w:w="2128" w:type="dxa"/>
          </w:tcPr>
          <w:p w14:paraId="4A94B75F" w14:textId="77777777" w:rsidR="00CA7016" w:rsidRPr="00A0513E" w:rsidRDefault="00CA7016" w:rsidP="003C3F6A">
            <w:pPr>
              <w:pStyle w:val="02Tabletext"/>
            </w:pPr>
            <w:r w:rsidRPr="00A0513E">
              <w:t>Inappropriate use / misuse</w:t>
            </w:r>
          </w:p>
        </w:tc>
        <w:tc>
          <w:tcPr>
            <w:tcW w:w="6888" w:type="dxa"/>
          </w:tcPr>
          <w:p w14:paraId="464B9FF6" w14:textId="77777777" w:rsidR="00CA7016" w:rsidRPr="00A0513E" w:rsidRDefault="00CA7016" w:rsidP="003C3F6A">
            <w:pPr>
              <w:pStyle w:val="02Tabletext"/>
            </w:pPr>
            <w:r w:rsidRPr="00A0513E">
              <w:t xml:space="preserve">The use of MBS services for purposes other than those intended. This includes a range of behaviours, from failing to adhere to </w:t>
            </w:r>
            <w:proofErr w:type="gramStart"/>
            <w:r w:rsidRPr="00A0513E">
              <w:t>particular item</w:t>
            </w:r>
            <w:proofErr w:type="gramEnd"/>
            <w:r w:rsidRPr="00A0513E">
              <w:t xml:space="preserve"> descriptors or rules through to deliberate fraud.</w:t>
            </w:r>
          </w:p>
        </w:tc>
      </w:tr>
      <w:tr w:rsidR="00CA7016" w:rsidRPr="00FC1976" w14:paraId="40453C21" w14:textId="77777777" w:rsidTr="003C3F6A">
        <w:tc>
          <w:tcPr>
            <w:tcW w:w="2128" w:type="dxa"/>
          </w:tcPr>
          <w:p w14:paraId="0541C739" w14:textId="77777777" w:rsidR="00CA7016" w:rsidRPr="00A0513E" w:rsidRDefault="00CA7016" w:rsidP="003C3F6A">
            <w:pPr>
              <w:pStyle w:val="02Tabletext"/>
            </w:pPr>
            <w:r w:rsidRPr="00A0513E">
              <w:t xml:space="preserve">Low-value care </w:t>
            </w:r>
          </w:p>
        </w:tc>
        <w:tc>
          <w:tcPr>
            <w:tcW w:w="6888" w:type="dxa"/>
          </w:tcPr>
          <w:p w14:paraId="478479E6" w14:textId="77777777" w:rsidR="00CA7016" w:rsidRPr="00A0513E" w:rsidRDefault="00CA7016" w:rsidP="003C3F6A">
            <w:pPr>
              <w:pStyle w:val="02Tabletext"/>
            </w:pPr>
            <w:r w:rsidRPr="00A0513E">
              <w:t xml:space="preserve">Services that evidence suggests </w:t>
            </w:r>
            <w:proofErr w:type="gramStart"/>
            <w:r w:rsidRPr="00A0513E">
              <w:t>confer</w:t>
            </w:r>
            <w:proofErr w:type="gramEnd"/>
            <w:r w:rsidRPr="00A0513E">
              <w:t xml:space="preserve"> no, or very little, benefit to consumers; or for which the risk of harm exceeds the likely benefit; or, more broadly, where the added costs of services do not provide proportional added benefits.</w:t>
            </w:r>
          </w:p>
        </w:tc>
      </w:tr>
      <w:tr w:rsidR="00CA7016" w:rsidRPr="00FC1976" w14:paraId="33EE97CB" w14:textId="77777777" w:rsidTr="003C3F6A">
        <w:tc>
          <w:tcPr>
            <w:tcW w:w="2128" w:type="dxa"/>
            <w:vAlign w:val="center"/>
          </w:tcPr>
          <w:p w14:paraId="3B209415" w14:textId="77777777" w:rsidR="00CA7016" w:rsidRPr="00A0513E" w:rsidRDefault="00CA7016" w:rsidP="003C3F6A">
            <w:pPr>
              <w:pStyle w:val="02Tabletext"/>
            </w:pPr>
            <w:r w:rsidRPr="00A0513E">
              <w:t>MBS</w:t>
            </w:r>
          </w:p>
        </w:tc>
        <w:tc>
          <w:tcPr>
            <w:tcW w:w="6888" w:type="dxa"/>
            <w:vAlign w:val="center"/>
          </w:tcPr>
          <w:p w14:paraId="6BDDB827" w14:textId="77777777" w:rsidR="00CA7016" w:rsidRPr="00A0513E" w:rsidRDefault="00CA7016" w:rsidP="003C3F6A">
            <w:pPr>
              <w:pStyle w:val="02Tabletext"/>
            </w:pPr>
            <w:r w:rsidRPr="00A0513E">
              <w:t xml:space="preserve">Medicare Benefits Schedule </w:t>
            </w:r>
          </w:p>
        </w:tc>
      </w:tr>
      <w:tr w:rsidR="00CA7016" w:rsidRPr="00FC1976" w14:paraId="5A6D8CD6" w14:textId="77777777" w:rsidTr="003C3F6A">
        <w:tc>
          <w:tcPr>
            <w:tcW w:w="2128" w:type="dxa"/>
          </w:tcPr>
          <w:p w14:paraId="634228AD" w14:textId="77777777" w:rsidR="00CA7016" w:rsidRPr="00A0513E" w:rsidRDefault="00CA7016" w:rsidP="003C3F6A">
            <w:pPr>
              <w:pStyle w:val="02Tabletext"/>
            </w:pPr>
            <w:r w:rsidRPr="00A0513E">
              <w:t>MBS item</w:t>
            </w:r>
          </w:p>
        </w:tc>
        <w:tc>
          <w:tcPr>
            <w:tcW w:w="6888" w:type="dxa"/>
          </w:tcPr>
          <w:p w14:paraId="7C1F5E32" w14:textId="77777777" w:rsidR="00CA7016" w:rsidRPr="00A0513E" w:rsidRDefault="00CA7016" w:rsidP="003C3F6A">
            <w:pPr>
              <w:pStyle w:val="02Tabletext"/>
            </w:pPr>
            <w:r w:rsidRPr="00A0513E">
              <w:t>An administrative object listed in the MBS and used for the purposes of claiming and paying Medicare benefits, consisting of an item number, service descriptor and supporting information, schedule fee and Medicare benefits.</w:t>
            </w:r>
          </w:p>
        </w:tc>
      </w:tr>
      <w:tr w:rsidR="00CA7016" w:rsidRPr="00FC1976" w14:paraId="06E0EBA9" w14:textId="77777777" w:rsidTr="003C3F6A">
        <w:tc>
          <w:tcPr>
            <w:tcW w:w="2128" w:type="dxa"/>
          </w:tcPr>
          <w:p w14:paraId="37C0E481" w14:textId="77777777" w:rsidR="00CA7016" w:rsidRPr="00A0513E" w:rsidRDefault="00CA7016" w:rsidP="003C3F6A">
            <w:pPr>
              <w:pStyle w:val="02Tabletext"/>
            </w:pPr>
            <w:r w:rsidRPr="00A0513E">
              <w:t>MBS service</w:t>
            </w:r>
          </w:p>
        </w:tc>
        <w:tc>
          <w:tcPr>
            <w:tcW w:w="6888" w:type="dxa"/>
          </w:tcPr>
          <w:p w14:paraId="7E0AFEE1" w14:textId="77777777" w:rsidR="00CA7016" w:rsidRPr="00A0513E" w:rsidRDefault="00CA7016" w:rsidP="003C3F6A">
            <w:pPr>
              <w:pStyle w:val="02Tabletext"/>
            </w:pPr>
            <w:r w:rsidRPr="00A0513E">
              <w:t>The actual medical consultation, procedure or test to which the relevant MBS item refers.</w:t>
            </w:r>
          </w:p>
        </w:tc>
      </w:tr>
      <w:tr w:rsidR="00CA7016" w:rsidRPr="00FC1976" w14:paraId="222371E0" w14:textId="77777777" w:rsidTr="003C3F6A">
        <w:tc>
          <w:tcPr>
            <w:tcW w:w="2128" w:type="dxa"/>
          </w:tcPr>
          <w:p w14:paraId="7DBD77DA" w14:textId="77777777" w:rsidR="00CA7016" w:rsidRPr="00A0513E" w:rsidRDefault="00CA7016" w:rsidP="003C3F6A">
            <w:pPr>
              <w:pStyle w:val="02Tabletext"/>
            </w:pPr>
            <w:r w:rsidRPr="00A0513E">
              <w:t>Misuse (of MBS item)</w:t>
            </w:r>
          </w:p>
        </w:tc>
        <w:tc>
          <w:tcPr>
            <w:tcW w:w="6888" w:type="dxa"/>
          </w:tcPr>
          <w:p w14:paraId="68ABCEA5" w14:textId="77777777" w:rsidR="00CA7016" w:rsidRPr="00A0513E" w:rsidRDefault="00CA7016" w:rsidP="003C3F6A">
            <w:pPr>
              <w:pStyle w:val="02Tabletext"/>
            </w:pPr>
            <w:r w:rsidRPr="00A0513E">
              <w:t xml:space="preserve">The use of MBS services for purposes other than those intended. This includes a range of behaviours, from failing to adhere to </w:t>
            </w:r>
            <w:proofErr w:type="gramStart"/>
            <w:r w:rsidRPr="00A0513E">
              <w:t>particular item</w:t>
            </w:r>
            <w:proofErr w:type="gramEnd"/>
            <w:r w:rsidRPr="00A0513E">
              <w:t xml:space="preserve"> descriptors or rules through to deliberate fraud.</w:t>
            </w:r>
          </w:p>
        </w:tc>
      </w:tr>
      <w:tr w:rsidR="00CA7016" w:rsidRPr="00FC1976" w14:paraId="1F8C6268" w14:textId="77777777" w:rsidTr="003C3F6A">
        <w:tc>
          <w:tcPr>
            <w:tcW w:w="2128" w:type="dxa"/>
          </w:tcPr>
          <w:p w14:paraId="44D4615C" w14:textId="77777777" w:rsidR="00CA7016" w:rsidRPr="00A0513E" w:rsidRDefault="00CA7016" w:rsidP="003C3F6A">
            <w:pPr>
              <w:pStyle w:val="02Tabletext"/>
            </w:pPr>
            <w:r w:rsidRPr="00A0513E">
              <w:t>MSAC</w:t>
            </w:r>
          </w:p>
        </w:tc>
        <w:tc>
          <w:tcPr>
            <w:tcW w:w="6888" w:type="dxa"/>
          </w:tcPr>
          <w:p w14:paraId="22A7EF19" w14:textId="77777777" w:rsidR="00CA7016" w:rsidRPr="00A0513E" w:rsidRDefault="00CA7016" w:rsidP="003C3F6A">
            <w:pPr>
              <w:pStyle w:val="02Tabletext"/>
            </w:pPr>
            <w:r w:rsidRPr="00A0513E">
              <w:t>Medical Services Advisory Committee</w:t>
            </w:r>
          </w:p>
        </w:tc>
      </w:tr>
      <w:tr w:rsidR="00CA7016" w:rsidRPr="00FC1976" w14:paraId="08E3ED76" w14:textId="77777777" w:rsidTr="003C3F6A">
        <w:tc>
          <w:tcPr>
            <w:tcW w:w="2128" w:type="dxa"/>
          </w:tcPr>
          <w:p w14:paraId="67A7FED4" w14:textId="77777777" w:rsidR="00CA7016" w:rsidRPr="00A0513E" w:rsidRDefault="00CA7016" w:rsidP="003C3F6A">
            <w:pPr>
              <w:pStyle w:val="02Tabletext"/>
            </w:pPr>
            <w:r w:rsidRPr="00B9100C">
              <w:t>New service</w:t>
            </w:r>
          </w:p>
        </w:tc>
        <w:tc>
          <w:tcPr>
            <w:tcW w:w="6888" w:type="dxa"/>
          </w:tcPr>
          <w:p w14:paraId="32E7FD0F" w14:textId="77777777" w:rsidR="00CA7016" w:rsidRPr="00A0513E" w:rsidRDefault="00CA7016" w:rsidP="003C3F6A">
            <w:pPr>
              <w:pStyle w:val="02Tabletext"/>
            </w:pPr>
            <w:r w:rsidRPr="00A0513E">
              <w:t>Describes when a new service has been recommended, with a new item number. In most circumstances these will need to go through MSAC. It is worth noting that implementation of the recommendation may result in more or fewer item numbers than specifically stated.</w:t>
            </w:r>
            <w:r>
              <w:t xml:space="preserve"> </w:t>
            </w:r>
          </w:p>
        </w:tc>
      </w:tr>
      <w:tr w:rsidR="00CA7016" w:rsidRPr="00FC1976" w14:paraId="6A89FEAD" w14:textId="77777777" w:rsidTr="003C3F6A">
        <w:tc>
          <w:tcPr>
            <w:tcW w:w="2128" w:type="dxa"/>
          </w:tcPr>
          <w:p w14:paraId="2B198682" w14:textId="77777777" w:rsidR="00CA7016" w:rsidRPr="00A0513E" w:rsidRDefault="00CA7016" w:rsidP="003C3F6A">
            <w:pPr>
              <w:pStyle w:val="02Tabletext"/>
            </w:pPr>
            <w:r w:rsidRPr="00A0513E">
              <w:t xml:space="preserve">No change or unchanged </w:t>
            </w:r>
          </w:p>
        </w:tc>
        <w:tc>
          <w:tcPr>
            <w:tcW w:w="6888" w:type="dxa"/>
          </w:tcPr>
          <w:p w14:paraId="0D49FD60" w14:textId="77777777" w:rsidR="00CA7016" w:rsidRPr="00A0513E" w:rsidRDefault="00CA7016" w:rsidP="003C3F6A">
            <w:pPr>
              <w:pStyle w:val="02Tabletext"/>
            </w:pPr>
            <w:r w:rsidRPr="00A0513E">
              <w:t xml:space="preserve">Describes when the services provided under these items will not be changed or affected by the recommendations. This does not rule out small changes in item </w:t>
            </w:r>
            <w:r w:rsidRPr="00A0513E">
              <w:lastRenderedPageBreak/>
              <w:t>descriptors (e.g. references to other items, which may have changed as a result of the MBS Review or prior reviews).</w:t>
            </w:r>
          </w:p>
        </w:tc>
      </w:tr>
      <w:tr w:rsidR="00CA7016" w:rsidRPr="00FC1976" w14:paraId="4BDCB688" w14:textId="77777777" w:rsidTr="003C3F6A">
        <w:tc>
          <w:tcPr>
            <w:tcW w:w="2128" w:type="dxa"/>
          </w:tcPr>
          <w:p w14:paraId="4AFC1288" w14:textId="77777777" w:rsidR="00CA7016" w:rsidRPr="00A0513E" w:rsidRDefault="00CA7016" w:rsidP="003C3F6A">
            <w:pPr>
              <w:pStyle w:val="02Tabletext"/>
            </w:pPr>
            <w:r w:rsidRPr="00A0513E">
              <w:lastRenderedPageBreak/>
              <w:t>Obsolete services/items</w:t>
            </w:r>
          </w:p>
        </w:tc>
        <w:tc>
          <w:tcPr>
            <w:tcW w:w="6888" w:type="dxa"/>
          </w:tcPr>
          <w:p w14:paraId="435FC386" w14:textId="77777777" w:rsidR="00CA7016" w:rsidRPr="00A0513E" w:rsidRDefault="00CA7016" w:rsidP="003C3F6A">
            <w:pPr>
              <w:pStyle w:val="02Tabletext"/>
            </w:pPr>
            <w:r w:rsidRPr="00A0513E">
              <w:t>Services that should no longer be provided, as they do not represent current clinical best practice and have been superseded by superior tests or procedures.</w:t>
            </w:r>
          </w:p>
        </w:tc>
      </w:tr>
      <w:tr w:rsidR="00CA7016" w:rsidRPr="00FC1976" w14:paraId="40CD56B8" w14:textId="77777777" w:rsidTr="003C3F6A">
        <w:tc>
          <w:tcPr>
            <w:tcW w:w="2128" w:type="dxa"/>
          </w:tcPr>
          <w:p w14:paraId="6D536ADA" w14:textId="77777777" w:rsidR="00CA7016" w:rsidRPr="00A0513E" w:rsidRDefault="00CA7016" w:rsidP="003C3F6A">
            <w:pPr>
              <w:pStyle w:val="02Tabletext"/>
            </w:pPr>
            <w:r w:rsidRPr="00A0513E">
              <w:t>PBS</w:t>
            </w:r>
          </w:p>
        </w:tc>
        <w:tc>
          <w:tcPr>
            <w:tcW w:w="6888" w:type="dxa"/>
          </w:tcPr>
          <w:p w14:paraId="3437192B" w14:textId="77777777" w:rsidR="00CA7016" w:rsidRPr="00A0513E" w:rsidRDefault="00CA7016" w:rsidP="003C3F6A">
            <w:pPr>
              <w:pStyle w:val="02Tabletext"/>
            </w:pPr>
            <w:r w:rsidRPr="00A0513E">
              <w:t>Pharmaceutical Benefits Scheme</w:t>
            </w:r>
          </w:p>
        </w:tc>
      </w:tr>
      <w:tr w:rsidR="00CA7016" w:rsidRPr="00FC1976" w14:paraId="6A0D938B" w14:textId="77777777" w:rsidTr="003C3F6A">
        <w:tc>
          <w:tcPr>
            <w:tcW w:w="2128" w:type="dxa"/>
            <w:vAlign w:val="center"/>
          </w:tcPr>
          <w:p w14:paraId="2084B15B" w14:textId="77777777" w:rsidR="00CA7016" w:rsidRPr="00A0513E" w:rsidRDefault="00CA7016" w:rsidP="003C3F6A">
            <w:pPr>
              <w:pStyle w:val="02Tabletext"/>
            </w:pPr>
            <w:r w:rsidRPr="00A0513E">
              <w:t>GPPCCC</w:t>
            </w:r>
          </w:p>
        </w:tc>
        <w:tc>
          <w:tcPr>
            <w:tcW w:w="6888" w:type="dxa"/>
            <w:vAlign w:val="center"/>
          </w:tcPr>
          <w:p w14:paraId="1D94A1BD" w14:textId="77777777" w:rsidR="00CA7016" w:rsidRPr="00A0513E" w:rsidRDefault="00CA7016" w:rsidP="003C3F6A">
            <w:pPr>
              <w:pStyle w:val="02Tabletext"/>
            </w:pPr>
            <w:r w:rsidRPr="00A0513E">
              <w:t>General Practice and Primary Care Clinical Committee</w:t>
            </w:r>
          </w:p>
        </w:tc>
      </w:tr>
      <w:tr w:rsidR="00CA7016" w:rsidRPr="00FC1976" w14:paraId="0305BFB2" w14:textId="77777777" w:rsidTr="003C3F6A">
        <w:tc>
          <w:tcPr>
            <w:tcW w:w="2128" w:type="dxa"/>
            <w:vAlign w:val="center"/>
          </w:tcPr>
          <w:p w14:paraId="25E22B11" w14:textId="77777777" w:rsidR="00CA7016" w:rsidRPr="00A0513E" w:rsidRDefault="00CA7016" w:rsidP="003C3F6A">
            <w:pPr>
              <w:pStyle w:val="02Tabletext"/>
            </w:pPr>
            <w:r>
              <w:t>RANZCOG</w:t>
            </w:r>
          </w:p>
        </w:tc>
        <w:tc>
          <w:tcPr>
            <w:tcW w:w="6888" w:type="dxa"/>
            <w:vAlign w:val="center"/>
          </w:tcPr>
          <w:p w14:paraId="709AF068" w14:textId="77777777" w:rsidR="00CA7016" w:rsidRPr="00A0513E" w:rsidRDefault="00CA7016" w:rsidP="003C3F6A">
            <w:pPr>
              <w:pStyle w:val="02Tabletext"/>
            </w:pPr>
            <w:r>
              <w:t>Royal Australian and New Zealand College of Obstetricians and Gynaecologists</w:t>
            </w:r>
          </w:p>
        </w:tc>
      </w:tr>
      <w:tr w:rsidR="00CA7016" w:rsidRPr="00FC1976" w14:paraId="3FE72962" w14:textId="77777777" w:rsidTr="003C3F6A">
        <w:tc>
          <w:tcPr>
            <w:tcW w:w="2128" w:type="dxa"/>
            <w:vAlign w:val="center"/>
          </w:tcPr>
          <w:p w14:paraId="0E97B129" w14:textId="77777777" w:rsidR="00CA7016" w:rsidRPr="00A0513E" w:rsidRDefault="00CA7016" w:rsidP="003C3F6A">
            <w:pPr>
              <w:pStyle w:val="02Tabletext"/>
            </w:pPr>
            <w:r w:rsidRPr="00A0513E">
              <w:t>RCPA</w:t>
            </w:r>
          </w:p>
        </w:tc>
        <w:tc>
          <w:tcPr>
            <w:tcW w:w="6888" w:type="dxa"/>
            <w:vAlign w:val="center"/>
          </w:tcPr>
          <w:p w14:paraId="6C742CCA" w14:textId="77777777" w:rsidR="00CA7016" w:rsidRPr="00A0513E" w:rsidRDefault="00CA7016" w:rsidP="003C3F6A">
            <w:pPr>
              <w:pStyle w:val="02Tabletext"/>
            </w:pPr>
            <w:r w:rsidRPr="00A0513E">
              <w:t>The Royal College of Pathologists of Australia</w:t>
            </w:r>
          </w:p>
        </w:tc>
      </w:tr>
      <w:tr w:rsidR="00CA7016" w:rsidRPr="00FC1976" w14:paraId="2E47820A" w14:textId="77777777" w:rsidTr="003C3F6A">
        <w:tc>
          <w:tcPr>
            <w:tcW w:w="2128" w:type="dxa"/>
          </w:tcPr>
          <w:p w14:paraId="222B72F0" w14:textId="77777777" w:rsidR="00CA7016" w:rsidRPr="00A0513E" w:rsidRDefault="00CA7016" w:rsidP="003C3F6A">
            <w:pPr>
              <w:pStyle w:val="02Tabletext"/>
            </w:pPr>
            <w:r w:rsidRPr="00A0513E">
              <w:t>Services average annual growth</w:t>
            </w:r>
          </w:p>
        </w:tc>
        <w:tc>
          <w:tcPr>
            <w:tcW w:w="6888" w:type="dxa"/>
          </w:tcPr>
          <w:p w14:paraId="77E52EF6" w14:textId="77777777" w:rsidR="00CA7016" w:rsidRPr="00A0513E" w:rsidRDefault="00CA7016" w:rsidP="003C3F6A">
            <w:pPr>
              <w:pStyle w:val="02Tabletext"/>
            </w:pPr>
            <w:r w:rsidRPr="00A0513E">
              <w:t>The average growth per year, over 5 years to FY 2014–15, in utilisation of services. Also known as the compound annual growth rate (CAGR).</w:t>
            </w:r>
          </w:p>
        </w:tc>
      </w:tr>
      <w:tr w:rsidR="00CA7016" w:rsidRPr="00FC1976" w14:paraId="0CB847E6" w14:textId="77777777" w:rsidTr="003C3F6A">
        <w:tc>
          <w:tcPr>
            <w:tcW w:w="2128" w:type="dxa"/>
          </w:tcPr>
          <w:p w14:paraId="0854780D" w14:textId="77777777" w:rsidR="00CA7016" w:rsidRPr="00A0513E" w:rsidRDefault="00CA7016" w:rsidP="003C3F6A">
            <w:pPr>
              <w:pStyle w:val="02Tabletext"/>
            </w:pPr>
            <w:r w:rsidRPr="00A0513E">
              <w:t>Split items</w:t>
            </w:r>
          </w:p>
        </w:tc>
        <w:tc>
          <w:tcPr>
            <w:tcW w:w="6888" w:type="dxa"/>
          </w:tcPr>
          <w:p w14:paraId="2B8E49F7" w14:textId="77777777" w:rsidR="00CA7016" w:rsidRPr="00A0513E" w:rsidRDefault="00CA7016" w:rsidP="003C3F6A">
            <w:pPr>
              <w:pStyle w:val="02Tabletext"/>
            </w:pPr>
            <w:r w:rsidRPr="00A0513E">
              <w:t>Where an item contains more than 1 test or more than 1 process, a recommendation to split the item means that that part of the test would become a separate item number.</w:t>
            </w:r>
          </w:p>
        </w:tc>
      </w:tr>
      <w:tr w:rsidR="00CA7016" w:rsidRPr="00FC1976" w14:paraId="22FFB045" w14:textId="77777777" w:rsidTr="003C3F6A">
        <w:tc>
          <w:tcPr>
            <w:tcW w:w="2128" w:type="dxa"/>
            <w:vAlign w:val="center"/>
          </w:tcPr>
          <w:p w14:paraId="14AAFAC1" w14:textId="77777777" w:rsidR="00CA7016" w:rsidRPr="00A0513E" w:rsidRDefault="00CA7016" w:rsidP="003C3F6A">
            <w:pPr>
              <w:pStyle w:val="02Tabletext"/>
            </w:pPr>
            <w:r w:rsidRPr="00A0513E">
              <w:t xml:space="preserve">The Committee </w:t>
            </w:r>
          </w:p>
        </w:tc>
        <w:tc>
          <w:tcPr>
            <w:tcW w:w="6888" w:type="dxa"/>
            <w:vAlign w:val="center"/>
          </w:tcPr>
          <w:p w14:paraId="7E627A6D" w14:textId="77777777" w:rsidR="00CA7016" w:rsidRPr="00A0513E" w:rsidRDefault="00CA7016" w:rsidP="003C3F6A">
            <w:pPr>
              <w:pStyle w:val="02Tabletext"/>
            </w:pPr>
            <w:r w:rsidRPr="00A0513E">
              <w:t xml:space="preserve">The Pathology Clinical Committee </w:t>
            </w:r>
          </w:p>
        </w:tc>
      </w:tr>
      <w:tr w:rsidR="00CA7016" w:rsidRPr="00FC1976" w14:paraId="1EEA1185" w14:textId="77777777" w:rsidTr="003C3F6A">
        <w:tc>
          <w:tcPr>
            <w:tcW w:w="2128" w:type="dxa"/>
            <w:vAlign w:val="center"/>
          </w:tcPr>
          <w:p w14:paraId="461A0688" w14:textId="77777777" w:rsidR="00CA7016" w:rsidRPr="00A0513E" w:rsidRDefault="00CA7016" w:rsidP="003C3F6A">
            <w:pPr>
              <w:pStyle w:val="02Tabletext"/>
            </w:pPr>
            <w:r w:rsidRPr="00A0513E">
              <w:t xml:space="preserve">The Taskforce </w:t>
            </w:r>
          </w:p>
        </w:tc>
        <w:tc>
          <w:tcPr>
            <w:tcW w:w="6888" w:type="dxa"/>
            <w:vAlign w:val="center"/>
          </w:tcPr>
          <w:p w14:paraId="6F796379" w14:textId="77777777" w:rsidR="00CA7016" w:rsidRPr="00A0513E" w:rsidRDefault="00CA7016" w:rsidP="003C3F6A">
            <w:pPr>
              <w:pStyle w:val="02Tabletext"/>
            </w:pPr>
            <w:r w:rsidRPr="00A0513E">
              <w:t xml:space="preserve">The MBS Review Taskforce </w:t>
            </w:r>
          </w:p>
        </w:tc>
      </w:tr>
      <w:tr w:rsidR="00CA7016" w:rsidRPr="00FC1976" w14:paraId="1B11369D" w14:textId="77777777" w:rsidTr="003C3F6A">
        <w:tc>
          <w:tcPr>
            <w:tcW w:w="2128" w:type="dxa"/>
          </w:tcPr>
          <w:p w14:paraId="14AED8D6" w14:textId="77777777" w:rsidR="00CA7016" w:rsidRPr="00A0513E" w:rsidRDefault="00CA7016" w:rsidP="003C3F6A">
            <w:pPr>
              <w:pStyle w:val="02Tabletext"/>
            </w:pPr>
            <w:r w:rsidRPr="00A0513E">
              <w:t>Total benefits</w:t>
            </w:r>
          </w:p>
        </w:tc>
        <w:tc>
          <w:tcPr>
            <w:tcW w:w="6888" w:type="dxa"/>
          </w:tcPr>
          <w:p w14:paraId="12C14217" w14:textId="77777777" w:rsidR="00CA7016" w:rsidRPr="00A0513E" w:rsidRDefault="00CA7016" w:rsidP="003C3F6A">
            <w:pPr>
              <w:pStyle w:val="02Tabletext"/>
            </w:pPr>
            <w:r w:rsidRPr="00A0513E">
              <w:t>Total benefits paid in 2014–15 unless otherwise specified.</w:t>
            </w:r>
          </w:p>
        </w:tc>
      </w:tr>
    </w:tbl>
    <w:bookmarkEnd w:id="2"/>
    <w:bookmarkEnd w:id="3"/>
    <w:bookmarkEnd w:id="4"/>
    <w:bookmarkEnd w:id="5"/>
    <w:p w14:paraId="7E68D8BB" w14:textId="77777777" w:rsidR="007547A9" w:rsidRPr="00CA7016" w:rsidRDefault="00CA7016" w:rsidP="00CA7016">
      <w:r>
        <w:rPr>
          <w:lang w:val="en-US" w:eastAsia="en-US"/>
        </w:rPr>
        <w:fldChar w:fldCharType="begin"/>
      </w:r>
      <w:r>
        <w:rPr>
          <w:lang w:val="en-US" w:eastAsia="en-US"/>
        </w:rPr>
        <w:instrText xml:space="preserve"> ADDIN </w:instrText>
      </w:r>
      <w:r>
        <w:rPr>
          <w:lang w:val="en-US" w:eastAsia="en-US"/>
        </w:rPr>
        <w:fldChar w:fldCharType="end"/>
      </w:r>
    </w:p>
    <w:sectPr w:rsidR="007547A9" w:rsidRPr="00CA7016" w:rsidSect="00151F01">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1189B" w14:textId="77777777" w:rsidR="00D45EA8" w:rsidRDefault="00D45EA8" w:rsidP="00082595">
      <w:r>
        <w:separator/>
      </w:r>
    </w:p>
    <w:p w14:paraId="6839BD29" w14:textId="77777777" w:rsidR="00D45EA8" w:rsidRDefault="00D45EA8" w:rsidP="00082595"/>
    <w:p w14:paraId="0A1AB958" w14:textId="77777777" w:rsidR="00D45EA8" w:rsidRDefault="00D45EA8"/>
  </w:endnote>
  <w:endnote w:type="continuationSeparator" w:id="0">
    <w:p w14:paraId="7E7F3FC9" w14:textId="77777777" w:rsidR="00D45EA8" w:rsidRDefault="00D45EA8" w:rsidP="00082595">
      <w:r>
        <w:continuationSeparator/>
      </w:r>
    </w:p>
    <w:p w14:paraId="72BF01EB" w14:textId="77777777" w:rsidR="00D45EA8" w:rsidRDefault="00D45EA8" w:rsidP="00082595"/>
    <w:p w14:paraId="24B996F9" w14:textId="77777777" w:rsidR="00D45EA8" w:rsidRDefault="00D45EA8"/>
  </w:endnote>
  <w:endnote w:type="continuationNotice" w:id="1">
    <w:p w14:paraId="2FB7D7AA" w14:textId="77777777" w:rsidR="00D45EA8" w:rsidRDefault="00D45EA8" w:rsidP="00082595"/>
    <w:p w14:paraId="3AD96B00" w14:textId="77777777" w:rsidR="00D45EA8" w:rsidRDefault="00D45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67D40" w14:textId="77777777" w:rsidR="00D45EA8" w:rsidRPr="00B00BD5" w:rsidRDefault="00D45EA8">
    <w:pPr>
      <w:pStyle w:val="Footer"/>
      <w:rPr>
        <w:lang w:val="en-AU"/>
      </w:rPr>
    </w:pPr>
    <w:r w:rsidRPr="00B00BD5">
      <w:t>Report from the Pathology Clinical Committee—Microbiology—</w:t>
    </w:r>
    <w:r>
      <w:t>October</w:t>
    </w:r>
    <w:r w:rsidRPr="00B00BD5">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EC6E5" w14:textId="77777777" w:rsidR="00D45EA8" w:rsidRPr="00B00BD5" w:rsidRDefault="00D45EA8" w:rsidP="00B00BD5">
    <w:pPr>
      <w:pStyle w:val="Footer"/>
    </w:pPr>
    <w:r w:rsidRPr="00B00BD5">
      <w:t>Report from the Pathology Clinical Committee—Microbiology—</w:t>
    </w:r>
    <w:r>
      <w:t>October</w:t>
    </w:r>
    <w:r w:rsidRPr="00B00BD5">
      <w:t xml:space="preserve">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33439" w14:textId="77777777" w:rsidR="00D45EA8" w:rsidRDefault="00D45EA8" w:rsidP="003C3F6A">
    <w:pPr>
      <w:pStyle w:val="Footer"/>
      <w:jc w:val="right"/>
    </w:pPr>
    <w:bookmarkStart w:id="456" w:name="_Hlk497312228"/>
    <w:r>
      <w:t>Report from the Pathology Clinical Committee—Microbiology—Draft 22 Dec 2017</w:t>
    </w:r>
    <w:bookmarkEnd w:id="456"/>
    <w:r>
      <w:tab/>
    </w:r>
    <w:sdt>
      <w:sdtPr>
        <w:id w:val="1137379952"/>
        <w:docPartObj>
          <w:docPartGallery w:val="Page Numbers (Bottom of Page)"/>
          <w:docPartUnique/>
        </w:docPartObj>
      </w:sdtPr>
      <w:sdtEndPr>
        <w:rPr>
          <w:noProof/>
        </w:rPr>
      </w:sdtEndPr>
      <w:sdtContent>
        <w:r>
          <w:fldChar w:fldCharType="begin"/>
        </w:r>
        <w:r>
          <w:instrText xml:space="preserve"> PAGE  \* Arabic  \* MERGEFORMAT </w:instrText>
        </w:r>
        <w:r>
          <w:fldChar w:fldCharType="separate"/>
        </w:r>
        <w:r w:rsidR="00727EF1">
          <w:rPr>
            <w:noProof/>
          </w:rPr>
          <w:t>8</w:t>
        </w:r>
        <w: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C7BBB" w14:textId="77777777" w:rsidR="00D45EA8" w:rsidRDefault="00D45EA8" w:rsidP="00082595">
    <w:pPr>
      <w:pStyle w:val="Footer"/>
    </w:pPr>
  </w:p>
  <w:p w14:paraId="2413ABD9" w14:textId="77777777" w:rsidR="00D45EA8" w:rsidRDefault="00D45EA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31C9" w14:textId="77777777" w:rsidR="00D45EA8" w:rsidRPr="006B6DBF" w:rsidRDefault="00D45EA8" w:rsidP="00082595">
    <w:pPr>
      <w:pStyle w:val="Footer"/>
    </w:pPr>
    <w:r w:rsidRPr="008460E3">
      <w:rPr>
        <w:color w:val="01653F"/>
      </w:rPr>
      <w:t xml:space="preserve">Report from </w:t>
    </w:r>
    <w:r>
      <w:rPr>
        <w:color w:val="01653F"/>
      </w:rPr>
      <w:t xml:space="preserve">Pathology </w:t>
    </w:r>
    <w:r w:rsidRPr="005D41CC">
      <w:rPr>
        <w:color w:val="01653F"/>
      </w:rPr>
      <w:t>Clinical Committee</w:t>
    </w:r>
    <w:r>
      <w:rPr>
        <w:color w:val="01653F"/>
      </w:rPr>
      <w:t>—Microbiology, Draft 22 Dec 2017</w:t>
    </w:r>
    <w:r w:rsidRPr="003B1222">
      <w:tab/>
    </w:r>
    <w:r w:rsidRPr="008460E3">
      <w:rPr>
        <w:color w:val="01653F"/>
      </w:rPr>
      <w:t xml:space="preserve">Page </w:t>
    </w:r>
    <w:r w:rsidRPr="008460E3">
      <w:rPr>
        <w:color w:val="01653F"/>
      </w:rPr>
      <w:fldChar w:fldCharType="begin"/>
    </w:r>
    <w:r w:rsidRPr="008460E3">
      <w:rPr>
        <w:color w:val="01653F"/>
      </w:rPr>
      <w:instrText xml:space="preserve"> PAGE   \* MERGEFORMAT </w:instrText>
    </w:r>
    <w:r w:rsidRPr="008460E3">
      <w:rPr>
        <w:color w:val="01653F"/>
      </w:rPr>
      <w:fldChar w:fldCharType="separate"/>
    </w:r>
    <w:r w:rsidR="00727EF1" w:rsidRPr="00727EF1">
      <w:rPr>
        <w:rFonts w:eastAsiaTheme="majorEastAsia"/>
        <w:noProof/>
        <w:color w:val="01653F"/>
      </w:rPr>
      <w:t>68</w:t>
    </w:r>
    <w:r w:rsidRPr="008460E3">
      <w:rPr>
        <w:color w:val="01653F"/>
      </w:rPr>
      <w:fldChar w:fldCharType="end"/>
    </w:r>
  </w:p>
  <w:p w14:paraId="353BAE08" w14:textId="77777777" w:rsidR="00D45EA8" w:rsidRDefault="00D45EA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0D3F8" w14:textId="77777777" w:rsidR="00D45EA8" w:rsidRDefault="00D45EA8" w:rsidP="0008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09EA3" w14:textId="77777777" w:rsidR="00D45EA8" w:rsidRDefault="00D45EA8" w:rsidP="00082595">
      <w:r>
        <w:separator/>
      </w:r>
    </w:p>
    <w:p w14:paraId="1F12B6A6" w14:textId="77777777" w:rsidR="00D45EA8" w:rsidRDefault="00D45EA8"/>
  </w:footnote>
  <w:footnote w:type="continuationSeparator" w:id="0">
    <w:p w14:paraId="0BE8B4E0" w14:textId="77777777" w:rsidR="00D45EA8" w:rsidRDefault="00D45EA8" w:rsidP="00082595">
      <w:r>
        <w:continuationSeparator/>
      </w:r>
    </w:p>
    <w:p w14:paraId="796FA6D3" w14:textId="77777777" w:rsidR="00D45EA8" w:rsidRDefault="00D45EA8" w:rsidP="00082595"/>
    <w:p w14:paraId="4B5FE85C" w14:textId="77777777" w:rsidR="00D45EA8" w:rsidRDefault="00D45EA8"/>
  </w:footnote>
  <w:footnote w:type="continuationNotice" w:id="1">
    <w:p w14:paraId="7BEA4240" w14:textId="77777777" w:rsidR="00D45EA8" w:rsidRDefault="00D45EA8" w:rsidP="00082595"/>
    <w:p w14:paraId="64FC919A" w14:textId="77777777" w:rsidR="00D45EA8" w:rsidRDefault="00D45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41DC5" w14:textId="77777777" w:rsidR="00D45EA8" w:rsidRDefault="00D45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08DF7" w14:textId="77777777" w:rsidR="00D45EA8" w:rsidRDefault="00D45EA8" w:rsidP="00082595">
    <w:pPr>
      <w:pStyle w:val="Header"/>
    </w:pPr>
  </w:p>
  <w:p w14:paraId="0862FEE5" w14:textId="77777777" w:rsidR="00D45EA8" w:rsidRDefault="00D45E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E5A0F" w14:textId="77777777" w:rsidR="00D45EA8" w:rsidRDefault="00D45EA8" w:rsidP="00082595">
    <w:pPr>
      <w:pStyle w:val="Header"/>
    </w:pPr>
  </w:p>
  <w:p w14:paraId="49E1BC61" w14:textId="77777777" w:rsidR="00D45EA8" w:rsidRDefault="00D45E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C961" w14:textId="77777777" w:rsidR="00D45EA8" w:rsidRDefault="00D45EA8" w:rsidP="0008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92C8B"/>
    <w:multiLevelType w:val="hybridMultilevel"/>
    <w:tmpl w:val="C5A606F0"/>
    <w:lvl w:ilvl="0" w:tplc="82708660">
      <w:start w:val="1"/>
      <w:numFmt w:val="lowerLetter"/>
      <w:pStyle w:val="06letter2"/>
      <w:lvlText w:val="%1."/>
      <w:lvlJc w:val="left"/>
      <w:pPr>
        <w:ind w:left="1077" w:hanging="360"/>
      </w:pPr>
      <w:rPr>
        <w:rFonts w:ascii="Arial" w:hAnsi="Arial" w:hint="default"/>
        <w:color w:val="auto"/>
        <w:sz w:val="2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23834"/>
    <w:multiLevelType w:val="hybridMultilevel"/>
    <w:tmpl w:val="0E82CDC2"/>
    <w:lvl w:ilvl="0" w:tplc="2A5EDBD6">
      <w:start w:val="1"/>
      <w:numFmt w:val="upperLetter"/>
      <w:pStyle w:val="AppendixStyle1"/>
      <w:lvlText w:val="Appendix %1 - "/>
      <w:lvlJc w:val="left"/>
      <w:pPr>
        <w:ind w:left="2204"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 w15:restartNumberingAfterBreak="0">
    <w:nsid w:val="1BD20464"/>
    <w:multiLevelType w:val="multilevel"/>
    <w:tmpl w:val="1E88B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622153"/>
    <w:multiLevelType w:val="hybridMultilevel"/>
    <w:tmpl w:val="35322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593547"/>
    <w:multiLevelType w:val="multilevel"/>
    <w:tmpl w:val="8DB4AC64"/>
    <w:styleLink w:val="Style2"/>
    <w:lvl w:ilvl="0">
      <w:start w:val="1"/>
      <w:numFmt w:val="bullet"/>
      <w:pStyle w:val="01squarebullet"/>
      <w:lvlText w:val="Δ"/>
      <w:lvlJc w:val="left"/>
      <w:pPr>
        <w:ind w:left="360" w:hanging="360"/>
      </w:pPr>
      <w:rPr>
        <w:rFonts w:ascii="Calibri" w:hAnsi="Calibri" w:cs="Times New Roman" w:hint="default"/>
        <w:color w:val="B66113"/>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Bullet3"/>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6"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EE2852"/>
    <w:multiLevelType w:val="hybridMultilevel"/>
    <w:tmpl w:val="3ABEEAE8"/>
    <w:lvl w:ilvl="0" w:tplc="18F00934">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C46651"/>
    <w:multiLevelType w:val="multilevel"/>
    <w:tmpl w:val="CE14783E"/>
    <w:lvl w:ilvl="0">
      <w:start w:val="1"/>
      <w:numFmt w:val="bullet"/>
      <w:lvlText w:val="Δ"/>
      <w:lvlJc w:val="left"/>
      <w:pPr>
        <w:ind w:left="360" w:hanging="360"/>
      </w:pPr>
      <w:rPr>
        <w:rFonts w:ascii="Calibri" w:hAnsi="Calibri" w:cs="Times New Roman" w:hint="default"/>
        <w:color w:val="B66113"/>
        <w:sz w:val="24"/>
      </w:rPr>
    </w:lvl>
    <w:lvl w:ilvl="1">
      <w:numFmt w:val="bullet"/>
      <w:lvlText w:val="̶"/>
      <w:lvlJc w:val="left"/>
      <w:pPr>
        <w:tabs>
          <w:tab w:val="num" w:pos="427"/>
        </w:tabs>
        <w:ind w:left="425" w:hanging="284"/>
      </w:pPr>
      <w:rPr>
        <w:rFonts w:ascii="Arial" w:eastAsia="Times New Roman" w:hAnsi="Arial" w:cs="Times New Roman" w:hint="default"/>
        <w:color w:val="auto"/>
        <w:sz w:val="24"/>
      </w:rPr>
    </w:lvl>
    <w:lvl w:ilvl="2">
      <w:start w:val="1"/>
      <w:numFmt w:val="bullet"/>
      <w:lvlText w:val="□"/>
      <w:lvlJc w:val="left"/>
      <w:pPr>
        <w:tabs>
          <w:tab w:val="num" w:pos="783"/>
        </w:tabs>
        <w:ind w:left="786" w:hanging="283"/>
      </w:pPr>
      <w:rPr>
        <w:rFonts w:ascii="Times New Roman" w:hAnsi="Times New Roman" w:cs="Times New Roman" w:hint="default"/>
        <w:color w:val="auto"/>
        <w:sz w:val="20"/>
      </w:rPr>
    </w:lvl>
    <w:lvl w:ilvl="3">
      <w:start w:val="1"/>
      <w:numFmt w:val="bullet"/>
      <w:lvlText w:val="-"/>
      <w:lvlJc w:val="left"/>
      <w:pPr>
        <w:tabs>
          <w:tab w:val="num" w:pos="1072"/>
        </w:tabs>
        <w:ind w:left="1070" w:hanging="284"/>
      </w:pPr>
      <w:rPr>
        <w:rFonts w:ascii="Times New Roman" w:hAnsi="Times New Roman" w:cs="Times New Roman" w:hint="default"/>
        <w:color w:val="002960"/>
        <w:sz w:val="24"/>
      </w:rPr>
    </w:lvl>
    <w:lvl w:ilvl="4">
      <w:start w:val="1"/>
      <w:numFmt w:val="lowerLetter"/>
      <w:lvlText w:val="(%5)"/>
      <w:lvlJc w:val="left"/>
      <w:pPr>
        <w:tabs>
          <w:tab w:val="num" w:pos="1736"/>
        </w:tabs>
        <w:ind w:left="1736" w:hanging="360"/>
      </w:pPr>
    </w:lvl>
    <w:lvl w:ilvl="5">
      <w:start w:val="1"/>
      <w:numFmt w:val="lowerRoman"/>
      <w:lvlText w:val="(%6)"/>
      <w:lvlJc w:val="left"/>
      <w:pPr>
        <w:tabs>
          <w:tab w:val="num" w:pos="2096"/>
        </w:tabs>
        <w:ind w:left="2096" w:hanging="360"/>
      </w:pPr>
    </w:lvl>
    <w:lvl w:ilvl="6">
      <w:start w:val="1"/>
      <w:numFmt w:val="decimal"/>
      <w:lvlText w:val="%7."/>
      <w:lvlJc w:val="left"/>
      <w:pPr>
        <w:tabs>
          <w:tab w:val="num" w:pos="2456"/>
        </w:tabs>
        <w:ind w:left="2456" w:hanging="360"/>
      </w:pPr>
    </w:lvl>
    <w:lvl w:ilvl="7">
      <w:start w:val="1"/>
      <w:numFmt w:val="lowerLetter"/>
      <w:lvlText w:val="%8."/>
      <w:lvlJc w:val="left"/>
      <w:pPr>
        <w:tabs>
          <w:tab w:val="num" w:pos="2816"/>
        </w:tabs>
        <w:ind w:left="2816" w:hanging="360"/>
      </w:pPr>
    </w:lvl>
    <w:lvl w:ilvl="8">
      <w:start w:val="1"/>
      <w:numFmt w:val="lowerRoman"/>
      <w:lvlText w:val="%9."/>
      <w:lvlJc w:val="left"/>
      <w:pPr>
        <w:tabs>
          <w:tab w:val="num" w:pos="3176"/>
        </w:tabs>
        <w:ind w:left="3176" w:hanging="360"/>
      </w:pPr>
    </w:lvl>
  </w:abstractNum>
  <w:abstractNum w:abstractNumId="9" w15:restartNumberingAfterBreak="0">
    <w:nsid w:val="32F11481"/>
    <w:multiLevelType w:val="multilevel"/>
    <w:tmpl w:val="D9D45670"/>
    <w:lvl w:ilvl="0">
      <w:start w:val="1"/>
      <w:numFmt w:val="decimal"/>
      <w:pStyle w:val="Heading1"/>
      <w:lvlText w:val="%1."/>
      <w:lvlJc w:val="left"/>
      <w:pPr>
        <w:ind w:left="432" w:hanging="432"/>
      </w:pPr>
      <w:rPr>
        <w:rFonts w:cs="Times New Roman"/>
        <w:b/>
        <w:bCs w:val="0"/>
        <w:i w:val="0"/>
        <w:iCs w:val="0"/>
        <w:caps w:val="0"/>
        <w:smallCaps w:val="0"/>
        <w:strike w:val="0"/>
        <w:dstrike w:val="0"/>
        <w:noProof w:val="0"/>
        <w:vanish w:val="0"/>
        <w:color w:val="01653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8EB4179"/>
    <w:multiLevelType w:val="hybridMultilevel"/>
    <w:tmpl w:val="EB744EE0"/>
    <w:lvl w:ilvl="0" w:tplc="45D438A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A106C"/>
    <w:multiLevelType w:val="hybridMultilevel"/>
    <w:tmpl w:val="540A5BDA"/>
    <w:lvl w:ilvl="0" w:tplc="87ECDA4E">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600540"/>
    <w:multiLevelType w:val="hybridMultilevel"/>
    <w:tmpl w:val="1BF86FF2"/>
    <w:lvl w:ilvl="0" w:tplc="04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14" w15:restartNumberingAfterBreak="0">
    <w:nsid w:val="468361C0"/>
    <w:multiLevelType w:val="hybridMultilevel"/>
    <w:tmpl w:val="82B003E8"/>
    <w:lvl w:ilvl="0" w:tplc="0C09000F">
      <w:start w:val="1"/>
      <w:numFmt w:val="decimal"/>
      <w:lvlText w:val="%1."/>
      <w:lvlJc w:val="left"/>
      <w:pPr>
        <w:ind w:left="360" w:hanging="360"/>
      </w:pPr>
    </w:lvl>
    <w:lvl w:ilvl="1" w:tplc="3350CAC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8F32F2"/>
    <w:multiLevelType w:val="hybridMultilevel"/>
    <w:tmpl w:val="BAD65864"/>
    <w:lvl w:ilvl="0" w:tplc="EC3C395E">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15:restartNumberingAfterBreak="0">
    <w:nsid w:val="57214AFB"/>
    <w:multiLevelType w:val="hybridMultilevel"/>
    <w:tmpl w:val="60482CAE"/>
    <w:lvl w:ilvl="0" w:tplc="8FC621DE">
      <w:start w:val="1"/>
      <w:numFmt w:val="bullet"/>
      <w:pStyle w:val="04shortdash"/>
      <w:lvlText w:val="-"/>
      <w:lvlJc w:val="left"/>
      <w:pPr>
        <w:ind w:left="5400" w:hanging="360"/>
      </w:pPr>
      <w:rPr>
        <w:rFonts w:ascii="Times New Roman" w:hAnsi="Times New Roman" w:cs="Times New Roman" w:hint="default"/>
        <w:color w:val="auto"/>
      </w:rPr>
    </w:lvl>
    <w:lvl w:ilvl="1" w:tplc="04090003">
      <w:start w:val="1"/>
      <w:numFmt w:val="bullet"/>
      <w:pStyle w:val="04shortdash"/>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9" w15:restartNumberingAfterBreak="0">
    <w:nsid w:val="5C574A11"/>
    <w:multiLevelType w:val="multilevel"/>
    <w:tmpl w:val="8DB4AC64"/>
    <w:numStyleLink w:val="Style2"/>
  </w:abstractNum>
  <w:abstractNum w:abstractNumId="20"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1"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3" w15:restartNumberingAfterBreak="0">
    <w:nsid w:val="6C0D07D8"/>
    <w:multiLevelType w:val="hybridMultilevel"/>
    <w:tmpl w:val="308A86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E92C0F"/>
    <w:multiLevelType w:val="multilevel"/>
    <w:tmpl w:val="CE14783E"/>
    <w:lvl w:ilvl="0">
      <w:start w:val="1"/>
      <w:numFmt w:val="bullet"/>
      <w:lvlText w:val="Δ"/>
      <w:lvlJc w:val="left"/>
      <w:pPr>
        <w:ind w:left="360" w:hanging="360"/>
      </w:pPr>
      <w:rPr>
        <w:rFonts w:ascii="Calibri" w:hAnsi="Calibri" w:cs="Times New Roman" w:hint="default"/>
        <w:color w:val="B66113"/>
        <w:sz w:val="24"/>
      </w:rPr>
    </w:lvl>
    <w:lvl w:ilvl="1">
      <w:numFmt w:val="bullet"/>
      <w:lvlText w:val="̶"/>
      <w:lvlJc w:val="left"/>
      <w:pPr>
        <w:tabs>
          <w:tab w:val="num" w:pos="427"/>
        </w:tabs>
        <w:ind w:left="425" w:hanging="284"/>
      </w:pPr>
      <w:rPr>
        <w:rFonts w:ascii="Arial" w:eastAsia="Times New Roman" w:hAnsi="Arial" w:cs="Times New Roman" w:hint="default"/>
        <w:color w:val="auto"/>
        <w:sz w:val="24"/>
      </w:rPr>
    </w:lvl>
    <w:lvl w:ilvl="2">
      <w:start w:val="1"/>
      <w:numFmt w:val="bullet"/>
      <w:lvlText w:val="□"/>
      <w:lvlJc w:val="left"/>
      <w:pPr>
        <w:tabs>
          <w:tab w:val="num" w:pos="783"/>
        </w:tabs>
        <w:ind w:left="786" w:hanging="283"/>
      </w:pPr>
      <w:rPr>
        <w:rFonts w:ascii="Times New Roman" w:hAnsi="Times New Roman" w:cs="Times New Roman" w:hint="default"/>
        <w:color w:val="auto"/>
        <w:sz w:val="20"/>
      </w:rPr>
    </w:lvl>
    <w:lvl w:ilvl="3">
      <w:start w:val="1"/>
      <w:numFmt w:val="bullet"/>
      <w:lvlText w:val="-"/>
      <w:lvlJc w:val="left"/>
      <w:pPr>
        <w:tabs>
          <w:tab w:val="num" w:pos="1072"/>
        </w:tabs>
        <w:ind w:left="1070" w:hanging="284"/>
      </w:pPr>
      <w:rPr>
        <w:rFonts w:ascii="Times New Roman" w:hAnsi="Times New Roman" w:cs="Times New Roman" w:hint="default"/>
        <w:color w:val="002960"/>
        <w:sz w:val="24"/>
      </w:rPr>
    </w:lvl>
    <w:lvl w:ilvl="4">
      <w:start w:val="1"/>
      <w:numFmt w:val="lowerLetter"/>
      <w:lvlText w:val="(%5)"/>
      <w:lvlJc w:val="left"/>
      <w:pPr>
        <w:tabs>
          <w:tab w:val="num" w:pos="1736"/>
        </w:tabs>
        <w:ind w:left="1736" w:hanging="360"/>
      </w:pPr>
    </w:lvl>
    <w:lvl w:ilvl="5">
      <w:start w:val="1"/>
      <w:numFmt w:val="lowerRoman"/>
      <w:lvlText w:val="(%6)"/>
      <w:lvlJc w:val="left"/>
      <w:pPr>
        <w:tabs>
          <w:tab w:val="num" w:pos="2096"/>
        </w:tabs>
        <w:ind w:left="2096" w:hanging="360"/>
      </w:pPr>
    </w:lvl>
    <w:lvl w:ilvl="6">
      <w:start w:val="1"/>
      <w:numFmt w:val="decimal"/>
      <w:lvlText w:val="%7."/>
      <w:lvlJc w:val="left"/>
      <w:pPr>
        <w:tabs>
          <w:tab w:val="num" w:pos="2456"/>
        </w:tabs>
        <w:ind w:left="2456" w:hanging="360"/>
      </w:pPr>
    </w:lvl>
    <w:lvl w:ilvl="7">
      <w:start w:val="1"/>
      <w:numFmt w:val="lowerLetter"/>
      <w:lvlText w:val="%8."/>
      <w:lvlJc w:val="left"/>
      <w:pPr>
        <w:tabs>
          <w:tab w:val="num" w:pos="2816"/>
        </w:tabs>
        <w:ind w:left="2816" w:hanging="360"/>
      </w:pPr>
    </w:lvl>
    <w:lvl w:ilvl="8">
      <w:start w:val="1"/>
      <w:numFmt w:val="lowerRoman"/>
      <w:lvlText w:val="%9."/>
      <w:lvlJc w:val="left"/>
      <w:pPr>
        <w:tabs>
          <w:tab w:val="num" w:pos="3176"/>
        </w:tabs>
        <w:ind w:left="3176" w:hanging="360"/>
      </w:pPr>
    </w:lvl>
  </w:abstractNum>
  <w:abstractNum w:abstractNumId="25"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6" w15:restartNumberingAfterBreak="0">
    <w:nsid w:val="7B8E557E"/>
    <w:multiLevelType w:val="multilevel"/>
    <w:tmpl w:val="B04AABB8"/>
    <w:lvl w:ilvl="0">
      <w:start w:val="1"/>
      <w:numFmt w:val="decimal"/>
      <w:pStyle w:val="05number1"/>
      <w:lvlText w:val="%1."/>
      <w:lvlJc w:val="left"/>
      <w:pPr>
        <w:ind w:left="360" w:hanging="360"/>
      </w:pPr>
      <w:rPr>
        <w:rFonts w:asciiTheme="minorHAnsi" w:hAnsiTheme="minorHAnsi" w:hint="default"/>
        <w:color w:val="auto"/>
        <w:sz w:val="22"/>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C3C6FDA"/>
    <w:multiLevelType w:val="hybridMultilevel"/>
    <w:tmpl w:val="8682A894"/>
    <w:lvl w:ilvl="0" w:tplc="E3BAFE8A">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start w:val="1"/>
      <w:numFmt w:val="bullet"/>
      <w:pStyle w:val="03opensquare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EDB59BA"/>
    <w:multiLevelType w:val="multilevel"/>
    <w:tmpl w:val="8DB4AC64"/>
    <w:numStyleLink w:val="Style2"/>
  </w:abstractNum>
  <w:num w:numId="1">
    <w:abstractNumId w:val="17"/>
  </w:num>
  <w:num w:numId="2">
    <w:abstractNumId w:val="9"/>
  </w:num>
  <w:num w:numId="3">
    <w:abstractNumId w:val="15"/>
  </w:num>
  <w:num w:numId="4">
    <w:abstractNumId w:val="6"/>
  </w:num>
  <w:num w:numId="5">
    <w:abstractNumId w:val="2"/>
  </w:num>
  <w:num w:numId="6">
    <w:abstractNumId w:val="19"/>
  </w:num>
  <w:num w:numId="7">
    <w:abstractNumId w:val="27"/>
  </w:num>
  <w:num w:numId="8">
    <w:abstractNumId w:val="18"/>
  </w:num>
  <w:num w:numId="9">
    <w:abstractNumId w:val="26"/>
  </w:num>
  <w:num w:numId="10">
    <w:abstractNumId w:val="0"/>
  </w:num>
  <w:num w:numId="11">
    <w:abstractNumId w:val="13"/>
  </w:num>
  <w:num w:numId="12">
    <w:abstractNumId w:val="25"/>
  </w:num>
  <w:num w:numId="13">
    <w:abstractNumId w:val="20"/>
  </w:num>
  <w:num w:numId="14">
    <w:abstractNumId w:val="16"/>
  </w:num>
  <w:num w:numId="15">
    <w:abstractNumId w:val="21"/>
  </w:num>
  <w:num w:numId="16">
    <w:abstractNumId w:val="5"/>
  </w:num>
  <w:num w:numId="17">
    <w:abstractNumId w:val="28"/>
  </w:num>
  <w:num w:numId="18">
    <w:abstractNumId w:val="1"/>
  </w:num>
  <w:num w:numId="19">
    <w:abstractNumId w:val="22"/>
  </w:num>
  <w:num w:numId="20">
    <w:abstractNumId w:val="14"/>
  </w:num>
  <w:num w:numId="21">
    <w:abstractNumId w:val="19"/>
    <w:lvlOverride w:ilvl="1">
      <w:lvl w:ilvl="1">
        <w:start w:val="1"/>
        <w:numFmt w:val="bullet"/>
        <w:pStyle w:val="02dash"/>
        <w:lvlText w:val="–"/>
        <w:lvlJc w:val="left"/>
        <w:pPr>
          <w:tabs>
            <w:tab w:val="num" w:pos="1421"/>
          </w:tabs>
          <w:ind w:left="1419" w:hanging="284"/>
        </w:pPr>
        <w:rPr>
          <w:rFonts w:ascii="Arial" w:hAnsi="Arial" w:hint="default"/>
          <w:color w:val="auto"/>
          <w:sz w:val="24"/>
        </w:rPr>
      </w:lvl>
    </w:lvlOverride>
  </w:num>
  <w:num w:numId="22">
    <w:abstractNumId w:val="12"/>
  </w:num>
  <w:num w:numId="23">
    <w:abstractNumId w:val="10"/>
  </w:num>
  <w:num w:numId="24">
    <w:abstractNumId w:val="4"/>
  </w:num>
  <w:num w:numId="25">
    <w:abstractNumId w:val="7"/>
  </w:num>
  <w:num w:numId="26">
    <w:abstractNumId w:val="28"/>
  </w:num>
  <w:num w:numId="27">
    <w:abstractNumId w:val="28"/>
  </w:num>
  <w:num w:numId="28">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1"/>
  </w:num>
  <w:num w:numId="33">
    <w:abstractNumId w:val="19"/>
  </w:num>
  <w:num w:numId="34">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ategoryHeadingStyles" w:val="&lt;section-heading-styles&gt;&lt;category-title alignment=&quot;1&quot;&gt;&lt;/category-title&gt;&lt;category-heading bold=&quot;1&quot;&gt;&lt;/category-heading&gt;&lt;/section-heading-styles&gt;"/>
    <w:docVar w:name="EN.DefaultReferenceGroups" w:val="&lt;reference-groups&gt;&lt;reference-group&gt;&lt;kind&gt;1&lt;/kind&gt;&lt;heading&gt;&lt;/heading&gt;&lt;alignment&gt;0&lt;/alignment&gt;&lt;records&gt;&lt;record&gt;&lt;key app=&quot;EN&quot; db-id=&quot;9rerxxddifw5xaewxvlxffw2vsfzrarx0vva&quot; timestamp=&quot;1506991270&quot;&gt;1&lt;/key&gt;&lt;/record&gt;&lt;record&gt;&lt;key app=&quot;EN&quot; db-id=&quot;9rerxxddifw5xaewxvlxffw2vsfzrarx0vva&quot; timestamp=&quot;1506991271&quot;&gt;2&lt;/key&gt;&lt;/record&gt;&lt;record&gt;&lt;key app=&quot;EN&quot; db-id=&quot;9rerxxddifw5xaewxvlxffw2vsfzrarx0vva&quot; timestamp=&quot;1506991282&quot;&gt;10&lt;/key&gt;&lt;/record&gt;&lt;record&gt;&lt;key app=&quot;EN&quot; db-id=&quot;9rerxxddifw5xaewxvlxffw2vsfzrarx0vva&quot; timestamp=&quot;1506991287&quot;&gt;13&lt;/key&gt;&lt;/record&gt;&lt;record&gt;&lt;key app=&quot;EN&quot; db-id=&quot;9rerxxddifw5xaewxvlxffw2vsfzrarx0vva&quot; timestamp=&quot;1506991290&quot;&gt;15&lt;/key&gt;&lt;/record&gt;&lt;record&gt;&lt;key app=&quot;EN&quot; db-id=&quot;9rerxxddifw5xaewxvlxffw2vsfzrarx0vva&quot; timestamp=&quot;1506991292&quot;&gt;16&lt;/key&gt;&lt;/record&gt;&lt;record&gt;&lt;key app=&quot;EN&quot; db-id=&quot;9rerxxddifw5xaewxvlxffw2vsfzrarx0vva&quot; timestamp=&quot;1506991296&quot;&gt;19&lt;/key&gt;&lt;/record&gt;&lt;record&gt;&lt;key app=&quot;EN&quot; db-id=&quot;9rerxxddifw5xaewxvlxffw2vsfzrarx0vva&quot; timestamp=&quot;1506991304&quot;&gt;25&lt;/key&gt;&lt;/record&gt;&lt;record&gt;&lt;key app=&quot;EN&quot; db-id=&quot;9rerxxddifw5xaewxvlxffw2vsfzrarx0vva&quot; timestamp=&quot;1506991305&quot;&gt;26&lt;/key&gt;&lt;/record&gt;&lt;record&gt;&lt;key app=&quot;EN&quot; db-id=&quot;9rerxxddifw5xaewxvlxffw2vsfzrarx0vva&quot; timestamp=&quot;1506991306&quot;&gt;27&lt;/key&gt;&lt;/record&gt;&lt;record&gt;&lt;key app=&quot;EN&quot; db-id=&quot;9rerxxddifw5xaewxvlxffw2vsfzrarx0vva&quot; timestamp=&quot;1506991308&quot;&gt;28&lt;/key&gt;&lt;/record&gt;&lt;record&gt;&lt;key app=&quot;EN&quot; db-id=&quot;9rerxxddifw5xaewxvlxffw2vsfzrarx0vva&quot; timestamp=&quot;1506991309&quot;&gt;29&lt;/key&gt;&lt;/record&gt;&lt;record&gt;&lt;key app=&quot;EN&quot; db-id=&quot;9rerxxddifw5xaewxvlxffw2vsfzrarx0vva&quot; timestamp=&quot;1506991272&quot;&gt;3&lt;/key&gt;&lt;/record&gt;&lt;record&gt;&lt;key app=&quot;EN&quot; db-id=&quot;9rerxxddifw5xaewxvlxffw2vsfzrarx0vva&quot; timestamp=&quot;1506991274&quot;&gt;4&lt;/key&gt;&lt;/record&gt;&lt;record&gt;&lt;key app=&quot;EN&quot; db-id=&quot;9rerxxddifw5xaewxvlxffw2vsfzrarx0vva&quot; timestamp=&quot;1506991277&quot;&gt;6&lt;/key&gt;&lt;/record&gt;&lt;record&gt;&lt;key app=&quot;EN&quot; db-id=&quot;9rerxxddifw5xaewxvlxffw2vsfzrarx0vva&quot; timestamp=&quot;1506991281&quot;&gt;9&lt;/key&gt;&lt;/record&gt;&lt;record&gt;&lt;key app=&quot;EN&quot; db-id=&quot;9rerxxddifw5xaewxvlxffw2vsfzrarx0vva&quot; timestamp=&quot;1506991286&quot;&gt;12&lt;/key&gt;&lt;/record&gt;&lt;record&gt;&lt;key app=&quot;EN&quot; db-id=&quot;9rerxxddifw5xaewxvlxffw2vsfzrarx0vva&quot; timestamp=&quot;1506991288&quot;&gt;14&lt;/key&gt;&lt;/record&gt;&lt;record&gt;&lt;key app=&quot;EN&quot; db-id=&quot;9rerxxddifw5xaewxvlxffw2vsfzrarx0vva&quot; timestamp=&quot;1506991293&quot;&gt;17&lt;/key&gt;&lt;/record&gt;&lt;record&gt;&lt;key app=&quot;EN&quot; db-id=&quot;9rerxxddifw5xaewxvlxffw2vsfzrarx0vva&quot; timestamp=&quot;1506991294&quot;&gt;18&lt;/key&gt;&lt;/record&gt;&lt;record&gt;&lt;key app=&quot;EN&quot; db-id=&quot;9rerxxddifw5xaewxvlxffw2vsfzrarx0vva&quot; timestamp=&quot;1506991302&quot;&gt;24&lt;/key&gt;&lt;/record&gt;&lt;record&gt;&lt;key app=&quot;EN&quot; db-id=&quot;9rerxxddifw5xaewxvlxffw2vsfzrarx0vva&quot; timestamp=&quot;1506991312&quot;&gt;31&lt;/key&gt;&lt;/record&gt;&lt;record&gt;&lt;key app=&quot;EN&quot; db-id=&quot;9rerxxddifw5xaewxvlxffw2vsfzrarx0vva&quot; timestamp=&quot;1506991313&quot;&gt;32&lt;/key&gt;&lt;/record&gt;&lt;/records&gt;&lt;/reference-group&gt;&lt;reference-group&gt;&lt;kind&gt;0&lt;/kind&gt;&lt;heading&gt;&lt;/heading&gt;&lt;alignment&gt;0&lt;/alignment&gt;&lt;records&gt;&lt;/records&gt;&lt;/reference-group&gt;&lt;/reference-groups&gt;"/>
    <w:docVar w:name="EN.Layout" w:val="&lt;ENLayout&gt;&lt;Style&gt;ISO 690 numeric citatio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erxxddifw5xaewxvlxffw2vsfzrarx0vva&quot;&gt;MWG final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record-ids&gt;&lt;/item&gt;&lt;/Libraries&gt;"/>
    <w:docVar w:name="IsNewDoc" w:val="No"/>
  </w:docVars>
  <w:rsids>
    <w:rsidRoot w:val="00093404"/>
    <w:rsid w:val="000005DB"/>
    <w:rsid w:val="000006E3"/>
    <w:rsid w:val="000007FA"/>
    <w:rsid w:val="00000940"/>
    <w:rsid w:val="00000A1D"/>
    <w:rsid w:val="00000C05"/>
    <w:rsid w:val="00000EF0"/>
    <w:rsid w:val="000012D6"/>
    <w:rsid w:val="0000133F"/>
    <w:rsid w:val="000017F9"/>
    <w:rsid w:val="0000185E"/>
    <w:rsid w:val="00001B0E"/>
    <w:rsid w:val="00001D4A"/>
    <w:rsid w:val="00001F7B"/>
    <w:rsid w:val="000021A9"/>
    <w:rsid w:val="00002477"/>
    <w:rsid w:val="00002678"/>
    <w:rsid w:val="00002E40"/>
    <w:rsid w:val="00002FBF"/>
    <w:rsid w:val="000037FE"/>
    <w:rsid w:val="000041AB"/>
    <w:rsid w:val="000044E9"/>
    <w:rsid w:val="00004920"/>
    <w:rsid w:val="00004CCA"/>
    <w:rsid w:val="0000566B"/>
    <w:rsid w:val="00005D04"/>
    <w:rsid w:val="00006020"/>
    <w:rsid w:val="000060B8"/>
    <w:rsid w:val="00006876"/>
    <w:rsid w:val="00006915"/>
    <w:rsid w:val="00006AE9"/>
    <w:rsid w:val="00007682"/>
    <w:rsid w:val="00007CFB"/>
    <w:rsid w:val="00007E33"/>
    <w:rsid w:val="000103C1"/>
    <w:rsid w:val="000107B3"/>
    <w:rsid w:val="0001084A"/>
    <w:rsid w:val="000126EA"/>
    <w:rsid w:val="0001353E"/>
    <w:rsid w:val="00013630"/>
    <w:rsid w:val="00013662"/>
    <w:rsid w:val="00013881"/>
    <w:rsid w:val="0001393A"/>
    <w:rsid w:val="000140C8"/>
    <w:rsid w:val="00014305"/>
    <w:rsid w:val="00014712"/>
    <w:rsid w:val="000149D2"/>
    <w:rsid w:val="000150D7"/>
    <w:rsid w:val="0001513D"/>
    <w:rsid w:val="000152FC"/>
    <w:rsid w:val="0001545C"/>
    <w:rsid w:val="000156E7"/>
    <w:rsid w:val="00015973"/>
    <w:rsid w:val="00015DF8"/>
    <w:rsid w:val="00015E01"/>
    <w:rsid w:val="00017509"/>
    <w:rsid w:val="00017D59"/>
    <w:rsid w:val="00020196"/>
    <w:rsid w:val="000202A1"/>
    <w:rsid w:val="000202DB"/>
    <w:rsid w:val="00020431"/>
    <w:rsid w:val="000205C1"/>
    <w:rsid w:val="000206BB"/>
    <w:rsid w:val="000208B5"/>
    <w:rsid w:val="00020ABB"/>
    <w:rsid w:val="00020D13"/>
    <w:rsid w:val="00021A9A"/>
    <w:rsid w:val="00021BEE"/>
    <w:rsid w:val="00022183"/>
    <w:rsid w:val="0002237C"/>
    <w:rsid w:val="00022E87"/>
    <w:rsid w:val="00022FC4"/>
    <w:rsid w:val="0002353D"/>
    <w:rsid w:val="00023693"/>
    <w:rsid w:val="00023948"/>
    <w:rsid w:val="00023C89"/>
    <w:rsid w:val="00023E5B"/>
    <w:rsid w:val="00024197"/>
    <w:rsid w:val="00024FB5"/>
    <w:rsid w:val="00024FE0"/>
    <w:rsid w:val="0002528B"/>
    <w:rsid w:val="000253EC"/>
    <w:rsid w:val="00025668"/>
    <w:rsid w:val="00026021"/>
    <w:rsid w:val="00026792"/>
    <w:rsid w:val="00026891"/>
    <w:rsid w:val="00026C4F"/>
    <w:rsid w:val="00026C6C"/>
    <w:rsid w:val="000278CF"/>
    <w:rsid w:val="00027D1B"/>
    <w:rsid w:val="0003004C"/>
    <w:rsid w:val="000300A8"/>
    <w:rsid w:val="000307DA"/>
    <w:rsid w:val="00030912"/>
    <w:rsid w:val="000309CE"/>
    <w:rsid w:val="00030DEA"/>
    <w:rsid w:val="00031095"/>
    <w:rsid w:val="000310C6"/>
    <w:rsid w:val="00031871"/>
    <w:rsid w:val="00031ADE"/>
    <w:rsid w:val="00031E84"/>
    <w:rsid w:val="00032108"/>
    <w:rsid w:val="000334A2"/>
    <w:rsid w:val="000337EF"/>
    <w:rsid w:val="00033DA4"/>
    <w:rsid w:val="00033EBC"/>
    <w:rsid w:val="00035797"/>
    <w:rsid w:val="00036133"/>
    <w:rsid w:val="000364A0"/>
    <w:rsid w:val="00036C0E"/>
    <w:rsid w:val="0003762C"/>
    <w:rsid w:val="00040418"/>
    <w:rsid w:val="00040EAC"/>
    <w:rsid w:val="0004124F"/>
    <w:rsid w:val="00041A9D"/>
    <w:rsid w:val="00041F35"/>
    <w:rsid w:val="0004246F"/>
    <w:rsid w:val="00042A17"/>
    <w:rsid w:val="00042A71"/>
    <w:rsid w:val="00042C25"/>
    <w:rsid w:val="00043742"/>
    <w:rsid w:val="0004432C"/>
    <w:rsid w:val="0004434C"/>
    <w:rsid w:val="0004465B"/>
    <w:rsid w:val="00044946"/>
    <w:rsid w:val="00044AA2"/>
    <w:rsid w:val="00044C42"/>
    <w:rsid w:val="00045066"/>
    <w:rsid w:val="000452BA"/>
    <w:rsid w:val="00045495"/>
    <w:rsid w:val="000459AD"/>
    <w:rsid w:val="00045A89"/>
    <w:rsid w:val="00045C6A"/>
    <w:rsid w:val="00045F6B"/>
    <w:rsid w:val="00045FE6"/>
    <w:rsid w:val="00046491"/>
    <w:rsid w:val="00046506"/>
    <w:rsid w:val="00046AB1"/>
    <w:rsid w:val="00046AF0"/>
    <w:rsid w:val="00046C9C"/>
    <w:rsid w:val="000470C6"/>
    <w:rsid w:val="00047145"/>
    <w:rsid w:val="00047F78"/>
    <w:rsid w:val="00047FB5"/>
    <w:rsid w:val="000501C9"/>
    <w:rsid w:val="00050514"/>
    <w:rsid w:val="000507BA"/>
    <w:rsid w:val="000508E2"/>
    <w:rsid w:val="00050ED2"/>
    <w:rsid w:val="00050EF0"/>
    <w:rsid w:val="00051583"/>
    <w:rsid w:val="0005181B"/>
    <w:rsid w:val="00051874"/>
    <w:rsid w:val="00051A50"/>
    <w:rsid w:val="00051D6D"/>
    <w:rsid w:val="00052A7E"/>
    <w:rsid w:val="000532A7"/>
    <w:rsid w:val="000537C0"/>
    <w:rsid w:val="00053800"/>
    <w:rsid w:val="00054036"/>
    <w:rsid w:val="00054178"/>
    <w:rsid w:val="00054D23"/>
    <w:rsid w:val="00054FC0"/>
    <w:rsid w:val="0005501C"/>
    <w:rsid w:val="0005522D"/>
    <w:rsid w:val="0005557F"/>
    <w:rsid w:val="00055766"/>
    <w:rsid w:val="000558E5"/>
    <w:rsid w:val="00055F39"/>
    <w:rsid w:val="00056426"/>
    <w:rsid w:val="00056545"/>
    <w:rsid w:val="00056CF7"/>
    <w:rsid w:val="00056D16"/>
    <w:rsid w:val="0005707D"/>
    <w:rsid w:val="000576DC"/>
    <w:rsid w:val="00057AB0"/>
    <w:rsid w:val="00057F0D"/>
    <w:rsid w:val="000605B2"/>
    <w:rsid w:val="000607B6"/>
    <w:rsid w:val="000607EE"/>
    <w:rsid w:val="000608B1"/>
    <w:rsid w:val="00060C76"/>
    <w:rsid w:val="000612B9"/>
    <w:rsid w:val="0006140B"/>
    <w:rsid w:val="00061567"/>
    <w:rsid w:val="00061600"/>
    <w:rsid w:val="0006183A"/>
    <w:rsid w:val="00061B23"/>
    <w:rsid w:val="00061B44"/>
    <w:rsid w:val="00062ADD"/>
    <w:rsid w:val="0006309D"/>
    <w:rsid w:val="00063587"/>
    <w:rsid w:val="00063B43"/>
    <w:rsid w:val="00064465"/>
    <w:rsid w:val="00064685"/>
    <w:rsid w:val="00064B26"/>
    <w:rsid w:val="00064B9C"/>
    <w:rsid w:val="000653C1"/>
    <w:rsid w:val="000655C1"/>
    <w:rsid w:val="00065ADB"/>
    <w:rsid w:val="00065CD7"/>
    <w:rsid w:val="000668FD"/>
    <w:rsid w:val="00066AF2"/>
    <w:rsid w:val="000671CD"/>
    <w:rsid w:val="00067BEC"/>
    <w:rsid w:val="00070210"/>
    <w:rsid w:val="00070239"/>
    <w:rsid w:val="000703E8"/>
    <w:rsid w:val="000703EC"/>
    <w:rsid w:val="00070689"/>
    <w:rsid w:val="000707D3"/>
    <w:rsid w:val="00070935"/>
    <w:rsid w:val="00070CD8"/>
    <w:rsid w:val="0007194A"/>
    <w:rsid w:val="00071EB7"/>
    <w:rsid w:val="0007261D"/>
    <w:rsid w:val="00072697"/>
    <w:rsid w:val="000728DD"/>
    <w:rsid w:val="00072B98"/>
    <w:rsid w:val="00072D68"/>
    <w:rsid w:val="00072F16"/>
    <w:rsid w:val="000733AA"/>
    <w:rsid w:val="00073627"/>
    <w:rsid w:val="00073660"/>
    <w:rsid w:val="00073A98"/>
    <w:rsid w:val="00073B40"/>
    <w:rsid w:val="00074357"/>
    <w:rsid w:val="00074411"/>
    <w:rsid w:val="000744E0"/>
    <w:rsid w:val="00074911"/>
    <w:rsid w:val="00074C33"/>
    <w:rsid w:val="00074D44"/>
    <w:rsid w:val="0007506F"/>
    <w:rsid w:val="00075123"/>
    <w:rsid w:val="00075436"/>
    <w:rsid w:val="000761F0"/>
    <w:rsid w:val="0007623D"/>
    <w:rsid w:val="000765ED"/>
    <w:rsid w:val="00076717"/>
    <w:rsid w:val="000767D9"/>
    <w:rsid w:val="00076AB6"/>
    <w:rsid w:val="00076CD4"/>
    <w:rsid w:val="00076D08"/>
    <w:rsid w:val="00077225"/>
    <w:rsid w:val="00077D61"/>
    <w:rsid w:val="00080238"/>
    <w:rsid w:val="00081159"/>
    <w:rsid w:val="000812CF"/>
    <w:rsid w:val="00081320"/>
    <w:rsid w:val="00081875"/>
    <w:rsid w:val="00081F8E"/>
    <w:rsid w:val="00082595"/>
    <w:rsid w:val="00082F01"/>
    <w:rsid w:val="0008304E"/>
    <w:rsid w:val="000831B4"/>
    <w:rsid w:val="000831DB"/>
    <w:rsid w:val="000831FF"/>
    <w:rsid w:val="000838B7"/>
    <w:rsid w:val="00083E2A"/>
    <w:rsid w:val="00083F66"/>
    <w:rsid w:val="0008402E"/>
    <w:rsid w:val="0008446C"/>
    <w:rsid w:val="0008448B"/>
    <w:rsid w:val="000848EC"/>
    <w:rsid w:val="00084B53"/>
    <w:rsid w:val="00084F7A"/>
    <w:rsid w:val="00085AD3"/>
    <w:rsid w:val="00085E97"/>
    <w:rsid w:val="00086AFF"/>
    <w:rsid w:val="00086C40"/>
    <w:rsid w:val="00086E14"/>
    <w:rsid w:val="00086FD0"/>
    <w:rsid w:val="00087366"/>
    <w:rsid w:val="0008778F"/>
    <w:rsid w:val="00087975"/>
    <w:rsid w:val="00087D2B"/>
    <w:rsid w:val="00087FDA"/>
    <w:rsid w:val="00090196"/>
    <w:rsid w:val="000904C0"/>
    <w:rsid w:val="00090C6A"/>
    <w:rsid w:val="00090D74"/>
    <w:rsid w:val="0009183B"/>
    <w:rsid w:val="000919D8"/>
    <w:rsid w:val="00091FC4"/>
    <w:rsid w:val="000923EA"/>
    <w:rsid w:val="00092463"/>
    <w:rsid w:val="000926F0"/>
    <w:rsid w:val="00092723"/>
    <w:rsid w:val="0009284F"/>
    <w:rsid w:val="00092967"/>
    <w:rsid w:val="00092AB5"/>
    <w:rsid w:val="00092D2F"/>
    <w:rsid w:val="00093404"/>
    <w:rsid w:val="00093558"/>
    <w:rsid w:val="000938D4"/>
    <w:rsid w:val="00093FBE"/>
    <w:rsid w:val="00094411"/>
    <w:rsid w:val="0009479D"/>
    <w:rsid w:val="00094B40"/>
    <w:rsid w:val="00094F63"/>
    <w:rsid w:val="0009619B"/>
    <w:rsid w:val="000967E6"/>
    <w:rsid w:val="000968E7"/>
    <w:rsid w:val="00097A82"/>
    <w:rsid w:val="00097AC1"/>
    <w:rsid w:val="000A014A"/>
    <w:rsid w:val="000A0939"/>
    <w:rsid w:val="000A0AEC"/>
    <w:rsid w:val="000A0C01"/>
    <w:rsid w:val="000A10E3"/>
    <w:rsid w:val="000A126D"/>
    <w:rsid w:val="000A17D0"/>
    <w:rsid w:val="000A1C0D"/>
    <w:rsid w:val="000A1C35"/>
    <w:rsid w:val="000A1F85"/>
    <w:rsid w:val="000A226B"/>
    <w:rsid w:val="000A2C3B"/>
    <w:rsid w:val="000A3319"/>
    <w:rsid w:val="000A33A1"/>
    <w:rsid w:val="000A3729"/>
    <w:rsid w:val="000A38E3"/>
    <w:rsid w:val="000A3C55"/>
    <w:rsid w:val="000A3CE0"/>
    <w:rsid w:val="000A3E5E"/>
    <w:rsid w:val="000A3FBE"/>
    <w:rsid w:val="000A43FB"/>
    <w:rsid w:val="000A473B"/>
    <w:rsid w:val="000A4A72"/>
    <w:rsid w:val="000A4E64"/>
    <w:rsid w:val="000A4EF9"/>
    <w:rsid w:val="000A5376"/>
    <w:rsid w:val="000A5E11"/>
    <w:rsid w:val="000A69A9"/>
    <w:rsid w:val="000A69D4"/>
    <w:rsid w:val="000A6DFE"/>
    <w:rsid w:val="000A705B"/>
    <w:rsid w:val="000A751A"/>
    <w:rsid w:val="000A7921"/>
    <w:rsid w:val="000B0799"/>
    <w:rsid w:val="000B07AA"/>
    <w:rsid w:val="000B0F22"/>
    <w:rsid w:val="000B0FB3"/>
    <w:rsid w:val="000B167F"/>
    <w:rsid w:val="000B18B2"/>
    <w:rsid w:val="000B1908"/>
    <w:rsid w:val="000B197F"/>
    <w:rsid w:val="000B1F18"/>
    <w:rsid w:val="000B214E"/>
    <w:rsid w:val="000B2534"/>
    <w:rsid w:val="000B30AF"/>
    <w:rsid w:val="000B30DE"/>
    <w:rsid w:val="000B328A"/>
    <w:rsid w:val="000B34A7"/>
    <w:rsid w:val="000B3741"/>
    <w:rsid w:val="000B3A6B"/>
    <w:rsid w:val="000B3C1A"/>
    <w:rsid w:val="000B3D44"/>
    <w:rsid w:val="000B44A0"/>
    <w:rsid w:val="000B4557"/>
    <w:rsid w:val="000B4726"/>
    <w:rsid w:val="000B48DB"/>
    <w:rsid w:val="000B4B1F"/>
    <w:rsid w:val="000B4BA7"/>
    <w:rsid w:val="000B4CE8"/>
    <w:rsid w:val="000B4D14"/>
    <w:rsid w:val="000B4EB8"/>
    <w:rsid w:val="000B4FE7"/>
    <w:rsid w:val="000B5054"/>
    <w:rsid w:val="000B52C9"/>
    <w:rsid w:val="000B560B"/>
    <w:rsid w:val="000B5AEE"/>
    <w:rsid w:val="000B710A"/>
    <w:rsid w:val="000B7216"/>
    <w:rsid w:val="000B76F2"/>
    <w:rsid w:val="000B7A70"/>
    <w:rsid w:val="000C01B2"/>
    <w:rsid w:val="000C10BE"/>
    <w:rsid w:val="000C1841"/>
    <w:rsid w:val="000C1D2C"/>
    <w:rsid w:val="000C207C"/>
    <w:rsid w:val="000C2086"/>
    <w:rsid w:val="000C2699"/>
    <w:rsid w:val="000C2768"/>
    <w:rsid w:val="000C2E10"/>
    <w:rsid w:val="000C3060"/>
    <w:rsid w:val="000C32E6"/>
    <w:rsid w:val="000C366C"/>
    <w:rsid w:val="000C3E3F"/>
    <w:rsid w:val="000C4035"/>
    <w:rsid w:val="000C41CB"/>
    <w:rsid w:val="000C421B"/>
    <w:rsid w:val="000C498A"/>
    <w:rsid w:val="000C4AA4"/>
    <w:rsid w:val="000C5088"/>
    <w:rsid w:val="000C548F"/>
    <w:rsid w:val="000C54E8"/>
    <w:rsid w:val="000C55A3"/>
    <w:rsid w:val="000C565E"/>
    <w:rsid w:val="000C56FD"/>
    <w:rsid w:val="000C5EC0"/>
    <w:rsid w:val="000C5F18"/>
    <w:rsid w:val="000C674E"/>
    <w:rsid w:val="000C694D"/>
    <w:rsid w:val="000C6A0D"/>
    <w:rsid w:val="000C6C05"/>
    <w:rsid w:val="000C70F5"/>
    <w:rsid w:val="000C7588"/>
    <w:rsid w:val="000C7A37"/>
    <w:rsid w:val="000C7AE4"/>
    <w:rsid w:val="000D03DB"/>
    <w:rsid w:val="000D0765"/>
    <w:rsid w:val="000D0C10"/>
    <w:rsid w:val="000D0D99"/>
    <w:rsid w:val="000D0E46"/>
    <w:rsid w:val="000D0FA4"/>
    <w:rsid w:val="000D1176"/>
    <w:rsid w:val="000D14E3"/>
    <w:rsid w:val="000D15B7"/>
    <w:rsid w:val="000D15BA"/>
    <w:rsid w:val="000D171F"/>
    <w:rsid w:val="000D1905"/>
    <w:rsid w:val="000D1C08"/>
    <w:rsid w:val="000D1CF6"/>
    <w:rsid w:val="000D22C2"/>
    <w:rsid w:val="000D2368"/>
    <w:rsid w:val="000D2AED"/>
    <w:rsid w:val="000D2B65"/>
    <w:rsid w:val="000D2E58"/>
    <w:rsid w:val="000D2E96"/>
    <w:rsid w:val="000D2EBE"/>
    <w:rsid w:val="000D37B1"/>
    <w:rsid w:val="000D3DE1"/>
    <w:rsid w:val="000D41C0"/>
    <w:rsid w:val="000D429F"/>
    <w:rsid w:val="000D4345"/>
    <w:rsid w:val="000D4490"/>
    <w:rsid w:val="000D44D0"/>
    <w:rsid w:val="000D4B9F"/>
    <w:rsid w:val="000D5093"/>
    <w:rsid w:val="000D5132"/>
    <w:rsid w:val="000D532B"/>
    <w:rsid w:val="000D533F"/>
    <w:rsid w:val="000D5AEE"/>
    <w:rsid w:val="000D5E90"/>
    <w:rsid w:val="000D677B"/>
    <w:rsid w:val="000D67CB"/>
    <w:rsid w:val="000D68B2"/>
    <w:rsid w:val="000D69A0"/>
    <w:rsid w:val="000D6C33"/>
    <w:rsid w:val="000D6DC7"/>
    <w:rsid w:val="000D6E52"/>
    <w:rsid w:val="000D73DF"/>
    <w:rsid w:val="000D76D7"/>
    <w:rsid w:val="000D7716"/>
    <w:rsid w:val="000D7F4F"/>
    <w:rsid w:val="000E015A"/>
    <w:rsid w:val="000E03E7"/>
    <w:rsid w:val="000E0690"/>
    <w:rsid w:val="000E0950"/>
    <w:rsid w:val="000E0A8A"/>
    <w:rsid w:val="000E13E8"/>
    <w:rsid w:val="000E169C"/>
    <w:rsid w:val="000E1934"/>
    <w:rsid w:val="000E1B03"/>
    <w:rsid w:val="000E2BA4"/>
    <w:rsid w:val="000E2F64"/>
    <w:rsid w:val="000E2FF7"/>
    <w:rsid w:val="000E3A72"/>
    <w:rsid w:val="000E3BF6"/>
    <w:rsid w:val="000E3E29"/>
    <w:rsid w:val="000E4A79"/>
    <w:rsid w:val="000E5204"/>
    <w:rsid w:val="000E5530"/>
    <w:rsid w:val="000E55F2"/>
    <w:rsid w:val="000E6B0A"/>
    <w:rsid w:val="000E6B3D"/>
    <w:rsid w:val="000E6C56"/>
    <w:rsid w:val="000E70E3"/>
    <w:rsid w:val="000E74E5"/>
    <w:rsid w:val="000E7650"/>
    <w:rsid w:val="000E76BF"/>
    <w:rsid w:val="000E7727"/>
    <w:rsid w:val="000E7CEA"/>
    <w:rsid w:val="000F0295"/>
    <w:rsid w:val="000F08C5"/>
    <w:rsid w:val="000F08D3"/>
    <w:rsid w:val="000F0B7D"/>
    <w:rsid w:val="000F0F68"/>
    <w:rsid w:val="000F0F7F"/>
    <w:rsid w:val="000F2CDA"/>
    <w:rsid w:val="000F2E2B"/>
    <w:rsid w:val="000F2E9B"/>
    <w:rsid w:val="000F3F4F"/>
    <w:rsid w:val="000F402D"/>
    <w:rsid w:val="000F47BC"/>
    <w:rsid w:val="000F4B86"/>
    <w:rsid w:val="000F4DB6"/>
    <w:rsid w:val="000F5115"/>
    <w:rsid w:val="000F563D"/>
    <w:rsid w:val="000F6083"/>
    <w:rsid w:val="000F67AE"/>
    <w:rsid w:val="000F6B59"/>
    <w:rsid w:val="000F705F"/>
    <w:rsid w:val="000F70C4"/>
    <w:rsid w:val="000F72BF"/>
    <w:rsid w:val="000F7566"/>
    <w:rsid w:val="000F7884"/>
    <w:rsid w:val="000F7930"/>
    <w:rsid w:val="000F7D1F"/>
    <w:rsid w:val="000F7D4A"/>
    <w:rsid w:val="000F7D58"/>
    <w:rsid w:val="0010003C"/>
    <w:rsid w:val="00100084"/>
    <w:rsid w:val="0010008F"/>
    <w:rsid w:val="00100640"/>
    <w:rsid w:val="00101268"/>
    <w:rsid w:val="0010143D"/>
    <w:rsid w:val="00101452"/>
    <w:rsid w:val="00101880"/>
    <w:rsid w:val="00101948"/>
    <w:rsid w:val="00101C56"/>
    <w:rsid w:val="00101DE4"/>
    <w:rsid w:val="00101E86"/>
    <w:rsid w:val="001024BA"/>
    <w:rsid w:val="001025AD"/>
    <w:rsid w:val="001025D1"/>
    <w:rsid w:val="00102ED0"/>
    <w:rsid w:val="00103669"/>
    <w:rsid w:val="00103857"/>
    <w:rsid w:val="00103C7A"/>
    <w:rsid w:val="00103DA5"/>
    <w:rsid w:val="00104311"/>
    <w:rsid w:val="00104788"/>
    <w:rsid w:val="00104E61"/>
    <w:rsid w:val="00105210"/>
    <w:rsid w:val="0010529D"/>
    <w:rsid w:val="00105421"/>
    <w:rsid w:val="0010546E"/>
    <w:rsid w:val="00105662"/>
    <w:rsid w:val="00105901"/>
    <w:rsid w:val="00105EB2"/>
    <w:rsid w:val="00105F47"/>
    <w:rsid w:val="00106078"/>
    <w:rsid w:val="0010664E"/>
    <w:rsid w:val="00106795"/>
    <w:rsid w:val="00107911"/>
    <w:rsid w:val="00107B15"/>
    <w:rsid w:val="00107D72"/>
    <w:rsid w:val="0011017F"/>
    <w:rsid w:val="00110431"/>
    <w:rsid w:val="001104FA"/>
    <w:rsid w:val="00110604"/>
    <w:rsid w:val="00110FAC"/>
    <w:rsid w:val="0011158E"/>
    <w:rsid w:val="00111A0E"/>
    <w:rsid w:val="00111A50"/>
    <w:rsid w:val="001121E7"/>
    <w:rsid w:val="001122B9"/>
    <w:rsid w:val="001123EE"/>
    <w:rsid w:val="00112A74"/>
    <w:rsid w:val="00112C49"/>
    <w:rsid w:val="00113503"/>
    <w:rsid w:val="001136B9"/>
    <w:rsid w:val="00113725"/>
    <w:rsid w:val="00113907"/>
    <w:rsid w:val="00114065"/>
    <w:rsid w:val="001141BB"/>
    <w:rsid w:val="001143E8"/>
    <w:rsid w:val="0011492F"/>
    <w:rsid w:val="001149D4"/>
    <w:rsid w:val="00114BDF"/>
    <w:rsid w:val="00114E0F"/>
    <w:rsid w:val="00115189"/>
    <w:rsid w:val="001151D1"/>
    <w:rsid w:val="001156AF"/>
    <w:rsid w:val="001156CB"/>
    <w:rsid w:val="00115759"/>
    <w:rsid w:val="001159F8"/>
    <w:rsid w:val="00115A3B"/>
    <w:rsid w:val="00115F6A"/>
    <w:rsid w:val="00116136"/>
    <w:rsid w:val="001161C6"/>
    <w:rsid w:val="00116B83"/>
    <w:rsid w:val="00116BB6"/>
    <w:rsid w:val="001172B8"/>
    <w:rsid w:val="001173BE"/>
    <w:rsid w:val="001175F2"/>
    <w:rsid w:val="0011770F"/>
    <w:rsid w:val="001177E6"/>
    <w:rsid w:val="001201D4"/>
    <w:rsid w:val="00120318"/>
    <w:rsid w:val="00120389"/>
    <w:rsid w:val="001206D7"/>
    <w:rsid w:val="00120C04"/>
    <w:rsid w:val="00120E25"/>
    <w:rsid w:val="00121562"/>
    <w:rsid w:val="00121D6C"/>
    <w:rsid w:val="00122506"/>
    <w:rsid w:val="00122816"/>
    <w:rsid w:val="00122BFE"/>
    <w:rsid w:val="00122F79"/>
    <w:rsid w:val="00123147"/>
    <w:rsid w:val="001233B2"/>
    <w:rsid w:val="00123A42"/>
    <w:rsid w:val="00123CD3"/>
    <w:rsid w:val="00123D3B"/>
    <w:rsid w:val="00124A29"/>
    <w:rsid w:val="00124D7A"/>
    <w:rsid w:val="00124F32"/>
    <w:rsid w:val="00124FA4"/>
    <w:rsid w:val="0012562D"/>
    <w:rsid w:val="00126243"/>
    <w:rsid w:val="0012677A"/>
    <w:rsid w:val="00126E67"/>
    <w:rsid w:val="001274B2"/>
    <w:rsid w:val="00127A2B"/>
    <w:rsid w:val="00127BD9"/>
    <w:rsid w:val="0013057B"/>
    <w:rsid w:val="00130B82"/>
    <w:rsid w:val="00130E34"/>
    <w:rsid w:val="00130EAF"/>
    <w:rsid w:val="00130F9E"/>
    <w:rsid w:val="001313C0"/>
    <w:rsid w:val="00131466"/>
    <w:rsid w:val="00131578"/>
    <w:rsid w:val="0013182E"/>
    <w:rsid w:val="00131F22"/>
    <w:rsid w:val="0013258D"/>
    <w:rsid w:val="001329BB"/>
    <w:rsid w:val="00132EE7"/>
    <w:rsid w:val="00132F58"/>
    <w:rsid w:val="00133F28"/>
    <w:rsid w:val="00134245"/>
    <w:rsid w:val="0013441A"/>
    <w:rsid w:val="0013495B"/>
    <w:rsid w:val="001349F0"/>
    <w:rsid w:val="00134CA2"/>
    <w:rsid w:val="00135512"/>
    <w:rsid w:val="00135745"/>
    <w:rsid w:val="00135D05"/>
    <w:rsid w:val="00135D45"/>
    <w:rsid w:val="0013619D"/>
    <w:rsid w:val="0013638A"/>
    <w:rsid w:val="001363A2"/>
    <w:rsid w:val="001368D1"/>
    <w:rsid w:val="00136A96"/>
    <w:rsid w:val="00136B5C"/>
    <w:rsid w:val="00136C3E"/>
    <w:rsid w:val="00137B58"/>
    <w:rsid w:val="00137EE5"/>
    <w:rsid w:val="0014092E"/>
    <w:rsid w:val="00141FCB"/>
    <w:rsid w:val="00142C57"/>
    <w:rsid w:val="00142CBD"/>
    <w:rsid w:val="0014315F"/>
    <w:rsid w:val="0014321F"/>
    <w:rsid w:val="00143804"/>
    <w:rsid w:val="00143948"/>
    <w:rsid w:val="00144740"/>
    <w:rsid w:val="00144B85"/>
    <w:rsid w:val="00144CC3"/>
    <w:rsid w:val="00144EF7"/>
    <w:rsid w:val="00144F76"/>
    <w:rsid w:val="00145358"/>
    <w:rsid w:val="001453BB"/>
    <w:rsid w:val="00145A1D"/>
    <w:rsid w:val="00146161"/>
    <w:rsid w:val="001461F3"/>
    <w:rsid w:val="00146280"/>
    <w:rsid w:val="00146542"/>
    <w:rsid w:val="0014694A"/>
    <w:rsid w:val="00147069"/>
    <w:rsid w:val="001472FA"/>
    <w:rsid w:val="00147383"/>
    <w:rsid w:val="001504C7"/>
    <w:rsid w:val="0015052B"/>
    <w:rsid w:val="00150A04"/>
    <w:rsid w:val="00150C38"/>
    <w:rsid w:val="00150E67"/>
    <w:rsid w:val="00151193"/>
    <w:rsid w:val="00151381"/>
    <w:rsid w:val="0015141E"/>
    <w:rsid w:val="001514D7"/>
    <w:rsid w:val="00151894"/>
    <w:rsid w:val="001518DA"/>
    <w:rsid w:val="00151AAE"/>
    <w:rsid w:val="00151F01"/>
    <w:rsid w:val="00152AC0"/>
    <w:rsid w:val="00152C99"/>
    <w:rsid w:val="00153217"/>
    <w:rsid w:val="00153816"/>
    <w:rsid w:val="00153FB2"/>
    <w:rsid w:val="001545AB"/>
    <w:rsid w:val="001548FB"/>
    <w:rsid w:val="00154E3B"/>
    <w:rsid w:val="0015505E"/>
    <w:rsid w:val="00155994"/>
    <w:rsid w:val="00155B26"/>
    <w:rsid w:val="00155BCB"/>
    <w:rsid w:val="00155E28"/>
    <w:rsid w:val="00155FA6"/>
    <w:rsid w:val="001560F9"/>
    <w:rsid w:val="00156408"/>
    <w:rsid w:val="00156461"/>
    <w:rsid w:val="001565EA"/>
    <w:rsid w:val="00156CF3"/>
    <w:rsid w:val="00157102"/>
    <w:rsid w:val="00157337"/>
    <w:rsid w:val="0015789A"/>
    <w:rsid w:val="0015796C"/>
    <w:rsid w:val="00157E0E"/>
    <w:rsid w:val="00157F85"/>
    <w:rsid w:val="00157FDB"/>
    <w:rsid w:val="00160601"/>
    <w:rsid w:val="00160629"/>
    <w:rsid w:val="00160A9F"/>
    <w:rsid w:val="001614A0"/>
    <w:rsid w:val="001615B7"/>
    <w:rsid w:val="00161871"/>
    <w:rsid w:val="00161998"/>
    <w:rsid w:val="0016207A"/>
    <w:rsid w:val="0016215E"/>
    <w:rsid w:val="00162A08"/>
    <w:rsid w:val="00162D1B"/>
    <w:rsid w:val="001631CB"/>
    <w:rsid w:val="00163874"/>
    <w:rsid w:val="001639C0"/>
    <w:rsid w:val="00163AA0"/>
    <w:rsid w:val="001643F5"/>
    <w:rsid w:val="00164423"/>
    <w:rsid w:val="00164487"/>
    <w:rsid w:val="00165B7D"/>
    <w:rsid w:val="00166430"/>
    <w:rsid w:val="0016694A"/>
    <w:rsid w:val="00166CAF"/>
    <w:rsid w:val="00166D14"/>
    <w:rsid w:val="00166E01"/>
    <w:rsid w:val="00167047"/>
    <w:rsid w:val="00167150"/>
    <w:rsid w:val="001672F2"/>
    <w:rsid w:val="00167C2E"/>
    <w:rsid w:val="00167DB5"/>
    <w:rsid w:val="0017008C"/>
    <w:rsid w:val="0017017C"/>
    <w:rsid w:val="001704D2"/>
    <w:rsid w:val="00170685"/>
    <w:rsid w:val="0017098E"/>
    <w:rsid w:val="00170A19"/>
    <w:rsid w:val="00170C97"/>
    <w:rsid w:val="00170CD5"/>
    <w:rsid w:val="00171193"/>
    <w:rsid w:val="00171521"/>
    <w:rsid w:val="001717C6"/>
    <w:rsid w:val="00171891"/>
    <w:rsid w:val="00171B90"/>
    <w:rsid w:val="00171BA8"/>
    <w:rsid w:val="001720B7"/>
    <w:rsid w:val="0017217D"/>
    <w:rsid w:val="001722C6"/>
    <w:rsid w:val="0017270D"/>
    <w:rsid w:val="001727E3"/>
    <w:rsid w:val="001728D7"/>
    <w:rsid w:val="0017295C"/>
    <w:rsid w:val="00172A0E"/>
    <w:rsid w:val="001732EB"/>
    <w:rsid w:val="001742A7"/>
    <w:rsid w:val="00174510"/>
    <w:rsid w:val="00174822"/>
    <w:rsid w:val="00174940"/>
    <w:rsid w:val="00174BD7"/>
    <w:rsid w:val="00175189"/>
    <w:rsid w:val="001752AC"/>
    <w:rsid w:val="0017587C"/>
    <w:rsid w:val="00175D33"/>
    <w:rsid w:val="00176080"/>
    <w:rsid w:val="00176E59"/>
    <w:rsid w:val="00176F32"/>
    <w:rsid w:val="001772CE"/>
    <w:rsid w:val="0017769E"/>
    <w:rsid w:val="00177AF8"/>
    <w:rsid w:val="00177DE6"/>
    <w:rsid w:val="00177E5A"/>
    <w:rsid w:val="00177E9F"/>
    <w:rsid w:val="00177F8C"/>
    <w:rsid w:val="00180148"/>
    <w:rsid w:val="0018075E"/>
    <w:rsid w:val="0018076C"/>
    <w:rsid w:val="001807AC"/>
    <w:rsid w:val="001807ED"/>
    <w:rsid w:val="0018094C"/>
    <w:rsid w:val="00180959"/>
    <w:rsid w:val="00180F07"/>
    <w:rsid w:val="00181145"/>
    <w:rsid w:val="00181195"/>
    <w:rsid w:val="0018172B"/>
    <w:rsid w:val="001819E2"/>
    <w:rsid w:val="00181C5E"/>
    <w:rsid w:val="00181F0F"/>
    <w:rsid w:val="001820D2"/>
    <w:rsid w:val="00182146"/>
    <w:rsid w:val="00182A9B"/>
    <w:rsid w:val="001830DA"/>
    <w:rsid w:val="00183251"/>
    <w:rsid w:val="001833A6"/>
    <w:rsid w:val="0018384D"/>
    <w:rsid w:val="0018389D"/>
    <w:rsid w:val="00183FEE"/>
    <w:rsid w:val="001842C4"/>
    <w:rsid w:val="0018460D"/>
    <w:rsid w:val="00184957"/>
    <w:rsid w:val="001849D5"/>
    <w:rsid w:val="00184ECD"/>
    <w:rsid w:val="001855FC"/>
    <w:rsid w:val="00186065"/>
    <w:rsid w:val="00186CD0"/>
    <w:rsid w:val="00187050"/>
    <w:rsid w:val="001870BC"/>
    <w:rsid w:val="001871A8"/>
    <w:rsid w:val="00187333"/>
    <w:rsid w:val="00187A24"/>
    <w:rsid w:val="00187A9D"/>
    <w:rsid w:val="00187F36"/>
    <w:rsid w:val="00190347"/>
    <w:rsid w:val="001906B0"/>
    <w:rsid w:val="00190AA2"/>
    <w:rsid w:val="00191078"/>
    <w:rsid w:val="0019117E"/>
    <w:rsid w:val="00191B06"/>
    <w:rsid w:val="00191FF2"/>
    <w:rsid w:val="00192413"/>
    <w:rsid w:val="00192436"/>
    <w:rsid w:val="001925E8"/>
    <w:rsid w:val="00192C6B"/>
    <w:rsid w:val="00192F97"/>
    <w:rsid w:val="00193022"/>
    <w:rsid w:val="0019315B"/>
    <w:rsid w:val="0019316F"/>
    <w:rsid w:val="001937BB"/>
    <w:rsid w:val="001938B2"/>
    <w:rsid w:val="001938F8"/>
    <w:rsid w:val="00193946"/>
    <w:rsid w:val="00193B3D"/>
    <w:rsid w:val="00193D49"/>
    <w:rsid w:val="001949E4"/>
    <w:rsid w:val="001951F7"/>
    <w:rsid w:val="00195552"/>
    <w:rsid w:val="00195D92"/>
    <w:rsid w:val="00195E80"/>
    <w:rsid w:val="00196256"/>
    <w:rsid w:val="00196AA8"/>
    <w:rsid w:val="00196EF6"/>
    <w:rsid w:val="00196F67"/>
    <w:rsid w:val="00197190"/>
    <w:rsid w:val="00197283"/>
    <w:rsid w:val="0019747D"/>
    <w:rsid w:val="00197696"/>
    <w:rsid w:val="00197F7F"/>
    <w:rsid w:val="00197FA2"/>
    <w:rsid w:val="001A025B"/>
    <w:rsid w:val="001A05DF"/>
    <w:rsid w:val="001A0A2F"/>
    <w:rsid w:val="001A0BE6"/>
    <w:rsid w:val="001A10D5"/>
    <w:rsid w:val="001A1B51"/>
    <w:rsid w:val="001A1D53"/>
    <w:rsid w:val="001A2772"/>
    <w:rsid w:val="001A2F4C"/>
    <w:rsid w:val="001A3164"/>
    <w:rsid w:val="001A3D86"/>
    <w:rsid w:val="001A442C"/>
    <w:rsid w:val="001A5017"/>
    <w:rsid w:val="001A5297"/>
    <w:rsid w:val="001A5593"/>
    <w:rsid w:val="001A5639"/>
    <w:rsid w:val="001A5E3A"/>
    <w:rsid w:val="001A7234"/>
    <w:rsid w:val="001A758D"/>
    <w:rsid w:val="001A7644"/>
    <w:rsid w:val="001B0195"/>
    <w:rsid w:val="001B01E4"/>
    <w:rsid w:val="001B05C2"/>
    <w:rsid w:val="001B0EFC"/>
    <w:rsid w:val="001B191F"/>
    <w:rsid w:val="001B21CA"/>
    <w:rsid w:val="001B22F5"/>
    <w:rsid w:val="001B3443"/>
    <w:rsid w:val="001B3B27"/>
    <w:rsid w:val="001B3B53"/>
    <w:rsid w:val="001B44C3"/>
    <w:rsid w:val="001B4762"/>
    <w:rsid w:val="001B5198"/>
    <w:rsid w:val="001B53EB"/>
    <w:rsid w:val="001B5AF1"/>
    <w:rsid w:val="001B5B16"/>
    <w:rsid w:val="001B5EBB"/>
    <w:rsid w:val="001B5EEF"/>
    <w:rsid w:val="001B7A86"/>
    <w:rsid w:val="001B7D4C"/>
    <w:rsid w:val="001B7DCA"/>
    <w:rsid w:val="001B7F03"/>
    <w:rsid w:val="001C013C"/>
    <w:rsid w:val="001C032F"/>
    <w:rsid w:val="001C067D"/>
    <w:rsid w:val="001C0B83"/>
    <w:rsid w:val="001C0C8C"/>
    <w:rsid w:val="001C0F63"/>
    <w:rsid w:val="001C0FDE"/>
    <w:rsid w:val="001C14A7"/>
    <w:rsid w:val="001C152C"/>
    <w:rsid w:val="001C1650"/>
    <w:rsid w:val="001C172A"/>
    <w:rsid w:val="001C1BDF"/>
    <w:rsid w:val="001C2003"/>
    <w:rsid w:val="001C263F"/>
    <w:rsid w:val="001C26CD"/>
    <w:rsid w:val="001C2780"/>
    <w:rsid w:val="001C2AA1"/>
    <w:rsid w:val="001C2CAA"/>
    <w:rsid w:val="001C2D99"/>
    <w:rsid w:val="001C2EB2"/>
    <w:rsid w:val="001C2FE0"/>
    <w:rsid w:val="001C3753"/>
    <w:rsid w:val="001C37C5"/>
    <w:rsid w:val="001C37DA"/>
    <w:rsid w:val="001C3A7C"/>
    <w:rsid w:val="001C3ECE"/>
    <w:rsid w:val="001C3F3D"/>
    <w:rsid w:val="001C4151"/>
    <w:rsid w:val="001C41B9"/>
    <w:rsid w:val="001C5558"/>
    <w:rsid w:val="001C5746"/>
    <w:rsid w:val="001C588B"/>
    <w:rsid w:val="001C5E2F"/>
    <w:rsid w:val="001C610D"/>
    <w:rsid w:val="001C7142"/>
    <w:rsid w:val="001C751F"/>
    <w:rsid w:val="001C79A8"/>
    <w:rsid w:val="001C7A4A"/>
    <w:rsid w:val="001D01C2"/>
    <w:rsid w:val="001D088A"/>
    <w:rsid w:val="001D0A5A"/>
    <w:rsid w:val="001D0AE4"/>
    <w:rsid w:val="001D0AEF"/>
    <w:rsid w:val="001D0B68"/>
    <w:rsid w:val="001D0D1A"/>
    <w:rsid w:val="001D0EE7"/>
    <w:rsid w:val="001D17CD"/>
    <w:rsid w:val="001D1B84"/>
    <w:rsid w:val="001D209A"/>
    <w:rsid w:val="001D2260"/>
    <w:rsid w:val="001D226A"/>
    <w:rsid w:val="001D2AF1"/>
    <w:rsid w:val="001D2FB5"/>
    <w:rsid w:val="001D3587"/>
    <w:rsid w:val="001D3AA1"/>
    <w:rsid w:val="001D4B72"/>
    <w:rsid w:val="001D4DF3"/>
    <w:rsid w:val="001D4FE5"/>
    <w:rsid w:val="001D507E"/>
    <w:rsid w:val="001D593B"/>
    <w:rsid w:val="001D5A0B"/>
    <w:rsid w:val="001D5AB6"/>
    <w:rsid w:val="001D5E10"/>
    <w:rsid w:val="001D658B"/>
    <w:rsid w:val="001D674F"/>
    <w:rsid w:val="001D6B33"/>
    <w:rsid w:val="001D6C8F"/>
    <w:rsid w:val="001D73E5"/>
    <w:rsid w:val="001D7846"/>
    <w:rsid w:val="001D7927"/>
    <w:rsid w:val="001D7B25"/>
    <w:rsid w:val="001D7B44"/>
    <w:rsid w:val="001D7C3C"/>
    <w:rsid w:val="001D7C4E"/>
    <w:rsid w:val="001D7EB6"/>
    <w:rsid w:val="001D7F51"/>
    <w:rsid w:val="001E02C7"/>
    <w:rsid w:val="001E05FB"/>
    <w:rsid w:val="001E113F"/>
    <w:rsid w:val="001E1192"/>
    <w:rsid w:val="001E146E"/>
    <w:rsid w:val="001E1953"/>
    <w:rsid w:val="001E234B"/>
    <w:rsid w:val="001E2467"/>
    <w:rsid w:val="001E2602"/>
    <w:rsid w:val="001E26B2"/>
    <w:rsid w:val="001E2778"/>
    <w:rsid w:val="001E2A66"/>
    <w:rsid w:val="001E2D81"/>
    <w:rsid w:val="001E2E7D"/>
    <w:rsid w:val="001E2FA6"/>
    <w:rsid w:val="001E35DC"/>
    <w:rsid w:val="001E36E2"/>
    <w:rsid w:val="001E37EA"/>
    <w:rsid w:val="001E3B00"/>
    <w:rsid w:val="001E3E01"/>
    <w:rsid w:val="001E3E66"/>
    <w:rsid w:val="001E3E7E"/>
    <w:rsid w:val="001E4BE7"/>
    <w:rsid w:val="001E59A7"/>
    <w:rsid w:val="001E6031"/>
    <w:rsid w:val="001E604D"/>
    <w:rsid w:val="001E68C9"/>
    <w:rsid w:val="001E6EB8"/>
    <w:rsid w:val="001E72BC"/>
    <w:rsid w:val="001E7BD7"/>
    <w:rsid w:val="001E7E30"/>
    <w:rsid w:val="001F051E"/>
    <w:rsid w:val="001F0CAB"/>
    <w:rsid w:val="001F0F85"/>
    <w:rsid w:val="001F1810"/>
    <w:rsid w:val="001F1C87"/>
    <w:rsid w:val="001F1CF6"/>
    <w:rsid w:val="001F28B7"/>
    <w:rsid w:val="001F300E"/>
    <w:rsid w:val="001F38C2"/>
    <w:rsid w:val="001F45A9"/>
    <w:rsid w:val="001F4706"/>
    <w:rsid w:val="001F4B20"/>
    <w:rsid w:val="001F4DA1"/>
    <w:rsid w:val="001F4DF5"/>
    <w:rsid w:val="001F502B"/>
    <w:rsid w:val="001F50C1"/>
    <w:rsid w:val="001F50F6"/>
    <w:rsid w:val="001F6269"/>
    <w:rsid w:val="001F63BB"/>
    <w:rsid w:val="001F6667"/>
    <w:rsid w:val="001F69EE"/>
    <w:rsid w:val="001F7873"/>
    <w:rsid w:val="001F7B85"/>
    <w:rsid w:val="001F7D9B"/>
    <w:rsid w:val="0020083B"/>
    <w:rsid w:val="0020092B"/>
    <w:rsid w:val="002009CD"/>
    <w:rsid w:val="00200B49"/>
    <w:rsid w:val="00200F16"/>
    <w:rsid w:val="00201125"/>
    <w:rsid w:val="0020199E"/>
    <w:rsid w:val="0020200D"/>
    <w:rsid w:val="00202031"/>
    <w:rsid w:val="002020DE"/>
    <w:rsid w:val="00202185"/>
    <w:rsid w:val="0020226D"/>
    <w:rsid w:val="00202A4F"/>
    <w:rsid w:val="00202AD5"/>
    <w:rsid w:val="00202BC7"/>
    <w:rsid w:val="00202DB4"/>
    <w:rsid w:val="00202E80"/>
    <w:rsid w:val="002036D3"/>
    <w:rsid w:val="00203768"/>
    <w:rsid w:val="00203CF8"/>
    <w:rsid w:val="00203D14"/>
    <w:rsid w:val="0020403F"/>
    <w:rsid w:val="002041BF"/>
    <w:rsid w:val="00204229"/>
    <w:rsid w:val="00204534"/>
    <w:rsid w:val="002045E0"/>
    <w:rsid w:val="00204BEE"/>
    <w:rsid w:val="00204EAE"/>
    <w:rsid w:val="0020555B"/>
    <w:rsid w:val="00205BC3"/>
    <w:rsid w:val="00205C46"/>
    <w:rsid w:val="00205F91"/>
    <w:rsid w:val="002061EB"/>
    <w:rsid w:val="002067A8"/>
    <w:rsid w:val="00206B71"/>
    <w:rsid w:val="00206D05"/>
    <w:rsid w:val="00206F6E"/>
    <w:rsid w:val="00206FF1"/>
    <w:rsid w:val="00207450"/>
    <w:rsid w:val="002074CE"/>
    <w:rsid w:val="0020761E"/>
    <w:rsid w:val="0020796B"/>
    <w:rsid w:val="00207EFB"/>
    <w:rsid w:val="002105F7"/>
    <w:rsid w:val="0021097C"/>
    <w:rsid w:val="00210A7C"/>
    <w:rsid w:val="0021171A"/>
    <w:rsid w:val="00211A73"/>
    <w:rsid w:val="002121AB"/>
    <w:rsid w:val="00212250"/>
    <w:rsid w:val="002129AE"/>
    <w:rsid w:val="00212AF8"/>
    <w:rsid w:val="00212BB5"/>
    <w:rsid w:val="00212CF5"/>
    <w:rsid w:val="00212D41"/>
    <w:rsid w:val="002132C5"/>
    <w:rsid w:val="00213442"/>
    <w:rsid w:val="00213592"/>
    <w:rsid w:val="00213F0B"/>
    <w:rsid w:val="00214107"/>
    <w:rsid w:val="002144C0"/>
    <w:rsid w:val="002147B7"/>
    <w:rsid w:val="002155D3"/>
    <w:rsid w:val="00215607"/>
    <w:rsid w:val="00215C29"/>
    <w:rsid w:val="00215CDD"/>
    <w:rsid w:val="002161AE"/>
    <w:rsid w:val="002162A1"/>
    <w:rsid w:val="00216340"/>
    <w:rsid w:val="0021642A"/>
    <w:rsid w:val="0021682D"/>
    <w:rsid w:val="00216B4E"/>
    <w:rsid w:val="00216DD6"/>
    <w:rsid w:val="0021731C"/>
    <w:rsid w:val="002173D9"/>
    <w:rsid w:val="002175F5"/>
    <w:rsid w:val="0021772A"/>
    <w:rsid w:val="00217B1F"/>
    <w:rsid w:val="0022044A"/>
    <w:rsid w:val="00220CAE"/>
    <w:rsid w:val="00220D21"/>
    <w:rsid w:val="00221296"/>
    <w:rsid w:val="00221664"/>
    <w:rsid w:val="00221EE3"/>
    <w:rsid w:val="0022219C"/>
    <w:rsid w:val="00222609"/>
    <w:rsid w:val="002227B6"/>
    <w:rsid w:val="002229DB"/>
    <w:rsid w:val="00222AC8"/>
    <w:rsid w:val="00222D1D"/>
    <w:rsid w:val="00222E15"/>
    <w:rsid w:val="00222E2F"/>
    <w:rsid w:val="0022331C"/>
    <w:rsid w:val="0022386D"/>
    <w:rsid w:val="00223899"/>
    <w:rsid w:val="00223C8B"/>
    <w:rsid w:val="00224135"/>
    <w:rsid w:val="002243CB"/>
    <w:rsid w:val="002247F1"/>
    <w:rsid w:val="00224A1D"/>
    <w:rsid w:val="00224AC8"/>
    <w:rsid w:val="00225235"/>
    <w:rsid w:val="00225887"/>
    <w:rsid w:val="00225896"/>
    <w:rsid w:val="00226178"/>
    <w:rsid w:val="00226257"/>
    <w:rsid w:val="002262DB"/>
    <w:rsid w:val="002265AF"/>
    <w:rsid w:val="002267F4"/>
    <w:rsid w:val="00226CA6"/>
    <w:rsid w:val="0022729C"/>
    <w:rsid w:val="00230048"/>
    <w:rsid w:val="002301EA"/>
    <w:rsid w:val="00230619"/>
    <w:rsid w:val="002310DB"/>
    <w:rsid w:val="0023138C"/>
    <w:rsid w:val="00231B37"/>
    <w:rsid w:val="00231E16"/>
    <w:rsid w:val="00232F8E"/>
    <w:rsid w:val="002336C9"/>
    <w:rsid w:val="00233A55"/>
    <w:rsid w:val="00233F05"/>
    <w:rsid w:val="002348B7"/>
    <w:rsid w:val="00234A2C"/>
    <w:rsid w:val="00234A93"/>
    <w:rsid w:val="002351B4"/>
    <w:rsid w:val="002354DE"/>
    <w:rsid w:val="002355B4"/>
    <w:rsid w:val="00235840"/>
    <w:rsid w:val="00235975"/>
    <w:rsid w:val="00235DD0"/>
    <w:rsid w:val="00236BB7"/>
    <w:rsid w:val="00236FB1"/>
    <w:rsid w:val="00237403"/>
    <w:rsid w:val="00237606"/>
    <w:rsid w:val="002376D4"/>
    <w:rsid w:val="002378DB"/>
    <w:rsid w:val="00237BA5"/>
    <w:rsid w:val="00237ECB"/>
    <w:rsid w:val="00237EDF"/>
    <w:rsid w:val="00240099"/>
    <w:rsid w:val="002400C9"/>
    <w:rsid w:val="002406FB"/>
    <w:rsid w:val="002407CB"/>
    <w:rsid w:val="00240A81"/>
    <w:rsid w:val="00241429"/>
    <w:rsid w:val="00241D60"/>
    <w:rsid w:val="00241D98"/>
    <w:rsid w:val="00241E3C"/>
    <w:rsid w:val="00242398"/>
    <w:rsid w:val="002429D9"/>
    <w:rsid w:val="00242BA2"/>
    <w:rsid w:val="00242BA3"/>
    <w:rsid w:val="00242CDE"/>
    <w:rsid w:val="0024325A"/>
    <w:rsid w:val="00243438"/>
    <w:rsid w:val="00243A06"/>
    <w:rsid w:val="00243BE2"/>
    <w:rsid w:val="002441E7"/>
    <w:rsid w:val="0024432B"/>
    <w:rsid w:val="00244799"/>
    <w:rsid w:val="00244CFB"/>
    <w:rsid w:val="002451E7"/>
    <w:rsid w:val="002454FD"/>
    <w:rsid w:val="002455A2"/>
    <w:rsid w:val="00245933"/>
    <w:rsid w:val="00245C0E"/>
    <w:rsid w:val="0024629F"/>
    <w:rsid w:val="002467CB"/>
    <w:rsid w:val="00246B0E"/>
    <w:rsid w:val="0024713F"/>
    <w:rsid w:val="00247585"/>
    <w:rsid w:val="002475C5"/>
    <w:rsid w:val="002477A3"/>
    <w:rsid w:val="00247B17"/>
    <w:rsid w:val="00247FBB"/>
    <w:rsid w:val="00250279"/>
    <w:rsid w:val="00250524"/>
    <w:rsid w:val="002505A8"/>
    <w:rsid w:val="00250749"/>
    <w:rsid w:val="00250804"/>
    <w:rsid w:val="00250831"/>
    <w:rsid w:val="0025096F"/>
    <w:rsid w:val="00250E64"/>
    <w:rsid w:val="00250E9C"/>
    <w:rsid w:val="002513F9"/>
    <w:rsid w:val="00251931"/>
    <w:rsid w:val="00251B9C"/>
    <w:rsid w:val="00251DD5"/>
    <w:rsid w:val="00251EEE"/>
    <w:rsid w:val="00251FF0"/>
    <w:rsid w:val="0025278A"/>
    <w:rsid w:val="00252ACF"/>
    <w:rsid w:val="00252BBC"/>
    <w:rsid w:val="00252DFB"/>
    <w:rsid w:val="00253146"/>
    <w:rsid w:val="0025322B"/>
    <w:rsid w:val="00253414"/>
    <w:rsid w:val="0025342B"/>
    <w:rsid w:val="00253577"/>
    <w:rsid w:val="00253728"/>
    <w:rsid w:val="0025372F"/>
    <w:rsid w:val="00253780"/>
    <w:rsid w:val="00253C23"/>
    <w:rsid w:val="00253EE4"/>
    <w:rsid w:val="00253EE6"/>
    <w:rsid w:val="00254557"/>
    <w:rsid w:val="00254BE8"/>
    <w:rsid w:val="00254FB2"/>
    <w:rsid w:val="002552B6"/>
    <w:rsid w:val="002552E4"/>
    <w:rsid w:val="00255AD3"/>
    <w:rsid w:val="00255CBF"/>
    <w:rsid w:val="00255E89"/>
    <w:rsid w:val="00255F57"/>
    <w:rsid w:val="002569BB"/>
    <w:rsid w:val="002569F4"/>
    <w:rsid w:val="00256AEF"/>
    <w:rsid w:val="00256DE4"/>
    <w:rsid w:val="00256FEA"/>
    <w:rsid w:val="00257032"/>
    <w:rsid w:val="0025730A"/>
    <w:rsid w:val="0025740C"/>
    <w:rsid w:val="002575B0"/>
    <w:rsid w:val="002575CA"/>
    <w:rsid w:val="0025772B"/>
    <w:rsid w:val="00257C02"/>
    <w:rsid w:val="00257CB6"/>
    <w:rsid w:val="00257D79"/>
    <w:rsid w:val="00257DB3"/>
    <w:rsid w:val="0026010C"/>
    <w:rsid w:val="00260182"/>
    <w:rsid w:val="00261E61"/>
    <w:rsid w:val="00262127"/>
    <w:rsid w:val="002638F7"/>
    <w:rsid w:val="002640C0"/>
    <w:rsid w:val="00264359"/>
    <w:rsid w:val="00264364"/>
    <w:rsid w:val="002647E1"/>
    <w:rsid w:val="00264D67"/>
    <w:rsid w:val="00265446"/>
    <w:rsid w:val="0026545F"/>
    <w:rsid w:val="00265DC7"/>
    <w:rsid w:val="00266262"/>
    <w:rsid w:val="00266516"/>
    <w:rsid w:val="0026678E"/>
    <w:rsid w:val="00266968"/>
    <w:rsid w:val="0026797F"/>
    <w:rsid w:val="00267E18"/>
    <w:rsid w:val="002701BD"/>
    <w:rsid w:val="00270349"/>
    <w:rsid w:val="0027084B"/>
    <w:rsid w:val="00270866"/>
    <w:rsid w:val="002709A4"/>
    <w:rsid w:val="00270DA4"/>
    <w:rsid w:val="00270E97"/>
    <w:rsid w:val="00270F66"/>
    <w:rsid w:val="00271422"/>
    <w:rsid w:val="00271B85"/>
    <w:rsid w:val="00272500"/>
    <w:rsid w:val="00272695"/>
    <w:rsid w:val="00272707"/>
    <w:rsid w:val="00272C71"/>
    <w:rsid w:val="00273AAE"/>
    <w:rsid w:val="00273B42"/>
    <w:rsid w:val="002741EF"/>
    <w:rsid w:val="002742F3"/>
    <w:rsid w:val="0027474C"/>
    <w:rsid w:val="002747DE"/>
    <w:rsid w:val="002755AF"/>
    <w:rsid w:val="0027580A"/>
    <w:rsid w:val="002764A6"/>
    <w:rsid w:val="002768F1"/>
    <w:rsid w:val="00276A36"/>
    <w:rsid w:val="00277043"/>
    <w:rsid w:val="00277D46"/>
    <w:rsid w:val="00281508"/>
    <w:rsid w:val="0028172C"/>
    <w:rsid w:val="00281A36"/>
    <w:rsid w:val="00281AA7"/>
    <w:rsid w:val="00282D58"/>
    <w:rsid w:val="0028345C"/>
    <w:rsid w:val="0028432A"/>
    <w:rsid w:val="002843C6"/>
    <w:rsid w:val="00284E84"/>
    <w:rsid w:val="00285E03"/>
    <w:rsid w:val="002863FB"/>
    <w:rsid w:val="002866D5"/>
    <w:rsid w:val="00286B4C"/>
    <w:rsid w:val="00286DBC"/>
    <w:rsid w:val="00286E9F"/>
    <w:rsid w:val="00286F03"/>
    <w:rsid w:val="00287649"/>
    <w:rsid w:val="002878E6"/>
    <w:rsid w:val="00287F0D"/>
    <w:rsid w:val="002907A8"/>
    <w:rsid w:val="00290BF2"/>
    <w:rsid w:val="002911ED"/>
    <w:rsid w:val="00291680"/>
    <w:rsid w:val="00291A31"/>
    <w:rsid w:val="00291BA0"/>
    <w:rsid w:val="00291BD8"/>
    <w:rsid w:val="00291BF6"/>
    <w:rsid w:val="002923B0"/>
    <w:rsid w:val="002926AD"/>
    <w:rsid w:val="002926F0"/>
    <w:rsid w:val="00292C7A"/>
    <w:rsid w:val="0029368F"/>
    <w:rsid w:val="002937DA"/>
    <w:rsid w:val="00293C64"/>
    <w:rsid w:val="00294241"/>
    <w:rsid w:val="002945B4"/>
    <w:rsid w:val="00294895"/>
    <w:rsid w:val="00295167"/>
    <w:rsid w:val="00295954"/>
    <w:rsid w:val="00295AD2"/>
    <w:rsid w:val="00295AF0"/>
    <w:rsid w:val="00295B40"/>
    <w:rsid w:val="00295C3E"/>
    <w:rsid w:val="00296034"/>
    <w:rsid w:val="00296289"/>
    <w:rsid w:val="00296439"/>
    <w:rsid w:val="00296534"/>
    <w:rsid w:val="00296C96"/>
    <w:rsid w:val="00297A90"/>
    <w:rsid w:val="00297CD3"/>
    <w:rsid w:val="002A086B"/>
    <w:rsid w:val="002A0BF1"/>
    <w:rsid w:val="002A1292"/>
    <w:rsid w:val="002A1546"/>
    <w:rsid w:val="002A1756"/>
    <w:rsid w:val="002A191C"/>
    <w:rsid w:val="002A20A7"/>
    <w:rsid w:val="002A293E"/>
    <w:rsid w:val="002A30E1"/>
    <w:rsid w:val="002A3863"/>
    <w:rsid w:val="002A389E"/>
    <w:rsid w:val="002A3C45"/>
    <w:rsid w:val="002A438C"/>
    <w:rsid w:val="002A4577"/>
    <w:rsid w:val="002A53CD"/>
    <w:rsid w:val="002A5BCB"/>
    <w:rsid w:val="002A5C75"/>
    <w:rsid w:val="002A5E16"/>
    <w:rsid w:val="002A614A"/>
    <w:rsid w:val="002A62B0"/>
    <w:rsid w:val="002A7D0E"/>
    <w:rsid w:val="002B003D"/>
    <w:rsid w:val="002B03B0"/>
    <w:rsid w:val="002B0616"/>
    <w:rsid w:val="002B06DD"/>
    <w:rsid w:val="002B11A3"/>
    <w:rsid w:val="002B137D"/>
    <w:rsid w:val="002B158C"/>
    <w:rsid w:val="002B1911"/>
    <w:rsid w:val="002B1AE5"/>
    <w:rsid w:val="002B1D8A"/>
    <w:rsid w:val="002B2457"/>
    <w:rsid w:val="002B24BA"/>
    <w:rsid w:val="002B276D"/>
    <w:rsid w:val="002B2866"/>
    <w:rsid w:val="002B288A"/>
    <w:rsid w:val="002B2971"/>
    <w:rsid w:val="002B2A6C"/>
    <w:rsid w:val="002B2C08"/>
    <w:rsid w:val="002B2D5B"/>
    <w:rsid w:val="002B2E9C"/>
    <w:rsid w:val="002B3184"/>
    <w:rsid w:val="002B357B"/>
    <w:rsid w:val="002B35E8"/>
    <w:rsid w:val="002B3C3D"/>
    <w:rsid w:val="002B3C5D"/>
    <w:rsid w:val="002B3D62"/>
    <w:rsid w:val="002B3FAB"/>
    <w:rsid w:val="002B4370"/>
    <w:rsid w:val="002B462B"/>
    <w:rsid w:val="002B46ED"/>
    <w:rsid w:val="002B51FB"/>
    <w:rsid w:val="002B5522"/>
    <w:rsid w:val="002B5C09"/>
    <w:rsid w:val="002B5E78"/>
    <w:rsid w:val="002B5EDE"/>
    <w:rsid w:val="002B67AA"/>
    <w:rsid w:val="002B67DA"/>
    <w:rsid w:val="002B6AC6"/>
    <w:rsid w:val="002B7C6B"/>
    <w:rsid w:val="002C0E5E"/>
    <w:rsid w:val="002C18C1"/>
    <w:rsid w:val="002C1ADA"/>
    <w:rsid w:val="002C1E6B"/>
    <w:rsid w:val="002C25DF"/>
    <w:rsid w:val="002C2638"/>
    <w:rsid w:val="002C2805"/>
    <w:rsid w:val="002C2879"/>
    <w:rsid w:val="002C2A74"/>
    <w:rsid w:val="002C30D5"/>
    <w:rsid w:val="002C323E"/>
    <w:rsid w:val="002C3AA9"/>
    <w:rsid w:val="002C450D"/>
    <w:rsid w:val="002C4624"/>
    <w:rsid w:val="002C4900"/>
    <w:rsid w:val="002C4BDA"/>
    <w:rsid w:val="002C4DCE"/>
    <w:rsid w:val="002C4E80"/>
    <w:rsid w:val="002C5054"/>
    <w:rsid w:val="002C5616"/>
    <w:rsid w:val="002C5905"/>
    <w:rsid w:val="002C5916"/>
    <w:rsid w:val="002C5B4C"/>
    <w:rsid w:val="002C5CD9"/>
    <w:rsid w:val="002C604B"/>
    <w:rsid w:val="002C635C"/>
    <w:rsid w:val="002C63B6"/>
    <w:rsid w:val="002C6F9F"/>
    <w:rsid w:val="002C7C8F"/>
    <w:rsid w:val="002D0013"/>
    <w:rsid w:val="002D05EC"/>
    <w:rsid w:val="002D0BF2"/>
    <w:rsid w:val="002D1275"/>
    <w:rsid w:val="002D12B1"/>
    <w:rsid w:val="002D12ED"/>
    <w:rsid w:val="002D16D3"/>
    <w:rsid w:val="002D172E"/>
    <w:rsid w:val="002D19FB"/>
    <w:rsid w:val="002D1B90"/>
    <w:rsid w:val="002D1FF3"/>
    <w:rsid w:val="002D2021"/>
    <w:rsid w:val="002D2075"/>
    <w:rsid w:val="002D2F76"/>
    <w:rsid w:val="002D2FD2"/>
    <w:rsid w:val="002D3019"/>
    <w:rsid w:val="002D3243"/>
    <w:rsid w:val="002D35C0"/>
    <w:rsid w:val="002D3642"/>
    <w:rsid w:val="002D3A2B"/>
    <w:rsid w:val="002D4220"/>
    <w:rsid w:val="002D4395"/>
    <w:rsid w:val="002D458B"/>
    <w:rsid w:val="002D4906"/>
    <w:rsid w:val="002D5258"/>
    <w:rsid w:val="002D539F"/>
    <w:rsid w:val="002D554E"/>
    <w:rsid w:val="002D5AA5"/>
    <w:rsid w:val="002D5F62"/>
    <w:rsid w:val="002D60CE"/>
    <w:rsid w:val="002D6286"/>
    <w:rsid w:val="002D63AE"/>
    <w:rsid w:val="002D6B03"/>
    <w:rsid w:val="002D6FCA"/>
    <w:rsid w:val="002D72FF"/>
    <w:rsid w:val="002D7EDE"/>
    <w:rsid w:val="002E0927"/>
    <w:rsid w:val="002E1273"/>
    <w:rsid w:val="002E1306"/>
    <w:rsid w:val="002E1B06"/>
    <w:rsid w:val="002E2198"/>
    <w:rsid w:val="002E2233"/>
    <w:rsid w:val="002E28FD"/>
    <w:rsid w:val="002E2E01"/>
    <w:rsid w:val="002E2F45"/>
    <w:rsid w:val="002E3388"/>
    <w:rsid w:val="002E3398"/>
    <w:rsid w:val="002E372E"/>
    <w:rsid w:val="002E3F72"/>
    <w:rsid w:val="002E4168"/>
    <w:rsid w:val="002E4513"/>
    <w:rsid w:val="002E454D"/>
    <w:rsid w:val="002E531B"/>
    <w:rsid w:val="002E53BA"/>
    <w:rsid w:val="002E5508"/>
    <w:rsid w:val="002E5561"/>
    <w:rsid w:val="002E5CDA"/>
    <w:rsid w:val="002E5D17"/>
    <w:rsid w:val="002E5EDD"/>
    <w:rsid w:val="002E64D2"/>
    <w:rsid w:val="002E6B61"/>
    <w:rsid w:val="002E6C2C"/>
    <w:rsid w:val="002E6F57"/>
    <w:rsid w:val="002E73EE"/>
    <w:rsid w:val="002E74A9"/>
    <w:rsid w:val="002E79A1"/>
    <w:rsid w:val="002E7F34"/>
    <w:rsid w:val="002F0021"/>
    <w:rsid w:val="002F0CCD"/>
    <w:rsid w:val="002F158F"/>
    <w:rsid w:val="002F1747"/>
    <w:rsid w:val="002F1CA5"/>
    <w:rsid w:val="002F1D29"/>
    <w:rsid w:val="002F1E12"/>
    <w:rsid w:val="002F246F"/>
    <w:rsid w:val="002F24B5"/>
    <w:rsid w:val="002F25CF"/>
    <w:rsid w:val="002F264B"/>
    <w:rsid w:val="002F2A81"/>
    <w:rsid w:val="002F2AA0"/>
    <w:rsid w:val="002F300D"/>
    <w:rsid w:val="002F3A20"/>
    <w:rsid w:val="002F4265"/>
    <w:rsid w:val="002F43B8"/>
    <w:rsid w:val="002F54D3"/>
    <w:rsid w:val="002F5A7A"/>
    <w:rsid w:val="002F5BB4"/>
    <w:rsid w:val="002F5F27"/>
    <w:rsid w:val="002F67A0"/>
    <w:rsid w:val="002F6827"/>
    <w:rsid w:val="002F6B7C"/>
    <w:rsid w:val="002F6F23"/>
    <w:rsid w:val="002F702A"/>
    <w:rsid w:val="002F734A"/>
    <w:rsid w:val="002F7717"/>
    <w:rsid w:val="002F7B1C"/>
    <w:rsid w:val="003006F5"/>
    <w:rsid w:val="003008EB"/>
    <w:rsid w:val="0030116A"/>
    <w:rsid w:val="00301524"/>
    <w:rsid w:val="00301C06"/>
    <w:rsid w:val="00301CAE"/>
    <w:rsid w:val="00301CCF"/>
    <w:rsid w:val="00302B95"/>
    <w:rsid w:val="00302F55"/>
    <w:rsid w:val="0030361B"/>
    <w:rsid w:val="00303EDF"/>
    <w:rsid w:val="00304158"/>
    <w:rsid w:val="00304376"/>
    <w:rsid w:val="00304514"/>
    <w:rsid w:val="00304769"/>
    <w:rsid w:val="00304974"/>
    <w:rsid w:val="00304A10"/>
    <w:rsid w:val="00305457"/>
    <w:rsid w:val="0030562B"/>
    <w:rsid w:val="00305651"/>
    <w:rsid w:val="00305745"/>
    <w:rsid w:val="0030579C"/>
    <w:rsid w:val="00305F6B"/>
    <w:rsid w:val="00306697"/>
    <w:rsid w:val="003067E4"/>
    <w:rsid w:val="0030696F"/>
    <w:rsid w:val="00306AC2"/>
    <w:rsid w:val="00306CC9"/>
    <w:rsid w:val="00306D5B"/>
    <w:rsid w:val="00306EF2"/>
    <w:rsid w:val="00306FEE"/>
    <w:rsid w:val="003072CD"/>
    <w:rsid w:val="0030740B"/>
    <w:rsid w:val="0030786C"/>
    <w:rsid w:val="0030796F"/>
    <w:rsid w:val="00307B0B"/>
    <w:rsid w:val="00307B56"/>
    <w:rsid w:val="0031002A"/>
    <w:rsid w:val="0031021E"/>
    <w:rsid w:val="0031036B"/>
    <w:rsid w:val="00310945"/>
    <w:rsid w:val="00310BCE"/>
    <w:rsid w:val="00310DC6"/>
    <w:rsid w:val="00311AC9"/>
    <w:rsid w:val="003122C1"/>
    <w:rsid w:val="003124A4"/>
    <w:rsid w:val="003126DB"/>
    <w:rsid w:val="00312873"/>
    <w:rsid w:val="00312CA7"/>
    <w:rsid w:val="0031308D"/>
    <w:rsid w:val="003130BB"/>
    <w:rsid w:val="0031317F"/>
    <w:rsid w:val="003131D1"/>
    <w:rsid w:val="003136F2"/>
    <w:rsid w:val="00314258"/>
    <w:rsid w:val="00314F69"/>
    <w:rsid w:val="00315865"/>
    <w:rsid w:val="003159C9"/>
    <w:rsid w:val="00315B01"/>
    <w:rsid w:val="00316081"/>
    <w:rsid w:val="003162CF"/>
    <w:rsid w:val="003166B4"/>
    <w:rsid w:val="00316C74"/>
    <w:rsid w:val="00316FFE"/>
    <w:rsid w:val="003174CF"/>
    <w:rsid w:val="0031799A"/>
    <w:rsid w:val="00317AC9"/>
    <w:rsid w:val="0032056A"/>
    <w:rsid w:val="0032056B"/>
    <w:rsid w:val="0032076A"/>
    <w:rsid w:val="003215DF"/>
    <w:rsid w:val="003216B7"/>
    <w:rsid w:val="00321E01"/>
    <w:rsid w:val="0032221D"/>
    <w:rsid w:val="00322403"/>
    <w:rsid w:val="00322482"/>
    <w:rsid w:val="00322F7D"/>
    <w:rsid w:val="0032320C"/>
    <w:rsid w:val="00323267"/>
    <w:rsid w:val="00323AE8"/>
    <w:rsid w:val="00323B09"/>
    <w:rsid w:val="00324415"/>
    <w:rsid w:val="003246CB"/>
    <w:rsid w:val="0032471A"/>
    <w:rsid w:val="00324818"/>
    <w:rsid w:val="00324AA4"/>
    <w:rsid w:val="00324AC4"/>
    <w:rsid w:val="00324D37"/>
    <w:rsid w:val="003253A9"/>
    <w:rsid w:val="003254A5"/>
    <w:rsid w:val="0032559C"/>
    <w:rsid w:val="00325A53"/>
    <w:rsid w:val="00325C88"/>
    <w:rsid w:val="00326210"/>
    <w:rsid w:val="0032666B"/>
    <w:rsid w:val="003267A7"/>
    <w:rsid w:val="0032717F"/>
    <w:rsid w:val="0032742C"/>
    <w:rsid w:val="003275A5"/>
    <w:rsid w:val="003277A8"/>
    <w:rsid w:val="00327E58"/>
    <w:rsid w:val="003302A7"/>
    <w:rsid w:val="0033218F"/>
    <w:rsid w:val="0033224B"/>
    <w:rsid w:val="003328F0"/>
    <w:rsid w:val="0033299B"/>
    <w:rsid w:val="00332A99"/>
    <w:rsid w:val="00332E9E"/>
    <w:rsid w:val="00333A56"/>
    <w:rsid w:val="00334000"/>
    <w:rsid w:val="0033420E"/>
    <w:rsid w:val="00334550"/>
    <w:rsid w:val="0033471B"/>
    <w:rsid w:val="00334FFC"/>
    <w:rsid w:val="00335051"/>
    <w:rsid w:val="00335277"/>
    <w:rsid w:val="003362BA"/>
    <w:rsid w:val="00336386"/>
    <w:rsid w:val="00336563"/>
    <w:rsid w:val="00336996"/>
    <w:rsid w:val="00336BD9"/>
    <w:rsid w:val="00337817"/>
    <w:rsid w:val="0034005E"/>
    <w:rsid w:val="0034083E"/>
    <w:rsid w:val="00340BB4"/>
    <w:rsid w:val="00341948"/>
    <w:rsid w:val="003420BD"/>
    <w:rsid w:val="0034240E"/>
    <w:rsid w:val="00342BDD"/>
    <w:rsid w:val="00342D62"/>
    <w:rsid w:val="00342F35"/>
    <w:rsid w:val="00342F4B"/>
    <w:rsid w:val="00343D5C"/>
    <w:rsid w:val="00343F37"/>
    <w:rsid w:val="0034437F"/>
    <w:rsid w:val="003444D2"/>
    <w:rsid w:val="003446BE"/>
    <w:rsid w:val="00344975"/>
    <w:rsid w:val="00344A70"/>
    <w:rsid w:val="003457C0"/>
    <w:rsid w:val="00346060"/>
    <w:rsid w:val="003465F1"/>
    <w:rsid w:val="0034674B"/>
    <w:rsid w:val="003469A3"/>
    <w:rsid w:val="00346F24"/>
    <w:rsid w:val="00346FA0"/>
    <w:rsid w:val="00346FA4"/>
    <w:rsid w:val="003473D5"/>
    <w:rsid w:val="00347491"/>
    <w:rsid w:val="00347BA6"/>
    <w:rsid w:val="00347C4F"/>
    <w:rsid w:val="00347D50"/>
    <w:rsid w:val="00347F89"/>
    <w:rsid w:val="00347FA2"/>
    <w:rsid w:val="00350453"/>
    <w:rsid w:val="00350813"/>
    <w:rsid w:val="00350891"/>
    <w:rsid w:val="00350D59"/>
    <w:rsid w:val="00351109"/>
    <w:rsid w:val="00351217"/>
    <w:rsid w:val="0035187A"/>
    <w:rsid w:val="00351916"/>
    <w:rsid w:val="0035212D"/>
    <w:rsid w:val="00352872"/>
    <w:rsid w:val="00352999"/>
    <w:rsid w:val="003529B8"/>
    <w:rsid w:val="00352A55"/>
    <w:rsid w:val="0035317F"/>
    <w:rsid w:val="00353206"/>
    <w:rsid w:val="0035331E"/>
    <w:rsid w:val="00353DCB"/>
    <w:rsid w:val="00354755"/>
    <w:rsid w:val="003549AB"/>
    <w:rsid w:val="003549E1"/>
    <w:rsid w:val="00354AC7"/>
    <w:rsid w:val="0035501F"/>
    <w:rsid w:val="00355663"/>
    <w:rsid w:val="00355705"/>
    <w:rsid w:val="00355977"/>
    <w:rsid w:val="00355A13"/>
    <w:rsid w:val="00355AF5"/>
    <w:rsid w:val="00355BAB"/>
    <w:rsid w:val="00355D10"/>
    <w:rsid w:val="00355E4D"/>
    <w:rsid w:val="00355EB2"/>
    <w:rsid w:val="00355EBC"/>
    <w:rsid w:val="003562BD"/>
    <w:rsid w:val="00356EC8"/>
    <w:rsid w:val="00356FAF"/>
    <w:rsid w:val="00357085"/>
    <w:rsid w:val="003579CE"/>
    <w:rsid w:val="00357FE4"/>
    <w:rsid w:val="0036052D"/>
    <w:rsid w:val="003607B2"/>
    <w:rsid w:val="00360B7A"/>
    <w:rsid w:val="00360BDB"/>
    <w:rsid w:val="00360BF6"/>
    <w:rsid w:val="003610BB"/>
    <w:rsid w:val="00361E39"/>
    <w:rsid w:val="0036237D"/>
    <w:rsid w:val="00362687"/>
    <w:rsid w:val="003627A4"/>
    <w:rsid w:val="00362D8A"/>
    <w:rsid w:val="003631D5"/>
    <w:rsid w:val="00364411"/>
    <w:rsid w:val="00364BB7"/>
    <w:rsid w:val="00365487"/>
    <w:rsid w:val="00365A92"/>
    <w:rsid w:val="00365F3A"/>
    <w:rsid w:val="00365F7F"/>
    <w:rsid w:val="00366606"/>
    <w:rsid w:val="00366697"/>
    <w:rsid w:val="00366D0C"/>
    <w:rsid w:val="003678AE"/>
    <w:rsid w:val="00367D50"/>
    <w:rsid w:val="003703C9"/>
    <w:rsid w:val="0037062C"/>
    <w:rsid w:val="003706DF"/>
    <w:rsid w:val="00370DEF"/>
    <w:rsid w:val="003711BA"/>
    <w:rsid w:val="003711BF"/>
    <w:rsid w:val="00371560"/>
    <w:rsid w:val="00371573"/>
    <w:rsid w:val="0037183B"/>
    <w:rsid w:val="00371DD4"/>
    <w:rsid w:val="00371E38"/>
    <w:rsid w:val="003720F0"/>
    <w:rsid w:val="003723B2"/>
    <w:rsid w:val="00372460"/>
    <w:rsid w:val="003727F4"/>
    <w:rsid w:val="003728D0"/>
    <w:rsid w:val="00372A48"/>
    <w:rsid w:val="00372AED"/>
    <w:rsid w:val="00372AFE"/>
    <w:rsid w:val="00372BF0"/>
    <w:rsid w:val="00372CB3"/>
    <w:rsid w:val="00372E34"/>
    <w:rsid w:val="0037305C"/>
    <w:rsid w:val="00373476"/>
    <w:rsid w:val="00373E4B"/>
    <w:rsid w:val="003744D6"/>
    <w:rsid w:val="0037459C"/>
    <w:rsid w:val="00374D9F"/>
    <w:rsid w:val="00375688"/>
    <w:rsid w:val="0037592D"/>
    <w:rsid w:val="00375BAB"/>
    <w:rsid w:val="00377186"/>
    <w:rsid w:val="00377277"/>
    <w:rsid w:val="003802F0"/>
    <w:rsid w:val="00380443"/>
    <w:rsid w:val="00380966"/>
    <w:rsid w:val="00380E39"/>
    <w:rsid w:val="003812CD"/>
    <w:rsid w:val="0038151C"/>
    <w:rsid w:val="003815AE"/>
    <w:rsid w:val="003821FC"/>
    <w:rsid w:val="00382C96"/>
    <w:rsid w:val="00382CC5"/>
    <w:rsid w:val="00382FC2"/>
    <w:rsid w:val="00383202"/>
    <w:rsid w:val="00383590"/>
    <w:rsid w:val="003837AF"/>
    <w:rsid w:val="003847D3"/>
    <w:rsid w:val="0038491B"/>
    <w:rsid w:val="00384A6E"/>
    <w:rsid w:val="00384C23"/>
    <w:rsid w:val="003854A9"/>
    <w:rsid w:val="003856EA"/>
    <w:rsid w:val="00385953"/>
    <w:rsid w:val="00386155"/>
    <w:rsid w:val="00386480"/>
    <w:rsid w:val="00386942"/>
    <w:rsid w:val="00386D66"/>
    <w:rsid w:val="00387321"/>
    <w:rsid w:val="003877AB"/>
    <w:rsid w:val="0039008B"/>
    <w:rsid w:val="0039010D"/>
    <w:rsid w:val="00390242"/>
    <w:rsid w:val="00390750"/>
    <w:rsid w:val="00390A4C"/>
    <w:rsid w:val="00390BD4"/>
    <w:rsid w:val="00390C3D"/>
    <w:rsid w:val="00390F34"/>
    <w:rsid w:val="00391B78"/>
    <w:rsid w:val="00391B9B"/>
    <w:rsid w:val="00391EAA"/>
    <w:rsid w:val="003922A8"/>
    <w:rsid w:val="00392464"/>
    <w:rsid w:val="00392A02"/>
    <w:rsid w:val="00393123"/>
    <w:rsid w:val="003933DB"/>
    <w:rsid w:val="0039342A"/>
    <w:rsid w:val="003934F8"/>
    <w:rsid w:val="00393A1C"/>
    <w:rsid w:val="00393D14"/>
    <w:rsid w:val="003940C1"/>
    <w:rsid w:val="00394AE3"/>
    <w:rsid w:val="00394D35"/>
    <w:rsid w:val="00394EAE"/>
    <w:rsid w:val="00394F20"/>
    <w:rsid w:val="003954DF"/>
    <w:rsid w:val="003955A7"/>
    <w:rsid w:val="003955D7"/>
    <w:rsid w:val="0039568A"/>
    <w:rsid w:val="00395A26"/>
    <w:rsid w:val="00395CB6"/>
    <w:rsid w:val="00395D50"/>
    <w:rsid w:val="00395F78"/>
    <w:rsid w:val="00396B69"/>
    <w:rsid w:val="003970A7"/>
    <w:rsid w:val="00397141"/>
    <w:rsid w:val="00397D9D"/>
    <w:rsid w:val="003A0046"/>
    <w:rsid w:val="003A024C"/>
    <w:rsid w:val="003A031F"/>
    <w:rsid w:val="003A0C79"/>
    <w:rsid w:val="003A0D43"/>
    <w:rsid w:val="003A0EE7"/>
    <w:rsid w:val="003A0F85"/>
    <w:rsid w:val="003A1AED"/>
    <w:rsid w:val="003A1C01"/>
    <w:rsid w:val="003A2586"/>
    <w:rsid w:val="003A35A5"/>
    <w:rsid w:val="003A418B"/>
    <w:rsid w:val="003A438C"/>
    <w:rsid w:val="003A48EB"/>
    <w:rsid w:val="003A4C61"/>
    <w:rsid w:val="003A500A"/>
    <w:rsid w:val="003A54C4"/>
    <w:rsid w:val="003A5665"/>
    <w:rsid w:val="003A5728"/>
    <w:rsid w:val="003A5A46"/>
    <w:rsid w:val="003A5D54"/>
    <w:rsid w:val="003A5E28"/>
    <w:rsid w:val="003A6E1E"/>
    <w:rsid w:val="003A6E84"/>
    <w:rsid w:val="003A7C5B"/>
    <w:rsid w:val="003A7D3F"/>
    <w:rsid w:val="003B00FD"/>
    <w:rsid w:val="003B029A"/>
    <w:rsid w:val="003B033A"/>
    <w:rsid w:val="003B04C3"/>
    <w:rsid w:val="003B0AAD"/>
    <w:rsid w:val="003B0B47"/>
    <w:rsid w:val="003B0CEA"/>
    <w:rsid w:val="003B1590"/>
    <w:rsid w:val="003B15BA"/>
    <w:rsid w:val="003B23E5"/>
    <w:rsid w:val="003B23FD"/>
    <w:rsid w:val="003B25AE"/>
    <w:rsid w:val="003B2657"/>
    <w:rsid w:val="003B2972"/>
    <w:rsid w:val="003B2A3B"/>
    <w:rsid w:val="003B2C42"/>
    <w:rsid w:val="003B2E5C"/>
    <w:rsid w:val="003B30E4"/>
    <w:rsid w:val="003B31BB"/>
    <w:rsid w:val="003B367B"/>
    <w:rsid w:val="003B3B2D"/>
    <w:rsid w:val="003B3C7F"/>
    <w:rsid w:val="003B3CE9"/>
    <w:rsid w:val="003B3FB5"/>
    <w:rsid w:val="003B43BC"/>
    <w:rsid w:val="003B44E3"/>
    <w:rsid w:val="003B47EC"/>
    <w:rsid w:val="003B4838"/>
    <w:rsid w:val="003B497A"/>
    <w:rsid w:val="003B512C"/>
    <w:rsid w:val="003B54BC"/>
    <w:rsid w:val="003B5627"/>
    <w:rsid w:val="003B576A"/>
    <w:rsid w:val="003B59C4"/>
    <w:rsid w:val="003B5AC1"/>
    <w:rsid w:val="003B6012"/>
    <w:rsid w:val="003B60A7"/>
    <w:rsid w:val="003B675D"/>
    <w:rsid w:val="003B797C"/>
    <w:rsid w:val="003C0634"/>
    <w:rsid w:val="003C0856"/>
    <w:rsid w:val="003C0974"/>
    <w:rsid w:val="003C0A83"/>
    <w:rsid w:val="003C1644"/>
    <w:rsid w:val="003C1B32"/>
    <w:rsid w:val="003C1DD5"/>
    <w:rsid w:val="003C1E3D"/>
    <w:rsid w:val="003C24D9"/>
    <w:rsid w:val="003C257E"/>
    <w:rsid w:val="003C25D5"/>
    <w:rsid w:val="003C28DB"/>
    <w:rsid w:val="003C2A1B"/>
    <w:rsid w:val="003C2F8E"/>
    <w:rsid w:val="003C36FF"/>
    <w:rsid w:val="003C378C"/>
    <w:rsid w:val="003C3E2A"/>
    <w:rsid w:val="003C3F6A"/>
    <w:rsid w:val="003C502B"/>
    <w:rsid w:val="003C51B9"/>
    <w:rsid w:val="003C6180"/>
    <w:rsid w:val="003C681F"/>
    <w:rsid w:val="003C69AE"/>
    <w:rsid w:val="003C6EEF"/>
    <w:rsid w:val="003C729B"/>
    <w:rsid w:val="003C736D"/>
    <w:rsid w:val="003C7513"/>
    <w:rsid w:val="003C7C0B"/>
    <w:rsid w:val="003D0276"/>
    <w:rsid w:val="003D0AA3"/>
    <w:rsid w:val="003D0BA7"/>
    <w:rsid w:val="003D0D16"/>
    <w:rsid w:val="003D0D1C"/>
    <w:rsid w:val="003D1381"/>
    <w:rsid w:val="003D15F8"/>
    <w:rsid w:val="003D1693"/>
    <w:rsid w:val="003D1F57"/>
    <w:rsid w:val="003D2F8F"/>
    <w:rsid w:val="003D3218"/>
    <w:rsid w:val="003D3A98"/>
    <w:rsid w:val="003D3E15"/>
    <w:rsid w:val="003D417A"/>
    <w:rsid w:val="003D4306"/>
    <w:rsid w:val="003D43FB"/>
    <w:rsid w:val="003D451E"/>
    <w:rsid w:val="003D453E"/>
    <w:rsid w:val="003D49F0"/>
    <w:rsid w:val="003D4C82"/>
    <w:rsid w:val="003D53B7"/>
    <w:rsid w:val="003D5E45"/>
    <w:rsid w:val="003D5F62"/>
    <w:rsid w:val="003D616D"/>
    <w:rsid w:val="003D6171"/>
    <w:rsid w:val="003D64D2"/>
    <w:rsid w:val="003D6974"/>
    <w:rsid w:val="003D6BEE"/>
    <w:rsid w:val="003D72F9"/>
    <w:rsid w:val="003D739B"/>
    <w:rsid w:val="003D73F1"/>
    <w:rsid w:val="003E0F8B"/>
    <w:rsid w:val="003E1403"/>
    <w:rsid w:val="003E1A47"/>
    <w:rsid w:val="003E1B9F"/>
    <w:rsid w:val="003E21DE"/>
    <w:rsid w:val="003E2AFB"/>
    <w:rsid w:val="003E3189"/>
    <w:rsid w:val="003E34C2"/>
    <w:rsid w:val="003E34F9"/>
    <w:rsid w:val="003E36C5"/>
    <w:rsid w:val="003E39C7"/>
    <w:rsid w:val="003E3BEF"/>
    <w:rsid w:val="003E41B7"/>
    <w:rsid w:val="003E4622"/>
    <w:rsid w:val="003E4902"/>
    <w:rsid w:val="003E494C"/>
    <w:rsid w:val="003E4EDB"/>
    <w:rsid w:val="003E5288"/>
    <w:rsid w:val="003E5BCB"/>
    <w:rsid w:val="003E5C2A"/>
    <w:rsid w:val="003E63E6"/>
    <w:rsid w:val="003E642F"/>
    <w:rsid w:val="003E6B4C"/>
    <w:rsid w:val="003E76A2"/>
    <w:rsid w:val="003E7AB4"/>
    <w:rsid w:val="003E7ADD"/>
    <w:rsid w:val="003F03D0"/>
    <w:rsid w:val="003F06B0"/>
    <w:rsid w:val="003F09FF"/>
    <w:rsid w:val="003F1038"/>
    <w:rsid w:val="003F1667"/>
    <w:rsid w:val="003F19D4"/>
    <w:rsid w:val="003F1D70"/>
    <w:rsid w:val="003F1F10"/>
    <w:rsid w:val="003F1FBB"/>
    <w:rsid w:val="003F21C5"/>
    <w:rsid w:val="003F22F2"/>
    <w:rsid w:val="003F2371"/>
    <w:rsid w:val="003F2676"/>
    <w:rsid w:val="003F2A8D"/>
    <w:rsid w:val="003F2CD7"/>
    <w:rsid w:val="003F308D"/>
    <w:rsid w:val="003F35FA"/>
    <w:rsid w:val="003F3F88"/>
    <w:rsid w:val="003F40FC"/>
    <w:rsid w:val="003F41CA"/>
    <w:rsid w:val="003F4241"/>
    <w:rsid w:val="003F485A"/>
    <w:rsid w:val="003F4CF2"/>
    <w:rsid w:val="003F4E26"/>
    <w:rsid w:val="003F4ED4"/>
    <w:rsid w:val="003F4F2C"/>
    <w:rsid w:val="003F54E2"/>
    <w:rsid w:val="003F5919"/>
    <w:rsid w:val="003F6163"/>
    <w:rsid w:val="003F6464"/>
    <w:rsid w:val="003F659C"/>
    <w:rsid w:val="003F677B"/>
    <w:rsid w:val="003F67E6"/>
    <w:rsid w:val="003F6E62"/>
    <w:rsid w:val="003F777B"/>
    <w:rsid w:val="003F7882"/>
    <w:rsid w:val="003F7A46"/>
    <w:rsid w:val="003F7A83"/>
    <w:rsid w:val="003F7F62"/>
    <w:rsid w:val="004006F7"/>
    <w:rsid w:val="004007EC"/>
    <w:rsid w:val="00400C5D"/>
    <w:rsid w:val="0040164D"/>
    <w:rsid w:val="0040174E"/>
    <w:rsid w:val="00401BD7"/>
    <w:rsid w:val="00401D0C"/>
    <w:rsid w:val="00401E59"/>
    <w:rsid w:val="004022CD"/>
    <w:rsid w:val="0040252E"/>
    <w:rsid w:val="00402696"/>
    <w:rsid w:val="00402D30"/>
    <w:rsid w:val="004037F2"/>
    <w:rsid w:val="00403ACD"/>
    <w:rsid w:val="00403C76"/>
    <w:rsid w:val="00403D8A"/>
    <w:rsid w:val="00403E1A"/>
    <w:rsid w:val="00403ECA"/>
    <w:rsid w:val="00404394"/>
    <w:rsid w:val="00404471"/>
    <w:rsid w:val="00404475"/>
    <w:rsid w:val="00404599"/>
    <w:rsid w:val="00404D90"/>
    <w:rsid w:val="00404E18"/>
    <w:rsid w:val="0040643B"/>
    <w:rsid w:val="004069AD"/>
    <w:rsid w:val="00406B7B"/>
    <w:rsid w:val="00406DCB"/>
    <w:rsid w:val="00406E49"/>
    <w:rsid w:val="00406ED1"/>
    <w:rsid w:val="004072A8"/>
    <w:rsid w:val="004074E1"/>
    <w:rsid w:val="00407505"/>
    <w:rsid w:val="0041025D"/>
    <w:rsid w:val="004107FE"/>
    <w:rsid w:val="004110A5"/>
    <w:rsid w:val="004115AD"/>
    <w:rsid w:val="00411892"/>
    <w:rsid w:val="00411B3F"/>
    <w:rsid w:val="00412122"/>
    <w:rsid w:val="00412607"/>
    <w:rsid w:val="00412723"/>
    <w:rsid w:val="004129DD"/>
    <w:rsid w:val="00412A94"/>
    <w:rsid w:val="00413087"/>
    <w:rsid w:val="004134F7"/>
    <w:rsid w:val="004142B7"/>
    <w:rsid w:val="00414903"/>
    <w:rsid w:val="00414954"/>
    <w:rsid w:val="00414A40"/>
    <w:rsid w:val="004151A8"/>
    <w:rsid w:val="00415553"/>
    <w:rsid w:val="00416114"/>
    <w:rsid w:val="00416279"/>
    <w:rsid w:val="004165AC"/>
    <w:rsid w:val="00416622"/>
    <w:rsid w:val="0041699A"/>
    <w:rsid w:val="00416C03"/>
    <w:rsid w:val="004174FD"/>
    <w:rsid w:val="004177E1"/>
    <w:rsid w:val="00417C34"/>
    <w:rsid w:val="00417E61"/>
    <w:rsid w:val="0042033B"/>
    <w:rsid w:val="00420391"/>
    <w:rsid w:val="0042057E"/>
    <w:rsid w:val="0042071B"/>
    <w:rsid w:val="00420A01"/>
    <w:rsid w:val="00420E1A"/>
    <w:rsid w:val="00421B81"/>
    <w:rsid w:val="00422436"/>
    <w:rsid w:val="00422829"/>
    <w:rsid w:val="00422DDA"/>
    <w:rsid w:val="00423225"/>
    <w:rsid w:val="00423928"/>
    <w:rsid w:val="00423AB9"/>
    <w:rsid w:val="00423C4D"/>
    <w:rsid w:val="00424DB2"/>
    <w:rsid w:val="004250DB"/>
    <w:rsid w:val="0042540B"/>
    <w:rsid w:val="00425708"/>
    <w:rsid w:val="004257BF"/>
    <w:rsid w:val="0042581E"/>
    <w:rsid w:val="00425C5B"/>
    <w:rsid w:val="0042614A"/>
    <w:rsid w:val="0042645B"/>
    <w:rsid w:val="0042692C"/>
    <w:rsid w:val="0042696C"/>
    <w:rsid w:val="0042744A"/>
    <w:rsid w:val="0042752C"/>
    <w:rsid w:val="0042753C"/>
    <w:rsid w:val="00427657"/>
    <w:rsid w:val="00427779"/>
    <w:rsid w:val="0042791B"/>
    <w:rsid w:val="00427E59"/>
    <w:rsid w:val="004307C5"/>
    <w:rsid w:val="00430D5B"/>
    <w:rsid w:val="00430E87"/>
    <w:rsid w:val="00430EC1"/>
    <w:rsid w:val="0043134E"/>
    <w:rsid w:val="00431EC4"/>
    <w:rsid w:val="00432023"/>
    <w:rsid w:val="004324D4"/>
    <w:rsid w:val="00432A68"/>
    <w:rsid w:val="00432EEE"/>
    <w:rsid w:val="0043303C"/>
    <w:rsid w:val="004332B4"/>
    <w:rsid w:val="004333AA"/>
    <w:rsid w:val="0043359F"/>
    <w:rsid w:val="00433DA7"/>
    <w:rsid w:val="0043495D"/>
    <w:rsid w:val="00434AF3"/>
    <w:rsid w:val="00434D9D"/>
    <w:rsid w:val="00434E43"/>
    <w:rsid w:val="0043504B"/>
    <w:rsid w:val="0043510F"/>
    <w:rsid w:val="00435432"/>
    <w:rsid w:val="00435810"/>
    <w:rsid w:val="00435A5F"/>
    <w:rsid w:val="00435B4A"/>
    <w:rsid w:val="0043623E"/>
    <w:rsid w:val="0043636D"/>
    <w:rsid w:val="00436A36"/>
    <w:rsid w:val="00436C63"/>
    <w:rsid w:val="00436DE6"/>
    <w:rsid w:val="0043706C"/>
    <w:rsid w:val="00437620"/>
    <w:rsid w:val="004378E1"/>
    <w:rsid w:val="00437CF3"/>
    <w:rsid w:val="00437DD3"/>
    <w:rsid w:val="00437FF2"/>
    <w:rsid w:val="004406A0"/>
    <w:rsid w:val="00440C07"/>
    <w:rsid w:val="00440C32"/>
    <w:rsid w:val="00441597"/>
    <w:rsid w:val="0044189D"/>
    <w:rsid w:val="00441909"/>
    <w:rsid w:val="00441FC2"/>
    <w:rsid w:val="0044224F"/>
    <w:rsid w:val="0044292D"/>
    <w:rsid w:val="00442A68"/>
    <w:rsid w:val="00442F2E"/>
    <w:rsid w:val="00443623"/>
    <w:rsid w:val="00444173"/>
    <w:rsid w:val="00444647"/>
    <w:rsid w:val="00444B95"/>
    <w:rsid w:val="00444E5A"/>
    <w:rsid w:val="004457B5"/>
    <w:rsid w:val="00445CC7"/>
    <w:rsid w:val="004460A8"/>
    <w:rsid w:val="00446589"/>
    <w:rsid w:val="004465C8"/>
    <w:rsid w:val="0044665E"/>
    <w:rsid w:val="0044671D"/>
    <w:rsid w:val="00446AF5"/>
    <w:rsid w:val="00446B3B"/>
    <w:rsid w:val="00446CE4"/>
    <w:rsid w:val="004471DA"/>
    <w:rsid w:val="0044768D"/>
    <w:rsid w:val="004477BE"/>
    <w:rsid w:val="00447AE6"/>
    <w:rsid w:val="00447B2D"/>
    <w:rsid w:val="004503A6"/>
    <w:rsid w:val="0045067A"/>
    <w:rsid w:val="00450873"/>
    <w:rsid w:val="00450F8C"/>
    <w:rsid w:val="00450FDF"/>
    <w:rsid w:val="00451065"/>
    <w:rsid w:val="004511D1"/>
    <w:rsid w:val="00451311"/>
    <w:rsid w:val="00451372"/>
    <w:rsid w:val="0045155B"/>
    <w:rsid w:val="00451934"/>
    <w:rsid w:val="00451CA2"/>
    <w:rsid w:val="004520E6"/>
    <w:rsid w:val="00452152"/>
    <w:rsid w:val="00453BE4"/>
    <w:rsid w:val="00453E38"/>
    <w:rsid w:val="00454068"/>
    <w:rsid w:val="00454176"/>
    <w:rsid w:val="00454A2E"/>
    <w:rsid w:val="00454C77"/>
    <w:rsid w:val="00454CAC"/>
    <w:rsid w:val="00454FE1"/>
    <w:rsid w:val="004555A9"/>
    <w:rsid w:val="00455849"/>
    <w:rsid w:val="00455CA1"/>
    <w:rsid w:val="0045647A"/>
    <w:rsid w:val="00456712"/>
    <w:rsid w:val="00456EA8"/>
    <w:rsid w:val="00456EEC"/>
    <w:rsid w:val="00457029"/>
    <w:rsid w:val="00457661"/>
    <w:rsid w:val="00457693"/>
    <w:rsid w:val="004576C9"/>
    <w:rsid w:val="004578B0"/>
    <w:rsid w:val="00457A12"/>
    <w:rsid w:val="00457B2A"/>
    <w:rsid w:val="004608AF"/>
    <w:rsid w:val="00460A32"/>
    <w:rsid w:val="00460B98"/>
    <w:rsid w:val="00460C41"/>
    <w:rsid w:val="00460EDB"/>
    <w:rsid w:val="0046120F"/>
    <w:rsid w:val="0046142B"/>
    <w:rsid w:val="0046198B"/>
    <w:rsid w:val="00461BF4"/>
    <w:rsid w:val="0046248B"/>
    <w:rsid w:val="004625B5"/>
    <w:rsid w:val="00462C69"/>
    <w:rsid w:val="00462C86"/>
    <w:rsid w:val="00462CB1"/>
    <w:rsid w:val="00463683"/>
    <w:rsid w:val="00463792"/>
    <w:rsid w:val="00463B1C"/>
    <w:rsid w:val="00463CE2"/>
    <w:rsid w:val="004642D5"/>
    <w:rsid w:val="00464464"/>
    <w:rsid w:val="004644F9"/>
    <w:rsid w:val="004646D2"/>
    <w:rsid w:val="004646D5"/>
    <w:rsid w:val="0046512B"/>
    <w:rsid w:val="004657A3"/>
    <w:rsid w:val="00466953"/>
    <w:rsid w:val="00467035"/>
    <w:rsid w:val="0046737D"/>
    <w:rsid w:val="00467409"/>
    <w:rsid w:val="00470033"/>
    <w:rsid w:val="004704C4"/>
    <w:rsid w:val="00470B37"/>
    <w:rsid w:val="00470CDE"/>
    <w:rsid w:val="00470E39"/>
    <w:rsid w:val="00470EFB"/>
    <w:rsid w:val="0047123C"/>
    <w:rsid w:val="004714E8"/>
    <w:rsid w:val="00471E34"/>
    <w:rsid w:val="00471FC0"/>
    <w:rsid w:val="004720AC"/>
    <w:rsid w:val="004720F0"/>
    <w:rsid w:val="00472534"/>
    <w:rsid w:val="0047256D"/>
    <w:rsid w:val="00472743"/>
    <w:rsid w:val="00472A4B"/>
    <w:rsid w:val="00472BEA"/>
    <w:rsid w:val="00472C91"/>
    <w:rsid w:val="00473200"/>
    <w:rsid w:val="0047329B"/>
    <w:rsid w:val="004737DB"/>
    <w:rsid w:val="00473E68"/>
    <w:rsid w:val="00474686"/>
    <w:rsid w:val="004749C7"/>
    <w:rsid w:val="004749E9"/>
    <w:rsid w:val="00474A66"/>
    <w:rsid w:val="00474BB2"/>
    <w:rsid w:val="00474DAD"/>
    <w:rsid w:val="00474F25"/>
    <w:rsid w:val="00474FA1"/>
    <w:rsid w:val="004750A6"/>
    <w:rsid w:val="00475785"/>
    <w:rsid w:val="004757D1"/>
    <w:rsid w:val="004757FA"/>
    <w:rsid w:val="004758C4"/>
    <w:rsid w:val="00475940"/>
    <w:rsid w:val="00475FB5"/>
    <w:rsid w:val="00476270"/>
    <w:rsid w:val="0047654A"/>
    <w:rsid w:val="0047697D"/>
    <w:rsid w:val="00476C07"/>
    <w:rsid w:val="00477345"/>
    <w:rsid w:val="00477437"/>
    <w:rsid w:val="004778A6"/>
    <w:rsid w:val="004778AB"/>
    <w:rsid w:val="00480367"/>
    <w:rsid w:val="0048093A"/>
    <w:rsid w:val="00480ADC"/>
    <w:rsid w:val="0048117E"/>
    <w:rsid w:val="0048125A"/>
    <w:rsid w:val="0048144C"/>
    <w:rsid w:val="00481C28"/>
    <w:rsid w:val="00481FDB"/>
    <w:rsid w:val="00482932"/>
    <w:rsid w:val="00482A86"/>
    <w:rsid w:val="0048317B"/>
    <w:rsid w:val="0048322F"/>
    <w:rsid w:val="0048386A"/>
    <w:rsid w:val="00483CC7"/>
    <w:rsid w:val="00484218"/>
    <w:rsid w:val="00484D3B"/>
    <w:rsid w:val="0048553C"/>
    <w:rsid w:val="0048563C"/>
    <w:rsid w:val="004856CE"/>
    <w:rsid w:val="004859A5"/>
    <w:rsid w:val="004859DF"/>
    <w:rsid w:val="00485A0F"/>
    <w:rsid w:val="00485D21"/>
    <w:rsid w:val="004862D3"/>
    <w:rsid w:val="004867E2"/>
    <w:rsid w:val="004869D4"/>
    <w:rsid w:val="00486A7D"/>
    <w:rsid w:val="004874F3"/>
    <w:rsid w:val="0048781A"/>
    <w:rsid w:val="0049158C"/>
    <w:rsid w:val="00491C25"/>
    <w:rsid w:val="00491F70"/>
    <w:rsid w:val="004920E9"/>
    <w:rsid w:val="0049229B"/>
    <w:rsid w:val="0049247B"/>
    <w:rsid w:val="0049272D"/>
    <w:rsid w:val="00492C7B"/>
    <w:rsid w:val="004931AA"/>
    <w:rsid w:val="0049389A"/>
    <w:rsid w:val="00493A8A"/>
    <w:rsid w:val="00493F43"/>
    <w:rsid w:val="00493FD2"/>
    <w:rsid w:val="00494584"/>
    <w:rsid w:val="004947F6"/>
    <w:rsid w:val="00494B98"/>
    <w:rsid w:val="00494F71"/>
    <w:rsid w:val="0049557C"/>
    <w:rsid w:val="00495DE2"/>
    <w:rsid w:val="004963B8"/>
    <w:rsid w:val="00496426"/>
    <w:rsid w:val="00496478"/>
    <w:rsid w:val="00496B56"/>
    <w:rsid w:val="00496CD3"/>
    <w:rsid w:val="00497603"/>
    <w:rsid w:val="00497BD4"/>
    <w:rsid w:val="00497F9F"/>
    <w:rsid w:val="004A0A1C"/>
    <w:rsid w:val="004A0BD2"/>
    <w:rsid w:val="004A1730"/>
    <w:rsid w:val="004A1D0D"/>
    <w:rsid w:val="004A20CD"/>
    <w:rsid w:val="004A251E"/>
    <w:rsid w:val="004A253B"/>
    <w:rsid w:val="004A2682"/>
    <w:rsid w:val="004A28B2"/>
    <w:rsid w:val="004A29C3"/>
    <w:rsid w:val="004A2A51"/>
    <w:rsid w:val="004A2C4C"/>
    <w:rsid w:val="004A2F14"/>
    <w:rsid w:val="004A3661"/>
    <w:rsid w:val="004A38C2"/>
    <w:rsid w:val="004A3C76"/>
    <w:rsid w:val="004A3E36"/>
    <w:rsid w:val="004A3E71"/>
    <w:rsid w:val="004A40A5"/>
    <w:rsid w:val="004A43BE"/>
    <w:rsid w:val="004A43F3"/>
    <w:rsid w:val="004A44A6"/>
    <w:rsid w:val="004A4B39"/>
    <w:rsid w:val="004A4BD6"/>
    <w:rsid w:val="004A4F8A"/>
    <w:rsid w:val="004A4FBA"/>
    <w:rsid w:val="004A556B"/>
    <w:rsid w:val="004A5B7F"/>
    <w:rsid w:val="004A61BE"/>
    <w:rsid w:val="004A6351"/>
    <w:rsid w:val="004A6E95"/>
    <w:rsid w:val="004A790E"/>
    <w:rsid w:val="004A7F33"/>
    <w:rsid w:val="004B0455"/>
    <w:rsid w:val="004B0928"/>
    <w:rsid w:val="004B0F53"/>
    <w:rsid w:val="004B0F6A"/>
    <w:rsid w:val="004B12E1"/>
    <w:rsid w:val="004B1DFA"/>
    <w:rsid w:val="004B2397"/>
    <w:rsid w:val="004B2987"/>
    <w:rsid w:val="004B2EE8"/>
    <w:rsid w:val="004B2F46"/>
    <w:rsid w:val="004B33EA"/>
    <w:rsid w:val="004B3450"/>
    <w:rsid w:val="004B395A"/>
    <w:rsid w:val="004B3B13"/>
    <w:rsid w:val="004B418C"/>
    <w:rsid w:val="004B43A4"/>
    <w:rsid w:val="004B4440"/>
    <w:rsid w:val="004B4971"/>
    <w:rsid w:val="004B4C1A"/>
    <w:rsid w:val="004B4D10"/>
    <w:rsid w:val="004B56BE"/>
    <w:rsid w:val="004B58C3"/>
    <w:rsid w:val="004B5C3E"/>
    <w:rsid w:val="004B6382"/>
    <w:rsid w:val="004B66C8"/>
    <w:rsid w:val="004B6EB9"/>
    <w:rsid w:val="004B6F11"/>
    <w:rsid w:val="004B7242"/>
    <w:rsid w:val="004B78AC"/>
    <w:rsid w:val="004C0614"/>
    <w:rsid w:val="004C13B1"/>
    <w:rsid w:val="004C1C9E"/>
    <w:rsid w:val="004C1EA8"/>
    <w:rsid w:val="004C2425"/>
    <w:rsid w:val="004C26FC"/>
    <w:rsid w:val="004C2904"/>
    <w:rsid w:val="004C2D73"/>
    <w:rsid w:val="004C2E09"/>
    <w:rsid w:val="004C3FAC"/>
    <w:rsid w:val="004C48D5"/>
    <w:rsid w:val="004C4951"/>
    <w:rsid w:val="004C4B81"/>
    <w:rsid w:val="004C4CAD"/>
    <w:rsid w:val="004C56F0"/>
    <w:rsid w:val="004C5E9C"/>
    <w:rsid w:val="004C6288"/>
    <w:rsid w:val="004C6596"/>
    <w:rsid w:val="004C66D5"/>
    <w:rsid w:val="004C6844"/>
    <w:rsid w:val="004C6985"/>
    <w:rsid w:val="004C724D"/>
    <w:rsid w:val="004D06E0"/>
    <w:rsid w:val="004D09F0"/>
    <w:rsid w:val="004D0A22"/>
    <w:rsid w:val="004D0C50"/>
    <w:rsid w:val="004D0EC0"/>
    <w:rsid w:val="004D121F"/>
    <w:rsid w:val="004D136B"/>
    <w:rsid w:val="004D1FB6"/>
    <w:rsid w:val="004D22EE"/>
    <w:rsid w:val="004D2602"/>
    <w:rsid w:val="004D2685"/>
    <w:rsid w:val="004D2C42"/>
    <w:rsid w:val="004D2F61"/>
    <w:rsid w:val="004D354D"/>
    <w:rsid w:val="004D4525"/>
    <w:rsid w:val="004D482B"/>
    <w:rsid w:val="004D5156"/>
    <w:rsid w:val="004D536A"/>
    <w:rsid w:val="004D567F"/>
    <w:rsid w:val="004D57AE"/>
    <w:rsid w:val="004D584F"/>
    <w:rsid w:val="004D5E0D"/>
    <w:rsid w:val="004D5EB2"/>
    <w:rsid w:val="004D6088"/>
    <w:rsid w:val="004D6453"/>
    <w:rsid w:val="004D64B8"/>
    <w:rsid w:val="004D6570"/>
    <w:rsid w:val="004D67AF"/>
    <w:rsid w:val="004D6832"/>
    <w:rsid w:val="004D68DE"/>
    <w:rsid w:val="004D69BB"/>
    <w:rsid w:val="004D6B5E"/>
    <w:rsid w:val="004D6FB9"/>
    <w:rsid w:val="004D7280"/>
    <w:rsid w:val="004D781D"/>
    <w:rsid w:val="004D7AF8"/>
    <w:rsid w:val="004E004F"/>
    <w:rsid w:val="004E0638"/>
    <w:rsid w:val="004E0725"/>
    <w:rsid w:val="004E118E"/>
    <w:rsid w:val="004E145C"/>
    <w:rsid w:val="004E14A4"/>
    <w:rsid w:val="004E1F3F"/>
    <w:rsid w:val="004E21F8"/>
    <w:rsid w:val="004E2D78"/>
    <w:rsid w:val="004E2DF7"/>
    <w:rsid w:val="004E3092"/>
    <w:rsid w:val="004E3BB2"/>
    <w:rsid w:val="004E3CF5"/>
    <w:rsid w:val="004E400F"/>
    <w:rsid w:val="004E4471"/>
    <w:rsid w:val="004E476D"/>
    <w:rsid w:val="004E49EA"/>
    <w:rsid w:val="004E4AA0"/>
    <w:rsid w:val="004E4DDE"/>
    <w:rsid w:val="004E5393"/>
    <w:rsid w:val="004E5A65"/>
    <w:rsid w:val="004E5C08"/>
    <w:rsid w:val="004E5D11"/>
    <w:rsid w:val="004E67C3"/>
    <w:rsid w:val="004E6D1A"/>
    <w:rsid w:val="004E6DA5"/>
    <w:rsid w:val="004E705F"/>
    <w:rsid w:val="004E72CB"/>
    <w:rsid w:val="004E72CC"/>
    <w:rsid w:val="004E734A"/>
    <w:rsid w:val="004E744C"/>
    <w:rsid w:val="004E7548"/>
    <w:rsid w:val="004E781E"/>
    <w:rsid w:val="004F0267"/>
    <w:rsid w:val="004F0CAE"/>
    <w:rsid w:val="004F0CC7"/>
    <w:rsid w:val="004F18C0"/>
    <w:rsid w:val="004F208D"/>
    <w:rsid w:val="004F2671"/>
    <w:rsid w:val="004F2EE6"/>
    <w:rsid w:val="004F3775"/>
    <w:rsid w:val="004F39C0"/>
    <w:rsid w:val="004F444D"/>
    <w:rsid w:val="004F4E0D"/>
    <w:rsid w:val="004F5307"/>
    <w:rsid w:val="004F56EF"/>
    <w:rsid w:val="004F571C"/>
    <w:rsid w:val="004F5B5C"/>
    <w:rsid w:val="004F63B7"/>
    <w:rsid w:val="004F67C8"/>
    <w:rsid w:val="004F6D63"/>
    <w:rsid w:val="004F6F19"/>
    <w:rsid w:val="004F7254"/>
    <w:rsid w:val="004F779D"/>
    <w:rsid w:val="004F78EB"/>
    <w:rsid w:val="005001C8"/>
    <w:rsid w:val="005004EB"/>
    <w:rsid w:val="00500BFD"/>
    <w:rsid w:val="005014B9"/>
    <w:rsid w:val="00501A51"/>
    <w:rsid w:val="00502006"/>
    <w:rsid w:val="00502741"/>
    <w:rsid w:val="005027FD"/>
    <w:rsid w:val="00502A2A"/>
    <w:rsid w:val="00502A38"/>
    <w:rsid w:val="0050382D"/>
    <w:rsid w:val="005038B4"/>
    <w:rsid w:val="00503986"/>
    <w:rsid w:val="00503B15"/>
    <w:rsid w:val="005040B7"/>
    <w:rsid w:val="005042C5"/>
    <w:rsid w:val="00504457"/>
    <w:rsid w:val="005049DD"/>
    <w:rsid w:val="00504DD0"/>
    <w:rsid w:val="00504E32"/>
    <w:rsid w:val="005051FD"/>
    <w:rsid w:val="00505694"/>
    <w:rsid w:val="005057EB"/>
    <w:rsid w:val="0050672A"/>
    <w:rsid w:val="0050676F"/>
    <w:rsid w:val="00506B36"/>
    <w:rsid w:val="00507152"/>
    <w:rsid w:val="00507402"/>
    <w:rsid w:val="005076E4"/>
    <w:rsid w:val="005078A4"/>
    <w:rsid w:val="00507F8F"/>
    <w:rsid w:val="00507FB2"/>
    <w:rsid w:val="0051010D"/>
    <w:rsid w:val="00510445"/>
    <w:rsid w:val="00510A98"/>
    <w:rsid w:val="005110E5"/>
    <w:rsid w:val="00511214"/>
    <w:rsid w:val="00511282"/>
    <w:rsid w:val="00511D3F"/>
    <w:rsid w:val="0051250F"/>
    <w:rsid w:val="00512DE7"/>
    <w:rsid w:val="00512F2C"/>
    <w:rsid w:val="005130A6"/>
    <w:rsid w:val="00513CD2"/>
    <w:rsid w:val="005146A9"/>
    <w:rsid w:val="005147FF"/>
    <w:rsid w:val="005149E5"/>
    <w:rsid w:val="00514D8A"/>
    <w:rsid w:val="00515111"/>
    <w:rsid w:val="00515974"/>
    <w:rsid w:val="00515C8C"/>
    <w:rsid w:val="00515CC1"/>
    <w:rsid w:val="00515E46"/>
    <w:rsid w:val="00516298"/>
    <w:rsid w:val="005164C0"/>
    <w:rsid w:val="0051650E"/>
    <w:rsid w:val="005168DD"/>
    <w:rsid w:val="00516CCF"/>
    <w:rsid w:val="00516F16"/>
    <w:rsid w:val="00516FC2"/>
    <w:rsid w:val="0051731E"/>
    <w:rsid w:val="0051735A"/>
    <w:rsid w:val="00517383"/>
    <w:rsid w:val="005173EC"/>
    <w:rsid w:val="00517749"/>
    <w:rsid w:val="00517CB2"/>
    <w:rsid w:val="00517CB8"/>
    <w:rsid w:val="00517D3C"/>
    <w:rsid w:val="005201BC"/>
    <w:rsid w:val="00520594"/>
    <w:rsid w:val="00520710"/>
    <w:rsid w:val="00520846"/>
    <w:rsid w:val="005208DC"/>
    <w:rsid w:val="005210CB"/>
    <w:rsid w:val="0052142D"/>
    <w:rsid w:val="00521A61"/>
    <w:rsid w:val="00522491"/>
    <w:rsid w:val="00522B51"/>
    <w:rsid w:val="00523BE9"/>
    <w:rsid w:val="0052418D"/>
    <w:rsid w:val="005248C8"/>
    <w:rsid w:val="00524996"/>
    <w:rsid w:val="00524ACF"/>
    <w:rsid w:val="00524C4D"/>
    <w:rsid w:val="00525A00"/>
    <w:rsid w:val="005262C3"/>
    <w:rsid w:val="00526832"/>
    <w:rsid w:val="005269F1"/>
    <w:rsid w:val="0052702B"/>
    <w:rsid w:val="00527034"/>
    <w:rsid w:val="00527A9A"/>
    <w:rsid w:val="0053053F"/>
    <w:rsid w:val="005307BB"/>
    <w:rsid w:val="00530920"/>
    <w:rsid w:val="005309D5"/>
    <w:rsid w:val="00530ED3"/>
    <w:rsid w:val="0053130E"/>
    <w:rsid w:val="00531348"/>
    <w:rsid w:val="00531BEE"/>
    <w:rsid w:val="00532D8C"/>
    <w:rsid w:val="00533160"/>
    <w:rsid w:val="005332A5"/>
    <w:rsid w:val="005338CE"/>
    <w:rsid w:val="00533BA1"/>
    <w:rsid w:val="00533CFE"/>
    <w:rsid w:val="0053414F"/>
    <w:rsid w:val="00534577"/>
    <w:rsid w:val="00534A5D"/>
    <w:rsid w:val="00534C4A"/>
    <w:rsid w:val="00534F8D"/>
    <w:rsid w:val="0053562D"/>
    <w:rsid w:val="005357A7"/>
    <w:rsid w:val="00535AF2"/>
    <w:rsid w:val="00535E22"/>
    <w:rsid w:val="00536379"/>
    <w:rsid w:val="005364D9"/>
    <w:rsid w:val="005366A2"/>
    <w:rsid w:val="0053694B"/>
    <w:rsid w:val="00536E34"/>
    <w:rsid w:val="00536EB8"/>
    <w:rsid w:val="00537011"/>
    <w:rsid w:val="005371E7"/>
    <w:rsid w:val="00537269"/>
    <w:rsid w:val="005375FC"/>
    <w:rsid w:val="0053791D"/>
    <w:rsid w:val="00537E53"/>
    <w:rsid w:val="005404A8"/>
    <w:rsid w:val="00541A71"/>
    <w:rsid w:val="00541D72"/>
    <w:rsid w:val="00541E6E"/>
    <w:rsid w:val="005422C3"/>
    <w:rsid w:val="00542564"/>
    <w:rsid w:val="00542990"/>
    <w:rsid w:val="00542D38"/>
    <w:rsid w:val="00542D80"/>
    <w:rsid w:val="00543B50"/>
    <w:rsid w:val="0054443F"/>
    <w:rsid w:val="00544701"/>
    <w:rsid w:val="00544798"/>
    <w:rsid w:val="00544874"/>
    <w:rsid w:val="00544C04"/>
    <w:rsid w:val="00544CC7"/>
    <w:rsid w:val="0054528F"/>
    <w:rsid w:val="0054559B"/>
    <w:rsid w:val="00545D9B"/>
    <w:rsid w:val="00546C8D"/>
    <w:rsid w:val="00546D64"/>
    <w:rsid w:val="00547427"/>
    <w:rsid w:val="00550364"/>
    <w:rsid w:val="00550612"/>
    <w:rsid w:val="00550A9E"/>
    <w:rsid w:val="00550C3A"/>
    <w:rsid w:val="00550E23"/>
    <w:rsid w:val="00551707"/>
    <w:rsid w:val="005517AA"/>
    <w:rsid w:val="00551A6C"/>
    <w:rsid w:val="00551F4D"/>
    <w:rsid w:val="00551FA9"/>
    <w:rsid w:val="005521F7"/>
    <w:rsid w:val="00552820"/>
    <w:rsid w:val="0055285B"/>
    <w:rsid w:val="00552935"/>
    <w:rsid w:val="00552A56"/>
    <w:rsid w:val="00552AF6"/>
    <w:rsid w:val="00552C69"/>
    <w:rsid w:val="00552F9E"/>
    <w:rsid w:val="005530BA"/>
    <w:rsid w:val="0055338F"/>
    <w:rsid w:val="005541B4"/>
    <w:rsid w:val="0055458C"/>
    <w:rsid w:val="005552E7"/>
    <w:rsid w:val="00555BA9"/>
    <w:rsid w:val="0055643B"/>
    <w:rsid w:val="005564ED"/>
    <w:rsid w:val="00556519"/>
    <w:rsid w:val="00556BE5"/>
    <w:rsid w:val="00557362"/>
    <w:rsid w:val="00557801"/>
    <w:rsid w:val="00557D61"/>
    <w:rsid w:val="00557E8B"/>
    <w:rsid w:val="0056057C"/>
    <w:rsid w:val="00560BC9"/>
    <w:rsid w:val="00561614"/>
    <w:rsid w:val="0056191C"/>
    <w:rsid w:val="0056237F"/>
    <w:rsid w:val="00562E2F"/>
    <w:rsid w:val="00563284"/>
    <w:rsid w:val="00563783"/>
    <w:rsid w:val="00563887"/>
    <w:rsid w:val="00563C3F"/>
    <w:rsid w:val="00563CCC"/>
    <w:rsid w:val="00563F57"/>
    <w:rsid w:val="00564549"/>
    <w:rsid w:val="00564567"/>
    <w:rsid w:val="00564595"/>
    <w:rsid w:val="00564B30"/>
    <w:rsid w:val="00564B54"/>
    <w:rsid w:val="00564D5A"/>
    <w:rsid w:val="00564DA4"/>
    <w:rsid w:val="00564F2B"/>
    <w:rsid w:val="00564F96"/>
    <w:rsid w:val="00565048"/>
    <w:rsid w:val="00565224"/>
    <w:rsid w:val="0056522B"/>
    <w:rsid w:val="005652A3"/>
    <w:rsid w:val="0056584F"/>
    <w:rsid w:val="00566467"/>
    <w:rsid w:val="00566CE0"/>
    <w:rsid w:val="005670EF"/>
    <w:rsid w:val="00567527"/>
    <w:rsid w:val="00567672"/>
    <w:rsid w:val="00567815"/>
    <w:rsid w:val="00567A33"/>
    <w:rsid w:val="00567AC9"/>
    <w:rsid w:val="005703A3"/>
    <w:rsid w:val="005703ED"/>
    <w:rsid w:val="00570845"/>
    <w:rsid w:val="00570A1E"/>
    <w:rsid w:val="00571062"/>
    <w:rsid w:val="005717BB"/>
    <w:rsid w:val="005719DA"/>
    <w:rsid w:val="00572838"/>
    <w:rsid w:val="00572B5D"/>
    <w:rsid w:val="005735AD"/>
    <w:rsid w:val="005739DC"/>
    <w:rsid w:val="00573D95"/>
    <w:rsid w:val="00574669"/>
    <w:rsid w:val="00574733"/>
    <w:rsid w:val="005749DC"/>
    <w:rsid w:val="00574BA2"/>
    <w:rsid w:val="00574C8B"/>
    <w:rsid w:val="00574CCF"/>
    <w:rsid w:val="00574E84"/>
    <w:rsid w:val="005755AF"/>
    <w:rsid w:val="00575C2E"/>
    <w:rsid w:val="00575D02"/>
    <w:rsid w:val="0057605A"/>
    <w:rsid w:val="00576232"/>
    <w:rsid w:val="00576A52"/>
    <w:rsid w:val="00576BDE"/>
    <w:rsid w:val="00576DE2"/>
    <w:rsid w:val="00576F75"/>
    <w:rsid w:val="00577390"/>
    <w:rsid w:val="00577783"/>
    <w:rsid w:val="005777B6"/>
    <w:rsid w:val="005801CC"/>
    <w:rsid w:val="00580207"/>
    <w:rsid w:val="00580263"/>
    <w:rsid w:val="005804AB"/>
    <w:rsid w:val="00580605"/>
    <w:rsid w:val="00580CB5"/>
    <w:rsid w:val="00581812"/>
    <w:rsid w:val="0058186F"/>
    <w:rsid w:val="0058196D"/>
    <w:rsid w:val="00581ABC"/>
    <w:rsid w:val="00581B71"/>
    <w:rsid w:val="00581CB6"/>
    <w:rsid w:val="005822EB"/>
    <w:rsid w:val="005825D0"/>
    <w:rsid w:val="00582947"/>
    <w:rsid w:val="00582F4D"/>
    <w:rsid w:val="00583C98"/>
    <w:rsid w:val="0058494E"/>
    <w:rsid w:val="00584AFC"/>
    <w:rsid w:val="00584C97"/>
    <w:rsid w:val="00584DA6"/>
    <w:rsid w:val="00584DB9"/>
    <w:rsid w:val="00584F46"/>
    <w:rsid w:val="00585760"/>
    <w:rsid w:val="00585871"/>
    <w:rsid w:val="00585A1A"/>
    <w:rsid w:val="00585C90"/>
    <w:rsid w:val="00585F54"/>
    <w:rsid w:val="00585FC3"/>
    <w:rsid w:val="00586078"/>
    <w:rsid w:val="00587227"/>
    <w:rsid w:val="005879F8"/>
    <w:rsid w:val="00590133"/>
    <w:rsid w:val="005901C8"/>
    <w:rsid w:val="005901F2"/>
    <w:rsid w:val="005913C5"/>
    <w:rsid w:val="00591EB8"/>
    <w:rsid w:val="005921B6"/>
    <w:rsid w:val="0059223F"/>
    <w:rsid w:val="0059230C"/>
    <w:rsid w:val="005924AD"/>
    <w:rsid w:val="00593142"/>
    <w:rsid w:val="00593BB7"/>
    <w:rsid w:val="005941E7"/>
    <w:rsid w:val="0059489D"/>
    <w:rsid w:val="0059491E"/>
    <w:rsid w:val="0059498E"/>
    <w:rsid w:val="005953AE"/>
    <w:rsid w:val="005955C5"/>
    <w:rsid w:val="00595811"/>
    <w:rsid w:val="00595AB3"/>
    <w:rsid w:val="00595B9E"/>
    <w:rsid w:val="00595F78"/>
    <w:rsid w:val="005960B1"/>
    <w:rsid w:val="0059628F"/>
    <w:rsid w:val="00596362"/>
    <w:rsid w:val="00596777"/>
    <w:rsid w:val="005974D2"/>
    <w:rsid w:val="005A0F99"/>
    <w:rsid w:val="005A1285"/>
    <w:rsid w:val="005A143E"/>
    <w:rsid w:val="005A1A12"/>
    <w:rsid w:val="005A2153"/>
    <w:rsid w:val="005A25E8"/>
    <w:rsid w:val="005A33B9"/>
    <w:rsid w:val="005A3ED3"/>
    <w:rsid w:val="005A3FB8"/>
    <w:rsid w:val="005A41AC"/>
    <w:rsid w:val="005A4485"/>
    <w:rsid w:val="005A462A"/>
    <w:rsid w:val="005A46A8"/>
    <w:rsid w:val="005A47E9"/>
    <w:rsid w:val="005A4BEE"/>
    <w:rsid w:val="005A52F2"/>
    <w:rsid w:val="005A5391"/>
    <w:rsid w:val="005A5416"/>
    <w:rsid w:val="005A5640"/>
    <w:rsid w:val="005A58DE"/>
    <w:rsid w:val="005A600D"/>
    <w:rsid w:val="005A623E"/>
    <w:rsid w:val="005A6369"/>
    <w:rsid w:val="005A66E8"/>
    <w:rsid w:val="005A6B6A"/>
    <w:rsid w:val="005A6D6D"/>
    <w:rsid w:val="005A6EAF"/>
    <w:rsid w:val="005A706C"/>
    <w:rsid w:val="005A7AE5"/>
    <w:rsid w:val="005A7F4B"/>
    <w:rsid w:val="005B0053"/>
    <w:rsid w:val="005B006C"/>
    <w:rsid w:val="005B0504"/>
    <w:rsid w:val="005B0F4D"/>
    <w:rsid w:val="005B1124"/>
    <w:rsid w:val="005B1355"/>
    <w:rsid w:val="005B13A8"/>
    <w:rsid w:val="005B1D0B"/>
    <w:rsid w:val="005B1DA0"/>
    <w:rsid w:val="005B22A7"/>
    <w:rsid w:val="005B2C2C"/>
    <w:rsid w:val="005B2C31"/>
    <w:rsid w:val="005B2CA4"/>
    <w:rsid w:val="005B2CB0"/>
    <w:rsid w:val="005B2E79"/>
    <w:rsid w:val="005B2F78"/>
    <w:rsid w:val="005B30E9"/>
    <w:rsid w:val="005B3495"/>
    <w:rsid w:val="005B3597"/>
    <w:rsid w:val="005B3874"/>
    <w:rsid w:val="005B3D3B"/>
    <w:rsid w:val="005B3DE3"/>
    <w:rsid w:val="005B3F4F"/>
    <w:rsid w:val="005B4393"/>
    <w:rsid w:val="005B497A"/>
    <w:rsid w:val="005B4A13"/>
    <w:rsid w:val="005B4B7D"/>
    <w:rsid w:val="005B5FE2"/>
    <w:rsid w:val="005B668C"/>
    <w:rsid w:val="005B6939"/>
    <w:rsid w:val="005B6C9B"/>
    <w:rsid w:val="005B7467"/>
    <w:rsid w:val="005B7582"/>
    <w:rsid w:val="005B7D85"/>
    <w:rsid w:val="005B7F9B"/>
    <w:rsid w:val="005C0054"/>
    <w:rsid w:val="005C00B4"/>
    <w:rsid w:val="005C02A3"/>
    <w:rsid w:val="005C0B14"/>
    <w:rsid w:val="005C0D1C"/>
    <w:rsid w:val="005C1053"/>
    <w:rsid w:val="005C11B4"/>
    <w:rsid w:val="005C13F3"/>
    <w:rsid w:val="005C14C4"/>
    <w:rsid w:val="005C1A64"/>
    <w:rsid w:val="005C1B8E"/>
    <w:rsid w:val="005C1FFB"/>
    <w:rsid w:val="005C2F8D"/>
    <w:rsid w:val="005C350A"/>
    <w:rsid w:val="005C3B2D"/>
    <w:rsid w:val="005C43A3"/>
    <w:rsid w:val="005C43D8"/>
    <w:rsid w:val="005C4DFD"/>
    <w:rsid w:val="005C4ED0"/>
    <w:rsid w:val="005C517D"/>
    <w:rsid w:val="005C5291"/>
    <w:rsid w:val="005C5596"/>
    <w:rsid w:val="005C5864"/>
    <w:rsid w:val="005C5C4A"/>
    <w:rsid w:val="005C5C96"/>
    <w:rsid w:val="005C6E27"/>
    <w:rsid w:val="005C6FFC"/>
    <w:rsid w:val="005C7A23"/>
    <w:rsid w:val="005C7AE2"/>
    <w:rsid w:val="005D0181"/>
    <w:rsid w:val="005D0441"/>
    <w:rsid w:val="005D04ED"/>
    <w:rsid w:val="005D0761"/>
    <w:rsid w:val="005D1190"/>
    <w:rsid w:val="005D1AED"/>
    <w:rsid w:val="005D1B05"/>
    <w:rsid w:val="005D24EC"/>
    <w:rsid w:val="005D2543"/>
    <w:rsid w:val="005D2AE6"/>
    <w:rsid w:val="005D2C6E"/>
    <w:rsid w:val="005D2E12"/>
    <w:rsid w:val="005D2FF1"/>
    <w:rsid w:val="005D32A3"/>
    <w:rsid w:val="005D3B21"/>
    <w:rsid w:val="005D3D11"/>
    <w:rsid w:val="005D3D6B"/>
    <w:rsid w:val="005D41CC"/>
    <w:rsid w:val="005D4453"/>
    <w:rsid w:val="005D46A7"/>
    <w:rsid w:val="005D487F"/>
    <w:rsid w:val="005D490C"/>
    <w:rsid w:val="005D4A4C"/>
    <w:rsid w:val="005D4BE1"/>
    <w:rsid w:val="005D4CF7"/>
    <w:rsid w:val="005D4F97"/>
    <w:rsid w:val="005D53F3"/>
    <w:rsid w:val="005D551C"/>
    <w:rsid w:val="005D6FC7"/>
    <w:rsid w:val="005D7270"/>
    <w:rsid w:val="005D73A8"/>
    <w:rsid w:val="005E008F"/>
    <w:rsid w:val="005E0507"/>
    <w:rsid w:val="005E06D0"/>
    <w:rsid w:val="005E0B4E"/>
    <w:rsid w:val="005E1111"/>
    <w:rsid w:val="005E1126"/>
    <w:rsid w:val="005E1695"/>
    <w:rsid w:val="005E17A6"/>
    <w:rsid w:val="005E1809"/>
    <w:rsid w:val="005E18FB"/>
    <w:rsid w:val="005E1FCF"/>
    <w:rsid w:val="005E2160"/>
    <w:rsid w:val="005E2CF2"/>
    <w:rsid w:val="005E2D5A"/>
    <w:rsid w:val="005E363E"/>
    <w:rsid w:val="005E3726"/>
    <w:rsid w:val="005E373B"/>
    <w:rsid w:val="005E379F"/>
    <w:rsid w:val="005E37D3"/>
    <w:rsid w:val="005E37D4"/>
    <w:rsid w:val="005E3CD1"/>
    <w:rsid w:val="005E3EA4"/>
    <w:rsid w:val="005E4471"/>
    <w:rsid w:val="005E44CE"/>
    <w:rsid w:val="005E47DB"/>
    <w:rsid w:val="005E4DDD"/>
    <w:rsid w:val="005E4E94"/>
    <w:rsid w:val="005E5468"/>
    <w:rsid w:val="005E55C2"/>
    <w:rsid w:val="005E5898"/>
    <w:rsid w:val="005E60DE"/>
    <w:rsid w:val="005E6F21"/>
    <w:rsid w:val="005E78AE"/>
    <w:rsid w:val="005E7CE3"/>
    <w:rsid w:val="005E7DB7"/>
    <w:rsid w:val="005E7DCC"/>
    <w:rsid w:val="005E7DDE"/>
    <w:rsid w:val="005E7F27"/>
    <w:rsid w:val="005F0181"/>
    <w:rsid w:val="005F02E3"/>
    <w:rsid w:val="005F079D"/>
    <w:rsid w:val="005F0C09"/>
    <w:rsid w:val="005F12E1"/>
    <w:rsid w:val="005F15C5"/>
    <w:rsid w:val="005F16AA"/>
    <w:rsid w:val="005F1760"/>
    <w:rsid w:val="005F1818"/>
    <w:rsid w:val="005F1B52"/>
    <w:rsid w:val="005F1C7C"/>
    <w:rsid w:val="005F1FE6"/>
    <w:rsid w:val="005F29B7"/>
    <w:rsid w:val="005F2D6B"/>
    <w:rsid w:val="005F2DD9"/>
    <w:rsid w:val="005F30E0"/>
    <w:rsid w:val="005F3166"/>
    <w:rsid w:val="005F3C2A"/>
    <w:rsid w:val="005F3C7E"/>
    <w:rsid w:val="005F4B34"/>
    <w:rsid w:val="005F5081"/>
    <w:rsid w:val="005F5744"/>
    <w:rsid w:val="005F57D1"/>
    <w:rsid w:val="005F5A7E"/>
    <w:rsid w:val="005F5BBC"/>
    <w:rsid w:val="005F5BF0"/>
    <w:rsid w:val="005F6683"/>
    <w:rsid w:val="005F671B"/>
    <w:rsid w:val="005F6C25"/>
    <w:rsid w:val="005F6CF4"/>
    <w:rsid w:val="005F70FA"/>
    <w:rsid w:val="005F7C4B"/>
    <w:rsid w:val="006000A7"/>
    <w:rsid w:val="006000B5"/>
    <w:rsid w:val="0060075E"/>
    <w:rsid w:val="006008FE"/>
    <w:rsid w:val="00600DE0"/>
    <w:rsid w:val="006010BC"/>
    <w:rsid w:val="00601253"/>
    <w:rsid w:val="006013F1"/>
    <w:rsid w:val="00601415"/>
    <w:rsid w:val="00601C45"/>
    <w:rsid w:val="00601DA4"/>
    <w:rsid w:val="00601FA1"/>
    <w:rsid w:val="006020F4"/>
    <w:rsid w:val="00602344"/>
    <w:rsid w:val="0060245F"/>
    <w:rsid w:val="00602566"/>
    <w:rsid w:val="00602596"/>
    <w:rsid w:val="00603395"/>
    <w:rsid w:val="00603A66"/>
    <w:rsid w:val="00603B6F"/>
    <w:rsid w:val="00603B94"/>
    <w:rsid w:val="00603E84"/>
    <w:rsid w:val="00604176"/>
    <w:rsid w:val="00604E97"/>
    <w:rsid w:val="00605090"/>
    <w:rsid w:val="0060537E"/>
    <w:rsid w:val="00605796"/>
    <w:rsid w:val="00605812"/>
    <w:rsid w:val="00605B07"/>
    <w:rsid w:val="00605D6D"/>
    <w:rsid w:val="00605D80"/>
    <w:rsid w:val="00605DF3"/>
    <w:rsid w:val="0061030F"/>
    <w:rsid w:val="0061043D"/>
    <w:rsid w:val="00610B0D"/>
    <w:rsid w:val="00610C77"/>
    <w:rsid w:val="006111F0"/>
    <w:rsid w:val="00611E5D"/>
    <w:rsid w:val="00611EC0"/>
    <w:rsid w:val="00611FC2"/>
    <w:rsid w:val="0061248A"/>
    <w:rsid w:val="00612ECD"/>
    <w:rsid w:val="00612F87"/>
    <w:rsid w:val="00613143"/>
    <w:rsid w:val="00613533"/>
    <w:rsid w:val="00613901"/>
    <w:rsid w:val="006139BC"/>
    <w:rsid w:val="00614121"/>
    <w:rsid w:val="00614A82"/>
    <w:rsid w:val="00615102"/>
    <w:rsid w:val="006153C7"/>
    <w:rsid w:val="006161C7"/>
    <w:rsid w:val="00616311"/>
    <w:rsid w:val="006163D8"/>
    <w:rsid w:val="00616A1E"/>
    <w:rsid w:val="00616D3D"/>
    <w:rsid w:val="00616F3A"/>
    <w:rsid w:val="00616FF3"/>
    <w:rsid w:val="00617DD9"/>
    <w:rsid w:val="00617EC8"/>
    <w:rsid w:val="00617F9E"/>
    <w:rsid w:val="0062006B"/>
    <w:rsid w:val="00620503"/>
    <w:rsid w:val="00620C76"/>
    <w:rsid w:val="00620F24"/>
    <w:rsid w:val="006214EF"/>
    <w:rsid w:val="00621980"/>
    <w:rsid w:val="00621B8E"/>
    <w:rsid w:val="00622642"/>
    <w:rsid w:val="0062331D"/>
    <w:rsid w:val="006237E2"/>
    <w:rsid w:val="00624552"/>
    <w:rsid w:val="00624ABA"/>
    <w:rsid w:val="00624CB1"/>
    <w:rsid w:val="00625156"/>
    <w:rsid w:val="00625801"/>
    <w:rsid w:val="00625E32"/>
    <w:rsid w:val="00625F27"/>
    <w:rsid w:val="00626805"/>
    <w:rsid w:val="00627DC8"/>
    <w:rsid w:val="00630131"/>
    <w:rsid w:val="00630391"/>
    <w:rsid w:val="00630D65"/>
    <w:rsid w:val="00630E7C"/>
    <w:rsid w:val="0063103E"/>
    <w:rsid w:val="00631C18"/>
    <w:rsid w:val="00632263"/>
    <w:rsid w:val="006324EE"/>
    <w:rsid w:val="00632C47"/>
    <w:rsid w:val="006333F4"/>
    <w:rsid w:val="00633420"/>
    <w:rsid w:val="00633424"/>
    <w:rsid w:val="006334E9"/>
    <w:rsid w:val="006335A7"/>
    <w:rsid w:val="006338B4"/>
    <w:rsid w:val="00633D04"/>
    <w:rsid w:val="0063478C"/>
    <w:rsid w:val="0063494C"/>
    <w:rsid w:val="00634A4F"/>
    <w:rsid w:val="00634E32"/>
    <w:rsid w:val="00634FA3"/>
    <w:rsid w:val="006351E8"/>
    <w:rsid w:val="00635AA9"/>
    <w:rsid w:val="00635D9A"/>
    <w:rsid w:val="006361A4"/>
    <w:rsid w:val="00636221"/>
    <w:rsid w:val="00636BE4"/>
    <w:rsid w:val="00636C75"/>
    <w:rsid w:val="00636C93"/>
    <w:rsid w:val="00636D4C"/>
    <w:rsid w:val="00636DBA"/>
    <w:rsid w:val="00636EE9"/>
    <w:rsid w:val="00636F7B"/>
    <w:rsid w:val="00636F95"/>
    <w:rsid w:val="006373AA"/>
    <w:rsid w:val="006376CA"/>
    <w:rsid w:val="00637DFC"/>
    <w:rsid w:val="00637FFB"/>
    <w:rsid w:val="00640207"/>
    <w:rsid w:val="006408F4"/>
    <w:rsid w:val="00640BCE"/>
    <w:rsid w:val="00640D73"/>
    <w:rsid w:val="00640EF8"/>
    <w:rsid w:val="00640F74"/>
    <w:rsid w:val="006413B4"/>
    <w:rsid w:val="006417DC"/>
    <w:rsid w:val="00641DF4"/>
    <w:rsid w:val="006420CA"/>
    <w:rsid w:val="00643356"/>
    <w:rsid w:val="00643535"/>
    <w:rsid w:val="0064373A"/>
    <w:rsid w:val="0064439A"/>
    <w:rsid w:val="00644D22"/>
    <w:rsid w:val="00644D64"/>
    <w:rsid w:val="0064562F"/>
    <w:rsid w:val="006456C0"/>
    <w:rsid w:val="006458E6"/>
    <w:rsid w:val="00645949"/>
    <w:rsid w:val="00645ED4"/>
    <w:rsid w:val="006466E2"/>
    <w:rsid w:val="00646F6F"/>
    <w:rsid w:val="006470B7"/>
    <w:rsid w:val="00647973"/>
    <w:rsid w:val="00647B34"/>
    <w:rsid w:val="00647C64"/>
    <w:rsid w:val="00647E58"/>
    <w:rsid w:val="0065036B"/>
    <w:rsid w:val="0065067D"/>
    <w:rsid w:val="00650725"/>
    <w:rsid w:val="00650915"/>
    <w:rsid w:val="00650961"/>
    <w:rsid w:val="0065099B"/>
    <w:rsid w:val="0065107B"/>
    <w:rsid w:val="00651111"/>
    <w:rsid w:val="006512B3"/>
    <w:rsid w:val="006514AB"/>
    <w:rsid w:val="006518AA"/>
    <w:rsid w:val="006519CA"/>
    <w:rsid w:val="006524A9"/>
    <w:rsid w:val="00652C56"/>
    <w:rsid w:val="0065312B"/>
    <w:rsid w:val="0065351B"/>
    <w:rsid w:val="0065355D"/>
    <w:rsid w:val="00653785"/>
    <w:rsid w:val="006540D3"/>
    <w:rsid w:val="00655054"/>
    <w:rsid w:val="006551B4"/>
    <w:rsid w:val="00655586"/>
    <w:rsid w:val="00655870"/>
    <w:rsid w:val="00655A8A"/>
    <w:rsid w:val="00656087"/>
    <w:rsid w:val="00656270"/>
    <w:rsid w:val="0065703C"/>
    <w:rsid w:val="0065718C"/>
    <w:rsid w:val="0065729E"/>
    <w:rsid w:val="0065759F"/>
    <w:rsid w:val="00657BB2"/>
    <w:rsid w:val="00657C74"/>
    <w:rsid w:val="00660142"/>
    <w:rsid w:val="00660C59"/>
    <w:rsid w:val="0066277B"/>
    <w:rsid w:val="00662AF3"/>
    <w:rsid w:val="00662B08"/>
    <w:rsid w:val="00662D4A"/>
    <w:rsid w:val="00662E28"/>
    <w:rsid w:val="0066317B"/>
    <w:rsid w:val="00663229"/>
    <w:rsid w:val="006637C7"/>
    <w:rsid w:val="0066386A"/>
    <w:rsid w:val="00663C72"/>
    <w:rsid w:val="00663CA3"/>
    <w:rsid w:val="00663D65"/>
    <w:rsid w:val="0066423B"/>
    <w:rsid w:val="006646CB"/>
    <w:rsid w:val="006648E7"/>
    <w:rsid w:val="00664ED7"/>
    <w:rsid w:val="00665290"/>
    <w:rsid w:val="006655DE"/>
    <w:rsid w:val="006657C4"/>
    <w:rsid w:val="006658D2"/>
    <w:rsid w:val="00665CF8"/>
    <w:rsid w:val="00665D48"/>
    <w:rsid w:val="00666241"/>
    <w:rsid w:val="006673E0"/>
    <w:rsid w:val="0066752F"/>
    <w:rsid w:val="006678A0"/>
    <w:rsid w:val="00667A5F"/>
    <w:rsid w:val="00670376"/>
    <w:rsid w:val="00670465"/>
    <w:rsid w:val="00670579"/>
    <w:rsid w:val="00670B42"/>
    <w:rsid w:val="00670C77"/>
    <w:rsid w:val="006713A7"/>
    <w:rsid w:val="0067173F"/>
    <w:rsid w:val="0067213C"/>
    <w:rsid w:val="00672333"/>
    <w:rsid w:val="0067299F"/>
    <w:rsid w:val="006729E5"/>
    <w:rsid w:val="00672B2A"/>
    <w:rsid w:val="006734A7"/>
    <w:rsid w:val="006736F7"/>
    <w:rsid w:val="0067380B"/>
    <w:rsid w:val="006738E5"/>
    <w:rsid w:val="00673AC5"/>
    <w:rsid w:val="006745E6"/>
    <w:rsid w:val="006748B5"/>
    <w:rsid w:val="00674DA3"/>
    <w:rsid w:val="00675138"/>
    <w:rsid w:val="00675304"/>
    <w:rsid w:val="006754FF"/>
    <w:rsid w:val="00675A6B"/>
    <w:rsid w:val="00675DC9"/>
    <w:rsid w:val="00675F01"/>
    <w:rsid w:val="0067600D"/>
    <w:rsid w:val="006765EE"/>
    <w:rsid w:val="00676DA9"/>
    <w:rsid w:val="00676EDC"/>
    <w:rsid w:val="006771AD"/>
    <w:rsid w:val="00677251"/>
    <w:rsid w:val="006772E3"/>
    <w:rsid w:val="006776FE"/>
    <w:rsid w:val="00677818"/>
    <w:rsid w:val="00677AEE"/>
    <w:rsid w:val="00677E12"/>
    <w:rsid w:val="00677E98"/>
    <w:rsid w:val="00677EBB"/>
    <w:rsid w:val="00680028"/>
    <w:rsid w:val="00680035"/>
    <w:rsid w:val="0068069D"/>
    <w:rsid w:val="006807C7"/>
    <w:rsid w:val="00680960"/>
    <w:rsid w:val="0068137D"/>
    <w:rsid w:val="0068270C"/>
    <w:rsid w:val="00682838"/>
    <w:rsid w:val="00682A9D"/>
    <w:rsid w:val="00682C10"/>
    <w:rsid w:val="00682D40"/>
    <w:rsid w:val="0068387C"/>
    <w:rsid w:val="00683966"/>
    <w:rsid w:val="00683B78"/>
    <w:rsid w:val="00683C22"/>
    <w:rsid w:val="00683E56"/>
    <w:rsid w:val="00684FE9"/>
    <w:rsid w:val="006856FC"/>
    <w:rsid w:val="00685CE3"/>
    <w:rsid w:val="00685E41"/>
    <w:rsid w:val="00685F61"/>
    <w:rsid w:val="00686517"/>
    <w:rsid w:val="0068672B"/>
    <w:rsid w:val="00686778"/>
    <w:rsid w:val="006868AC"/>
    <w:rsid w:val="00686FA0"/>
    <w:rsid w:val="0068737E"/>
    <w:rsid w:val="006873F8"/>
    <w:rsid w:val="006877D3"/>
    <w:rsid w:val="00690104"/>
    <w:rsid w:val="00690EF1"/>
    <w:rsid w:val="00690FEB"/>
    <w:rsid w:val="0069187F"/>
    <w:rsid w:val="00691B59"/>
    <w:rsid w:val="00691C5B"/>
    <w:rsid w:val="00691E61"/>
    <w:rsid w:val="00692057"/>
    <w:rsid w:val="0069240F"/>
    <w:rsid w:val="0069342F"/>
    <w:rsid w:val="00693A3C"/>
    <w:rsid w:val="006946AB"/>
    <w:rsid w:val="00694986"/>
    <w:rsid w:val="00694AB7"/>
    <w:rsid w:val="00694E18"/>
    <w:rsid w:val="0069613E"/>
    <w:rsid w:val="00696295"/>
    <w:rsid w:val="006962B5"/>
    <w:rsid w:val="00696AEF"/>
    <w:rsid w:val="00696E51"/>
    <w:rsid w:val="0069737A"/>
    <w:rsid w:val="006976AE"/>
    <w:rsid w:val="00697B14"/>
    <w:rsid w:val="00697EAF"/>
    <w:rsid w:val="00697F76"/>
    <w:rsid w:val="006A036A"/>
    <w:rsid w:val="006A117E"/>
    <w:rsid w:val="006A1A24"/>
    <w:rsid w:val="006A24C9"/>
    <w:rsid w:val="006A26B8"/>
    <w:rsid w:val="006A272F"/>
    <w:rsid w:val="006A2BC3"/>
    <w:rsid w:val="006A373A"/>
    <w:rsid w:val="006A3A98"/>
    <w:rsid w:val="006A3BF1"/>
    <w:rsid w:val="006A48FC"/>
    <w:rsid w:val="006A4BB7"/>
    <w:rsid w:val="006A4F92"/>
    <w:rsid w:val="006A52C0"/>
    <w:rsid w:val="006A581C"/>
    <w:rsid w:val="006A668A"/>
    <w:rsid w:val="006A679B"/>
    <w:rsid w:val="006A7406"/>
    <w:rsid w:val="006A740A"/>
    <w:rsid w:val="006A768C"/>
    <w:rsid w:val="006A77C7"/>
    <w:rsid w:val="006A7956"/>
    <w:rsid w:val="006A7AB2"/>
    <w:rsid w:val="006B034B"/>
    <w:rsid w:val="006B0B1D"/>
    <w:rsid w:val="006B0BFA"/>
    <w:rsid w:val="006B0C5A"/>
    <w:rsid w:val="006B0D15"/>
    <w:rsid w:val="006B153F"/>
    <w:rsid w:val="006B15BC"/>
    <w:rsid w:val="006B16BF"/>
    <w:rsid w:val="006B1CA0"/>
    <w:rsid w:val="006B290A"/>
    <w:rsid w:val="006B2917"/>
    <w:rsid w:val="006B2E4A"/>
    <w:rsid w:val="006B2E99"/>
    <w:rsid w:val="006B2F8D"/>
    <w:rsid w:val="006B31A8"/>
    <w:rsid w:val="006B34AE"/>
    <w:rsid w:val="006B383C"/>
    <w:rsid w:val="006B3A80"/>
    <w:rsid w:val="006B3C13"/>
    <w:rsid w:val="006B3D63"/>
    <w:rsid w:val="006B4430"/>
    <w:rsid w:val="006B4591"/>
    <w:rsid w:val="006B4DDC"/>
    <w:rsid w:val="006B4DF1"/>
    <w:rsid w:val="006B4EA4"/>
    <w:rsid w:val="006B523D"/>
    <w:rsid w:val="006B5552"/>
    <w:rsid w:val="006B5E74"/>
    <w:rsid w:val="006B61C6"/>
    <w:rsid w:val="006B61DA"/>
    <w:rsid w:val="006B629B"/>
    <w:rsid w:val="006B6787"/>
    <w:rsid w:val="006B6D45"/>
    <w:rsid w:val="006B6DBF"/>
    <w:rsid w:val="006B6EE1"/>
    <w:rsid w:val="006B781C"/>
    <w:rsid w:val="006C0049"/>
    <w:rsid w:val="006C026D"/>
    <w:rsid w:val="006C02B8"/>
    <w:rsid w:val="006C1EB5"/>
    <w:rsid w:val="006C1FA2"/>
    <w:rsid w:val="006C1FAC"/>
    <w:rsid w:val="006C2409"/>
    <w:rsid w:val="006C2C20"/>
    <w:rsid w:val="006C2C37"/>
    <w:rsid w:val="006C2F4F"/>
    <w:rsid w:val="006C310B"/>
    <w:rsid w:val="006C3338"/>
    <w:rsid w:val="006C34AD"/>
    <w:rsid w:val="006C3698"/>
    <w:rsid w:val="006C38C5"/>
    <w:rsid w:val="006C3F52"/>
    <w:rsid w:val="006C509C"/>
    <w:rsid w:val="006C5359"/>
    <w:rsid w:val="006C53CD"/>
    <w:rsid w:val="006C56B2"/>
    <w:rsid w:val="006C5B5E"/>
    <w:rsid w:val="006C5D1D"/>
    <w:rsid w:val="006C688E"/>
    <w:rsid w:val="006C6963"/>
    <w:rsid w:val="006C751B"/>
    <w:rsid w:val="006C79F0"/>
    <w:rsid w:val="006C7D68"/>
    <w:rsid w:val="006C7EAF"/>
    <w:rsid w:val="006C7EEB"/>
    <w:rsid w:val="006C7FE8"/>
    <w:rsid w:val="006D0012"/>
    <w:rsid w:val="006D040A"/>
    <w:rsid w:val="006D0BEA"/>
    <w:rsid w:val="006D0D61"/>
    <w:rsid w:val="006D0DAE"/>
    <w:rsid w:val="006D18B2"/>
    <w:rsid w:val="006D1AFE"/>
    <w:rsid w:val="006D1D8A"/>
    <w:rsid w:val="006D1E01"/>
    <w:rsid w:val="006D1EEA"/>
    <w:rsid w:val="006D2143"/>
    <w:rsid w:val="006D218D"/>
    <w:rsid w:val="006D244B"/>
    <w:rsid w:val="006D2A92"/>
    <w:rsid w:val="006D3040"/>
    <w:rsid w:val="006D306A"/>
    <w:rsid w:val="006D335E"/>
    <w:rsid w:val="006D4747"/>
    <w:rsid w:val="006D4902"/>
    <w:rsid w:val="006D4BBC"/>
    <w:rsid w:val="006D4EEF"/>
    <w:rsid w:val="006D4FA4"/>
    <w:rsid w:val="006D57E8"/>
    <w:rsid w:val="006D57F0"/>
    <w:rsid w:val="006D5995"/>
    <w:rsid w:val="006D5B9D"/>
    <w:rsid w:val="006D6061"/>
    <w:rsid w:val="006D60D2"/>
    <w:rsid w:val="006D624B"/>
    <w:rsid w:val="006D640A"/>
    <w:rsid w:val="006D65A1"/>
    <w:rsid w:val="006D6A5D"/>
    <w:rsid w:val="006D6C98"/>
    <w:rsid w:val="006D77FD"/>
    <w:rsid w:val="006D7BEE"/>
    <w:rsid w:val="006D7C4B"/>
    <w:rsid w:val="006D7C75"/>
    <w:rsid w:val="006E0081"/>
    <w:rsid w:val="006E01CA"/>
    <w:rsid w:val="006E0588"/>
    <w:rsid w:val="006E08C4"/>
    <w:rsid w:val="006E0B39"/>
    <w:rsid w:val="006E0BAC"/>
    <w:rsid w:val="006E0D20"/>
    <w:rsid w:val="006E0DC3"/>
    <w:rsid w:val="006E0F99"/>
    <w:rsid w:val="006E168D"/>
    <w:rsid w:val="006E16EC"/>
    <w:rsid w:val="006E186B"/>
    <w:rsid w:val="006E1919"/>
    <w:rsid w:val="006E1B5C"/>
    <w:rsid w:val="006E1CA6"/>
    <w:rsid w:val="006E1CEE"/>
    <w:rsid w:val="006E2011"/>
    <w:rsid w:val="006E275A"/>
    <w:rsid w:val="006E2919"/>
    <w:rsid w:val="006E2B84"/>
    <w:rsid w:val="006E2C4B"/>
    <w:rsid w:val="006E2F52"/>
    <w:rsid w:val="006E312A"/>
    <w:rsid w:val="006E3504"/>
    <w:rsid w:val="006E474E"/>
    <w:rsid w:val="006E4AD8"/>
    <w:rsid w:val="006E4BDB"/>
    <w:rsid w:val="006E55D7"/>
    <w:rsid w:val="006E55E3"/>
    <w:rsid w:val="006E627D"/>
    <w:rsid w:val="006E6547"/>
    <w:rsid w:val="006E6869"/>
    <w:rsid w:val="006E69DB"/>
    <w:rsid w:val="006E6C19"/>
    <w:rsid w:val="006E741B"/>
    <w:rsid w:val="006E7685"/>
    <w:rsid w:val="006E799D"/>
    <w:rsid w:val="006E7B86"/>
    <w:rsid w:val="006F0082"/>
    <w:rsid w:val="006F02A9"/>
    <w:rsid w:val="006F05BD"/>
    <w:rsid w:val="006F07CC"/>
    <w:rsid w:val="006F14C6"/>
    <w:rsid w:val="006F15BF"/>
    <w:rsid w:val="006F1702"/>
    <w:rsid w:val="006F1BD6"/>
    <w:rsid w:val="006F26D4"/>
    <w:rsid w:val="006F2792"/>
    <w:rsid w:val="006F2A16"/>
    <w:rsid w:val="006F2D44"/>
    <w:rsid w:val="006F3354"/>
    <w:rsid w:val="006F36D1"/>
    <w:rsid w:val="006F476C"/>
    <w:rsid w:val="006F5015"/>
    <w:rsid w:val="006F57E6"/>
    <w:rsid w:val="006F6007"/>
    <w:rsid w:val="006F61CF"/>
    <w:rsid w:val="006F6581"/>
    <w:rsid w:val="006F6592"/>
    <w:rsid w:val="006F6B91"/>
    <w:rsid w:val="006F6BA7"/>
    <w:rsid w:val="006F6F5B"/>
    <w:rsid w:val="006F7C28"/>
    <w:rsid w:val="006F7E2D"/>
    <w:rsid w:val="007002C4"/>
    <w:rsid w:val="007007C5"/>
    <w:rsid w:val="00700B9A"/>
    <w:rsid w:val="00700F5D"/>
    <w:rsid w:val="007010F8"/>
    <w:rsid w:val="007015ED"/>
    <w:rsid w:val="00701F36"/>
    <w:rsid w:val="00702843"/>
    <w:rsid w:val="00702E8E"/>
    <w:rsid w:val="00703ED7"/>
    <w:rsid w:val="00704C63"/>
    <w:rsid w:val="00704E29"/>
    <w:rsid w:val="00704E32"/>
    <w:rsid w:val="00705256"/>
    <w:rsid w:val="007058EE"/>
    <w:rsid w:val="00705FDF"/>
    <w:rsid w:val="007060DA"/>
    <w:rsid w:val="007061D2"/>
    <w:rsid w:val="007064A1"/>
    <w:rsid w:val="0070687A"/>
    <w:rsid w:val="007068FE"/>
    <w:rsid w:val="00707616"/>
    <w:rsid w:val="00707929"/>
    <w:rsid w:val="00710078"/>
    <w:rsid w:val="00710394"/>
    <w:rsid w:val="00710E4D"/>
    <w:rsid w:val="00710E65"/>
    <w:rsid w:val="0071160A"/>
    <w:rsid w:val="00711C35"/>
    <w:rsid w:val="00711E47"/>
    <w:rsid w:val="007128EB"/>
    <w:rsid w:val="00712CB1"/>
    <w:rsid w:val="007131DD"/>
    <w:rsid w:val="00713594"/>
    <w:rsid w:val="00713662"/>
    <w:rsid w:val="00713942"/>
    <w:rsid w:val="00713B0C"/>
    <w:rsid w:val="00714558"/>
    <w:rsid w:val="0071481F"/>
    <w:rsid w:val="00714989"/>
    <w:rsid w:val="00714C81"/>
    <w:rsid w:val="00714D9B"/>
    <w:rsid w:val="00714DBD"/>
    <w:rsid w:val="0071509B"/>
    <w:rsid w:val="00715996"/>
    <w:rsid w:val="00715CA7"/>
    <w:rsid w:val="00715FC6"/>
    <w:rsid w:val="007167F6"/>
    <w:rsid w:val="00716A19"/>
    <w:rsid w:val="00716DC7"/>
    <w:rsid w:val="007170E2"/>
    <w:rsid w:val="00717139"/>
    <w:rsid w:val="007171C5"/>
    <w:rsid w:val="007171C6"/>
    <w:rsid w:val="00717BE9"/>
    <w:rsid w:val="0072016D"/>
    <w:rsid w:val="007203D1"/>
    <w:rsid w:val="00720442"/>
    <w:rsid w:val="007205DF"/>
    <w:rsid w:val="00720661"/>
    <w:rsid w:val="007211C8"/>
    <w:rsid w:val="00721A7D"/>
    <w:rsid w:val="007220D9"/>
    <w:rsid w:val="00722FDA"/>
    <w:rsid w:val="007237A9"/>
    <w:rsid w:val="00723932"/>
    <w:rsid w:val="00723F8E"/>
    <w:rsid w:val="0072400C"/>
    <w:rsid w:val="00724174"/>
    <w:rsid w:val="007245FE"/>
    <w:rsid w:val="007249B2"/>
    <w:rsid w:val="00724B90"/>
    <w:rsid w:val="00724E90"/>
    <w:rsid w:val="007257C0"/>
    <w:rsid w:val="00725D11"/>
    <w:rsid w:val="00725E74"/>
    <w:rsid w:val="007260AE"/>
    <w:rsid w:val="00726344"/>
    <w:rsid w:val="0072634B"/>
    <w:rsid w:val="007266CB"/>
    <w:rsid w:val="00727064"/>
    <w:rsid w:val="0072706B"/>
    <w:rsid w:val="007274A9"/>
    <w:rsid w:val="00727EF1"/>
    <w:rsid w:val="00730545"/>
    <w:rsid w:val="00730A4B"/>
    <w:rsid w:val="00730C7B"/>
    <w:rsid w:val="0073121D"/>
    <w:rsid w:val="00731268"/>
    <w:rsid w:val="00732EDC"/>
    <w:rsid w:val="00733070"/>
    <w:rsid w:val="00733562"/>
    <w:rsid w:val="0073374D"/>
    <w:rsid w:val="007337A5"/>
    <w:rsid w:val="007342BE"/>
    <w:rsid w:val="00734908"/>
    <w:rsid w:val="007350C0"/>
    <w:rsid w:val="00735230"/>
    <w:rsid w:val="00735366"/>
    <w:rsid w:val="0073614C"/>
    <w:rsid w:val="00736654"/>
    <w:rsid w:val="007367B4"/>
    <w:rsid w:val="00736964"/>
    <w:rsid w:val="007369A0"/>
    <w:rsid w:val="00737147"/>
    <w:rsid w:val="00737491"/>
    <w:rsid w:val="00737AEE"/>
    <w:rsid w:val="00737B23"/>
    <w:rsid w:val="00737F66"/>
    <w:rsid w:val="007405AB"/>
    <w:rsid w:val="00740758"/>
    <w:rsid w:val="007408A0"/>
    <w:rsid w:val="00740D54"/>
    <w:rsid w:val="00740D87"/>
    <w:rsid w:val="0074117E"/>
    <w:rsid w:val="007411EF"/>
    <w:rsid w:val="007412FE"/>
    <w:rsid w:val="0074171E"/>
    <w:rsid w:val="00741959"/>
    <w:rsid w:val="00741C5B"/>
    <w:rsid w:val="00741F06"/>
    <w:rsid w:val="0074222D"/>
    <w:rsid w:val="007427F3"/>
    <w:rsid w:val="00742A19"/>
    <w:rsid w:val="00742A44"/>
    <w:rsid w:val="00742EAD"/>
    <w:rsid w:val="00743091"/>
    <w:rsid w:val="007432FE"/>
    <w:rsid w:val="00743359"/>
    <w:rsid w:val="00743D9C"/>
    <w:rsid w:val="00743F09"/>
    <w:rsid w:val="00743F50"/>
    <w:rsid w:val="007440BC"/>
    <w:rsid w:val="00744949"/>
    <w:rsid w:val="00744FBE"/>
    <w:rsid w:val="00745138"/>
    <w:rsid w:val="0074538E"/>
    <w:rsid w:val="0074549B"/>
    <w:rsid w:val="007457F2"/>
    <w:rsid w:val="00745ABC"/>
    <w:rsid w:val="00746466"/>
    <w:rsid w:val="00746AF2"/>
    <w:rsid w:val="00746E5F"/>
    <w:rsid w:val="00746E7D"/>
    <w:rsid w:val="0074754E"/>
    <w:rsid w:val="007502D6"/>
    <w:rsid w:val="0075036E"/>
    <w:rsid w:val="007507D5"/>
    <w:rsid w:val="0075098E"/>
    <w:rsid w:val="00750DA1"/>
    <w:rsid w:val="007511AD"/>
    <w:rsid w:val="007512B4"/>
    <w:rsid w:val="00751D72"/>
    <w:rsid w:val="00752230"/>
    <w:rsid w:val="00752334"/>
    <w:rsid w:val="007524C0"/>
    <w:rsid w:val="00752830"/>
    <w:rsid w:val="00752B5E"/>
    <w:rsid w:val="007530C3"/>
    <w:rsid w:val="0075325F"/>
    <w:rsid w:val="0075372F"/>
    <w:rsid w:val="00753B3C"/>
    <w:rsid w:val="00753D7C"/>
    <w:rsid w:val="00754383"/>
    <w:rsid w:val="007547A9"/>
    <w:rsid w:val="00755971"/>
    <w:rsid w:val="00755FE9"/>
    <w:rsid w:val="00756090"/>
    <w:rsid w:val="0075652C"/>
    <w:rsid w:val="007566EB"/>
    <w:rsid w:val="0075794E"/>
    <w:rsid w:val="00757A45"/>
    <w:rsid w:val="00757C05"/>
    <w:rsid w:val="00757DA0"/>
    <w:rsid w:val="00760059"/>
    <w:rsid w:val="00760502"/>
    <w:rsid w:val="00760691"/>
    <w:rsid w:val="007606F4"/>
    <w:rsid w:val="007607FD"/>
    <w:rsid w:val="007609EB"/>
    <w:rsid w:val="00760BB9"/>
    <w:rsid w:val="00760CE1"/>
    <w:rsid w:val="00761373"/>
    <w:rsid w:val="00761FB3"/>
    <w:rsid w:val="0076223E"/>
    <w:rsid w:val="007623ED"/>
    <w:rsid w:val="007627E0"/>
    <w:rsid w:val="00762848"/>
    <w:rsid w:val="00762D5B"/>
    <w:rsid w:val="0076302F"/>
    <w:rsid w:val="007630B3"/>
    <w:rsid w:val="0076349B"/>
    <w:rsid w:val="007639BB"/>
    <w:rsid w:val="00763CD7"/>
    <w:rsid w:val="00764295"/>
    <w:rsid w:val="007644F3"/>
    <w:rsid w:val="007648E5"/>
    <w:rsid w:val="00764AC0"/>
    <w:rsid w:val="00764D6C"/>
    <w:rsid w:val="0076511E"/>
    <w:rsid w:val="007651D0"/>
    <w:rsid w:val="00765421"/>
    <w:rsid w:val="00765536"/>
    <w:rsid w:val="007655EC"/>
    <w:rsid w:val="00765A12"/>
    <w:rsid w:val="00765B09"/>
    <w:rsid w:val="00765E19"/>
    <w:rsid w:val="007660C1"/>
    <w:rsid w:val="0076619C"/>
    <w:rsid w:val="007668FB"/>
    <w:rsid w:val="00766D8B"/>
    <w:rsid w:val="0076776E"/>
    <w:rsid w:val="00767868"/>
    <w:rsid w:val="00767C3E"/>
    <w:rsid w:val="00771531"/>
    <w:rsid w:val="007716D6"/>
    <w:rsid w:val="007717A5"/>
    <w:rsid w:val="00771969"/>
    <w:rsid w:val="00771FCC"/>
    <w:rsid w:val="0077228B"/>
    <w:rsid w:val="0077269E"/>
    <w:rsid w:val="007728EB"/>
    <w:rsid w:val="00772A1F"/>
    <w:rsid w:val="0077348D"/>
    <w:rsid w:val="00773721"/>
    <w:rsid w:val="00773A42"/>
    <w:rsid w:val="00773C6F"/>
    <w:rsid w:val="00773C84"/>
    <w:rsid w:val="007746D8"/>
    <w:rsid w:val="00774A64"/>
    <w:rsid w:val="00774B0C"/>
    <w:rsid w:val="00774B99"/>
    <w:rsid w:val="00774D10"/>
    <w:rsid w:val="0077524D"/>
    <w:rsid w:val="00775525"/>
    <w:rsid w:val="00775B54"/>
    <w:rsid w:val="00775BF0"/>
    <w:rsid w:val="00775F16"/>
    <w:rsid w:val="00776162"/>
    <w:rsid w:val="00776ADA"/>
    <w:rsid w:val="00776E7F"/>
    <w:rsid w:val="00776F82"/>
    <w:rsid w:val="007770D9"/>
    <w:rsid w:val="0077741D"/>
    <w:rsid w:val="00777701"/>
    <w:rsid w:val="007777EE"/>
    <w:rsid w:val="00777D29"/>
    <w:rsid w:val="00777D66"/>
    <w:rsid w:val="00777DB4"/>
    <w:rsid w:val="00777FB4"/>
    <w:rsid w:val="00780CBF"/>
    <w:rsid w:val="00780D02"/>
    <w:rsid w:val="007812F4"/>
    <w:rsid w:val="007820BE"/>
    <w:rsid w:val="00782D36"/>
    <w:rsid w:val="00782DF5"/>
    <w:rsid w:val="00782EC3"/>
    <w:rsid w:val="00783285"/>
    <w:rsid w:val="007832B2"/>
    <w:rsid w:val="00783F83"/>
    <w:rsid w:val="00784534"/>
    <w:rsid w:val="00784B22"/>
    <w:rsid w:val="00784E75"/>
    <w:rsid w:val="00784EAE"/>
    <w:rsid w:val="00785098"/>
    <w:rsid w:val="007851E8"/>
    <w:rsid w:val="00785236"/>
    <w:rsid w:val="007852DC"/>
    <w:rsid w:val="007858B3"/>
    <w:rsid w:val="00785C6E"/>
    <w:rsid w:val="00785C74"/>
    <w:rsid w:val="00785FF2"/>
    <w:rsid w:val="007869A5"/>
    <w:rsid w:val="007876E9"/>
    <w:rsid w:val="0078775B"/>
    <w:rsid w:val="00787E16"/>
    <w:rsid w:val="007900CE"/>
    <w:rsid w:val="00790499"/>
    <w:rsid w:val="00790C75"/>
    <w:rsid w:val="00790C76"/>
    <w:rsid w:val="00791154"/>
    <w:rsid w:val="007913D9"/>
    <w:rsid w:val="0079179E"/>
    <w:rsid w:val="00791B88"/>
    <w:rsid w:val="00791CA7"/>
    <w:rsid w:val="00791ECC"/>
    <w:rsid w:val="0079203B"/>
    <w:rsid w:val="00792521"/>
    <w:rsid w:val="00792914"/>
    <w:rsid w:val="007929E6"/>
    <w:rsid w:val="00792A2F"/>
    <w:rsid w:val="00792F98"/>
    <w:rsid w:val="0079346C"/>
    <w:rsid w:val="007934E1"/>
    <w:rsid w:val="00793B71"/>
    <w:rsid w:val="007943C2"/>
    <w:rsid w:val="00794741"/>
    <w:rsid w:val="00794CCB"/>
    <w:rsid w:val="00794FE8"/>
    <w:rsid w:val="00795132"/>
    <w:rsid w:val="007952F2"/>
    <w:rsid w:val="00795693"/>
    <w:rsid w:val="00795937"/>
    <w:rsid w:val="00795BE6"/>
    <w:rsid w:val="007961BE"/>
    <w:rsid w:val="0079631F"/>
    <w:rsid w:val="00797801"/>
    <w:rsid w:val="00797A02"/>
    <w:rsid w:val="007A002F"/>
    <w:rsid w:val="007A025D"/>
    <w:rsid w:val="007A0938"/>
    <w:rsid w:val="007A1012"/>
    <w:rsid w:val="007A13C0"/>
    <w:rsid w:val="007A1647"/>
    <w:rsid w:val="007A1648"/>
    <w:rsid w:val="007A1654"/>
    <w:rsid w:val="007A1A79"/>
    <w:rsid w:val="007A1B8D"/>
    <w:rsid w:val="007A2143"/>
    <w:rsid w:val="007A2209"/>
    <w:rsid w:val="007A24BE"/>
    <w:rsid w:val="007A287F"/>
    <w:rsid w:val="007A2927"/>
    <w:rsid w:val="007A2B72"/>
    <w:rsid w:val="007A2F27"/>
    <w:rsid w:val="007A3124"/>
    <w:rsid w:val="007A31D0"/>
    <w:rsid w:val="007A3207"/>
    <w:rsid w:val="007A382D"/>
    <w:rsid w:val="007A3831"/>
    <w:rsid w:val="007A408C"/>
    <w:rsid w:val="007A41A7"/>
    <w:rsid w:val="007A4896"/>
    <w:rsid w:val="007A48C9"/>
    <w:rsid w:val="007A52F9"/>
    <w:rsid w:val="007A5BC1"/>
    <w:rsid w:val="007A6270"/>
    <w:rsid w:val="007A64FB"/>
    <w:rsid w:val="007A673E"/>
    <w:rsid w:val="007A674E"/>
    <w:rsid w:val="007A6888"/>
    <w:rsid w:val="007A6B19"/>
    <w:rsid w:val="007A6EAD"/>
    <w:rsid w:val="007A729F"/>
    <w:rsid w:val="007A73EE"/>
    <w:rsid w:val="007B04A9"/>
    <w:rsid w:val="007B068D"/>
    <w:rsid w:val="007B09A4"/>
    <w:rsid w:val="007B0B8F"/>
    <w:rsid w:val="007B0CE2"/>
    <w:rsid w:val="007B0D15"/>
    <w:rsid w:val="007B1E5A"/>
    <w:rsid w:val="007B1E97"/>
    <w:rsid w:val="007B31A4"/>
    <w:rsid w:val="007B3382"/>
    <w:rsid w:val="007B37D2"/>
    <w:rsid w:val="007B38C4"/>
    <w:rsid w:val="007B3FE5"/>
    <w:rsid w:val="007B4508"/>
    <w:rsid w:val="007B4918"/>
    <w:rsid w:val="007B4A68"/>
    <w:rsid w:val="007B4BD1"/>
    <w:rsid w:val="007B4C06"/>
    <w:rsid w:val="007B4FA2"/>
    <w:rsid w:val="007B5034"/>
    <w:rsid w:val="007B57A1"/>
    <w:rsid w:val="007B5EF6"/>
    <w:rsid w:val="007B6241"/>
    <w:rsid w:val="007B71E4"/>
    <w:rsid w:val="007B7421"/>
    <w:rsid w:val="007C0066"/>
    <w:rsid w:val="007C0A8D"/>
    <w:rsid w:val="007C0B33"/>
    <w:rsid w:val="007C1360"/>
    <w:rsid w:val="007C2345"/>
    <w:rsid w:val="007C2E00"/>
    <w:rsid w:val="007C2E8E"/>
    <w:rsid w:val="007C2F92"/>
    <w:rsid w:val="007C320A"/>
    <w:rsid w:val="007C476B"/>
    <w:rsid w:val="007C507E"/>
    <w:rsid w:val="007C52F4"/>
    <w:rsid w:val="007C5D43"/>
    <w:rsid w:val="007C5DFA"/>
    <w:rsid w:val="007C6DD5"/>
    <w:rsid w:val="007C7016"/>
    <w:rsid w:val="007C72DC"/>
    <w:rsid w:val="007C7517"/>
    <w:rsid w:val="007C787B"/>
    <w:rsid w:val="007C7B08"/>
    <w:rsid w:val="007C7F60"/>
    <w:rsid w:val="007D03B6"/>
    <w:rsid w:val="007D03FD"/>
    <w:rsid w:val="007D0654"/>
    <w:rsid w:val="007D0881"/>
    <w:rsid w:val="007D0FC2"/>
    <w:rsid w:val="007D1668"/>
    <w:rsid w:val="007D1762"/>
    <w:rsid w:val="007D1D01"/>
    <w:rsid w:val="007D206D"/>
    <w:rsid w:val="007D245F"/>
    <w:rsid w:val="007D2992"/>
    <w:rsid w:val="007D2DBD"/>
    <w:rsid w:val="007D2F6A"/>
    <w:rsid w:val="007D2FC9"/>
    <w:rsid w:val="007D3156"/>
    <w:rsid w:val="007D3395"/>
    <w:rsid w:val="007D36B9"/>
    <w:rsid w:val="007D37CC"/>
    <w:rsid w:val="007D383E"/>
    <w:rsid w:val="007D3935"/>
    <w:rsid w:val="007D3EFB"/>
    <w:rsid w:val="007D4032"/>
    <w:rsid w:val="007D4373"/>
    <w:rsid w:val="007D479F"/>
    <w:rsid w:val="007D49F1"/>
    <w:rsid w:val="007D54C4"/>
    <w:rsid w:val="007D597B"/>
    <w:rsid w:val="007D5BDF"/>
    <w:rsid w:val="007D5CFB"/>
    <w:rsid w:val="007D5F3F"/>
    <w:rsid w:val="007D606F"/>
    <w:rsid w:val="007D642B"/>
    <w:rsid w:val="007D669C"/>
    <w:rsid w:val="007D66EE"/>
    <w:rsid w:val="007D6DEA"/>
    <w:rsid w:val="007D7083"/>
    <w:rsid w:val="007D7322"/>
    <w:rsid w:val="007D7E91"/>
    <w:rsid w:val="007E0177"/>
    <w:rsid w:val="007E0690"/>
    <w:rsid w:val="007E082D"/>
    <w:rsid w:val="007E0F3D"/>
    <w:rsid w:val="007E1027"/>
    <w:rsid w:val="007E12A7"/>
    <w:rsid w:val="007E1388"/>
    <w:rsid w:val="007E18F6"/>
    <w:rsid w:val="007E1E25"/>
    <w:rsid w:val="007E2194"/>
    <w:rsid w:val="007E2615"/>
    <w:rsid w:val="007E26EF"/>
    <w:rsid w:val="007E2B6C"/>
    <w:rsid w:val="007E2BD5"/>
    <w:rsid w:val="007E320A"/>
    <w:rsid w:val="007E356A"/>
    <w:rsid w:val="007E4154"/>
    <w:rsid w:val="007E47EF"/>
    <w:rsid w:val="007E495C"/>
    <w:rsid w:val="007E4981"/>
    <w:rsid w:val="007E4FBC"/>
    <w:rsid w:val="007E525A"/>
    <w:rsid w:val="007E588A"/>
    <w:rsid w:val="007E5CE2"/>
    <w:rsid w:val="007E5CF8"/>
    <w:rsid w:val="007E62F7"/>
    <w:rsid w:val="007E69FC"/>
    <w:rsid w:val="007E6AA2"/>
    <w:rsid w:val="007E6B98"/>
    <w:rsid w:val="007E74DC"/>
    <w:rsid w:val="007E7563"/>
    <w:rsid w:val="007E7974"/>
    <w:rsid w:val="007E79CE"/>
    <w:rsid w:val="007E7BB1"/>
    <w:rsid w:val="007E7CCD"/>
    <w:rsid w:val="007E7FC8"/>
    <w:rsid w:val="007F00FB"/>
    <w:rsid w:val="007F052C"/>
    <w:rsid w:val="007F0579"/>
    <w:rsid w:val="007F0B1F"/>
    <w:rsid w:val="007F0DD3"/>
    <w:rsid w:val="007F0DDB"/>
    <w:rsid w:val="007F0FF3"/>
    <w:rsid w:val="007F136B"/>
    <w:rsid w:val="007F1641"/>
    <w:rsid w:val="007F178F"/>
    <w:rsid w:val="007F17CC"/>
    <w:rsid w:val="007F181F"/>
    <w:rsid w:val="007F1A56"/>
    <w:rsid w:val="007F3401"/>
    <w:rsid w:val="007F35DA"/>
    <w:rsid w:val="007F4195"/>
    <w:rsid w:val="007F4942"/>
    <w:rsid w:val="007F4FBC"/>
    <w:rsid w:val="007F5528"/>
    <w:rsid w:val="007F59A2"/>
    <w:rsid w:val="007F5CEC"/>
    <w:rsid w:val="007F5F81"/>
    <w:rsid w:val="007F5F99"/>
    <w:rsid w:val="007F60DE"/>
    <w:rsid w:val="007F6331"/>
    <w:rsid w:val="007F637C"/>
    <w:rsid w:val="007F65AE"/>
    <w:rsid w:val="007F6814"/>
    <w:rsid w:val="007F69F3"/>
    <w:rsid w:val="007F70DE"/>
    <w:rsid w:val="007F722B"/>
    <w:rsid w:val="0080000B"/>
    <w:rsid w:val="0080160D"/>
    <w:rsid w:val="0080191D"/>
    <w:rsid w:val="00801B4A"/>
    <w:rsid w:val="00801E38"/>
    <w:rsid w:val="00801E5A"/>
    <w:rsid w:val="00802112"/>
    <w:rsid w:val="00802177"/>
    <w:rsid w:val="0080260C"/>
    <w:rsid w:val="008028FB"/>
    <w:rsid w:val="00802903"/>
    <w:rsid w:val="008034AA"/>
    <w:rsid w:val="008037C5"/>
    <w:rsid w:val="008037F6"/>
    <w:rsid w:val="00803CBB"/>
    <w:rsid w:val="00803DA5"/>
    <w:rsid w:val="00804BC5"/>
    <w:rsid w:val="0080543C"/>
    <w:rsid w:val="00805802"/>
    <w:rsid w:val="008059EE"/>
    <w:rsid w:val="008059FC"/>
    <w:rsid w:val="00805EBD"/>
    <w:rsid w:val="00806043"/>
    <w:rsid w:val="008060A5"/>
    <w:rsid w:val="008060D3"/>
    <w:rsid w:val="008066EC"/>
    <w:rsid w:val="008066FB"/>
    <w:rsid w:val="008067F8"/>
    <w:rsid w:val="00806915"/>
    <w:rsid w:val="0080700E"/>
    <w:rsid w:val="00807710"/>
    <w:rsid w:val="0080781A"/>
    <w:rsid w:val="00807A12"/>
    <w:rsid w:val="00807E7B"/>
    <w:rsid w:val="008106C4"/>
    <w:rsid w:val="008108AA"/>
    <w:rsid w:val="008108CB"/>
    <w:rsid w:val="008111D6"/>
    <w:rsid w:val="00811745"/>
    <w:rsid w:val="00811E9A"/>
    <w:rsid w:val="0081227D"/>
    <w:rsid w:val="008123D8"/>
    <w:rsid w:val="00812CC5"/>
    <w:rsid w:val="00812DD2"/>
    <w:rsid w:val="00812EE5"/>
    <w:rsid w:val="008133E9"/>
    <w:rsid w:val="00813B35"/>
    <w:rsid w:val="00813B3E"/>
    <w:rsid w:val="00814B85"/>
    <w:rsid w:val="00814BDD"/>
    <w:rsid w:val="00814F3A"/>
    <w:rsid w:val="0081679A"/>
    <w:rsid w:val="008173DB"/>
    <w:rsid w:val="00817A04"/>
    <w:rsid w:val="00817E9E"/>
    <w:rsid w:val="008203FB"/>
    <w:rsid w:val="008204EF"/>
    <w:rsid w:val="00820A20"/>
    <w:rsid w:val="00820C48"/>
    <w:rsid w:val="00820FC4"/>
    <w:rsid w:val="0082158E"/>
    <w:rsid w:val="00821A99"/>
    <w:rsid w:val="00822756"/>
    <w:rsid w:val="00822A21"/>
    <w:rsid w:val="00823299"/>
    <w:rsid w:val="00823873"/>
    <w:rsid w:val="00823A9D"/>
    <w:rsid w:val="00823D80"/>
    <w:rsid w:val="00824809"/>
    <w:rsid w:val="00824C50"/>
    <w:rsid w:val="00824D9D"/>
    <w:rsid w:val="00825088"/>
    <w:rsid w:val="00825525"/>
    <w:rsid w:val="008258F4"/>
    <w:rsid w:val="00825A48"/>
    <w:rsid w:val="00825F02"/>
    <w:rsid w:val="0082638A"/>
    <w:rsid w:val="008264EB"/>
    <w:rsid w:val="0082672C"/>
    <w:rsid w:val="00826972"/>
    <w:rsid w:val="00826C8F"/>
    <w:rsid w:val="00826F1D"/>
    <w:rsid w:val="0082700D"/>
    <w:rsid w:val="00827069"/>
    <w:rsid w:val="008273D2"/>
    <w:rsid w:val="0082780B"/>
    <w:rsid w:val="0082788A"/>
    <w:rsid w:val="008279BC"/>
    <w:rsid w:val="00827F65"/>
    <w:rsid w:val="00830150"/>
    <w:rsid w:val="008302B1"/>
    <w:rsid w:val="00830302"/>
    <w:rsid w:val="008305F8"/>
    <w:rsid w:val="00830811"/>
    <w:rsid w:val="008309AF"/>
    <w:rsid w:val="00830C05"/>
    <w:rsid w:val="008310F6"/>
    <w:rsid w:val="008311AA"/>
    <w:rsid w:val="00831390"/>
    <w:rsid w:val="00831F1D"/>
    <w:rsid w:val="00832045"/>
    <w:rsid w:val="008327BF"/>
    <w:rsid w:val="008328CB"/>
    <w:rsid w:val="00832C0E"/>
    <w:rsid w:val="00832C53"/>
    <w:rsid w:val="00832C96"/>
    <w:rsid w:val="00832E26"/>
    <w:rsid w:val="00833B19"/>
    <w:rsid w:val="00833C60"/>
    <w:rsid w:val="00833CE1"/>
    <w:rsid w:val="008342B2"/>
    <w:rsid w:val="00834300"/>
    <w:rsid w:val="00834CE6"/>
    <w:rsid w:val="00835456"/>
    <w:rsid w:val="00835593"/>
    <w:rsid w:val="00835D9F"/>
    <w:rsid w:val="00835F78"/>
    <w:rsid w:val="008365B8"/>
    <w:rsid w:val="00836B2A"/>
    <w:rsid w:val="00836C84"/>
    <w:rsid w:val="00837815"/>
    <w:rsid w:val="00837D41"/>
    <w:rsid w:val="0084005E"/>
    <w:rsid w:val="0084016C"/>
    <w:rsid w:val="0084061A"/>
    <w:rsid w:val="0084080F"/>
    <w:rsid w:val="00840B1E"/>
    <w:rsid w:val="00840BC2"/>
    <w:rsid w:val="00840C6F"/>
    <w:rsid w:val="00840F8C"/>
    <w:rsid w:val="008410EF"/>
    <w:rsid w:val="00841140"/>
    <w:rsid w:val="0084176A"/>
    <w:rsid w:val="00841D33"/>
    <w:rsid w:val="008422E6"/>
    <w:rsid w:val="008429F5"/>
    <w:rsid w:val="00842F13"/>
    <w:rsid w:val="008435C9"/>
    <w:rsid w:val="008435F7"/>
    <w:rsid w:val="0084368A"/>
    <w:rsid w:val="00843A5D"/>
    <w:rsid w:val="00844D66"/>
    <w:rsid w:val="008452AC"/>
    <w:rsid w:val="00845792"/>
    <w:rsid w:val="008459AA"/>
    <w:rsid w:val="00845ADD"/>
    <w:rsid w:val="008460E3"/>
    <w:rsid w:val="008462C3"/>
    <w:rsid w:val="0084663A"/>
    <w:rsid w:val="008466BE"/>
    <w:rsid w:val="00846D72"/>
    <w:rsid w:val="00846D87"/>
    <w:rsid w:val="00846DBF"/>
    <w:rsid w:val="00847488"/>
    <w:rsid w:val="00847675"/>
    <w:rsid w:val="00847721"/>
    <w:rsid w:val="0084793A"/>
    <w:rsid w:val="00847B72"/>
    <w:rsid w:val="00850040"/>
    <w:rsid w:val="0085030A"/>
    <w:rsid w:val="008506C3"/>
    <w:rsid w:val="00850ACD"/>
    <w:rsid w:val="00850E21"/>
    <w:rsid w:val="00851353"/>
    <w:rsid w:val="00851538"/>
    <w:rsid w:val="008516C0"/>
    <w:rsid w:val="008518EC"/>
    <w:rsid w:val="0085231C"/>
    <w:rsid w:val="008523FA"/>
    <w:rsid w:val="00852760"/>
    <w:rsid w:val="00852925"/>
    <w:rsid w:val="0085299F"/>
    <w:rsid w:val="00852EC6"/>
    <w:rsid w:val="008537B4"/>
    <w:rsid w:val="00853D82"/>
    <w:rsid w:val="008547AD"/>
    <w:rsid w:val="00854A50"/>
    <w:rsid w:val="00854C93"/>
    <w:rsid w:val="00854D06"/>
    <w:rsid w:val="00854D24"/>
    <w:rsid w:val="008554CE"/>
    <w:rsid w:val="0085559A"/>
    <w:rsid w:val="00855E30"/>
    <w:rsid w:val="00855E41"/>
    <w:rsid w:val="00855EAE"/>
    <w:rsid w:val="008566CA"/>
    <w:rsid w:val="008568E7"/>
    <w:rsid w:val="00856BF7"/>
    <w:rsid w:val="00856C97"/>
    <w:rsid w:val="008572E4"/>
    <w:rsid w:val="008576F1"/>
    <w:rsid w:val="008576F7"/>
    <w:rsid w:val="00857893"/>
    <w:rsid w:val="00857A32"/>
    <w:rsid w:val="00857BDF"/>
    <w:rsid w:val="0086028B"/>
    <w:rsid w:val="008606E8"/>
    <w:rsid w:val="00860DE7"/>
    <w:rsid w:val="00861063"/>
    <w:rsid w:val="0086173B"/>
    <w:rsid w:val="00861DAE"/>
    <w:rsid w:val="00861FFC"/>
    <w:rsid w:val="008620F9"/>
    <w:rsid w:val="00862948"/>
    <w:rsid w:val="00863EB5"/>
    <w:rsid w:val="00864C74"/>
    <w:rsid w:val="0086527A"/>
    <w:rsid w:val="008653C3"/>
    <w:rsid w:val="00865620"/>
    <w:rsid w:val="00865C60"/>
    <w:rsid w:val="00866393"/>
    <w:rsid w:val="00866B24"/>
    <w:rsid w:val="008674F3"/>
    <w:rsid w:val="00870946"/>
    <w:rsid w:val="00870A5E"/>
    <w:rsid w:val="00870D42"/>
    <w:rsid w:val="00871067"/>
    <w:rsid w:val="00871484"/>
    <w:rsid w:val="00871A49"/>
    <w:rsid w:val="00872175"/>
    <w:rsid w:val="0087232E"/>
    <w:rsid w:val="00873021"/>
    <w:rsid w:val="00873AC1"/>
    <w:rsid w:val="00873E30"/>
    <w:rsid w:val="00874222"/>
    <w:rsid w:val="008745D9"/>
    <w:rsid w:val="00874B79"/>
    <w:rsid w:val="00874E01"/>
    <w:rsid w:val="00874E23"/>
    <w:rsid w:val="008753DF"/>
    <w:rsid w:val="0087559E"/>
    <w:rsid w:val="0087574C"/>
    <w:rsid w:val="00875BB8"/>
    <w:rsid w:val="0087614A"/>
    <w:rsid w:val="0087617E"/>
    <w:rsid w:val="008766E0"/>
    <w:rsid w:val="00876D06"/>
    <w:rsid w:val="00876D42"/>
    <w:rsid w:val="0087724D"/>
    <w:rsid w:val="00877501"/>
    <w:rsid w:val="00877567"/>
    <w:rsid w:val="008775F2"/>
    <w:rsid w:val="00877766"/>
    <w:rsid w:val="00880178"/>
    <w:rsid w:val="0088028F"/>
    <w:rsid w:val="008803C3"/>
    <w:rsid w:val="00880466"/>
    <w:rsid w:val="00880541"/>
    <w:rsid w:val="00880CE1"/>
    <w:rsid w:val="008810D4"/>
    <w:rsid w:val="00881249"/>
    <w:rsid w:val="00881532"/>
    <w:rsid w:val="008816C3"/>
    <w:rsid w:val="008818B5"/>
    <w:rsid w:val="00881B7D"/>
    <w:rsid w:val="00882511"/>
    <w:rsid w:val="00882515"/>
    <w:rsid w:val="008826F0"/>
    <w:rsid w:val="00882DC7"/>
    <w:rsid w:val="00882EA7"/>
    <w:rsid w:val="0088373C"/>
    <w:rsid w:val="008841DD"/>
    <w:rsid w:val="0088479A"/>
    <w:rsid w:val="008849DD"/>
    <w:rsid w:val="008849FD"/>
    <w:rsid w:val="00884AA8"/>
    <w:rsid w:val="00884E4F"/>
    <w:rsid w:val="00885022"/>
    <w:rsid w:val="008850E4"/>
    <w:rsid w:val="00885208"/>
    <w:rsid w:val="0088550A"/>
    <w:rsid w:val="00885579"/>
    <w:rsid w:val="008855E4"/>
    <w:rsid w:val="00885AEE"/>
    <w:rsid w:val="00885DB4"/>
    <w:rsid w:val="00885E8E"/>
    <w:rsid w:val="00885FA1"/>
    <w:rsid w:val="008868B1"/>
    <w:rsid w:val="00887EFC"/>
    <w:rsid w:val="00890092"/>
    <w:rsid w:val="00890152"/>
    <w:rsid w:val="00890445"/>
    <w:rsid w:val="00890497"/>
    <w:rsid w:val="0089086A"/>
    <w:rsid w:val="00890920"/>
    <w:rsid w:val="00890C8B"/>
    <w:rsid w:val="0089119B"/>
    <w:rsid w:val="008912C3"/>
    <w:rsid w:val="0089135A"/>
    <w:rsid w:val="008915E8"/>
    <w:rsid w:val="00891863"/>
    <w:rsid w:val="008918E3"/>
    <w:rsid w:val="00891B8D"/>
    <w:rsid w:val="00891DF4"/>
    <w:rsid w:val="00892851"/>
    <w:rsid w:val="00892950"/>
    <w:rsid w:val="0089302C"/>
    <w:rsid w:val="0089315C"/>
    <w:rsid w:val="00893242"/>
    <w:rsid w:val="0089331C"/>
    <w:rsid w:val="008935AD"/>
    <w:rsid w:val="00893A53"/>
    <w:rsid w:val="00893D9A"/>
    <w:rsid w:val="008940A6"/>
    <w:rsid w:val="0089413B"/>
    <w:rsid w:val="008943F3"/>
    <w:rsid w:val="00894497"/>
    <w:rsid w:val="008949F1"/>
    <w:rsid w:val="00894B77"/>
    <w:rsid w:val="00894C15"/>
    <w:rsid w:val="00894EDF"/>
    <w:rsid w:val="00894EF8"/>
    <w:rsid w:val="0089579D"/>
    <w:rsid w:val="00895867"/>
    <w:rsid w:val="008958D6"/>
    <w:rsid w:val="008962AD"/>
    <w:rsid w:val="008965DA"/>
    <w:rsid w:val="00896BCD"/>
    <w:rsid w:val="00896D58"/>
    <w:rsid w:val="00896E38"/>
    <w:rsid w:val="00897111"/>
    <w:rsid w:val="00897E6A"/>
    <w:rsid w:val="00897EBD"/>
    <w:rsid w:val="00897F0B"/>
    <w:rsid w:val="00897F3D"/>
    <w:rsid w:val="008A00F0"/>
    <w:rsid w:val="008A05B8"/>
    <w:rsid w:val="008A06C4"/>
    <w:rsid w:val="008A06D6"/>
    <w:rsid w:val="008A0BC2"/>
    <w:rsid w:val="008A0C5B"/>
    <w:rsid w:val="008A0D34"/>
    <w:rsid w:val="008A116E"/>
    <w:rsid w:val="008A15D2"/>
    <w:rsid w:val="008A1730"/>
    <w:rsid w:val="008A1BEF"/>
    <w:rsid w:val="008A2C6F"/>
    <w:rsid w:val="008A31B1"/>
    <w:rsid w:val="008A34CC"/>
    <w:rsid w:val="008A34DC"/>
    <w:rsid w:val="008A35AF"/>
    <w:rsid w:val="008A375C"/>
    <w:rsid w:val="008A3D6E"/>
    <w:rsid w:val="008A3E3C"/>
    <w:rsid w:val="008A40C6"/>
    <w:rsid w:val="008A44F4"/>
    <w:rsid w:val="008A44FF"/>
    <w:rsid w:val="008A4EE4"/>
    <w:rsid w:val="008A5318"/>
    <w:rsid w:val="008A5745"/>
    <w:rsid w:val="008A5B18"/>
    <w:rsid w:val="008A6A3A"/>
    <w:rsid w:val="008A6D63"/>
    <w:rsid w:val="008A6F0F"/>
    <w:rsid w:val="008A6FE6"/>
    <w:rsid w:val="008A76DF"/>
    <w:rsid w:val="008A78E9"/>
    <w:rsid w:val="008A792E"/>
    <w:rsid w:val="008A7D3D"/>
    <w:rsid w:val="008A7F46"/>
    <w:rsid w:val="008B02B4"/>
    <w:rsid w:val="008B03AF"/>
    <w:rsid w:val="008B04CF"/>
    <w:rsid w:val="008B0D8A"/>
    <w:rsid w:val="008B1083"/>
    <w:rsid w:val="008B1293"/>
    <w:rsid w:val="008B153E"/>
    <w:rsid w:val="008B1627"/>
    <w:rsid w:val="008B1A29"/>
    <w:rsid w:val="008B1FB3"/>
    <w:rsid w:val="008B227E"/>
    <w:rsid w:val="008B22EC"/>
    <w:rsid w:val="008B2568"/>
    <w:rsid w:val="008B29D9"/>
    <w:rsid w:val="008B2A88"/>
    <w:rsid w:val="008B3423"/>
    <w:rsid w:val="008B3640"/>
    <w:rsid w:val="008B3A66"/>
    <w:rsid w:val="008B3C57"/>
    <w:rsid w:val="008B3E30"/>
    <w:rsid w:val="008B415D"/>
    <w:rsid w:val="008B425C"/>
    <w:rsid w:val="008B4403"/>
    <w:rsid w:val="008B4479"/>
    <w:rsid w:val="008B465F"/>
    <w:rsid w:val="008B4C7C"/>
    <w:rsid w:val="008B536D"/>
    <w:rsid w:val="008B5A18"/>
    <w:rsid w:val="008B6081"/>
    <w:rsid w:val="008B66E2"/>
    <w:rsid w:val="008B688D"/>
    <w:rsid w:val="008B6C66"/>
    <w:rsid w:val="008B6D05"/>
    <w:rsid w:val="008B6F35"/>
    <w:rsid w:val="008B77B8"/>
    <w:rsid w:val="008B797D"/>
    <w:rsid w:val="008B7D64"/>
    <w:rsid w:val="008B7ECE"/>
    <w:rsid w:val="008B7F44"/>
    <w:rsid w:val="008C0BCB"/>
    <w:rsid w:val="008C0CBB"/>
    <w:rsid w:val="008C0D51"/>
    <w:rsid w:val="008C10FD"/>
    <w:rsid w:val="008C14EA"/>
    <w:rsid w:val="008C19D9"/>
    <w:rsid w:val="008C1C68"/>
    <w:rsid w:val="008C2008"/>
    <w:rsid w:val="008C21AA"/>
    <w:rsid w:val="008C2257"/>
    <w:rsid w:val="008C2413"/>
    <w:rsid w:val="008C2530"/>
    <w:rsid w:val="008C298B"/>
    <w:rsid w:val="008C2C3A"/>
    <w:rsid w:val="008C2EE3"/>
    <w:rsid w:val="008C2F80"/>
    <w:rsid w:val="008C3049"/>
    <w:rsid w:val="008C33DE"/>
    <w:rsid w:val="008C3702"/>
    <w:rsid w:val="008C374A"/>
    <w:rsid w:val="008C3C61"/>
    <w:rsid w:val="008C3F73"/>
    <w:rsid w:val="008C4277"/>
    <w:rsid w:val="008C4496"/>
    <w:rsid w:val="008C455F"/>
    <w:rsid w:val="008C4AFD"/>
    <w:rsid w:val="008C5A09"/>
    <w:rsid w:val="008C6042"/>
    <w:rsid w:val="008C6210"/>
    <w:rsid w:val="008C62DB"/>
    <w:rsid w:val="008C7145"/>
    <w:rsid w:val="008C7346"/>
    <w:rsid w:val="008C7A6C"/>
    <w:rsid w:val="008D0086"/>
    <w:rsid w:val="008D0236"/>
    <w:rsid w:val="008D0441"/>
    <w:rsid w:val="008D08C0"/>
    <w:rsid w:val="008D0B7C"/>
    <w:rsid w:val="008D0C10"/>
    <w:rsid w:val="008D136A"/>
    <w:rsid w:val="008D158C"/>
    <w:rsid w:val="008D19CC"/>
    <w:rsid w:val="008D217D"/>
    <w:rsid w:val="008D223F"/>
    <w:rsid w:val="008D2255"/>
    <w:rsid w:val="008D27AB"/>
    <w:rsid w:val="008D3321"/>
    <w:rsid w:val="008D35CA"/>
    <w:rsid w:val="008D3EB6"/>
    <w:rsid w:val="008D4911"/>
    <w:rsid w:val="008D4F64"/>
    <w:rsid w:val="008D5138"/>
    <w:rsid w:val="008D60DA"/>
    <w:rsid w:val="008D62E8"/>
    <w:rsid w:val="008D63D3"/>
    <w:rsid w:val="008D6742"/>
    <w:rsid w:val="008D68E6"/>
    <w:rsid w:val="008D6D51"/>
    <w:rsid w:val="008D6EB1"/>
    <w:rsid w:val="008D7DC2"/>
    <w:rsid w:val="008D7E2F"/>
    <w:rsid w:val="008D7E9A"/>
    <w:rsid w:val="008E01D1"/>
    <w:rsid w:val="008E03B1"/>
    <w:rsid w:val="008E0495"/>
    <w:rsid w:val="008E0542"/>
    <w:rsid w:val="008E0B0C"/>
    <w:rsid w:val="008E0D45"/>
    <w:rsid w:val="008E0DBE"/>
    <w:rsid w:val="008E135B"/>
    <w:rsid w:val="008E182B"/>
    <w:rsid w:val="008E1B75"/>
    <w:rsid w:val="008E24E6"/>
    <w:rsid w:val="008E26B2"/>
    <w:rsid w:val="008E2AFF"/>
    <w:rsid w:val="008E2BA5"/>
    <w:rsid w:val="008E3373"/>
    <w:rsid w:val="008E344A"/>
    <w:rsid w:val="008E3992"/>
    <w:rsid w:val="008E3AF5"/>
    <w:rsid w:val="008E3F43"/>
    <w:rsid w:val="008E4227"/>
    <w:rsid w:val="008E514E"/>
    <w:rsid w:val="008E577B"/>
    <w:rsid w:val="008E5BB3"/>
    <w:rsid w:val="008E5CD4"/>
    <w:rsid w:val="008E60AF"/>
    <w:rsid w:val="008E61D1"/>
    <w:rsid w:val="008E6251"/>
    <w:rsid w:val="008E6265"/>
    <w:rsid w:val="008E6267"/>
    <w:rsid w:val="008E6CCB"/>
    <w:rsid w:val="008E6CD7"/>
    <w:rsid w:val="008E7030"/>
    <w:rsid w:val="008E71C7"/>
    <w:rsid w:val="008E7229"/>
    <w:rsid w:val="008E72DD"/>
    <w:rsid w:val="008E7355"/>
    <w:rsid w:val="008E74E3"/>
    <w:rsid w:val="008E797A"/>
    <w:rsid w:val="008E7B76"/>
    <w:rsid w:val="008E7E2D"/>
    <w:rsid w:val="008E7F61"/>
    <w:rsid w:val="008F0351"/>
    <w:rsid w:val="008F0530"/>
    <w:rsid w:val="008F06AF"/>
    <w:rsid w:val="008F0798"/>
    <w:rsid w:val="008F0B94"/>
    <w:rsid w:val="008F0C06"/>
    <w:rsid w:val="008F0F75"/>
    <w:rsid w:val="008F127B"/>
    <w:rsid w:val="008F12F0"/>
    <w:rsid w:val="008F1D0B"/>
    <w:rsid w:val="008F2067"/>
    <w:rsid w:val="008F25EA"/>
    <w:rsid w:val="008F28B6"/>
    <w:rsid w:val="008F2B47"/>
    <w:rsid w:val="008F2EA0"/>
    <w:rsid w:val="008F30CB"/>
    <w:rsid w:val="008F3293"/>
    <w:rsid w:val="008F34F6"/>
    <w:rsid w:val="008F3856"/>
    <w:rsid w:val="008F38FF"/>
    <w:rsid w:val="008F3913"/>
    <w:rsid w:val="008F396C"/>
    <w:rsid w:val="008F3DCB"/>
    <w:rsid w:val="008F3EBA"/>
    <w:rsid w:val="008F4346"/>
    <w:rsid w:val="008F4ADC"/>
    <w:rsid w:val="008F50C8"/>
    <w:rsid w:val="008F5184"/>
    <w:rsid w:val="008F549A"/>
    <w:rsid w:val="008F54ED"/>
    <w:rsid w:val="008F5BCA"/>
    <w:rsid w:val="008F6371"/>
    <w:rsid w:val="008F6552"/>
    <w:rsid w:val="008F6ACD"/>
    <w:rsid w:val="008F6C85"/>
    <w:rsid w:val="008F6FD0"/>
    <w:rsid w:val="008F7259"/>
    <w:rsid w:val="008F7722"/>
    <w:rsid w:val="008F786A"/>
    <w:rsid w:val="008F79F1"/>
    <w:rsid w:val="008F79F3"/>
    <w:rsid w:val="008F7A8C"/>
    <w:rsid w:val="008F7B09"/>
    <w:rsid w:val="008F7C32"/>
    <w:rsid w:val="008F7F39"/>
    <w:rsid w:val="008F7F45"/>
    <w:rsid w:val="0090051C"/>
    <w:rsid w:val="009009D6"/>
    <w:rsid w:val="00900B41"/>
    <w:rsid w:val="00900D35"/>
    <w:rsid w:val="00901615"/>
    <w:rsid w:val="00901B22"/>
    <w:rsid w:val="00902477"/>
    <w:rsid w:val="0090299D"/>
    <w:rsid w:val="00903158"/>
    <w:rsid w:val="0090333C"/>
    <w:rsid w:val="009034D1"/>
    <w:rsid w:val="009035E7"/>
    <w:rsid w:val="009038F8"/>
    <w:rsid w:val="00903B6E"/>
    <w:rsid w:val="00904F03"/>
    <w:rsid w:val="009051BC"/>
    <w:rsid w:val="009057B1"/>
    <w:rsid w:val="00905988"/>
    <w:rsid w:val="00905ECE"/>
    <w:rsid w:val="00905EE9"/>
    <w:rsid w:val="00906DD4"/>
    <w:rsid w:val="00907139"/>
    <w:rsid w:val="00907973"/>
    <w:rsid w:val="00907A6B"/>
    <w:rsid w:val="00907F6A"/>
    <w:rsid w:val="009105CD"/>
    <w:rsid w:val="00910B00"/>
    <w:rsid w:val="00910E7D"/>
    <w:rsid w:val="0091123A"/>
    <w:rsid w:val="0091247D"/>
    <w:rsid w:val="009124BC"/>
    <w:rsid w:val="009134EC"/>
    <w:rsid w:val="00913704"/>
    <w:rsid w:val="009138E7"/>
    <w:rsid w:val="00913ABD"/>
    <w:rsid w:val="00913B3A"/>
    <w:rsid w:val="00913D7D"/>
    <w:rsid w:val="0091448C"/>
    <w:rsid w:val="00914BA3"/>
    <w:rsid w:val="00914F9D"/>
    <w:rsid w:val="00915064"/>
    <w:rsid w:val="009155BF"/>
    <w:rsid w:val="0091595F"/>
    <w:rsid w:val="00915D28"/>
    <w:rsid w:val="00915FC6"/>
    <w:rsid w:val="009161FF"/>
    <w:rsid w:val="009164DA"/>
    <w:rsid w:val="00916863"/>
    <w:rsid w:val="00916A51"/>
    <w:rsid w:val="00916D6A"/>
    <w:rsid w:val="00916FCF"/>
    <w:rsid w:val="009172F7"/>
    <w:rsid w:val="009177E6"/>
    <w:rsid w:val="009179B1"/>
    <w:rsid w:val="00917A4C"/>
    <w:rsid w:val="0092009E"/>
    <w:rsid w:val="009203F6"/>
    <w:rsid w:val="009205CE"/>
    <w:rsid w:val="00920814"/>
    <w:rsid w:val="00920A2C"/>
    <w:rsid w:val="00921189"/>
    <w:rsid w:val="00921343"/>
    <w:rsid w:val="0092143E"/>
    <w:rsid w:val="0092243E"/>
    <w:rsid w:val="00922481"/>
    <w:rsid w:val="00922C2C"/>
    <w:rsid w:val="00923829"/>
    <w:rsid w:val="0092383E"/>
    <w:rsid w:val="009238AF"/>
    <w:rsid w:val="009240D1"/>
    <w:rsid w:val="00924AC5"/>
    <w:rsid w:val="00925097"/>
    <w:rsid w:val="0092542D"/>
    <w:rsid w:val="009255F9"/>
    <w:rsid w:val="00925674"/>
    <w:rsid w:val="009257E1"/>
    <w:rsid w:val="00925928"/>
    <w:rsid w:val="00925C84"/>
    <w:rsid w:val="00926688"/>
    <w:rsid w:val="009269B5"/>
    <w:rsid w:val="00926B3C"/>
    <w:rsid w:val="00926C58"/>
    <w:rsid w:val="00926C59"/>
    <w:rsid w:val="00927606"/>
    <w:rsid w:val="00927C34"/>
    <w:rsid w:val="009300AE"/>
    <w:rsid w:val="009300FF"/>
    <w:rsid w:val="00930221"/>
    <w:rsid w:val="00931038"/>
    <w:rsid w:val="009313EC"/>
    <w:rsid w:val="00931BC4"/>
    <w:rsid w:val="00932687"/>
    <w:rsid w:val="0093296D"/>
    <w:rsid w:val="009329A1"/>
    <w:rsid w:val="00933B1A"/>
    <w:rsid w:val="00934174"/>
    <w:rsid w:val="009347C5"/>
    <w:rsid w:val="00934EAD"/>
    <w:rsid w:val="0093567E"/>
    <w:rsid w:val="00935D47"/>
    <w:rsid w:val="00936307"/>
    <w:rsid w:val="00936B5D"/>
    <w:rsid w:val="00936FA4"/>
    <w:rsid w:val="0093753A"/>
    <w:rsid w:val="0093778C"/>
    <w:rsid w:val="00937D50"/>
    <w:rsid w:val="00937F99"/>
    <w:rsid w:val="009402B7"/>
    <w:rsid w:val="0094032F"/>
    <w:rsid w:val="00940555"/>
    <w:rsid w:val="00940952"/>
    <w:rsid w:val="00940ABC"/>
    <w:rsid w:val="00940D42"/>
    <w:rsid w:val="00940E95"/>
    <w:rsid w:val="00940EF6"/>
    <w:rsid w:val="00940FB1"/>
    <w:rsid w:val="009413D0"/>
    <w:rsid w:val="00941426"/>
    <w:rsid w:val="0094143A"/>
    <w:rsid w:val="00941590"/>
    <w:rsid w:val="009416BA"/>
    <w:rsid w:val="00942063"/>
    <w:rsid w:val="00942A79"/>
    <w:rsid w:val="00943A26"/>
    <w:rsid w:val="00943C8C"/>
    <w:rsid w:val="00943CB8"/>
    <w:rsid w:val="00943E4A"/>
    <w:rsid w:val="00943E9E"/>
    <w:rsid w:val="00944A93"/>
    <w:rsid w:val="00944A96"/>
    <w:rsid w:val="00946236"/>
    <w:rsid w:val="0094689D"/>
    <w:rsid w:val="00946934"/>
    <w:rsid w:val="009469F4"/>
    <w:rsid w:val="00946CBE"/>
    <w:rsid w:val="00946D63"/>
    <w:rsid w:val="00946DF8"/>
    <w:rsid w:val="00947185"/>
    <w:rsid w:val="00947A5B"/>
    <w:rsid w:val="00947B16"/>
    <w:rsid w:val="00947C53"/>
    <w:rsid w:val="009506CB"/>
    <w:rsid w:val="00950D36"/>
    <w:rsid w:val="0095168C"/>
    <w:rsid w:val="00951AB9"/>
    <w:rsid w:val="00951C8B"/>
    <w:rsid w:val="00951E33"/>
    <w:rsid w:val="00951E5A"/>
    <w:rsid w:val="0095278D"/>
    <w:rsid w:val="00953581"/>
    <w:rsid w:val="00953815"/>
    <w:rsid w:val="00953CD8"/>
    <w:rsid w:val="00953D68"/>
    <w:rsid w:val="009540BE"/>
    <w:rsid w:val="00954321"/>
    <w:rsid w:val="0095439D"/>
    <w:rsid w:val="0095472F"/>
    <w:rsid w:val="0095529E"/>
    <w:rsid w:val="0095559B"/>
    <w:rsid w:val="009555D2"/>
    <w:rsid w:val="00955688"/>
    <w:rsid w:val="00955E9C"/>
    <w:rsid w:val="0095608F"/>
    <w:rsid w:val="00956517"/>
    <w:rsid w:val="009574FF"/>
    <w:rsid w:val="00957F67"/>
    <w:rsid w:val="00960863"/>
    <w:rsid w:val="00960B35"/>
    <w:rsid w:val="00960BFE"/>
    <w:rsid w:val="00961902"/>
    <w:rsid w:val="00961C5E"/>
    <w:rsid w:val="00961CB1"/>
    <w:rsid w:val="00961D0F"/>
    <w:rsid w:val="009620AE"/>
    <w:rsid w:val="00962111"/>
    <w:rsid w:val="00962132"/>
    <w:rsid w:val="00962257"/>
    <w:rsid w:val="00962544"/>
    <w:rsid w:val="00962A3E"/>
    <w:rsid w:val="00962D55"/>
    <w:rsid w:val="00963467"/>
    <w:rsid w:val="0096360D"/>
    <w:rsid w:val="009636EF"/>
    <w:rsid w:val="00963F67"/>
    <w:rsid w:val="009641E6"/>
    <w:rsid w:val="0096427B"/>
    <w:rsid w:val="0096449F"/>
    <w:rsid w:val="0096456F"/>
    <w:rsid w:val="009645BF"/>
    <w:rsid w:val="0096470E"/>
    <w:rsid w:val="0096472F"/>
    <w:rsid w:val="0096488C"/>
    <w:rsid w:val="0096491C"/>
    <w:rsid w:val="0096496A"/>
    <w:rsid w:val="0096579B"/>
    <w:rsid w:val="00965A78"/>
    <w:rsid w:val="00965BD1"/>
    <w:rsid w:val="00965C27"/>
    <w:rsid w:val="009661E7"/>
    <w:rsid w:val="009667DE"/>
    <w:rsid w:val="00966933"/>
    <w:rsid w:val="00966951"/>
    <w:rsid w:val="00967044"/>
    <w:rsid w:val="009674C6"/>
    <w:rsid w:val="00967A01"/>
    <w:rsid w:val="00970213"/>
    <w:rsid w:val="009704B5"/>
    <w:rsid w:val="0097063A"/>
    <w:rsid w:val="009707AF"/>
    <w:rsid w:val="009708A2"/>
    <w:rsid w:val="00970A0C"/>
    <w:rsid w:val="0097121F"/>
    <w:rsid w:val="0097158C"/>
    <w:rsid w:val="00971680"/>
    <w:rsid w:val="009719AB"/>
    <w:rsid w:val="00971B61"/>
    <w:rsid w:val="0097210B"/>
    <w:rsid w:val="009721B6"/>
    <w:rsid w:val="0097248F"/>
    <w:rsid w:val="009724E3"/>
    <w:rsid w:val="00973161"/>
    <w:rsid w:val="009737C5"/>
    <w:rsid w:val="009738E5"/>
    <w:rsid w:val="00973F34"/>
    <w:rsid w:val="00974038"/>
    <w:rsid w:val="00974127"/>
    <w:rsid w:val="00974675"/>
    <w:rsid w:val="009747C7"/>
    <w:rsid w:val="00974863"/>
    <w:rsid w:val="00975108"/>
    <w:rsid w:val="00975A7A"/>
    <w:rsid w:val="00975DE0"/>
    <w:rsid w:val="00976066"/>
    <w:rsid w:val="009764E6"/>
    <w:rsid w:val="00976529"/>
    <w:rsid w:val="00976DD5"/>
    <w:rsid w:val="00977136"/>
    <w:rsid w:val="009778EA"/>
    <w:rsid w:val="00977906"/>
    <w:rsid w:val="00977BF9"/>
    <w:rsid w:val="00977C6C"/>
    <w:rsid w:val="00977EF3"/>
    <w:rsid w:val="00980E80"/>
    <w:rsid w:val="00980FA7"/>
    <w:rsid w:val="00981051"/>
    <w:rsid w:val="0098182F"/>
    <w:rsid w:val="00981A3E"/>
    <w:rsid w:val="00982290"/>
    <w:rsid w:val="009823D7"/>
    <w:rsid w:val="009824CE"/>
    <w:rsid w:val="009825A1"/>
    <w:rsid w:val="009834B1"/>
    <w:rsid w:val="009837DB"/>
    <w:rsid w:val="00983A87"/>
    <w:rsid w:val="00983BB2"/>
    <w:rsid w:val="00983ED8"/>
    <w:rsid w:val="00984488"/>
    <w:rsid w:val="00984BD0"/>
    <w:rsid w:val="00984F36"/>
    <w:rsid w:val="009851DF"/>
    <w:rsid w:val="0098573E"/>
    <w:rsid w:val="009859CF"/>
    <w:rsid w:val="00985B8E"/>
    <w:rsid w:val="00985BE6"/>
    <w:rsid w:val="00986067"/>
    <w:rsid w:val="009864CC"/>
    <w:rsid w:val="009868FE"/>
    <w:rsid w:val="00986C5C"/>
    <w:rsid w:val="00987088"/>
    <w:rsid w:val="00987E5E"/>
    <w:rsid w:val="009904A3"/>
    <w:rsid w:val="0099085F"/>
    <w:rsid w:val="00990C93"/>
    <w:rsid w:val="00991750"/>
    <w:rsid w:val="00992E2B"/>
    <w:rsid w:val="00993063"/>
    <w:rsid w:val="009930D8"/>
    <w:rsid w:val="009933FD"/>
    <w:rsid w:val="009939E4"/>
    <w:rsid w:val="00993D5A"/>
    <w:rsid w:val="00993DDE"/>
    <w:rsid w:val="0099407C"/>
    <w:rsid w:val="009942AE"/>
    <w:rsid w:val="00994542"/>
    <w:rsid w:val="0099456B"/>
    <w:rsid w:val="00994589"/>
    <w:rsid w:val="0099510C"/>
    <w:rsid w:val="0099553D"/>
    <w:rsid w:val="00995839"/>
    <w:rsid w:val="00995C64"/>
    <w:rsid w:val="00995F81"/>
    <w:rsid w:val="00996176"/>
    <w:rsid w:val="00996257"/>
    <w:rsid w:val="00996694"/>
    <w:rsid w:val="00996980"/>
    <w:rsid w:val="00996A72"/>
    <w:rsid w:val="00996E28"/>
    <w:rsid w:val="0099742A"/>
    <w:rsid w:val="009974FC"/>
    <w:rsid w:val="009A07C4"/>
    <w:rsid w:val="009A08AF"/>
    <w:rsid w:val="009A0DC4"/>
    <w:rsid w:val="009A1898"/>
    <w:rsid w:val="009A211B"/>
    <w:rsid w:val="009A2569"/>
    <w:rsid w:val="009A262E"/>
    <w:rsid w:val="009A2EDF"/>
    <w:rsid w:val="009A3628"/>
    <w:rsid w:val="009A3684"/>
    <w:rsid w:val="009A3E35"/>
    <w:rsid w:val="009A3EAA"/>
    <w:rsid w:val="009A3FAC"/>
    <w:rsid w:val="009A44BC"/>
    <w:rsid w:val="009A49E6"/>
    <w:rsid w:val="009A4C60"/>
    <w:rsid w:val="009A508E"/>
    <w:rsid w:val="009A53D1"/>
    <w:rsid w:val="009A54A7"/>
    <w:rsid w:val="009A569F"/>
    <w:rsid w:val="009A5A94"/>
    <w:rsid w:val="009A5ACE"/>
    <w:rsid w:val="009A5E50"/>
    <w:rsid w:val="009A622D"/>
    <w:rsid w:val="009A6AF9"/>
    <w:rsid w:val="009A6B4B"/>
    <w:rsid w:val="009A6DC2"/>
    <w:rsid w:val="009A6DEA"/>
    <w:rsid w:val="009A7D02"/>
    <w:rsid w:val="009A7EA8"/>
    <w:rsid w:val="009B04B4"/>
    <w:rsid w:val="009B0900"/>
    <w:rsid w:val="009B0EBB"/>
    <w:rsid w:val="009B0FE6"/>
    <w:rsid w:val="009B10B6"/>
    <w:rsid w:val="009B156A"/>
    <w:rsid w:val="009B18FE"/>
    <w:rsid w:val="009B193E"/>
    <w:rsid w:val="009B2C53"/>
    <w:rsid w:val="009B2E0B"/>
    <w:rsid w:val="009B3221"/>
    <w:rsid w:val="009B346F"/>
    <w:rsid w:val="009B34F1"/>
    <w:rsid w:val="009B3678"/>
    <w:rsid w:val="009B39A2"/>
    <w:rsid w:val="009B3C70"/>
    <w:rsid w:val="009B4240"/>
    <w:rsid w:val="009B42C1"/>
    <w:rsid w:val="009B43A8"/>
    <w:rsid w:val="009B490C"/>
    <w:rsid w:val="009B4B63"/>
    <w:rsid w:val="009B5010"/>
    <w:rsid w:val="009B5140"/>
    <w:rsid w:val="009B54FC"/>
    <w:rsid w:val="009B5671"/>
    <w:rsid w:val="009B585D"/>
    <w:rsid w:val="009B5963"/>
    <w:rsid w:val="009B5B61"/>
    <w:rsid w:val="009B5C97"/>
    <w:rsid w:val="009B63F5"/>
    <w:rsid w:val="009B68F2"/>
    <w:rsid w:val="009B69D1"/>
    <w:rsid w:val="009B6CBC"/>
    <w:rsid w:val="009B71EA"/>
    <w:rsid w:val="009B72B7"/>
    <w:rsid w:val="009B738D"/>
    <w:rsid w:val="009B73FD"/>
    <w:rsid w:val="009B7443"/>
    <w:rsid w:val="009B7570"/>
    <w:rsid w:val="009B75CF"/>
    <w:rsid w:val="009B7736"/>
    <w:rsid w:val="009B7C58"/>
    <w:rsid w:val="009B7FA7"/>
    <w:rsid w:val="009C02D2"/>
    <w:rsid w:val="009C07C3"/>
    <w:rsid w:val="009C10DF"/>
    <w:rsid w:val="009C137D"/>
    <w:rsid w:val="009C18C8"/>
    <w:rsid w:val="009C1B72"/>
    <w:rsid w:val="009C1E32"/>
    <w:rsid w:val="009C22B8"/>
    <w:rsid w:val="009C2407"/>
    <w:rsid w:val="009C2679"/>
    <w:rsid w:val="009C2E3A"/>
    <w:rsid w:val="009C2E3C"/>
    <w:rsid w:val="009C3086"/>
    <w:rsid w:val="009C4001"/>
    <w:rsid w:val="009C413C"/>
    <w:rsid w:val="009C4197"/>
    <w:rsid w:val="009C4808"/>
    <w:rsid w:val="009C575B"/>
    <w:rsid w:val="009C5CA2"/>
    <w:rsid w:val="009C5D84"/>
    <w:rsid w:val="009C5E85"/>
    <w:rsid w:val="009C6277"/>
    <w:rsid w:val="009C62F9"/>
    <w:rsid w:val="009C6861"/>
    <w:rsid w:val="009C694D"/>
    <w:rsid w:val="009C7256"/>
    <w:rsid w:val="009C7787"/>
    <w:rsid w:val="009C78B5"/>
    <w:rsid w:val="009C7C91"/>
    <w:rsid w:val="009D0370"/>
    <w:rsid w:val="009D04FC"/>
    <w:rsid w:val="009D11A6"/>
    <w:rsid w:val="009D1253"/>
    <w:rsid w:val="009D12EC"/>
    <w:rsid w:val="009D258F"/>
    <w:rsid w:val="009D2B0E"/>
    <w:rsid w:val="009D4125"/>
    <w:rsid w:val="009D419C"/>
    <w:rsid w:val="009D4807"/>
    <w:rsid w:val="009D4966"/>
    <w:rsid w:val="009D496C"/>
    <w:rsid w:val="009D4B37"/>
    <w:rsid w:val="009D4DA6"/>
    <w:rsid w:val="009D5309"/>
    <w:rsid w:val="009D58C6"/>
    <w:rsid w:val="009D594E"/>
    <w:rsid w:val="009D59AA"/>
    <w:rsid w:val="009D5CB7"/>
    <w:rsid w:val="009D6BE5"/>
    <w:rsid w:val="009D6E3E"/>
    <w:rsid w:val="009D73C7"/>
    <w:rsid w:val="009D743C"/>
    <w:rsid w:val="009D74AB"/>
    <w:rsid w:val="009D7D2C"/>
    <w:rsid w:val="009D7E4A"/>
    <w:rsid w:val="009E0D0B"/>
    <w:rsid w:val="009E104E"/>
    <w:rsid w:val="009E14B4"/>
    <w:rsid w:val="009E1543"/>
    <w:rsid w:val="009E180B"/>
    <w:rsid w:val="009E196E"/>
    <w:rsid w:val="009E1E24"/>
    <w:rsid w:val="009E2091"/>
    <w:rsid w:val="009E25E4"/>
    <w:rsid w:val="009E27E7"/>
    <w:rsid w:val="009E2845"/>
    <w:rsid w:val="009E2874"/>
    <w:rsid w:val="009E28B3"/>
    <w:rsid w:val="009E2932"/>
    <w:rsid w:val="009E294F"/>
    <w:rsid w:val="009E359F"/>
    <w:rsid w:val="009E408C"/>
    <w:rsid w:val="009E40E3"/>
    <w:rsid w:val="009E4291"/>
    <w:rsid w:val="009E4454"/>
    <w:rsid w:val="009E44AC"/>
    <w:rsid w:val="009E498A"/>
    <w:rsid w:val="009E4DA9"/>
    <w:rsid w:val="009E4DCA"/>
    <w:rsid w:val="009E50DD"/>
    <w:rsid w:val="009E55D9"/>
    <w:rsid w:val="009E55F6"/>
    <w:rsid w:val="009E56BB"/>
    <w:rsid w:val="009E5C24"/>
    <w:rsid w:val="009E5CB4"/>
    <w:rsid w:val="009E66BA"/>
    <w:rsid w:val="009E67F5"/>
    <w:rsid w:val="009E6AD9"/>
    <w:rsid w:val="009E6AF3"/>
    <w:rsid w:val="009E6BC2"/>
    <w:rsid w:val="009E6C85"/>
    <w:rsid w:val="009E7164"/>
    <w:rsid w:val="009E76F2"/>
    <w:rsid w:val="009F0534"/>
    <w:rsid w:val="009F08F0"/>
    <w:rsid w:val="009F095A"/>
    <w:rsid w:val="009F0E90"/>
    <w:rsid w:val="009F0F02"/>
    <w:rsid w:val="009F1619"/>
    <w:rsid w:val="009F1665"/>
    <w:rsid w:val="009F16CA"/>
    <w:rsid w:val="009F1779"/>
    <w:rsid w:val="009F2552"/>
    <w:rsid w:val="009F29CF"/>
    <w:rsid w:val="009F2B86"/>
    <w:rsid w:val="009F2BBC"/>
    <w:rsid w:val="009F39EC"/>
    <w:rsid w:val="009F3C66"/>
    <w:rsid w:val="009F3E64"/>
    <w:rsid w:val="009F4488"/>
    <w:rsid w:val="009F47A9"/>
    <w:rsid w:val="009F48B7"/>
    <w:rsid w:val="009F4DCC"/>
    <w:rsid w:val="009F50FB"/>
    <w:rsid w:val="009F5285"/>
    <w:rsid w:val="009F5C9B"/>
    <w:rsid w:val="009F600D"/>
    <w:rsid w:val="009F69DD"/>
    <w:rsid w:val="009F6AD3"/>
    <w:rsid w:val="009F6FE8"/>
    <w:rsid w:val="009F7519"/>
    <w:rsid w:val="009F7F00"/>
    <w:rsid w:val="00A00387"/>
    <w:rsid w:val="00A0079F"/>
    <w:rsid w:val="00A00EED"/>
    <w:rsid w:val="00A014A7"/>
    <w:rsid w:val="00A01566"/>
    <w:rsid w:val="00A01914"/>
    <w:rsid w:val="00A01B61"/>
    <w:rsid w:val="00A01D0E"/>
    <w:rsid w:val="00A020AC"/>
    <w:rsid w:val="00A02134"/>
    <w:rsid w:val="00A023CA"/>
    <w:rsid w:val="00A02670"/>
    <w:rsid w:val="00A027EF"/>
    <w:rsid w:val="00A036E6"/>
    <w:rsid w:val="00A04465"/>
    <w:rsid w:val="00A04FC5"/>
    <w:rsid w:val="00A054C8"/>
    <w:rsid w:val="00A059A8"/>
    <w:rsid w:val="00A05C35"/>
    <w:rsid w:val="00A05C88"/>
    <w:rsid w:val="00A05E97"/>
    <w:rsid w:val="00A05F5A"/>
    <w:rsid w:val="00A0609A"/>
    <w:rsid w:val="00A060E2"/>
    <w:rsid w:val="00A0631E"/>
    <w:rsid w:val="00A06596"/>
    <w:rsid w:val="00A0682B"/>
    <w:rsid w:val="00A06900"/>
    <w:rsid w:val="00A06A3C"/>
    <w:rsid w:val="00A06ABB"/>
    <w:rsid w:val="00A0716B"/>
    <w:rsid w:val="00A07547"/>
    <w:rsid w:val="00A07684"/>
    <w:rsid w:val="00A07BDB"/>
    <w:rsid w:val="00A07E01"/>
    <w:rsid w:val="00A10A0E"/>
    <w:rsid w:val="00A10A35"/>
    <w:rsid w:val="00A11418"/>
    <w:rsid w:val="00A116D1"/>
    <w:rsid w:val="00A11782"/>
    <w:rsid w:val="00A119F6"/>
    <w:rsid w:val="00A11A6D"/>
    <w:rsid w:val="00A120A2"/>
    <w:rsid w:val="00A12166"/>
    <w:rsid w:val="00A123B4"/>
    <w:rsid w:val="00A124A8"/>
    <w:rsid w:val="00A12952"/>
    <w:rsid w:val="00A12B82"/>
    <w:rsid w:val="00A131B1"/>
    <w:rsid w:val="00A134F3"/>
    <w:rsid w:val="00A13577"/>
    <w:rsid w:val="00A13674"/>
    <w:rsid w:val="00A1381F"/>
    <w:rsid w:val="00A13898"/>
    <w:rsid w:val="00A139D1"/>
    <w:rsid w:val="00A13A3C"/>
    <w:rsid w:val="00A13A3D"/>
    <w:rsid w:val="00A13E71"/>
    <w:rsid w:val="00A142BC"/>
    <w:rsid w:val="00A143E4"/>
    <w:rsid w:val="00A1504E"/>
    <w:rsid w:val="00A1515C"/>
    <w:rsid w:val="00A15F0A"/>
    <w:rsid w:val="00A163A6"/>
    <w:rsid w:val="00A16562"/>
    <w:rsid w:val="00A16EE7"/>
    <w:rsid w:val="00A16FFA"/>
    <w:rsid w:val="00A1707A"/>
    <w:rsid w:val="00A201A3"/>
    <w:rsid w:val="00A20219"/>
    <w:rsid w:val="00A216BC"/>
    <w:rsid w:val="00A21D81"/>
    <w:rsid w:val="00A220E4"/>
    <w:rsid w:val="00A22251"/>
    <w:rsid w:val="00A2248B"/>
    <w:rsid w:val="00A22CD3"/>
    <w:rsid w:val="00A22D9E"/>
    <w:rsid w:val="00A230E6"/>
    <w:rsid w:val="00A238C4"/>
    <w:rsid w:val="00A23BE1"/>
    <w:rsid w:val="00A23EA3"/>
    <w:rsid w:val="00A241BC"/>
    <w:rsid w:val="00A245EB"/>
    <w:rsid w:val="00A24BDF"/>
    <w:rsid w:val="00A251FD"/>
    <w:rsid w:val="00A25439"/>
    <w:rsid w:val="00A258E2"/>
    <w:rsid w:val="00A25C05"/>
    <w:rsid w:val="00A26026"/>
    <w:rsid w:val="00A2602A"/>
    <w:rsid w:val="00A264A4"/>
    <w:rsid w:val="00A26533"/>
    <w:rsid w:val="00A26557"/>
    <w:rsid w:val="00A26829"/>
    <w:rsid w:val="00A268DE"/>
    <w:rsid w:val="00A27025"/>
    <w:rsid w:val="00A27916"/>
    <w:rsid w:val="00A27A45"/>
    <w:rsid w:val="00A27A8B"/>
    <w:rsid w:val="00A27C75"/>
    <w:rsid w:val="00A3061A"/>
    <w:rsid w:val="00A30AF7"/>
    <w:rsid w:val="00A30E9A"/>
    <w:rsid w:val="00A31136"/>
    <w:rsid w:val="00A3123E"/>
    <w:rsid w:val="00A31259"/>
    <w:rsid w:val="00A31AF1"/>
    <w:rsid w:val="00A31D28"/>
    <w:rsid w:val="00A31D9D"/>
    <w:rsid w:val="00A3257B"/>
    <w:rsid w:val="00A33083"/>
    <w:rsid w:val="00A33574"/>
    <w:rsid w:val="00A33C45"/>
    <w:rsid w:val="00A3408F"/>
    <w:rsid w:val="00A340C6"/>
    <w:rsid w:val="00A341D0"/>
    <w:rsid w:val="00A34374"/>
    <w:rsid w:val="00A3469F"/>
    <w:rsid w:val="00A34792"/>
    <w:rsid w:val="00A349D1"/>
    <w:rsid w:val="00A35132"/>
    <w:rsid w:val="00A3532E"/>
    <w:rsid w:val="00A3613D"/>
    <w:rsid w:val="00A361D6"/>
    <w:rsid w:val="00A3644A"/>
    <w:rsid w:val="00A36DBD"/>
    <w:rsid w:val="00A36E34"/>
    <w:rsid w:val="00A370CB"/>
    <w:rsid w:val="00A377CC"/>
    <w:rsid w:val="00A378D0"/>
    <w:rsid w:val="00A37EA4"/>
    <w:rsid w:val="00A40057"/>
    <w:rsid w:val="00A40548"/>
    <w:rsid w:val="00A40942"/>
    <w:rsid w:val="00A40D36"/>
    <w:rsid w:val="00A40DBB"/>
    <w:rsid w:val="00A411ED"/>
    <w:rsid w:val="00A41618"/>
    <w:rsid w:val="00A41A93"/>
    <w:rsid w:val="00A4218F"/>
    <w:rsid w:val="00A421A7"/>
    <w:rsid w:val="00A421AC"/>
    <w:rsid w:val="00A423A6"/>
    <w:rsid w:val="00A42637"/>
    <w:rsid w:val="00A4288A"/>
    <w:rsid w:val="00A4292D"/>
    <w:rsid w:val="00A42FED"/>
    <w:rsid w:val="00A431A9"/>
    <w:rsid w:val="00A434DA"/>
    <w:rsid w:val="00A436A7"/>
    <w:rsid w:val="00A43C16"/>
    <w:rsid w:val="00A43D5D"/>
    <w:rsid w:val="00A43DC4"/>
    <w:rsid w:val="00A43E66"/>
    <w:rsid w:val="00A44223"/>
    <w:rsid w:val="00A4488B"/>
    <w:rsid w:val="00A44920"/>
    <w:rsid w:val="00A44957"/>
    <w:rsid w:val="00A44DD3"/>
    <w:rsid w:val="00A4524D"/>
    <w:rsid w:val="00A452B1"/>
    <w:rsid w:val="00A4587B"/>
    <w:rsid w:val="00A458A5"/>
    <w:rsid w:val="00A458F0"/>
    <w:rsid w:val="00A46223"/>
    <w:rsid w:val="00A470B9"/>
    <w:rsid w:val="00A474A3"/>
    <w:rsid w:val="00A477B2"/>
    <w:rsid w:val="00A47923"/>
    <w:rsid w:val="00A5097F"/>
    <w:rsid w:val="00A50D60"/>
    <w:rsid w:val="00A50E42"/>
    <w:rsid w:val="00A511F9"/>
    <w:rsid w:val="00A5186F"/>
    <w:rsid w:val="00A51976"/>
    <w:rsid w:val="00A51E4D"/>
    <w:rsid w:val="00A51E62"/>
    <w:rsid w:val="00A51EC4"/>
    <w:rsid w:val="00A535EF"/>
    <w:rsid w:val="00A5396C"/>
    <w:rsid w:val="00A54073"/>
    <w:rsid w:val="00A54135"/>
    <w:rsid w:val="00A54260"/>
    <w:rsid w:val="00A54423"/>
    <w:rsid w:val="00A54553"/>
    <w:rsid w:val="00A545D3"/>
    <w:rsid w:val="00A54B21"/>
    <w:rsid w:val="00A54D9E"/>
    <w:rsid w:val="00A54DCA"/>
    <w:rsid w:val="00A55330"/>
    <w:rsid w:val="00A55586"/>
    <w:rsid w:val="00A55818"/>
    <w:rsid w:val="00A55B60"/>
    <w:rsid w:val="00A55DA3"/>
    <w:rsid w:val="00A56ADA"/>
    <w:rsid w:val="00A57655"/>
    <w:rsid w:val="00A57B65"/>
    <w:rsid w:val="00A57D32"/>
    <w:rsid w:val="00A600E9"/>
    <w:rsid w:val="00A60307"/>
    <w:rsid w:val="00A60476"/>
    <w:rsid w:val="00A60598"/>
    <w:rsid w:val="00A6080D"/>
    <w:rsid w:val="00A60908"/>
    <w:rsid w:val="00A60AF4"/>
    <w:rsid w:val="00A61061"/>
    <w:rsid w:val="00A610EB"/>
    <w:rsid w:val="00A61389"/>
    <w:rsid w:val="00A61C17"/>
    <w:rsid w:val="00A61FEE"/>
    <w:rsid w:val="00A6299E"/>
    <w:rsid w:val="00A62C01"/>
    <w:rsid w:val="00A62E1C"/>
    <w:rsid w:val="00A62F55"/>
    <w:rsid w:val="00A6308C"/>
    <w:rsid w:val="00A63533"/>
    <w:rsid w:val="00A636D5"/>
    <w:rsid w:val="00A639F3"/>
    <w:rsid w:val="00A63C7F"/>
    <w:rsid w:val="00A63D88"/>
    <w:rsid w:val="00A64101"/>
    <w:rsid w:val="00A642EA"/>
    <w:rsid w:val="00A64861"/>
    <w:rsid w:val="00A64DF5"/>
    <w:rsid w:val="00A64DFC"/>
    <w:rsid w:val="00A65908"/>
    <w:rsid w:val="00A6597A"/>
    <w:rsid w:val="00A659DC"/>
    <w:rsid w:val="00A65A53"/>
    <w:rsid w:val="00A65BE2"/>
    <w:rsid w:val="00A65E61"/>
    <w:rsid w:val="00A6640D"/>
    <w:rsid w:val="00A6649C"/>
    <w:rsid w:val="00A66836"/>
    <w:rsid w:val="00A6692E"/>
    <w:rsid w:val="00A66A86"/>
    <w:rsid w:val="00A66B0A"/>
    <w:rsid w:val="00A66B12"/>
    <w:rsid w:val="00A66B73"/>
    <w:rsid w:val="00A66F52"/>
    <w:rsid w:val="00A66F54"/>
    <w:rsid w:val="00A67420"/>
    <w:rsid w:val="00A67DDB"/>
    <w:rsid w:val="00A70305"/>
    <w:rsid w:val="00A705CE"/>
    <w:rsid w:val="00A70B42"/>
    <w:rsid w:val="00A71797"/>
    <w:rsid w:val="00A721D5"/>
    <w:rsid w:val="00A72464"/>
    <w:rsid w:val="00A7266E"/>
    <w:rsid w:val="00A72DBE"/>
    <w:rsid w:val="00A73800"/>
    <w:rsid w:val="00A73F8C"/>
    <w:rsid w:val="00A740AF"/>
    <w:rsid w:val="00A7421E"/>
    <w:rsid w:val="00A74284"/>
    <w:rsid w:val="00A74766"/>
    <w:rsid w:val="00A75B33"/>
    <w:rsid w:val="00A7615D"/>
    <w:rsid w:val="00A76457"/>
    <w:rsid w:val="00A764EE"/>
    <w:rsid w:val="00A765A8"/>
    <w:rsid w:val="00A7663E"/>
    <w:rsid w:val="00A7665D"/>
    <w:rsid w:val="00A769A2"/>
    <w:rsid w:val="00A76A8C"/>
    <w:rsid w:val="00A76F00"/>
    <w:rsid w:val="00A773F4"/>
    <w:rsid w:val="00A776BC"/>
    <w:rsid w:val="00A77B0E"/>
    <w:rsid w:val="00A77B78"/>
    <w:rsid w:val="00A77F79"/>
    <w:rsid w:val="00A80260"/>
    <w:rsid w:val="00A80493"/>
    <w:rsid w:val="00A8069F"/>
    <w:rsid w:val="00A806BA"/>
    <w:rsid w:val="00A8086C"/>
    <w:rsid w:val="00A8091F"/>
    <w:rsid w:val="00A80B6C"/>
    <w:rsid w:val="00A8140A"/>
    <w:rsid w:val="00A81878"/>
    <w:rsid w:val="00A81BCB"/>
    <w:rsid w:val="00A81F14"/>
    <w:rsid w:val="00A8240C"/>
    <w:rsid w:val="00A8283F"/>
    <w:rsid w:val="00A82CB5"/>
    <w:rsid w:val="00A82D0D"/>
    <w:rsid w:val="00A8370E"/>
    <w:rsid w:val="00A83C08"/>
    <w:rsid w:val="00A83D7B"/>
    <w:rsid w:val="00A84213"/>
    <w:rsid w:val="00A8492E"/>
    <w:rsid w:val="00A849F5"/>
    <w:rsid w:val="00A84C6D"/>
    <w:rsid w:val="00A84E01"/>
    <w:rsid w:val="00A85145"/>
    <w:rsid w:val="00A8547B"/>
    <w:rsid w:val="00A8574C"/>
    <w:rsid w:val="00A85858"/>
    <w:rsid w:val="00A85DE2"/>
    <w:rsid w:val="00A85EEC"/>
    <w:rsid w:val="00A86B37"/>
    <w:rsid w:val="00A874C4"/>
    <w:rsid w:val="00A879A7"/>
    <w:rsid w:val="00A87A21"/>
    <w:rsid w:val="00A87CAA"/>
    <w:rsid w:val="00A908EE"/>
    <w:rsid w:val="00A91167"/>
    <w:rsid w:val="00A91510"/>
    <w:rsid w:val="00A91531"/>
    <w:rsid w:val="00A919FB"/>
    <w:rsid w:val="00A91CA5"/>
    <w:rsid w:val="00A9291A"/>
    <w:rsid w:val="00A932C0"/>
    <w:rsid w:val="00A93998"/>
    <w:rsid w:val="00A93CD6"/>
    <w:rsid w:val="00A93E1B"/>
    <w:rsid w:val="00A93E8C"/>
    <w:rsid w:val="00A9456C"/>
    <w:rsid w:val="00A94B54"/>
    <w:rsid w:val="00A94BF6"/>
    <w:rsid w:val="00A94C9F"/>
    <w:rsid w:val="00A94CA2"/>
    <w:rsid w:val="00A94D08"/>
    <w:rsid w:val="00A94F97"/>
    <w:rsid w:val="00A950A1"/>
    <w:rsid w:val="00A9543E"/>
    <w:rsid w:val="00A9549B"/>
    <w:rsid w:val="00A95BB9"/>
    <w:rsid w:val="00A95D9A"/>
    <w:rsid w:val="00A95E5C"/>
    <w:rsid w:val="00A95F3A"/>
    <w:rsid w:val="00A95F46"/>
    <w:rsid w:val="00A962F7"/>
    <w:rsid w:val="00A963CA"/>
    <w:rsid w:val="00A96686"/>
    <w:rsid w:val="00A968C7"/>
    <w:rsid w:val="00A96BC1"/>
    <w:rsid w:val="00A9711F"/>
    <w:rsid w:val="00A97632"/>
    <w:rsid w:val="00AA0C3A"/>
    <w:rsid w:val="00AA1141"/>
    <w:rsid w:val="00AA116E"/>
    <w:rsid w:val="00AA1B88"/>
    <w:rsid w:val="00AA2136"/>
    <w:rsid w:val="00AA22FA"/>
    <w:rsid w:val="00AA2CA4"/>
    <w:rsid w:val="00AA30EC"/>
    <w:rsid w:val="00AA33B9"/>
    <w:rsid w:val="00AA3762"/>
    <w:rsid w:val="00AA37FF"/>
    <w:rsid w:val="00AA3968"/>
    <w:rsid w:val="00AA3A35"/>
    <w:rsid w:val="00AA3AD1"/>
    <w:rsid w:val="00AA448A"/>
    <w:rsid w:val="00AA47FF"/>
    <w:rsid w:val="00AA4C33"/>
    <w:rsid w:val="00AA4E89"/>
    <w:rsid w:val="00AA5390"/>
    <w:rsid w:val="00AA57AC"/>
    <w:rsid w:val="00AA5854"/>
    <w:rsid w:val="00AA6901"/>
    <w:rsid w:val="00AA7A63"/>
    <w:rsid w:val="00AB00BA"/>
    <w:rsid w:val="00AB01AD"/>
    <w:rsid w:val="00AB0990"/>
    <w:rsid w:val="00AB0D64"/>
    <w:rsid w:val="00AB10FF"/>
    <w:rsid w:val="00AB140C"/>
    <w:rsid w:val="00AB2761"/>
    <w:rsid w:val="00AB2B66"/>
    <w:rsid w:val="00AB2B9A"/>
    <w:rsid w:val="00AB2DAC"/>
    <w:rsid w:val="00AB2E6B"/>
    <w:rsid w:val="00AB3003"/>
    <w:rsid w:val="00AB3191"/>
    <w:rsid w:val="00AB3DA7"/>
    <w:rsid w:val="00AB3E90"/>
    <w:rsid w:val="00AB425A"/>
    <w:rsid w:val="00AB43AA"/>
    <w:rsid w:val="00AB472D"/>
    <w:rsid w:val="00AB4989"/>
    <w:rsid w:val="00AB4A94"/>
    <w:rsid w:val="00AB4F71"/>
    <w:rsid w:val="00AB5169"/>
    <w:rsid w:val="00AB52B6"/>
    <w:rsid w:val="00AB5599"/>
    <w:rsid w:val="00AB569D"/>
    <w:rsid w:val="00AB5F5F"/>
    <w:rsid w:val="00AB626B"/>
    <w:rsid w:val="00AB68C9"/>
    <w:rsid w:val="00AB6963"/>
    <w:rsid w:val="00AB6969"/>
    <w:rsid w:val="00AB6CC0"/>
    <w:rsid w:val="00AB7294"/>
    <w:rsid w:val="00AB752F"/>
    <w:rsid w:val="00AB755D"/>
    <w:rsid w:val="00AC01F0"/>
    <w:rsid w:val="00AC02A4"/>
    <w:rsid w:val="00AC08BD"/>
    <w:rsid w:val="00AC1732"/>
    <w:rsid w:val="00AC1913"/>
    <w:rsid w:val="00AC1DF9"/>
    <w:rsid w:val="00AC2DAE"/>
    <w:rsid w:val="00AC3979"/>
    <w:rsid w:val="00AC3C6F"/>
    <w:rsid w:val="00AC3D53"/>
    <w:rsid w:val="00AC49DB"/>
    <w:rsid w:val="00AC4F41"/>
    <w:rsid w:val="00AC5F93"/>
    <w:rsid w:val="00AC63A0"/>
    <w:rsid w:val="00AC6652"/>
    <w:rsid w:val="00AC6779"/>
    <w:rsid w:val="00AC68AA"/>
    <w:rsid w:val="00AC69A6"/>
    <w:rsid w:val="00AC6C75"/>
    <w:rsid w:val="00AC70AF"/>
    <w:rsid w:val="00AC70DA"/>
    <w:rsid w:val="00AC71E4"/>
    <w:rsid w:val="00AC7674"/>
    <w:rsid w:val="00AC7879"/>
    <w:rsid w:val="00AC78FF"/>
    <w:rsid w:val="00AC7B3F"/>
    <w:rsid w:val="00AC7B5E"/>
    <w:rsid w:val="00AC7CE1"/>
    <w:rsid w:val="00AC7DE4"/>
    <w:rsid w:val="00AC7E2F"/>
    <w:rsid w:val="00AD025D"/>
    <w:rsid w:val="00AD03CA"/>
    <w:rsid w:val="00AD08E4"/>
    <w:rsid w:val="00AD135B"/>
    <w:rsid w:val="00AD1BA9"/>
    <w:rsid w:val="00AD2139"/>
    <w:rsid w:val="00AD231E"/>
    <w:rsid w:val="00AD2FE0"/>
    <w:rsid w:val="00AD4066"/>
    <w:rsid w:val="00AD4206"/>
    <w:rsid w:val="00AD540B"/>
    <w:rsid w:val="00AD5464"/>
    <w:rsid w:val="00AD59C0"/>
    <w:rsid w:val="00AD5A92"/>
    <w:rsid w:val="00AD5AD7"/>
    <w:rsid w:val="00AD5B59"/>
    <w:rsid w:val="00AD5E61"/>
    <w:rsid w:val="00AD64D3"/>
    <w:rsid w:val="00AD6D4B"/>
    <w:rsid w:val="00AD7B71"/>
    <w:rsid w:val="00AE0204"/>
    <w:rsid w:val="00AE030A"/>
    <w:rsid w:val="00AE066B"/>
    <w:rsid w:val="00AE07D5"/>
    <w:rsid w:val="00AE0B4C"/>
    <w:rsid w:val="00AE0D45"/>
    <w:rsid w:val="00AE112B"/>
    <w:rsid w:val="00AE12C8"/>
    <w:rsid w:val="00AE12E7"/>
    <w:rsid w:val="00AE170E"/>
    <w:rsid w:val="00AE17E9"/>
    <w:rsid w:val="00AE1A40"/>
    <w:rsid w:val="00AE1E87"/>
    <w:rsid w:val="00AE217E"/>
    <w:rsid w:val="00AE2319"/>
    <w:rsid w:val="00AE2340"/>
    <w:rsid w:val="00AE25DE"/>
    <w:rsid w:val="00AE2637"/>
    <w:rsid w:val="00AE2918"/>
    <w:rsid w:val="00AE29AB"/>
    <w:rsid w:val="00AE2DDA"/>
    <w:rsid w:val="00AE2F8A"/>
    <w:rsid w:val="00AE3203"/>
    <w:rsid w:val="00AE385C"/>
    <w:rsid w:val="00AE3E09"/>
    <w:rsid w:val="00AE3E7C"/>
    <w:rsid w:val="00AE3FB4"/>
    <w:rsid w:val="00AE494E"/>
    <w:rsid w:val="00AE4B00"/>
    <w:rsid w:val="00AE5197"/>
    <w:rsid w:val="00AE5354"/>
    <w:rsid w:val="00AE5725"/>
    <w:rsid w:val="00AE5BA9"/>
    <w:rsid w:val="00AE69AC"/>
    <w:rsid w:val="00AE70E3"/>
    <w:rsid w:val="00AE7424"/>
    <w:rsid w:val="00AE745D"/>
    <w:rsid w:val="00AE7983"/>
    <w:rsid w:val="00AE7D5B"/>
    <w:rsid w:val="00AF0013"/>
    <w:rsid w:val="00AF04A8"/>
    <w:rsid w:val="00AF1240"/>
    <w:rsid w:val="00AF127F"/>
    <w:rsid w:val="00AF1799"/>
    <w:rsid w:val="00AF1AD0"/>
    <w:rsid w:val="00AF1CB0"/>
    <w:rsid w:val="00AF1F95"/>
    <w:rsid w:val="00AF2025"/>
    <w:rsid w:val="00AF254D"/>
    <w:rsid w:val="00AF2CBF"/>
    <w:rsid w:val="00AF2EAE"/>
    <w:rsid w:val="00AF306D"/>
    <w:rsid w:val="00AF3213"/>
    <w:rsid w:val="00AF345C"/>
    <w:rsid w:val="00AF377A"/>
    <w:rsid w:val="00AF38C6"/>
    <w:rsid w:val="00AF3B5D"/>
    <w:rsid w:val="00AF4007"/>
    <w:rsid w:val="00AF4012"/>
    <w:rsid w:val="00AF4746"/>
    <w:rsid w:val="00AF4A98"/>
    <w:rsid w:val="00AF4B7A"/>
    <w:rsid w:val="00AF4E35"/>
    <w:rsid w:val="00AF5602"/>
    <w:rsid w:val="00AF5D6F"/>
    <w:rsid w:val="00AF62FC"/>
    <w:rsid w:val="00AF699A"/>
    <w:rsid w:val="00AF6E90"/>
    <w:rsid w:val="00AF7255"/>
    <w:rsid w:val="00AF78EC"/>
    <w:rsid w:val="00B00157"/>
    <w:rsid w:val="00B001E1"/>
    <w:rsid w:val="00B00331"/>
    <w:rsid w:val="00B0096F"/>
    <w:rsid w:val="00B00B0E"/>
    <w:rsid w:val="00B00BD5"/>
    <w:rsid w:val="00B00D5A"/>
    <w:rsid w:val="00B00DBF"/>
    <w:rsid w:val="00B010CF"/>
    <w:rsid w:val="00B01949"/>
    <w:rsid w:val="00B01AE9"/>
    <w:rsid w:val="00B0275C"/>
    <w:rsid w:val="00B0285C"/>
    <w:rsid w:val="00B02A23"/>
    <w:rsid w:val="00B02A29"/>
    <w:rsid w:val="00B03886"/>
    <w:rsid w:val="00B043BF"/>
    <w:rsid w:val="00B04628"/>
    <w:rsid w:val="00B04A5D"/>
    <w:rsid w:val="00B04DBB"/>
    <w:rsid w:val="00B05459"/>
    <w:rsid w:val="00B056C0"/>
    <w:rsid w:val="00B05BC5"/>
    <w:rsid w:val="00B05CDF"/>
    <w:rsid w:val="00B05DE1"/>
    <w:rsid w:val="00B05FC9"/>
    <w:rsid w:val="00B060B6"/>
    <w:rsid w:val="00B06136"/>
    <w:rsid w:val="00B06138"/>
    <w:rsid w:val="00B063DE"/>
    <w:rsid w:val="00B06965"/>
    <w:rsid w:val="00B06970"/>
    <w:rsid w:val="00B06D70"/>
    <w:rsid w:val="00B06F3E"/>
    <w:rsid w:val="00B06F73"/>
    <w:rsid w:val="00B078C6"/>
    <w:rsid w:val="00B079FF"/>
    <w:rsid w:val="00B07BCD"/>
    <w:rsid w:val="00B107AC"/>
    <w:rsid w:val="00B10B07"/>
    <w:rsid w:val="00B11570"/>
    <w:rsid w:val="00B11A6D"/>
    <w:rsid w:val="00B12310"/>
    <w:rsid w:val="00B12687"/>
    <w:rsid w:val="00B1292B"/>
    <w:rsid w:val="00B12DC3"/>
    <w:rsid w:val="00B12EC5"/>
    <w:rsid w:val="00B12F9A"/>
    <w:rsid w:val="00B12FB7"/>
    <w:rsid w:val="00B13174"/>
    <w:rsid w:val="00B1328B"/>
    <w:rsid w:val="00B133E5"/>
    <w:rsid w:val="00B13453"/>
    <w:rsid w:val="00B1365C"/>
    <w:rsid w:val="00B13BC7"/>
    <w:rsid w:val="00B13C7F"/>
    <w:rsid w:val="00B13EF0"/>
    <w:rsid w:val="00B141C8"/>
    <w:rsid w:val="00B14528"/>
    <w:rsid w:val="00B1476E"/>
    <w:rsid w:val="00B158C8"/>
    <w:rsid w:val="00B15962"/>
    <w:rsid w:val="00B15F35"/>
    <w:rsid w:val="00B16069"/>
    <w:rsid w:val="00B1611E"/>
    <w:rsid w:val="00B16939"/>
    <w:rsid w:val="00B169F6"/>
    <w:rsid w:val="00B16CF2"/>
    <w:rsid w:val="00B16FA4"/>
    <w:rsid w:val="00B16FF9"/>
    <w:rsid w:val="00B1710B"/>
    <w:rsid w:val="00B1711D"/>
    <w:rsid w:val="00B1759E"/>
    <w:rsid w:val="00B1768E"/>
    <w:rsid w:val="00B20A72"/>
    <w:rsid w:val="00B21046"/>
    <w:rsid w:val="00B211CC"/>
    <w:rsid w:val="00B213D4"/>
    <w:rsid w:val="00B214E2"/>
    <w:rsid w:val="00B2187A"/>
    <w:rsid w:val="00B21A03"/>
    <w:rsid w:val="00B21B56"/>
    <w:rsid w:val="00B22A26"/>
    <w:rsid w:val="00B22CEC"/>
    <w:rsid w:val="00B23133"/>
    <w:rsid w:val="00B23678"/>
    <w:rsid w:val="00B23819"/>
    <w:rsid w:val="00B2385D"/>
    <w:rsid w:val="00B23F69"/>
    <w:rsid w:val="00B24641"/>
    <w:rsid w:val="00B24907"/>
    <w:rsid w:val="00B25128"/>
    <w:rsid w:val="00B2517B"/>
    <w:rsid w:val="00B254CD"/>
    <w:rsid w:val="00B26029"/>
    <w:rsid w:val="00B264DB"/>
    <w:rsid w:val="00B26719"/>
    <w:rsid w:val="00B26A38"/>
    <w:rsid w:val="00B26E3D"/>
    <w:rsid w:val="00B270E2"/>
    <w:rsid w:val="00B2737F"/>
    <w:rsid w:val="00B2748D"/>
    <w:rsid w:val="00B2752A"/>
    <w:rsid w:val="00B27DDB"/>
    <w:rsid w:val="00B303C6"/>
    <w:rsid w:val="00B31AF5"/>
    <w:rsid w:val="00B31FD6"/>
    <w:rsid w:val="00B3219C"/>
    <w:rsid w:val="00B32323"/>
    <w:rsid w:val="00B323FD"/>
    <w:rsid w:val="00B325D6"/>
    <w:rsid w:val="00B32924"/>
    <w:rsid w:val="00B32B7D"/>
    <w:rsid w:val="00B32CAB"/>
    <w:rsid w:val="00B33615"/>
    <w:rsid w:val="00B3373A"/>
    <w:rsid w:val="00B337B2"/>
    <w:rsid w:val="00B34008"/>
    <w:rsid w:val="00B343EC"/>
    <w:rsid w:val="00B3475D"/>
    <w:rsid w:val="00B34839"/>
    <w:rsid w:val="00B34C66"/>
    <w:rsid w:val="00B358A6"/>
    <w:rsid w:val="00B35A36"/>
    <w:rsid w:val="00B361C6"/>
    <w:rsid w:val="00B365F6"/>
    <w:rsid w:val="00B36DCC"/>
    <w:rsid w:val="00B37227"/>
    <w:rsid w:val="00B37C72"/>
    <w:rsid w:val="00B409DB"/>
    <w:rsid w:val="00B40A92"/>
    <w:rsid w:val="00B413C7"/>
    <w:rsid w:val="00B41592"/>
    <w:rsid w:val="00B416DD"/>
    <w:rsid w:val="00B4171E"/>
    <w:rsid w:val="00B41781"/>
    <w:rsid w:val="00B41960"/>
    <w:rsid w:val="00B41D49"/>
    <w:rsid w:val="00B42851"/>
    <w:rsid w:val="00B42C28"/>
    <w:rsid w:val="00B4306D"/>
    <w:rsid w:val="00B431AB"/>
    <w:rsid w:val="00B442CD"/>
    <w:rsid w:val="00B4454F"/>
    <w:rsid w:val="00B44726"/>
    <w:rsid w:val="00B44EF2"/>
    <w:rsid w:val="00B45196"/>
    <w:rsid w:val="00B45242"/>
    <w:rsid w:val="00B45329"/>
    <w:rsid w:val="00B45339"/>
    <w:rsid w:val="00B45844"/>
    <w:rsid w:val="00B4585C"/>
    <w:rsid w:val="00B45989"/>
    <w:rsid w:val="00B45DFF"/>
    <w:rsid w:val="00B46BCD"/>
    <w:rsid w:val="00B4748C"/>
    <w:rsid w:val="00B47A1F"/>
    <w:rsid w:val="00B50363"/>
    <w:rsid w:val="00B509D7"/>
    <w:rsid w:val="00B50B74"/>
    <w:rsid w:val="00B50B78"/>
    <w:rsid w:val="00B51604"/>
    <w:rsid w:val="00B5174C"/>
    <w:rsid w:val="00B51979"/>
    <w:rsid w:val="00B51BE0"/>
    <w:rsid w:val="00B51DC9"/>
    <w:rsid w:val="00B52A9D"/>
    <w:rsid w:val="00B52AC5"/>
    <w:rsid w:val="00B531AD"/>
    <w:rsid w:val="00B532A0"/>
    <w:rsid w:val="00B5344C"/>
    <w:rsid w:val="00B53558"/>
    <w:rsid w:val="00B53FDA"/>
    <w:rsid w:val="00B54282"/>
    <w:rsid w:val="00B544E4"/>
    <w:rsid w:val="00B54E3B"/>
    <w:rsid w:val="00B55000"/>
    <w:rsid w:val="00B557C4"/>
    <w:rsid w:val="00B55AA6"/>
    <w:rsid w:val="00B55D69"/>
    <w:rsid w:val="00B55D97"/>
    <w:rsid w:val="00B560F5"/>
    <w:rsid w:val="00B561B2"/>
    <w:rsid w:val="00B56411"/>
    <w:rsid w:val="00B56612"/>
    <w:rsid w:val="00B5667F"/>
    <w:rsid w:val="00B568EA"/>
    <w:rsid w:val="00B56D1C"/>
    <w:rsid w:val="00B5751B"/>
    <w:rsid w:val="00B576C7"/>
    <w:rsid w:val="00B57ABE"/>
    <w:rsid w:val="00B57E9D"/>
    <w:rsid w:val="00B57FBD"/>
    <w:rsid w:val="00B602FA"/>
    <w:rsid w:val="00B6036B"/>
    <w:rsid w:val="00B603D5"/>
    <w:rsid w:val="00B60404"/>
    <w:rsid w:val="00B60457"/>
    <w:rsid w:val="00B607A9"/>
    <w:rsid w:val="00B610BB"/>
    <w:rsid w:val="00B61793"/>
    <w:rsid w:val="00B618B6"/>
    <w:rsid w:val="00B61E3D"/>
    <w:rsid w:val="00B62CC7"/>
    <w:rsid w:val="00B62E1F"/>
    <w:rsid w:val="00B62FF8"/>
    <w:rsid w:val="00B632AD"/>
    <w:rsid w:val="00B63371"/>
    <w:rsid w:val="00B637A1"/>
    <w:rsid w:val="00B63ABE"/>
    <w:rsid w:val="00B63B4B"/>
    <w:rsid w:val="00B63B54"/>
    <w:rsid w:val="00B63D9E"/>
    <w:rsid w:val="00B64518"/>
    <w:rsid w:val="00B6486B"/>
    <w:rsid w:val="00B64DA6"/>
    <w:rsid w:val="00B64ED3"/>
    <w:rsid w:val="00B6569C"/>
    <w:rsid w:val="00B65AAE"/>
    <w:rsid w:val="00B65BCE"/>
    <w:rsid w:val="00B660D9"/>
    <w:rsid w:val="00B66245"/>
    <w:rsid w:val="00B6687E"/>
    <w:rsid w:val="00B66BAF"/>
    <w:rsid w:val="00B66C1A"/>
    <w:rsid w:val="00B66EB2"/>
    <w:rsid w:val="00B67267"/>
    <w:rsid w:val="00B67B47"/>
    <w:rsid w:val="00B67C79"/>
    <w:rsid w:val="00B7051C"/>
    <w:rsid w:val="00B70ACE"/>
    <w:rsid w:val="00B71038"/>
    <w:rsid w:val="00B71732"/>
    <w:rsid w:val="00B7182F"/>
    <w:rsid w:val="00B71A63"/>
    <w:rsid w:val="00B71D14"/>
    <w:rsid w:val="00B72836"/>
    <w:rsid w:val="00B7329E"/>
    <w:rsid w:val="00B74056"/>
    <w:rsid w:val="00B7414E"/>
    <w:rsid w:val="00B744EB"/>
    <w:rsid w:val="00B7475B"/>
    <w:rsid w:val="00B74911"/>
    <w:rsid w:val="00B749C3"/>
    <w:rsid w:val="00B75535"/>
    <w:rsid w:val="00B75853"/>
    <w:rsid w:val="00B759A7"/>
    <w:rsid w:val="00B75E96"/>
    <w:rsid w:val="00B75F1E"/>
    <w:rsid w:val="00B766C6"/>
    <w:rsid w:val="00B76F43"/>
    <w:rsid w:val="00B77015"/>
    <w:rsid w:val="00B7702D"/>
    <w:rsid w:val="00B772D6"/>
    <w:rsid w:val="00B773FD"/>
    <w:rsid w:val="00B77743"/>
    <w:rsid w:val="00B800D5"/>
    <w:rsid w:val="00B801AE"/>
    <w:rsid w:val="00B809A0"/>
    <w:rsid w:val="00B80E22"/>
    <w:rsid w:val="00B812A8"/>
    <w:rsid w:val="00B81A4D"/>
    <w:rsid w:val="00B81E93"/>
    <w:rsid w:val="00B8219B"/>
    <w:rsid w:val="00B82278"/>
    <w:rsid w:val="00B83627"/>
    <w:rsid w:val="00B8389D"/>
    <w:rsid w:val="00B838EB"/>
    <w:rsid w:val="00B83E4D"/>
    <w:rsid w:val="00B84517"/>
    <w:rsid w:val="00B84699"/>
    <w:rsid w:val="00B84B08"/>
    <w:rsid w:val="00B84DBA"/>
    <w:rsid w:val="00B84E2A"/>
    <w:rsid w:val="00B8524C"/>
    <w:rsid w:val="00B855D1"/>
    <w:rsid w:val="00B8589A"/>
    <w:rsid w:val="00B85CBC"/>
    <w:rsid w:val="00B8658B"/>
    <w:rsid w:val="00B86765"/>
    <w:rsid w:val="00B86C89"/>
    <w:rsid w:val="00B86D17"/>
    <w:rsid w:val="00B86E92"/>
    <w:rsid w:val="00B86FB9"/>
    <w:rsid w:val="00B871A5"/>
    <w:rsid w:val="00B87716"/>
    <w:rsid w:val="00B87C31"/>
    <w:rsid w:val="00B90041"/>
    <w:rsid w:val="00B90A7E"/>
    <w:rsid w:val="00B90F4D"/>
    <w:rsid w:val="00B913F6"/>
    <w:rsid w:val="00B914CC"/>
    <w:rsid w:val="00B9160A"/>
    <w:rsid w:val="00B9169A"/>
    <w:rsid w:val="00B91DAE"/>
    <w:rsid w:val="00B92132"/>
    <w:rsid w:val="00B924D8"/>
    <w:rsid w:val="00B92762"/>
    <w:rsid w:val="00B92EB0"/>
    <w:rsid w:val="00B92EB8"/>
    <w:rsid w:val="00B93419"/>
    <w:rsid w:val="00B936FE"/>
    <w:rsid w:val="00B93919"/>
    <w:rsid w:val="00B93BAF"/>
    <w:rsid w:val="00B94179"/>
    <w:rsid w:val="00B941C3"/>
    <w:rsid w:val="00B9445F"/>
    <w:rsid w:val="00B94650"/>
    <w:rsid w:val="00B94A42"/>
    <w:rsid w:val="00B94B98"/>
    <w:rsid w:val="00B94CCF"/>
    <w:rsid w:val="00B9558A"/>
    <w:rsid w:val="00B9570C"/>
    <w:rsid w:val="00B95B3A"/>
    <w:rsid w:val="00B95B4B"/>
    <w:rsid w:val="00B95C1B"/>
    <w:rsid w:val="00B95F30"/>
    <w:rsid w:val="00B960E3"/>
    <w:rsid w:val="00B962EC"/>
    <w:rsid w:val="00B968D5"/>
    <w:rsid w:val="00B96E37"/>
    <w:rsid w:val="00B9748C"/>
    <w:rsid w:val="00B9770B"/>
    <w:rsid w:val="00B97B76"/>
    <w:rsid w:val="00B97BFC"/>
    <w:rsid w:val="00B97E18"/>
    <w:rsid w:val="00B97E71"/>
    <w:rsid w:val="00B97ECB"/>
    <w:rsid w:val="00BA075B"/>
    <w:rsid w:val="00BA07CE"/>
    <w:rsid w:val="00BA0AE9"/>
    <w:rsid w:val="00BA0B9A"/>
    <w:rsid w:val="00BA13D3"/>
    <w:rsid w:val="00BA14AD"/>
    <w:rsid w:val="00BA1621"/>
    <w:rsid w:val="00BA1855"/>
    <w:rsid w:val="00BA189B"/>
    <w:rsid w:val="00BA2488"/>
    <w:rsid w:val="00BA2755"/>
    <w:rsid w:val="00BA2998"/>
    <w:rsid w:val="00BA2E83"/>
    <w:rsid w:val="00BA361F"/>
    <w:rsid w:val="00BA3838"/>
    <w:rsid w:val="00BA3AA4"/>
    <w:rsid w:val="00BA3AB6"/>
    <w:rsid w:val="00BA3F58"/>
    <w:rsid w:val="00BA3F8B"/>
    <w:rsid w:val="00BA45F9"/>
    <w:rsid w:val="00BA47D7"/>
    <w:rsid w:val="00BA4A55"/>
    <w:rsid w:val="00BA4ACB"/>
    <w:rsid w:val="00BA4D9B"/>
    <w:rsid w:val="00BA4E11"/>
    <w:rsid w:val="00BA4FDD"/>
    <w:rsid w:val="00BA66BD"/>
    <w:rsid w:val="00BA68B9"/>
    <w:rsid w:val="00BA69EA"/>
    <w:rsid w:val="00BA6C33"/>
    <w:rsid w:val="00BA6DE7"/>
    <w:rsid w:val="00BA7415"/>
    <w:rsid w:val="00BA77F1"/>
    <w:rsid w:val="00BA79F6"/>
    <w:rsid w:val="00BA7E18"/>
    <w:rsid w:val="00BB01CC"/>
    <w:rsid w:val="00BB0AC4"/>
    <w:rsid w:val="00BB0CD7"/>
    <w:rsid w:val="00BB0E0C"/>
    <w:rsid w:val="00BB0F16"/>
    <w:rsid w:val="00BB13C7"/>
    <w:rsid w:val="00BB1CDF"/>
    <w:rsid w:val="00BB1FBB"/>
    <w:rsid w:val="00BB21A3"/>
    <w:rsid w:val="00BB2271"/>
    <w:rsid w:val="00BB22D8"/>
    <w:rsid w:val="00BB28F1"/>
    <w:rsid w:val="00BB2B5A"/>
    <w:rsid w:val="00BB2B7E"/>
    <w:rsid w:val="00BB30CF"/>
    <w:rsid w:val="00BB3422"/>
    <w:rsid w:val="00BB3C7D"/>
    <w:rsid w:val="00BB4644"/>
    <w:rsid w:val="00BB490A"/>
    <w:rsid w:val="00BB4EFA"/>
    <w:rsid w:val="00BB514E"/>
    <w:rsid w:val="00BB5393"/>
    <w:rsid w:val="00BB556B"/>
    <w:rsid w:val="00BB56C3"/>
    <w:rsid w:val="00BB5ECA"/>
    <w:rsid w:val="00BB6575"/>
    <w:rsid w:val="00BB69EC"/>
    <w:rsid w:val="00BB6D3E"/>
    <w:rsid w:val="00BB6E50"/>
    <w:rsid w:val="00BB6FDC"/>
    <w:rsid w:val="00BB709E"/>
    <w:rsid w:val="00BB7357"/>
    <w:rsid w:val="00BB7AAD"/>
    <w:rsid w:val="00BB7C94"/>
    <w:rsid w:val="00BC00FD"/>
    <w:rsid w:val="00BC04A6"/>
    <w:rsid w:val="00BC0530"/>
    <w:rsid w:val="00BC0F8D"/>
    <w:rsid w:val="00BC0FE8"/>
    <w:rsid w:val="00BC1241"/>
    <w:rsid w:val="00BC1374"/>
    <w:rsid w:val="00BC14DA"/>
    <w:rsid w:val="00BC1747"/>
    <w:rsid w:val="00BC2604"/>
    <w:rsid w:val="00BC284D"/>
    <w:rsid w:val="00BC2920"/>
    <w:rsid w:val="00BC339C"/>
    <w:rsid w:val="00BC37F7"/>
    <w:rsid w:val="00BC474A"/>
    <w:rsid w:val="00BC49CA"/>
    <w:rsid w:val="00BC4A63"/>
    <w:rsid w:val="00BC4FD0"/>
    <w:rsid w:val="00BC5011"/>
    <w:rsid w:val="00BC59E3"/>
    <w:rsid w:val="00BC5A5B"/>
    <w:rsid w:val="00BC5AE0"/>
    <w:rsid w:val="00BC5F1D"/>
    <w:rsid w:val="00BC622F"/>
    <w:rsid w:val="00BC6531"/>
    <w:rsid w:val="00BC6561"/>
    <w:rsid w:val="00BC669B"/>
    <w:rsid w:val="00BC6EC3"/>
    <w:rsid w:val="00BC715C"/>
    <w:rsid w:val="00BC779A"/>
    <w:rsid w:val="00BC7F4F"/>
    <w:rsid w:val="00BD0D4C"/>
    <w:rsid w:val="00BD0F4F"/>
    <w:rsid w:val="00BD172F"/>
    <w:rsid w:val="00BD189C"/>
    <w:rsid w:val="00BD1B17"/>
    <w:rsid w:val="00BD1B51"/>
    <w:rsid w:val="00BD2F57"/>
    <w:rsid w:val="00BD31B8"/>
    <w:rsid w:val="00BD32A6"/>
    <w:rsid w:val="00BD3C3A"/>
    <w:rsid w:val="00BD40B0"/>
    <w:rsid w:val="00BD457C"/>
    <w:rsid w:val="00BD4C5C"/>
    <w:rsid w:val="00BD4FEC"/>
    <w:rsid w:val="00BD50B2"/>
    <w:rsid w:val="00BD53AE"/>
    <w:rsid w:val="00BD5456"/>
    <w:rsid w:val="00BD570F"/>
    <w:rsid w:val="00BD5B35"/>
    <w:rsid w:val="00BD5D51"/>
    <w:rsid w:val="00BD6061"/>
    <w:rsid w:val="00BD6302"/>
    <w:rsid w:val="00BD63E5"/>
    <w:rsid w:val="00BD6486"/>
    <w:rsid w:val="00BD7AB1"/>
    <w:rsid w:val="00BD7AF2"/>
    <w:rsid w:val="00BD7B9B"/>
    <w:rsid w:val="00BD7D57"/>
    <w:rsid w:val="00BD7EE7"/>
    <w:rsid w:val="00BE00D3"/>
    <w:rsid w:val="00BE09D6"/>
    <w:rsid w:val="00BE0CAE"/>
    <w:rsid w:val="00BE118A"/>
    <w:rsid w:val="00BE13B6"/>
    <w:rsid w:val="00BE1470"/>
    <w:rsid w:val="00BE151A"/>
    <w:rsid w:val="00BE1658"/>
    <w:rsid w:val="00BE168A"/>
    <w:rsid w:val="00BE1A47"/>
    <w:rsid w:val="00BE2449"/>
    <w:rsid w:val="00BE274D"/>
    <w:rsid w:val="00BE2E6D"/>
    <w:rsid w:val="00BE3771"/>
    <w:rsid w:val="00BE3C29"/>
    <w:rsid w:val="00BE3E54"/>
    <w:rsid w:val="00BE47B3"/>
    <w:rsid w:val="00BE536A"/>
    <w:rsid w:val="00BE5B2A"/>
    <w:rsid w:val="00BE5FCF"/>
    <w:rsid w:val="00BE62DE"/>
    <w:rsid w:val="00BE639E"/>
    <w:rsid w:val="00BE63C7"/>
    <w:rsid w:val="00BE6D26"/>
    <w:rsid w:val="00BE6DAC"/>
    <w:rsid w:val="00BE6F03"/>
    <w:rsid w:val="00BE7133"/>
    <w:rsid w:val="00BE742A"/>
    <w:rsid w:val="00BE77BF"/>
    <w:rsid w:val="00BE7B83"/>
    <w:rsid w:val="00BE7DEB"/>
    <w:rsid w:val="00BF03A5"/>
    <w:rsid w:val="00BF03B1"/>
    <w:rsid w:val="00BF061A"/>
    <w:rsid w:val="00BF07CB"/>
    <w:rsid w:val="00BF0DDD"/>
    <w:rsid w:val="00BF0E4D"/>
    <w:rsid w:val="00BF0F88"/>
    <w:rsid w:val="00BF11BC"/>
    <w:rsid w:val="00BF1254"/>
    <w:rsid w:val="00BF1493"/>
    <w:rsid w:val="00BF18D3"/>
    <w:rsid w:val="00BF21E1"/>
    <w:rsid w:val="00BF29CB"/>
    <w:rsid w:val="00BF2A7A"/>
    <w:rsid w:val="00BF2BDC"/>
    <w:rsid w:val="00BF2E8C"/>
    <w:rsid w:val="00BF38EB"/>
    <w:rsid w:val="00BF3D48"/>
    <w:rsid w:val="00BF4D8C"/>
    <w:rsid w:val="00BF5852"/>
    <w:rsid w:val="00BF58D5"/>
    <w:rsid w:val="00BF60DE"/>
    <w:rsid w:val="00BF682D"/>
    <w:rsid w:val="00BF7113"/>
    <w:rsid w:val="00BF746B"/>
    <w:rsid w:val="00BF7885"/>
    <w:rsid w:val="00BF7C65"/>
    <w:rsid w:val="00C009D6"/>
    <w:rsid w:val="00C00F35"/>
    <w:rsid w:val="00C01535"/>
    <w:rsid w:val="00C01AFC"/>
    <w:rsid w:val="00C01B17"/>
    <w:rsid w:val="00C026B8"/>
    <w:rsid w:val="00C02A12"/>
    <w:rsid w:val="00C02D8B"/>
    <w:rsid w:val="00C02DC8"/>
    <w:rsid w:val="00C030B8"/>
    <w:rsid w:val="00C03168"/>
    <w:rsid w:val="00C03516"/>
    <w:rsid w:val="00C03916"/>
    <w:rsid w:val="00C0506F"/>
    <w:rsid w:val="00C052A6"/>
    <w:rsid w:val="00C05302"/>
    <w:rsid w:val="00C053C3"/>
    <w:rsid w:val="00C05459"/>
    <w:rsid w:val="00C0550A"/>
    <w:rsid w:val="00C06153"/>
    <w:rsid w:val="00C069D4"/>
    <w:rsid w:val="00C072AB"/>
    <w:rsid w:val="00C076CA"/>
    <w:rsid w:val="00C07B75"/>
    <w:rsid w:val="00C07EB9"/>
    <w:rsid w:val="00C100FB"/>
    <w:rsid w:val="00C1013F"/>
    <w:rsid w:val="00C10257"/>
    <w:rsid w:val="00C102A4"/>
    <w:rsid w:val="00C10C14"/>
    <w:rsid w:val="00C10F95"/>
    <w:rsid w:val="00C115BD"/>
    <w:rsid w:val="00C11C11"/>
    <w:rsid w:val="00C11F5A"/>
    <w:rsid w:val="00C127DA"/>
    <w:rsid w:val="00C1284E"/>
    <w:rsid w:val="00C12862"/>
    <w:rsid w:val="00C128D8"/>
    <w:rsid w:val="00C12B7A"/>
    <w:rsid w:val="00C12CE5"/>
    <w:rsid w:val="00C13348"/>
    <w:rsid w:val="00C13485"/>
    <w:rsid w:val="00C143BE"/>
    <w:rsid w:val="00C1440C"/>
    <w:rsid w:val="00C14BEF"/>
    <w:rsid w:val="00C15476"/>
    <w:rsid w:val="00C1610A"/>
    <w:rsid w:val="00C163E2"/>
    <w:rsid w:val="00C16494"/>
    <w:rsid w:val="00C168F2"/>
    <w:rsid w:val="00C1714B"/>
    <w:rsid w:val="00C172DC"/>
    <w:rsid w:val="00C1740E"/>
    <w:rsid w:val="00C174B4"/>
    <w:rsid w:val="00C17978"/>
    <w:rsid w:val="00C20125"/>
    <w:rsid w:val="00C20854"/>
    <w:rsid w:val="00C20B71"/>
    <w:rsid w:val="00C20F93"/>
    <w:rsid w:val="00C20FE5"/>
    <w:rsid w:val="00C21485"/>
    <w:rsid w:val="00C2149D"/>
    <w:rsid w:val="00C215E4"/>
    <w:rsid w:val="00C2172D"/>
    <w:rsid w:val="00C2186E"/>
    <w:rsid w:val="00C2204A"/>
    <w:rsid w:val="00C22295"/>
    <w:rsid w:val="00C222A1"/>
    <w:rsid w:val="00C225D2"/>
    <w:rsid w:val="00C22709"/>
    <w:rsid w:val="00C22B47"/>
    <w:rsid w:val="00C233FF"/>
    <w:rsid w:val="00C23439"/>
    <w:rsid w:val="00C23570"/>
    <w:rsid w:val="00C23C1D"/>
    <w:rsid w:val="00C24060"/>
    <w:rsid w:val="00C24363"/>
    <w:rsid w:val="00C246D4"/>
    <w:rsid w:val="00C24897"/>
    <w:rsid w:val="00C249A6"/>
    <w:rsid w:val="00C249CA"/>
    <w:rsid w:val="00C25432"/>
    <w:rsid w:val="00C25A74"/>
    <w:rsid w:val="00C260E5"/>
    <w:rsid w:val="00C2667E"/>
    <w:rsid w:val="00C2679D"/>
    <w:rsid w:val="00C26A78"/>
    <w:rsid w:val="00C26B81"/>
    <w:rsid w:val="00C26FBB"/>
    <w:rsid w:val="00C273F2"/>
    <w:rsid w:val="00C2751F"/>
    <w:rsid w:val="00C30340"/>
    <w:rsid w:val="00C30643"/>
    <w:rsid w:val="00C30E41"/>
    <w:rsid w:val="00C3104E"/>
    <w:rsid w:val="00C313DD"/>
    <w:rsid w:val="00C31AF4"/>
    <w:rsid w:val="00C32083"/>
    <w:rsid w:val="00C327DD"/>
    <w:rsid w:val="00C32B8C"/>
    <w:rsid w:val="00C32C5F"/>
    <w:rsid w:val="00C32FB9"/>
    <w:rsid w:val="00C333DE"/>
    <w:rsid w:val="00C33A00"/>
    <w:rsid w:val="00C33CED"/>
    <w:rsid w:val="00C33D58"/>
    <w:rsid w:val="00C344C9"/>
    <w:rsid w:val="00C3465D"/>
    <w:rsid w:val="00C3470A"/>
    <w:rsid w:val="00C350CE"/>
    <w:rsid w:val="00C35BB3"/>
    <w:rsid w:val="00C35D19"/>
    <w:rsid w:val="00C35FBC"/>
    <w:rsid w:val="00C365BC"/>
    <w:rsid w:val="00C36771"/>
    <w:rsid w:val="00C36A9E"/>
    <w:rsid w:val="00C36F91"/>
    <w:rsid w:val="00C37227"/>
    <w:rsid w:val="00C374DB"/>
    <w:rsid w:val="00C37DE8"/>
    <w:rsid w:val="00C37E12"/>
    <w:rsid w:val="00C40520"/>
    <w:rsid w:val="00C40A4A"/>
    <w:rsid w:val="00C40BE7"/>
    <w:rsid w:val="00C411DE"/>
    <w:rsid w:val="00C4134B"/>
    <w:rsid w:val="00C4208C"/>
    <w:rsid w:val="00C42187"/>
    <w:rsid w:val="00C42811"/>
    <w:rsid w:val="00C42919"/>
    <w:rsid w:val="00C4330D"/>
    <w:rsid w:val="00C438DE"/>
    <w:rsid w:val="00C43CD8"/>
    <w:rsid w:val="00C43EF8"/>
    <w:rsid w:val="00C440BC"/>
    <w:rsid w:val="00C440C1"/>
    <w:rsid w:val="00C44417"/>
    <w:rsid w:val="00C44A86"/>
    <w:rsid w:val="00C453B0"/>
    <w:rsid w:val="00C45B67"/>
    <w:rsid w:val="00C46B9E"/>
    <w:rsid w:val="00C46D15"/>
    <w:rsid w:val="00C46D69"/>
    <w:rsid w:val="00C4781A"/>
    <w:rsid w:val="00C47D6C"/>
    <w:rsid w:val="00C47D85"/>
    <w:rsid w:val="00C47F81"/>
    <w:rsid w:val="00C50873"/>
    <w:rsid w:val="00C50AC0"/>
    <w:rsid w:val="00C50B0E"/>
    <w:rsid w:val="00C50CB5"/>
    <w:rsid w:val="00C515B5"/>
    <w:rsid w:val="00C51E67"/>
    <w:rsid w:val="00C522A2"/>
    <w:rsid w:val="00C52368"/>
    <w:rsid w:val="00C5240A"/>
    <w:rsid w:val="00C52786"/>
    <w:rsid w:val="00C529B4"/>
    <w:rsid w:val="00C53A92"/>
    <w:rsid w:val="00C53E01"/>
    <w:rsid w:val="00C53ECB"/>
    <w:rsid w:val="00C53F26"/>
    <w:rsid w:val="00C5419C"/>
    <w:rsid w:val="00C548D0"/>
    <w:rsid w:val="00C54D65"/>
    <w:rsid w:val="00C54F6B"/>
    <w:rsid w:val="00C55040"/>
    <w:rsid w:val="00C550FD"/>
    <w:rsid w:val="00C55598"/>
    <w:rsid w:val="00C555A4"/>
    <w:rsid w:val="00C559F9"/>
    <w:rsid w:val="00C55A83"/>
    <w:rsid w:val="00C55B70"/>
    <w:rsid w:val="00C55B76"/>
    <w:rsid w:val="00C55BBF"/>
    <w:rsid w:val="00C55D22"/>
    <w:rsid w:val="00C569E2"/>
    <w:rsid w:val="00C56D96"/>
    <w:rsid w:val="00C56DF9"/>
    <w:rsid w:val="00C56EAB"/>
    <w:rsid w:val="00C574BF"/>
    <w:rsid w:val="00C5779C"/>
    <w:rsid w:val="00C57EB7"/>
    <w:rsid w:val="00C57EDA"/>
    <w:rsid w:val="00C6032E"/>
    <w:rsid w:val="00C603F7"/>
    <w:rsid w:val="00C604D0"/>
    <w:rsid w:val="00C60693"/>
    <w:rsid w:val="00C60857"/>
    <w:rsid w:val="00C60D93"/>
    <w:rsid w:val="00C61149"/>
    <w:rsid w:val="00C61AFF"/>
    <w:rsid w:val="00C61F4E"/>
    <w:rsid w:val="00C6229C"/>
    <w:rsid w:val="00C62E46"/>
    <w:rsid w:val="00C62F0C"/>
    <w:rsid w:val="00C63302"/>
    <w:rsid w:val="00C63336"/>
    <w:rsid w:val="00C63C19"/>
    <w:rsid w:val="00C64174"/>
    <w:rsid w:val="00C643C5"/>
    <w:rsid w:val="00C645BE"/>
    <w:rsid w:val="00C65670"/>
    <w:rsid w:val="00C6604C"/>
    <w:rsid w:val="00C6642D"/>
    <w:rsid w:val="00C6692D"/>
    <w:rsid w:val="00C66BF0"/>
    <w:rsid w:val="00C674BA"/>
    <w:rsid w:val="00C67928"/>
    <w:rsid w:val="00C67AC1"/>
    <w:rsid w:val="00C67B07"/>
    <w:rsid w:val="00C7051F"/>
    <w:rsid w:val="00C70845"/>
    <w:rsid w:val="00C70E55"/>
    <w:rsid w:val="00C70F33"/>
    <w:rsid w:val="00C71194"/>
    <w:rsid w:val="00C71890"/>
    <w:rsid w:val="00C7191E"/>
    <w:rsid w:val="00C71B13"/>
    <w:rsid w:val="00C71C59"/>
    <w:rsid w:val="00C71DCD"/>
    <w:rsid w:val="00C723A9"/>
    <w:rsid w:val="00C725D3"/>
    <w:rsid w:val="00C72869"/>
    <w:rsid w:val="00C733C8"/>
    <w:rsid w:val="00C73E58"/>
    <w:rsid w:val="00C7411D"/>
    <w:rsid w:val="00C742B6"/>
    <w:rsid w:val="00C7457D"/>
    <w:rsid w:val="00C74AD5"/>
    <w:rsid w:val="00C74E1B"/>
    <w:rsid w:val="00C75E68"/>
    <w:rsid w:val="00C7683D"/>
    <w:rsid w:val="00C76A58"/>
    <w:rsid w:val="00C76B6B"/>
    <w:rsid w:val="00C76CDE"/>
    <w:rsid w:val="00C76F89"/>
    <w:rsid w:val="00C76FF7"/>
    <w:rsid w:val="00C770B6"/>
    <w:rsid w:val="00C775AB"/>
    <w:rsid w:val="00C800C4"/>
    <w:rsid w:val="00C80CC5"/>
    <w:rsid w:val="00C812B0"/>
    <w:rsid w:val="00C81C24"/>
    <w:rsid w:val="00C82065"/>
    <w:rsid w:val="00C82112"/>
    <w:rsid w:val="00C82118"/>
    <w:rsid w:val="00C827A6"/>
    <w:rsid w:val="00C827AB"/>
    <w:rsid w:val="00C8293B"/>
    <w:rsid w:val="00C82A37"/>
    <w:rsid w:val="00C82A6E"/>
    <w:rsid w:val="00C82C73"/>
    <w:rsid w:val="00C82E91"/>
    <w:rsid w:val="00C83084"/>
    <w:rsid w:val="00C838BE"/>
    <w:rsid w:val="00C838E0"/>
    <w:rsid w:val="00C83A2E"/>
    <w:rsid w:val="00C83A7C"/>
    <w:rsid w:val="00C83DE7"/>
    <w:rsid w:val="00C845A3"/>
    <w:rsid w:val="00C84ABC"/>
    <w:rsid w:val="00C8560D"/>
    <w:rsid w:val="00C85A0A"/>
    <w:rsid w:val="00C85E82"/>
    <w:rsid w:val="00C860D0"/>
    <w:rsid w:val="00C862CD"/>
    <w:rsid w:val="00C866E4"/>
    <w:rsid w:val="00C869B0"/>
    <w:rsid w:val="00C86A64"/>
    <w:rsid w:val="00C86C46"/>
    <w:rsid w:val="00C87E83"/>
    <w:rsid w:val="00C87F79"/>
    <w:rsid w:val="00C87FD1"/>
    <w:rsid w:val="00C90389"/>
    <w:rsid w:val="00C90BC5"/>
    <w:rsid w:val="00C9194B"/>
    <w:rsid w:val="00C91AB0"/>
    <w:rsid w:val="00C91E49"/>
    <w:rsid w:val="00C92003"/>
    <w:rsid w:val="00C92234"/>
    <w:rsid w:val="00C925B7"/>
    <w:rsid w:val="00C93248"/>
    <w:rsid w:val="00C932E3"/>
    <w:rsid w:val="00C9389F"/>
    <w:rsid w:val="00C93A12"/>
    <w:rsid w:val="00C93BFB"/>
    <w:rsid w:val="00C95546"/>
    <w:rsid w:val="00C958D4"/>
    <w:rsid w:val="00C95CBF"/>
    <w:rsid w:val="00C95E5C"/>
    <w:rsid w:val="00C96516"/>
    <w:rsid w:val="00C9665C"/>
    <w:rsid w:val="00C96B5F"/>
    <w:rsid w:val="00C96D9A"/>
    <w:rsid w:val="00C976DA"/>
    <w:rsid w:val="00C97A39"/>
    <w:rsid w:val="00C97D3E"/>
    <w:rsid w:val="00CA027C"/>
    <w:rsid w:val="00CA03EE"/>
    <w:rsid w:val="00CA066A"/>
    <w:rsid w:val="00CA09DC"/>
    <w:rsid w:val="00CA17FD"/>
    <w:rsid w:val="00CA1ABF"/>
    <w:rsid w:val="00CA1CA9"/>
    <w:rsid w:val="00CA2124"/>
    <w:rsid w:val="00CA287D"/>
    <w:rsid w:val="00CA2A25"/>
    <w:rsid w:val="00CA2ADF"/>
    <w:rsid w:val="00CA2C99"/>
    <w:rsid w:val="00CA2D15"/>
    <w:rsid w:val="00CA2D71"/>
    <w:rsid w:val="00CA2FDC"/>
    <w:rsid w:val="00CA3400"/>
    <w:rsid w:val="00CA3495"/>
    <w:rsid w:val="00CA3500"/>
    <w:rsid w:val="00CA3B44"/>
    <w:rsid w:val="00CA47C6"/>
    <w:rsid w:val="00CA47CB"/>
    <w:rsid w:val="00CA4890"/>
    <w:rsid w:val="00CA4C2B"/>
    <w:rsid w:val="00CA52CF"/>
    <w:rsid w:val="00CA535F"/>
    <w:rsid w:val="00CA5648"/>
    <w:rsid w:val="00CA5B2A"/>
    <w:rsid w:val="00CA6121"/>
    <w:rsid w:val="00CA6263"/>
    <w:rsid w:val="00CA6426"/>
    <w:rsid w:val="00CA6762"/>
    <w:rsid w:val="00CA6969"/>
    <w:rsid w:val="00CA6BB7"/>
    <w:rsid w:val="00CA7016"/>
    <w:rsid w:val="00CA706F"/>
    <w:rsid w:val="00CA74B7"/>
    <w:rsid w:val="00CA780C"/>
    <w:rsid w:val="00CB03CA"/>
    <w:rsid w:val="00CB078E"/>
    <w:rsid w:val="00CB1084"/>
    <w:rsid w:val="00CB1449"/>
    <w:rsid w:val="00CB1912"/>
    <w:rsid w:val="00CB1A8E"/>
    <w:rsid w:val="00CB2070"/>
    <w:rsid w:val="00CB257F"/>
    <w:rsid w:val="00CB36F1"/>
    <w:rsid w:val="00CB3B18"/>
    <w:rsid w:val="00CB462C"/>
    <w:rsid w:val="00CB4A71"/>
    <w:rsid w:val="00CB4A83"/>
    <w:rsid w:val="00CB5355"/>
    <w:rsid w:val="00CB5B1A"/>
    <w:rsid w:val="00CB5D00"/>
    <w:rsid w:val="00CB5DE0"/>
    <w:rsid w:val="00CB672A"/>
    <w:rsid w:val="00CB684A"/>
    <w:rsid w:val="00CB6B08"/>
    <w:rsid w:val="00CB6F7B"/>
    <w:rsid w:val="00CB757E"/>
    <w:rsid w:val="00CB75AD"/>
    <w:rsid w:val="00CB7689"/>
    <w:rsid w:val="00CB7A1A"/>
    <w:rsid w:val="00CC01A7"/>
    <w:rsid w:val="00CC06E7"/>
    <w:rsid w:val="00CC0E88"/>
    <w:rsid w:val="00CC12BC"/>
    <w:rsid w:val="00CC1C6A"/>
    <w:rsid w:val="00CC1C86"/>
    <w:rsid w:val="00CC218A"/>
    <w:rsid w:val="00CC260D"/>
    <w:rsid w:val="00CC2696"/>
    <w:rsid w:val="00CC2A09"/>
    <w:rsid w:val="00CC2DCD"/>
    <w:rsid w:val="00CC33E0"/>
    <w:rsid w:val="00CC3504"/>
    <w:rsid w:val="00CC3ADA"/>
    <w:rsid w:val="00CC3C26"/>
    <w:rsid w:val="00CC4696"/>
    <w:rsid w:val="00CC4E66"/>
    <w:rsid w:val="00CC4FF8"/>
    <w:rsid w:val="00CC5D3E"/>
    <w:rsid w:val="00CC6678"/>
    <w:rsid w:val="00CC66D5"/>
    <w:rsid w:val="00CC6BC9"/>
    <w:rsid w:val="00CC723C"/>
    <w:rsid w:val="00CC7479"/>
    <w:rsid w:val="00CC7B0B"/>
    <w:rsid w:val="00CD049D"/>
    <w:rsid w:val="00CD0822"/>
    <w:rsid w:val="00CD0B32"/>
    <w:rsid w:val="00CD1177"/>
    <w:rsid w:val="00CD1B21"/>
    <w:rsid w:val="00CD1B49"/>
    <w:rsid w:val="00CD2270"/>
    <w:rsid w:val="00CD250C"/>
    <w:rsid w:val="00CD2948"/>
    <w:rsid w:val="00CD2964"/>
    <w:rsid w:val="00CD2B42"/>
    <w:rsid w:val="00CD2BB5"/>
    <w:rsid w:val="00CD2CA4"/>
    <w:rsid w:val="00CD3822"/>
    <w:rsid w:val="00CD3BC5"/>
    <w:rsid w:val="00CD3EE1"/>
    <w:rsid w:val="00CD40A2"/>
    <w:rsid w:val="00CD4115"/>
    <w:rsid w:val="00CD412F"/>
    <w:rsid w:val="00CD4146"/>
    <w:rsid w:val="00CD47BF"/>
    <w:rsid w:val="00CD4AC6"/>
    <w:rsid w:val="00CD4EBF"/>
    <w:rsid w:val="00CD4F42"/>
    <w:rsid w:val="00CD5768"/>
    <w:rsid w:val="00CD5F0B"/>
    <w:rsid w:val="00CD5F84"/>
    <w:rsid w:val="00CD650F"/>
    <w:rsid w:val="00CD65BA"/>
    <w:rsid w:val="00CD686D"/>
    <w:rsid w:val="00CD6924"/>
    <w:rsid w:val="00CD6F63"/>
    <w:rsid w:val="00CD75F2"/>
    <w:rsid w:val="00CD75FB"/>
    <w:rsid w:val="00CE0359"/>
    <w:rsid w:val="00CE058D"/>
    <w:rsid w:val="00CE06A1"/>
    <w:rsid w:val="00CE07D1"/>
    <w:rsid w:val="00CE0E68"/>
    <w:rsid w:val="00CE1022"/>
    <w:rsid w:val="00CE12AC"/>
    <w:rsid w:val="00CE1453"/>
    <w:rsid w:val="00CE1825"/>
    <w:rsid w:val="00CE187A"/>
    <w:rsid w:val="00CE1C74"/>
    <w:rsid w:val="00CE2039"/>
    <w:rsid w:val="00CE22F2"/>
    <w:rsid w:val="00CE268D"/>
    <w:rsid w:val="00CE284B"/>
    <w:rsid w:val="00CE2BAE"/>
    <w:rsid w:val="00CE3315"/>
    <w:rsid w:val="00CE335D"/>
    <w:rsid w:val="00CE3FEC"/>
    <w:rsid w:val="00CE4491"/>
    <w:rsid w:val="00CE45CA"/>
    <w:rsid w:val="00CE4B31"/>
    <w:rsid w:val="00CE4D00"/>
    <w:rsid w:val="00CE4E0D"/>
    <w:rsid w:val="00CE4E66"/>
    <w:rsid w:val="00CE515D"/>
    <w:rsid w:val="00CE5605"/>
    <w:rsid w:val="00CE5614"/>
    <w:rsid w:val="00CE5676"/>
    <w:rsid w:val="00CE59AE"/>
    <w:rsid w:val="00CE5A3C"/>
    <w:rsid w:val="00CE5DAA"/>
    <w:rsid w:val="00CE5DBC"/>
    <w:rsid w:val="00CE62A9"/>
    <w:rsid w:val="00CE6A77"/>
    <w:rsid w:val="00CE6D1A"/>
    <w:rsid w:val="00CE72C4"/>
    <w:rsid w:val="00CE77FC"/>
    <w:rsid w:val="00CE7A79"/>
    <w:rsid w:val="00CE7CC5"/>
    <w:rsid w:val="00CE7D84"/>
    <w:rsid w:val="00CE7EC2"/>
    <w:rsid w:val="00CE7F8E"/>
    <w:rsid w:val="00CF0081"/>
    <w:rsid w:val="00CF01FA"/>
    <w:rsid w:val="00CF0399"/>
    <w:rsid w:val="00CF06FB"/>
    <w:rsid w:val="00CF1342"/>
    <w:rsid w:val="00CF256F"/>
    <w:rsid w:val="00CF257C"/>
    <w:rsid w:val="00CF3B17"/>
    <w:rsid w:val="00CF4741"/>
    <w:rsid w:val="00CF4E04"/>
    <w:rsid w:val="00CF4E92"/>
    <w:rsid w:val="00CF5195"/>
    <w:rsid w:val="00CF522D"/>
    <w:rsid w:val="00CF5777"/>
    <w:rsid w:val="00CF5897"/>
    <w:rsid w:val="00CF64F2"/>
    <w:rsid w:val="00CF65A1"/>
    <w:rsid w:val="00CF6C45"/>
    <w:rsid w:val="00CF6CDA"/>
    <w:rsid w:val="00CF7668"/>
    <w:rsid w:val="00CF7CBD"/>
    <w:rsid w:val="00D000B0"/>
    <w:rsid w:val="00D000CB"/>
    <w:rsid w:val="00D0034E"/>
    <w:rsid w:val="00D00535"/>
    <w:rsid w:val="00D00F07"/>
    <w:rsid w:val="00D012DA"/>
    <w:rsid w:val="00D014E4"/>
    <w:rsid w:val="00D017A5"/>
    <w:rsid w:val="00D018EA"/>
    <w:rsid w:val="00D01F99"/>
    <w:rsid w:val="00D02812"/>
    <w:rsid w:val="00D02D77"/>
    <w:rsid w:val="00D03164"/>
    <w:rsid w:val="00D03695"/>
    <w:rsid w:val="00D0377A"/>
    <w:rsid w:val="00D03AB4"/>
    <w:rsid w:val="00D03E5F"/>
    <w:rsid w:val="00D03EBD"/>
    <w:rsid w:val="00D0416D"/>
    <w:rsid w:val="00D04230"/>
    <w:rsid w:val="00D045EB"/>
    <w:rsid w:val="00D049FB"/>
    <w:rsid w:val="00D04B01"/>
    <w:rsid w:val="00D04BDA"/>
    <w:rsid w:val="00D05157"/>
    <w:rsid w:val="00D05709"/>
    <w:rsid w:val="00D059C5"/>
    <w:rsid w:val="00D063EB"/>
    <w:rsid w:val="00D0661B"/>
    <w:rsid w:val="00D066DA"/>
    <w:rsid w:val="00D0737D"/>
    <w:rsid w:val="00D07A3B"/>
    <w:rsid w:val="00D07CF7"/>
    <w:rsid w:val="00D07D5F"/>
    <w:rsid w:val="00D10479"/>
    <w:rsid w:val="00D1056D"/>
    <w:rsid w:val="00D10783"/>
    <w:rsid w:val="00D11166"/>
    <w:rsid w:val="00D11ABF"/>
    <w:rsid w:val="00D11D80"/>
    <w:rsid w:val="00D123D4"/>
    <w:rsid w:val="00D134D3"/>
    <w:rsid w:val="00D138F0"/>
    <w:rsid w:val="00D13B31"/>
    <w:rsid w:val="00D1402D"/>
    <w:rsid w:val="00D14986"/>
    <w:rsid w:val="00D14E08"/>
    <w:rsid w:val="00D14E48"/>
    <w:rsid w:val="00D1529E"/>
    <w:rsid w:val="00D15349"/>
    <w:rsid w:val="00D15FF8"/>
    <w:rsid w:val="00D160BB"/>
    <w:rsid w:val="00D168B6"/>
    <w:rsid w:val="00D16996"/>
    <w:rsid w:val="00D169E5"/>
    <w:rsid w:val="00D171F9"/>
    <w:rsid w:val="00D1731A"/>
    <w:rsid w:val="00D17339"/>
    <w:rsid w:val="00D17E44"/>
    <w:rsid w:val="00D20356"/>
    <w:rsid w:val="00D2050A"/>
    <w:rsid w:val="00D20D9A"/>
    <w:rsid w:val="00D20EB1"/>
    <w:rsid w:val="00D20F04"/>
    <w:rsid w:val="00D21E79"/>
    <w:rsid w:val="00D220C9"/>
    <w:rsid w:val="00D237B1"/>
    <w:rsid w:val="00D237BE"/>
    <w:rsid w:val="00D23D64"/>
    <w:rsid w:val="00D23DCB"/>
    <w:rsid w:val="00D241F2"/>
    <w:rsid w:val="00D2496A"/>
    <w:rsid w:val="00D24E5F"/>
    <w:rsid w:val="00D2523A"/>
    <w:rsid w:val="00D25656"/>
    <w:rsid w:val="00D2589C"/>
    <w:rsid w:val="00D2599A"/>
    <w:rsid w:val="00D26009"/>
    <w:rsid w:val="00D261F3"/>
    <w:rsid w:val="00D266B5"/>
    <w:rsid w:val="00D2692A"/>
    <w:rsid w:val="00D26C6F"/>
    <w:rsid w:val="00D26F50"/>
    <w:rsid w:val="00D273C8"/>
    <w:rsid w:val="00D274D9"/>
    <w:rsid w:val="00D27978"/>
    <w:rsid w:val="00D27A6D"/>
    <w:rsid w:val="00D27AD1"/>
    <w:rsid w:val="00D27D4E"/>
    <w:rsid w:val="00D27EAA"/>
    <w:rsid w:val="00D30356"/>
    <w:rsid w:val="00D303D4"/>
    <w:rsid w:val="00D308BE"/>
    <w:rsid w:val="00D30F79"/>
    <w:rsid w:val="00D310BF"/>
    <w:rsid w:val="00D314C5"/>
    <w:rsid w:val="00D31932"/>
    <w:rsid w:val="00D31B6B"/>
    <w:rsid w:val="00D31EB9"/>
    <w:rsid w:val="00D326EE"/>
    <w:rsid w:val="00D327B2"/>
    <w:rsid w:val="00D328FA"/>
    <w:rsid w:val="00D32B04"/>
    <w:rsid w:val="00D3318B"/>
    <w:rsid w:val="00D3447F"/>
    <w:rsid w:val="00D34CCD"/>
    <w:rsid w:val="00D3528F"/>
    <w:rsid w:val="00D355A5"/>
    <w:rsid w:val="00D356D3"/>
    <w:rsid w:val="00D35A3A"/>
    <w:rsid w:val="00D3653A"/>
    <w:rsid w:val="00D36D79"/>
    <w:rsid w:val="00D36EA6"/>
    <w:rsid w:val="00D3730E"/>
    <w:rsid w:val="00D3733A"/>
    <w:rsid w:val="00D37A3A"/>
    <w:rsid w:val="00D37F2E"/>
    <w:rsid w:val="00D404BF"/>
    <w:rsid w:val="00D4153D"/>
    <w:rsid w:val="00D41D59"/>
    <w:rsid w:val="00D41D8B"/>
    <w:rsid w:val="00D41DE0"/>
    <w:rsid w:val="00D41EF6"/>
    <w:rsid w:val="00D420DC"/>
    <w:rsid w:val="00D433C5"/>
    <w:rsid w:val="00D43403"/>
    <w:rsid w:val="00D434D1"/>
    <w:rsid w:val="00D4365D"/>
    <w:rsid w:val="00D438BA"/>
    <w:rsid w:val="00D4447F"/>
    <w:rsid w:val="00D445EF"/>
    <w:rsid w:val="00D446ED"/>
    <w:rsid w:val="00D44957"/>
    <w:rsid w:val="00D4536B"/>
    <w:rsid w:val="00D45EA8"/>
    <w:rsid w:val="00D45F84"/>
    <w:rsid w:val="00D46138"/>
    <w:rsid w:val="00D46832"/>
    <w:rsid w:val="00D46F38"/>
    <w:rsid w:val="00D47436"/>
    <w:rsid w:val="00D474F9"/>
    <w:rsid w:val="00D4773F"/>
    <w:rsid w:val="00D47A26"/>
    <w:rsid w:val="00D47D62"/>
    <w:rsid w:val="00D47E23"/>
    <w:rsid w:val="00D50304"/>
    <w:rsid w:val="00D505B9"/>
    <w:rsid w:val="00D50A70"/>
    <w:rsid w:val="00D50CBE"/>
    <w:rsid w:val="00D51682"/>
    <w:rsid w:val="00D516E7"/>
    <w:rsid w:val="00D51990"/>
    <w:rsid w:val="00D51A25"/>
    <w:rsid w:val="00D51A44"/>
    <w:rsid w:val="00D51BF3"/>
    <w:rsid w:val="00D51E7F"/>
    <w:rsid w:val="00D520DD"/>
    <w:rsid w:val="00D52DA5"/>
    <w:rsid w:val="00D530FE"/>
    <w:rsid w:val="00D531D1"/>
    <w:rsid w:val="00D5334A"/>
    <w:rsid w:val="00D53AF2"/>
    <w:rsid w:val="00D5426A"/>
    <w:rsid w:val="00D54593"/>
    <w:rsid w:val="00D54B53"/>
    <w:rsid w:val="00D556D5"/>
    <w:rsid w:val="00D5592B"/>
    <w:rsid w:val="00D55FBD"/>
    <w:rsid w:val="00D567B2"/>
    <w:rsid w:val="00D56A62"/>
    <w:rsid w:val="00D56BBF"/>
    <w:rsid w:val="00D57232"/>
    <w:rsid w:val="00D5751F"/>
    <w:rsid w:val="00D575A9"/>
    <w:rsid w:val="00D57604"/>
    <w:rsid w:val="00D57793"/>
    <w:rsid w:val="00D5799B"/>
    <w:rsid w:val="00D6052F"/>
    <w:rsid w:val="00D60EAB"/>
    <w:rsid w:val="00D610FF"/>
    <w:rsid w:val="00D6184D"/>
    <w:rsid w:val="00D623ED"/>
    <w:rsid w:val="00D62452"/>
    <w:rsid w:val="00D62504"/>
    <w:rsid w:val="00D62513"/>
    <w:rsid w:val="00D62E98"/>
    <w:rsid w:val="00D62FDD"/>
    <w:rsid w:val="00D6307D"/>
    <w:rsid w:val="00D63083"/>
    <w:rsid w:val="00D63373"/>
    <w:rsid w:val="00D63537"/>
    <w:rsid w:val="00D63CA9"/>
    <w:rsid w:val="00D64055"/>
    <w:rsid w:val="00D64073"/>
    <w:rsid w:val="00D641B6"/>
    <w:rsid w:val="00D643B4"/>
    <w:rsid w:val="00D644B4"/>
    <w:rsid w:val="00D645BE"/>
    <w:rsid w:val="00D647FF"/>
    <w:rsid w:val="00D6526B"/>
    <w:rsid w:val="00D65CC9"/>
    <w:rsid w:val="00D65EFF"/>
    <w:rsid w:val="00D665FB"/>
    <w:rsid w:val="00D667DC"/>
    <w:rsid w:val="00D66FEC"/>
    <w:rsid w:val="00D675FF"/>
    <w:rsid w:val="00D6765B"/>
    <w:rsid w:val="00D67730"/>
    <w:rsid w:val="00D67825"/>
    <w:rsid w:val="00D67E86"/>
    <w:rsid w:val="00D7037F"/>
    <w:rsid w:val="00D705EC"/>
    <w:rsid w:val="00D70A16"/>
    <w:rsid w:val="00D70F17"/>
    <w:rsid w:val="00D71175"/>
    <w:rsid w:val="00D718DD"/>
    <w:rsid w:val="00D71E2C"/>
    <w:rsid w:val="00D71EE3"/>
    <w:rsid w:val="00D7250E"/>
    <w:rsid w:val="00D72CA9"/>
    <w:rsid w:val="00D7333E"/>
    <w:rsid w:val="00D73701"/>
    <w:rsid w:val="00D73D76"/>
    <w:rsid w:val="00D73EF5"/>
    <w:rsid w:val="00D73FC2"/>
    <w:rsid w:val="00D74397"/>
    <w:rsid w:val="00D74415"/>
    <w:rsid w:val="00D74580"/>
    <w:rsid w:val="00D7479A"/>
    <w:rsid w:val="00D74FE5"/>
    <w:rsid w:val="00D752BF"/>
    <w:rsid w:val="00D7543F"/>
    <w:rsid w:val="00D759DE"/>
    <w:rsid w:val="00D765A7"/>
    <w:rsid w:val="00D7711C"/>
    <w:rsid w:val="00D77149"/>
    <w:rsid w:val="00D77882"/>
    <w:rsid w:val="00D77B3F"/>
    <w:rsid w:val="00D800A9"/>
    <w:rsid w:val="00D80452"/>
    <w:rsid w:val="00D80E78"/>
    <w:rsid w:val="00D812D0"/>
    <w:rsid w:val="00D817E4"/>
    <w:rsid w:val="00D81A79"/>
    <w:rsid w:val="00D81B43"/>
    <w:rsid w:val="00D81BE0"/>
    <w:rsid w:val="00D81DC6"/>
    <w:rsid w:val="00D82355"/>
    <w:rsid w:val="00D8261A"/>
    <w:rsid w:val="00D82769"/>
    <w:rsid w:val="00D82D2D"/>
    <w:rsid w:val="00D83327"/>
    <w:rsid w:val="00D8332E"/>
    <w:rsid w:val="00D83CD5"/>
    <w:rsid w:val="00D83D36"/>
    <w:rsid w:val="00D84272"/>
    <w:rsid w:val="00D850DF"/>
    <w:rsid w:val="00D85A37"/>
    <w:rsid w:val="00D85BC0"/>
    <w:rsid w:val="00D85FBE"/>
    <w:rsid w:val="00D861C5"/>
    <w:rsid w:val="00D8622A"/>
    <w:rsid w:val="00D86511"/>
    <w:rsid w:val="00D86652"/>
    <w:rsid w:val="00D86941"/>
    <w:rsid w:val="00D8706D"/>
    <w:rsid w:val="00D871F1"/>
    <w:rsid w:val="00D87218"/>
    <w:rsid w:val="00D87423"/>
    <w:rsid w:val="00D874EC"/>
    <w:rsid w:val="00D87714"/>
    <w:rsid w:val="00D8786B"/>
    <w:rsid w:val="00D87A11"/>
    <w:rsid w:val="00D87B34"/>
    <w:rsid w:val="00D87B5B"/>
    <w:rsid w:val="00D87B61"/>
    <w:rsid w:val="00D87ECF"/>
    <w:rsid w:val="00D90823"/>
    <w:rsid w:val="00D912AA"/>
    <w:rsid w:val="00D91468"/>
    <w:rsid w:val="00D91E5B"/>
    <w:rsid w:val="00D92859"/>
    <w:rsid w:val="00D92883"/>
    <w:rsid w:val="00D92F91"/>
    <w:rsid w:val="00D9300B"/>
    <w:rsid w:val="00D932C6"/>
    <w:rsid w:val="00D9343D"/>
    <w:rsid w:val="00D937FC"/>
    <w:rsid w:val="00D9380C"/>
    <w:rsid w:val="00D93924"/>
    <w:rsid w:val="00D93A69"/>
    <w:rsid w:val="00D93B8E"/>
    <w:rsid w:val="00D94070"/>
    <w:rsid w:val="00D9459E"/>
    <w:rsid w:val="00D94EB5"/>
    <w:rsid w:val="00D95278"/>
    <w:rsid w:val="00D959B2"/>
    <w:rsid w:val="00D9615D"/>
    <w:rsid w:val="00D96629"/>
    <w:rsid w:val="00D96997"/>
    <w:rsid w:val="00D97389"/>
    <w:rsid w:val="00D9754A"/>
    <w:rsid w:val="00D97D87"/>
    <w:rsid w:val="00DA0337"/>
    <w:rsid w:val="00DA07F9"/>
    <w:rsid w:val="00DA0936"/>
    <w:rsid w:val="00DA102B"/>
    <w:rsid w:val="00DA15E8"/>
    <w:rsid w:val="00DA1AC5"/>
    <w:rsid w:val="00DA2130"/>
    <w:rsid w:val="00DA258F"/>
    <w:rsid w:val="00DA3183"/>
    <w:rsid w:val="00DA38E3"/>
    <w:rsid w:val="00DA393D"/>
    <w:rsid w:val="00DA3B0E"/>
    <w:rsid w:val="00DA3DC4"/>
    <w:rsid w:val="00DA3DF8"/>
    <w:rsid w:val="00DA49FC"/>
    <w:rsid w:val="00DA4C10"/>
    <w:rsid w:val="00DA4E59"/>
    <w:rsid w:val="00DA52C1"/>
    <w:rsid w:val="00DA550A"/>
    <w:rsid w:val="00DA55B6"/>
    <w:rsid w:val="00DA57CC"/>
    <w:rsid w:val="00DA5BBC"/>
    <w:rsid w:val="00DA5C11"/>
    <w:rsid w:val="00DA5E04"/>
    <w:rsid w:val="00DA628A"/>
    <w:rsid w:val="00DA667B"/>
    <w:rsid w:val="00DA6737"/>
    <w:rsid w:val="00DA6E27"/>
    <w:rsid w:val="00DA7334"/>
    <w:rsid w:val="00DA76DC"/>
    <w:rsid w:val="00DA7A82"/>
    <w:rsid w:val="00DB0678"/>
    <w:rsid w:val="00DB0AD7"/>
    <w:rsid w:val="00DB0CA5"/>
    <w:rsid w:val="00DB0EC1"/>
    <w:rsid w:val="00DB15BF"/>
    <w:rsid w:val="00DB1716"/>
    <w:rsid w:val="00DB1D2B"/>
    <w:rsid w:val="00DB1FB7"/>
    <w:rsid w:val="00DB21BB"/>
    <w:rsid w:val="00DB2A75"/>
    <w:rsid w:val="00DB2C9B"/>
    <w:rsid w:val="00DB2DF5"/>
    <w:rsid w:val="00DB2E51"/>
    <w:rsid w:val="00DB3145"/>
    <w:rsid w:val="00DB4238"/>
    <w:rsid w:val="00DB4609"/>
    <w:rsid w:val="00DB5E33"/>
    <w:rsid w:val="00DB5F36"/>
    <w:rsid w:val="00DB63ED"/>
    <w:rsid w:val="00DB64F6"/>
    <w:rsid w:val="00DB6544"/>
    <w:rsid w:val="00DB6FB6"/>
    <w:rsid w:val="00DC0FA6"/>
    <w:rsid w:val="00DC130C"/>
    <w:rsid w:val="00DC17B1"/>
    <w:rsid w:val="00DC1A87"/>
    <w:rsid w:val="00DC2292"/>
    <w:rsid w:val="00DC2E98"/>
    <w:rsid w:val="00DC311A"/>
    <w:rsid w:val="00DC3725"/>
    <w:rsid w:val="00DC459C"/>
    <w:rsid w:val="00DC4992"/>
    <w:rsid w:val="00DC4BB8"/>
    <w:rsid w:val="00DC508E"/>
    <w:rsid w:val="00DC5487"/>
    <w:rsid w:val="00DC5BEF"/>
    <w:rsid w:val="00DC5DC9"/>
    <w:rsid w:val="00DC6760"/>
    <w:rsid w:val="00DC68FA"/>
    <w:rsid w:val="00DC6B2C"/>
    <w:rsid w:val="00DC6E2A"/>
    <w:rsid w:val="00DC70C6"/>
    <w:rsid w:val="00DC714C"/>
    <w:rsid w:val="00DC7F60"/>
    <w:rsid w:val="00DC7F96"/>
    <w:rsid w:val="00DD0342"/>
    <w:rsid w:val="00DD06BF"/>
    <w:rsid w:val="00DD0737"/>
    <w:rsid w:val="00DD192E"/>
    <w:rsid w:val="00DD1E85"/>
    <w:rsid w:val="00DD2359"/>
    <w:rsid w:val="00DD2E08"/>
    <w:rsid w:val="00DD2F7B"/>
    <w:rsid w:val="00DD30D9"/>
    <w:rsid w:val="00DD3126"/>
    <w:rsid w:val="00DD38E5"/>
    <w:rsid w:val="00DD3B3D"/>
    <w:rsid w:val="00DD42D5"/>
    <w:rsid w:val="00DD4A2C"/>
    <w:rsid w:val="00DD4C42"/>
    <w:rsid w:val="00DD4CEA"/>
    <w:rsid w:val="00DD665E"/>
    <w:rsid w:val="00DD6A4B"/>
    <w:rsid w:val="00DD6A85"/>
    <w:rsid w:val="00DD6E06"/>
    <w:rsid w:val="00DD6E24"/>
    <w:rsid w:val="00DD6FE1"/>
    <w:rsid w:val="00DD70FD"/>
    <w:rsid w:val="00DD78D6"/>
    <w:rsid w:val="00DD7BF7"/>
    <w:rsid w:val="00DD7C2C"/>
    <w:rsid w:val="00DD7D69"/>
    <w:rsid w:val="00DE04FA"/>
    <w:rsid w:val="00DE0C23"/>
    <w:rsid w:val="00DE138F"/>
    <w:rsid w:val="00DE148A"/>
    <w:rsid w:val="00DE14A2"/>
    <w:rsid w:val="00DE19E2"/>
    <w:rsid w:val="00DE23C8"/>
    <w:rsid w:val="00DE25AF"/>
    <w:rsid w:val="00DE28F8"/>
    <w:rsid w:val="00DE29BA"/>
    <w:rsid w:val="00DE2E79"/>
    <w:rsid w:val="00DE31BD"/>
    <w:rsid w:val="00DE34B7"/>
    <w:rsid w:val="00DE37BC"/>
    <w:rsid w:val="00DE3893"/>
    <w:rsid w:val="00DE38F1"/>
    <w:rsid w:val="00DE3939"/>
    <w:rsid w:val="00DE3AD4"/>
    <w:rsid w:val="00DE3B79"/>
    <w:rsid w:val="00DE3E13"/>
    <w:rsid w:val="00DE418C"/>
    <w:rsid w:val="00DE45F2"/>
    <w:rsid w:val="00DE4DC3"/>
    <w:rsid w:val="00DE5060"/>
    <w:rsid w:val="00DE52B0"/>
    <w:rsid w:val="00DE54D1"/>
    <w:rsid w:val="00DE5631"/>
    <w:rsid w:val="00DE56D0"/>
    <w:rsid w:val="00DE588D"/>
    <w:rsid w:val="00DE5C7B"/>
    <w:rsid w:val="00DE5E67"/>
    <w:rsid w:val="00DE5F97"/>
    <w:rsid w:val="00DE74B8"/>
    <w:rsid w:val="00DE78B3"/>
    <w:rsid w:val="00DE7BE0"/>
    <w:rsid w:val="00DE7F07"/>
    <w:rsid w:val="00DE7FE1"/>
    <w:rsid w:val="00DF05A4"/>
    <w:rsid w:val="00DF05E6"/>
    <w:rsid w:val="00DF06CA"/>
    <w:rsid w:val="00DF1303"/>
    <w:rsid w:val="00DF1386"/>
    <w:rsid w:val="00DF1623"/>
    <w:rsid w:val="00DF16CC"/>
    <w:rsid w:val="00DF24CC"/>
    <w:rsid w:val="00DF2D3E"/>
    <w:rsid w:val="00DF2D9E"/>
    <w:rsid w:val="00DF2E4E"/>
    <w:rsid w:val="00DF3245"/>
    <w:rsid w:val="00DF34A4"/>
    <w:rsid w:val="00DF363F"/>
    <w:rsid w:val="00DF36FD"/>
    <w:rsid w:val="00DF3A8E"/>
    <w:rsid w:val="00DF3B1D"/>
    <w:rsid w:val="00DF3BB9"/>
    <w:rsid w:val="00DF3F89"/>
    <w:rsid w:val="00DF4216"/>
    <w:rsid w:val="00DF44CB"/>
    <w:rsid w:val="00DF46C4"/>
    <w:rsid w:val="00DF4B56"/>
    <w:rsid w:val="00DF4BDE"/>
    <w:rsid w:val="00DF4BED"/>
    <w:rsid w:val="00DF4CB7"/>
    <w:rsid w:val="00DF4E27"/>
    <w:rsid w:val="00DF4E88"/>
    <w:rsid w:val="00DF509C"/>
    <w:rsid w:val="00DF5423"/>
    <w:rsid w:val="00DF5C7D"/>
    <w:rsid w:val="00DF5E3A"/>
    <w:rsid w:val="00DF6D18"/>
    <w:rsid w:val="00DF7236"/>
    <w:rsid w:val="00DF726A"/>
    <w:rsid w:val="00DF77BB"/>
    <w:rsid w:val="00DF77F2"/>
    <w:rsid w:val="00DF7851"/>
    <w:rsid w:val="00DF7F7A"/>
    <w:rsid w:val="00E00365"/>
    <w:rsid w:val="00E00618"/>
    <w:rsid w:val="00E00897"/>
    <w:rsid w:val="00E00CE5"/>
    <w:rsid w:val="00E0250F"/>
    <w:rsid w:val="00E02660"/>
    <w:rsid w:val="00E027FF"/>
    <w:rsid w:val="00E02817"/>
    <w:rsid w:val="00E02B83"/>
    <w:rsid w:val="00E02F56"/>
    <w:rsid w:val="00E02F68"/>
    <w:rsid w:val="00E038C5"/>
    <w:rsid w:val="00E03E3B"/>
    <w:rsid w:val="00E043E0"/>
    <w:rsid w:val="00E0448C"/>
    <w:rsid w:val="00E04589"/>
    <w:rsid w:val="00E05EFE"/>
    <w:rsid w:val="00E05FDE"/>
    <w:rsid w:val="00E06031"/>
    <w:rsid w:val="00E0639E"/>
    <w:rsid w:val="00E06501"/>
    <w:rsid w:val="00E06AC7"/>
    <w:rsid w:val="00E06B38"/>
    <w:rsid w:val="00E07340"/>
    <w:rsid w:val="00E0747D"/>
    <w:rsid w:val="00E078A9"/>
    <w:rsid w:val="00E07D8D"/>
    <w:rsid w:val="00E102E4"/>
    <w:rsid w:val="00E1040F"/>
    <w:rsid w:val="00E10694"/>
    <w:rsid w:val="00E107E7"/>
    <w:rsid w:val="00E11A2D"/>
    <w:rsid w:val="00E11D36"/>
    <w:rsid w:val="00E121B7"/>
    <w:rsid w:val="00E12346"/>
    <w:rsid w:val="00E12621"/>
    <w:rsid w:val="00E128D8"/>
    <w:rsid w:val="00E12C42"/>
    <w:rsid w:val="00E132D9"/>
    <w:rsid w:val="00E13E74"/>
    <w:rsid w:val="00E14410"/>
    <w:rsid w:val="00E148DE"/>
    <w:rsid w:val="00E14B11"/>
    <w:rsid w:val="00E15315"/>
    <w:rsid w:val="00E153C3"/>
    <w:rsid w:val="00E154A3"/>
    <w:rsid w:val="00E155A9"/>
    <w:rsid w:val="00E15795"/>
    <w:rsid w:val="00E15A50"/>
    <w:rsid w:val="00E15D68"/>
    <w:rsid w:val="00E15E54"/>
    <w:rsid w:val="00E161F5"/>
    <w:rsid w:val="00E165B5"/>
    <w:rsid w:val="00E1688A"/>
    <w:rsid w:val="00E16B02"/>
    <w:rsid w:val="00E170B3"/>
    <w:rsid w:val="00E1728C"/>
    <w:rsid w:val="00E17A0A"/>
    <w:rsid w:val="00E17ED6"/>
    <w:rsid w:val="00E200F0"/>
    <w:rsid w:val="00E20278"/>
    <w:rsid w:val="00E20EEF"/>
    <w:rsid w:val="00E2161B"/>
    <w:rsid w:val="00E21952"/>
    <w:rsid w:val="00E227EA"/>
    <w:rsid w:val="00E232AF"/>
    <w:rsid w:val="00E232BB"/>
    <w:rsid w:val="00E2333B"/>
    <w:rsid w:val="00E2363D"/>
    <w:rsid w:val="00E23756"/>
    <w:rsid w:val="00E23CA4"/>
    <w:rsid w:val="00E24145"/>
    <w:rsid w:val="00E24353"/>
    <w:rsid w:val="00E247A9"/>
    <w:rsid w:val="00E2484E"/>
    <w:rsid w:val="00E24D39"/>
    <w:rsid w:val="00E25107"/>
    <w:rsid w:val="00E251ED"/>
    <w:rsid w:val="00E25724"/>
    <w:rsid w:val="00E25996"/>
    <w:rsid w:val="00E25B33"/>
    <w:rsid w:val="00E25B63"/>
    <w:rsid w:val="00E25BF8"/>
    <w:rsid w:val="00E26053"/>
    <w:rsid w:val="00E26343"/>
    <w:rsid w:val="00E265F0"/>
    <w:rsid w:val="00E26758"/>
    <w:rsid w:val="00E26DC0"/>
    <w:rsid w:val="00E2754E"/>
    <w:rsid w:val="00E2785E"/>
    <w:rsid w:val="00E27BDF"/>
    <w:rsid w:val="00E27DCF"/>
    <w:rsid w:val="00E27E7D"/>
    <w:rsid w:val="00E300E3"/>
    <w:rsid w:val="00E3012B"/>
    <w:rsid w:val="00E3034E"/>
    <w:rsid w:val="00E307BD"/>
    <w:rsid w:val="00E30CBE"/>
    <w:rsid w:val="00E30D9B"/>
    <w:rsid w:val="00E3128A"/>
    <w:rsid w:val="00E32413"/>
    <w:rsid w:val="00E32693"/>
    <w:rsid w:val="00E326EA"/>
    <w:rsid w:val="00E32AD7"/>
    <w:rsid w:val="00E32B31"/>
    <w:rsid w:val="00E32BC6"/>
    <w:rsid w:val="00E32BEA"/>
    <w:rsid w:val="00E32F09"/>
    <w:rsid w:val="00E330DD"/>
    <w:rsid w:val="00E3315C"/>
    <w:rsid w:val="00E33D93"/>
    <w:rsid w:val="00E33F20"/>
    <w:rsid w:val="00E342A8"/>
    <w:rsid w:val="00E346C4"/>
    <w:rsid w:val="00E34DB9"/>
    <w:rsid w:val="00E3560E"/>
    <w:rsid w:val="00E3577C"/>
    <w:rsid w:val="00E36124"/>
    <w:rsid w:val="00E3666C"/>
    <w:rsid w:val="00E3706E"/>
    <w:rsid w:val="00E37140"/>
    <w:rsid w:val="00E37150"/>
    <w:rsid w:val="00E37193"/>
    <w:rsid w:val="00E379D2"/>
    <w:rsid w:val="00E37CBC"/>
    <w:rsid w:val="00E37CC1"/>
    <w:rsid w:val="00E4094D"/>
    <w:rsid w:val="00E409C1"/>
    <w:rsid w:val="00E40B43"/>
    <w:rsid w:val="00E40F2E"/>
    <w:rsid w:val="00E40F5E"/>
    <w:rsid w:val="00E410C2"/>
    <w:rsid w:val="00E415E8"/>
    <w:rsid w:val="00E416FC"/>
    <w:rsid w:val="00E4174D"/>
    <w:rsid w:val="00E417DB"/>
    <w:rsid w:val="00E418E4"/>
    <w:rsid w:val="00E42214"/>
    <w:rsid w:val="00E422FF"/>
    <w:rsid w:val="00E42729"/>
    <w:rsid w:val="00E42CF8"/>
    <w:rsid w:val="00E42F75"/>
    <w:rsid w:val="00E43275"/>
    <w:rsid w:val="00E432AF"/>
    <w:rsid w:val="00E43FC0"/>
    <w:rsid w:val="00E44494"/>
    <w:rsid w:val="00E44920"/>
    <w:rsid w:val="00E44BD1"/>
    <w:rsid w:val="00E45B37"/>
    <w:rsid w:val="00E45DFA"/>
    <w:rsid w:val="00E45E54"/>
    <w:rsid w:val="00E46641"/>
    <w:rsid w:val="00E4669C"/>
    <w:rsid w:val="00E4692F"/>
    <w:rsid w:val="00E46FAF"/>
    <w:rsid w:val="00E46FDA"/>
    <w:rsid w:val="00E47078"/>
    <w:rsid w:val="00E47A1E"/>
    <w:rsid w:val="00E47A71"/>
    <w:rsid w:val="00E47EFE"/>
    <w:rsid w:val="00E50262"/>
    <w:rsid w:val="00E5057A"/>
    <w:rsid w:val="00E50712"/>
    <w:rsid w:val="00E50895"/>
    <w:rsid w:val="00E50A78"/>
    <w:rsid w:val="00E50BE2"/>
    <w:rsid w:val="00E50EA3"/>
    <w:rsid w:val="00E5168B"/>
    <w:rsid w:val="00E517DA"/>
    <w:rsid w:val="00E51AB7"/>
    <w:rsid w:val="00E51C1C"/>
    <w:rsid w:val="00E51F1C"/>
    <w:rsid w:val="00E52028"/>
    <w:rsid w:val="00E525AB"/>
    <w:rsid w:val="00E52D3A"/>
    <w:rsid w:val="00E52DB4"/>
    <w:rsid w:val="00E52F52"/>
    <w:rsid w:val="00E52FA6"/>
    <w:rsid w:val="00E5327C"/>
    <w:rsid w:val="00E53379"/>
    <w:rsid w:val="00E53481"/>
    <w:rsid w:val="00E54055"/>
    <w:rsid w:val="00E548A5"/>
    <w:rsid w:val="00E54955"/>
    <w:rsid w:val="00E553A5"/>
    <w:rsid w:val="00E559E3"/>
    <w:rsid w:val="00E5686D"/>
    <w:rsid w:val="00E56B4A"/>
    <w:rsid w:val="00E56E54"/>
    <w:rsid w:val="00E572CD"/>
    <w:rsid w:val="00E57EEC"/>
    <w:rsid w:val="00E601E9"/>
    <w:rsid w:val="00E60646"/>
    <w:rsid w:val="00E60675"/>
    <w:rsid w:val="00E60AF7"/>
    <w:rsid w:val="00E60F0F"/>
    <w:rsid w:val="00E615DE"/>
    <w:rsid w:val="00E61D87"/>
    <w:rsid w:val="00E628F2"/>
    <w:rsid w:val="00E62D18"/>
    <w:rsid w:val="00E62D84"/>
    <w:rsid w:val="00E6300C"/>
    <w:rsid w:val="00E63107"/>
    <w:rsid w:val="00E6349A"/>
    <w:rsid w:val="00E63C7B"/>
    <w:rsid w:val="00E64046"/>
    <w:rsid w:val="00E64099"/>
    <w:rsid w:val="00E64120"/>
    <w:rsid w:val="00E641AC"/>
    <w:rsid w:val="00E647F1"/>
    <w:rsid w:val="00E6552A"/>
    <w:rsid w:val="00E658B1"/>
    <w:rsid w:val="00E65C55"/>
    <w:rsid w:val="00E65C68"/>
    <w:rsid w:val="00E65E1E"/>
    <w:rsid w:val="00E665BF"/>
    <w:rsid w:val="00E668B8"/>
    <w:rsid w:val="00E67BF3"/>
    <w:rsid w:val="00E700D9"/>
    <w:rsid w:val="00E70853"/>
    <w:rsid w:val="00E70C63"/>
    <w:rsid w:val="00E70D3A"/>
    <w:rsid w:val="00E71C85"/>
    <w:rsid w:val="00E71F1D"/>
    <w:rsid w:val="00E71FC9"/>
    <w:rsid w:val="00E72067"/>
    <w:rsid w:val="00E72174"/>
    <w:rsid w:val="00E72680"/>
    <w:rsid w:val="00E72B34"/>
    <w:rsid w:val="00E736CD"/>
    <w:rsid w:val="00E7391A"/>
    <w:rsid w:val="00E73CC4"/>
    <w:rsid w:val="00E73F81"/>
    <w:rsid w:val="00E745B7"/>
    <w:rsid w:val="00E74A90"/>
    <w:rsid w:val="00E750EC"/>
    <w:rsid w:val="00E753DE"/>
    <w:rsid w:val="00E756C1"/>
    <w:rsid w:val="00E75A44"/>
    <w:rsid w:val="00E76018"/>
    <w:rsid w:val="00E76063"/>
    <w:rsid w:val="00E766A7"/>
    <w:rsid w:val="00E768C2"/>
    <w:rsid w:val="00E77136"/>
    <w:rsid w:val="00E77164"/>
    <w:rsid w:val="00E77A23"/>
    <w:rsid w:val="00E77BF5"/>
    <w:rsid w:val="00E77E4D"/>
    <w:rsid w:val="00E80981"/>
    <w:rsid w:val="00E81542"/>
    <w:rsid w:val="00E81A2C"/>
    <w:rsid w:val="00E822F6"/>
    <w:rsid w:val="00E82938"/>
    <w:rsid w:val="00E834A6"/>
    <w:rsid w:val="00E839AF"/>
    <w:rsid w:val="00E83D6D"/>
    <w:rsid w:val="00E843D7"/>
    <w:rsid w:val="00E844D0"/>
    <w:rsid w:val="00E84CE4"/>
    <w:rsid w:val="00E84DA3"/>
    <w:rsid w:val="00E84FC2"/>
    <w:rsid w:val="00E85092"/>
    <w:rsid w:val="00E85D3B"/>
    <w:rsid w:val="00E85EC9"/>
    <w:rsid w:val="00E85EF5"/>
    <w:rsid w:val="00E85F04"/>
    <w:rsid w:val="00E85F0E"/>
    <w:rsid w:val="00E8696D"/>
    <w:rsid w:val="00E86A3F"/>
    <w:rsid w:val="00E86C0D"/>
    <w:rsid w:val="00E86FC1"/>
    <w:rsid w:val="00E86FE6"/>
    <w:rsid w:val="00E871B1"/>
    <w:rsid w:val="00E876DE"/>
    <w:rsid w:val="00E877F8"/>
    <w:rsid w:val="00E8782E"/>
    <w:rsid w:val="00E87967"/>
    <w:rsid w:val="00E87FB8"/>
    <w:rsid w:val="00E90059"/>
    <w:rsid w:val="00E90C9E"/>
    <w:rsid w:val="00E90E08"/>
    <w:rsid w:val="00E9147D"/>
    <w:rsid w:val="00E918DD"/>
    <w:rsid w:val="00E91C34"/>
    <w:rsid w:val="00E91D13"/>
    <w:rsid w:val="00E9258F"/>
    <w:rsid w:val="00E92976"/>
    <w:rsid w:val="00E92ADD"/>
    <w:rsid w:val="00E92F6A"/>
    <w:rsid w:val="00E93610"/>
    <w:rsid w:val="00E9398C"/>
    <w:rsid w:val="00E9472A"/>
    <w:rsid w:val="00E9479E"/>
    <w:rsid w:val="00E94DB2"/>
    <w:rsid w:val="00E9531F"/>
    <w:rsid w:val="00E95CD4"/>
    <w:rsid w:val="00E95FA5"/>
    <w:rsid w:val="00E96B41"/>
    <w:rsid w:val="00E96B47"/>
    <w:rsid w:val="00E96FC3"/>
    <w:rsid w:val="00E972A2"/>
    <w:rsid w:val="00E978D4"/>
    <w:rsid w:val="00E9791F"/>
    <w:rsid w:val="00E97B6F"/>
    <w:rsid w:val="00E97DDD"/>
    <w:rsid w:val="00EA0918"/>
    <w:rsid w:val="00EA1022"/>
    <w:rsid w:val="00EA104A"/>
    <w:rsid w:val="00EA162A"/>
    <w:rsid w:val="00EA16A3"/>
    <w:rsid w:val="00EA1701"/>
    <w:rsid w:val="00EA19DA"/>
    <w:rsid w:val="00EA1B94"/>
    <w:rsid w:val="00EA1F70"/>
    <w:rsid w:val="00EA2116"/>
    <w:rsid w:val="00EA22B4"/>
    <w:rsid w:val="00EA25B4"/>
    <w:rsid w:val="00EA2BE7"/>
    <w:rsid w:val="00EA2D07"/>
    <w:rsid w:val="00EA2D6F"/>
    <w:rsid w:val="00EA2F4F"/>
    <w:rsid w:val="00EA2F7B"/>
    <w:rsid w:val="00EA3055"/>
    <w:rsid w:val="00EA3AF2"/>
    <w:rsid w:val="00EA3D4E"/>
    <w:rsid w:val="00EA44C0"/>
    <w:rsid w:val="00EA4A29"/>
    <w:rsid w:val="00EA4A2E"/>
    <w:rsid w:val="00EA4EBE"/>
    <w:rsid w:val="00EA5B8C"/>
    <w:rsid w:val="00EA5E9F"/>
    <w:rsid w:val="00EA5F1C"/>
    <w:rsid w:val="00EA5FC2"/>
    <w:rsid w:val="00EA5FEC"/>
    <w:rsid w:val="00EA641A"/>
    <w:rsid w:val="00EA6772"/>
    <w:rsid w:val="00EA758C"/>
    <w:rsid w:val="00EA7863"/>
    <w:rsid w:val="00EA7928"/>
    <w:rsid w:val="00EA7C92"/>
    <w:rsid w:val="00EB01FC"/>
    <w:rsid w:val="00EB0916"/>
    <w:rsid w:val="00EB0C21"/>
    <w:rsid w:val="00EB183A"/>
    <w:rsid w:val="00EB2648"/>
    <w:rsid w:val="00EB2679"/>
    <w:rsid w:val="00EB282F"/>
    <w:rsid w:val="00EB2C49"/>
    <w:rsid w:val="00EB39B4"/>
    <w:rsid w:val="00EB3AD2"/>
    <w:rsid w:val="00EB408E"/>
    <w:rsid w:val="00EB4325"/>
    <w:rsid w:val="00EB43AE"/>
    <w:rsid w:val="00EB44B6"/>
    <w:rsid w:val="00EB5466"/>
    <w:rsid w:val="00EB5489"/>
    <w:rsid w:val="00EB551A"/>
    <w:rsid w:val="00EB5FB8"/>
    <w:rsid w:val="00EB6111"/>
    <w:rsid w:val="00EB6F90"/>
    <w:rsid w:val="00EB71F8"/>
    <w:rsid w:val="00EB76A4"/>
    <w:rsid w:val="00EC028F"/>
    <w:rsid w:val="00EC02F7"/>
    <w:rsid w:val="00EC0AF7"/>
    <w:rsid w:val="00EC0F1C"/>
    <w:rsid w:val="00EC0FB3"/>
    <w:rsid w:val="00EC145E"/>
    <w:rsid w:val="00EC190D"/>
    <w:rsid w:val="00EC1AAA"/>
    <w:rsid w:val="00EC1C2F"/>
    <w:rsid w:val="00EC1F88"/>
    <w:rsid w:val="00EC2575"/>
    <w:rsid w:val="00EC276B"/>
    <w:rsid w:val="00EC2805"/>
    <w:rsid w:val="00EC2B54"/>
    <w:rsid w:val="00EC2F3C"/>
    <w:rsid w:val="00EC3332"/>
    <w:rsid w:val="00EC38DD"/>
    <w:rsid w:val="00EC3F4E"/>
    <w:rsid w:val="00EC44FB"/>
    <w:rsid w:val="00EC532A"/>
    <w:rsid w:val="00EC5457"/>
    <w:rsid w:val="00EC5495"/>
    <w:rsid w:val="00EC5587"/>
    <w:rsid w:val="00EC5882"/>
    <w:rsid w:val="00EC5AAE"/>
    <w:rsid w:val="00EC5D6D"/>
    <w:rsid w:val="00EC5EEF"/>
    <w:rsid w:val="00EC67CA"/>
    <w:rsid w:val="00EC684D"/>
    <w:rsid w:val="00EC686D"/>
    <w:rsid w:val="00EC6AF0"/>
    <w:rsid w:val="00EC703D"/>
    <w:rsid w:val="00EC74E0"/>
    <w:rsid w:val="00EC78C3"/>
    <w:rsid w:val="00EC7A68"/>
    <w:rsid w:val="00EC7CB1"/>
    <w:rsid w:val="00EC7E1C"/>
    <w:rsid w:val="00EC7EB9"/>
    <w:rsid w:val="00ED04AA"/>
    <w:rsid w:val="00ED0B2F"/>
    <w:rsid w:val="00ED1285"/>
    <w:rsid w:val="00ED1786"/>
    <w:rsid w:val="00ED1A48"/>
    <w:rsid w:val="00ED1AC3"/>
    <w:rsid w:val="00ED1B11"/>
    <w:rsid w:val="00ED1B94"/>
    <w:rsid w:val="00ED277D"/>
    <w:rsid w:val="00ED2E48"/>
    <w:rsid w:val="00ED323D"/>
    <w:rsid w:val="00ED33E8"/>
    <w:rsid w:val="00ED3B9D"/>
    <w:rsid w:val="00ED3FCC"/>
    <w:rsid w:val="00ED4319"/>
    <w:rsid w:val="00ED47E3"/>
    <w:rsid w:val="00ED4E0B"/>
    <w:rsid w:val="00ED4F75"/>
    <w:rsid w:val="00ED54D8"/>
    <w:rsid w:val="00ED58FB"/>
    <w:rsid w:val="00ED61B9"/>
    <w:rsid w:val="00ED6303"/>
    <w:rsid w:val="00ED6637"/>
    <w:rsid w:val="00ED69D0"/>
    <w:rsid w:val="00ED6CCD"/>
    <w:rsid w:val="00ED7135"/>
    <w:rsid w:val="00ED7217"/>
    <w:rsid w:val="00ED796C"/>
    <w:rsid w:val="00ED7BA2"/>
    <w:rsid w:val="00EE0307"/>
    <w:rsid w:val="00EE0E53"/>
    <w:rsid w:val="00EE1479"/>
    <w:rsid w:val="00EE147F"/>
    <w:rsid w:val="00EE16AD"/>
    <w:rsid w:val="00EE1739"/>
    <w:rsid w:val="00EE1BF2"/>
    <w:rsid w:val="00EE1D4E"/>
    <w:rsid w:val="00EE23B0"/>
    <w:rsid w:val="00EE24A9"/>
    <w:rsid w:val="00EE2E20"/>
    <w:rsid w:val="00EE2F90"/>
    <w:rsid w:val="00EE3070"/>
    <w:rsid w:val="00EE3563"/>
    <w:rsid w:val="00EE3964"/>
    <w:rsid w:val="00EE3CA8"/>
    <w:rsid w:val="00EE4399"/>
    <w:rsid w:val="00EE5EF1"/>
    <w:rsid w:val="00EE60CE"/>
    <w:rsid w:val="00EE66FC"/>
    <w:rsid w:val="00EE6E84"/>
    <w:rsid w:val="00EE6F77"/>
    <w:rsid w:val="00EE704A"/>
    <w:rsid w:val="00EF08A9"/>
    <w:rsid w:val="00EF0ECE"/>
    <w:rsid w:val="00EF1063"/>
    <w:rsid w:val="00EF148A"/>
    <w:rsid w:val="00EF160F"/>
    <w:rsid w:val="00EF2138"/>
    <w:rsid w:val="00EF2140"/>
    <w:rsid w:val="00EF2424"/>
    <w:rsid w:val="00EF269E"/>
    <w:rsid w:val="00EF2DFA"/>
    <w:rsid w:val="00EF30BF"/>
    <w:rsid w:val="00EF37C6"/>
    <w:rsid w:val="00EF386B"/>
    <w:rsid w:val="00EF3B72"/>
    <w:rsid w:val="00EF3C17"/>
    <w:rsid w:val="00EF45C2"/>
    <w:rsid w:val="00EF4A69"/>
    <w:rsid w:val="00EF50DE"/>
    <w:rsid w:val="00EF56F5"/>
    <w:rsid w:val="00EF59A1"/>
    <w:rsid w:val="00EF5A5C"/>
    <w:rsid w:val="00EF616C"/>
    <w:rsid w:val="00EF6435"/>
    <w:rsid w:val="00EF6FBA"/>
    <w:rsid w:val="00EF7573"/>
    <w:rsid w:val="00EF762C"/>
    <w:rsid w:val="00EF7738"/>
    <w:rsid w:val="00EF78A5"/>
    <w:rsid w:val="00EF79EC"/>
    <w:rsid w:val="00EF7A8A"/>
    <w:rsid w:val="00EF7FE0"/>
    <w:rsid w:val="00F00159"/>
    <w:rsid w:val="00F0075F"/>
    <w:rsid w:val="00F008A1"/>
    <w:rsid w:val="00F00C88"/>
    <w:rsid w:val="00F00DEA"/>
    <w:rsid w:val="00F01000"/>
    <w:rsid w:val="00F0106E"/>
    <w:rsid w:val="00F019CE"/>
    <w:rsid w:val="00F01F38"/>
    <w:rsid w:val="00F020B9"/>
    <w:rsid w:val="00F02C3C"/>
    <w:rsid w:val="00F02CE3"/>
    <w:rsid w:val="00F03092"/>
    <w:rsid w:val="00F03326"/>
    <w:rsid w:val="00F036B3"/>
    <w:rsid w:val="00F04924"/>
    <w:rsid w:val="00F05848"/>
    <w:rsid w:val="00F05EBA"/>
    <w:rsid w:val="00F06009"/>
    <w:rsid w:val="00F060B7"/>
    <w:rsid w:val="00F067EC"/>
    <w:rsid w:val="00F06ADB"/>
    <w:rsid w:val="00F06CE3"/>
    <w:rsid w:val="00F06DDE"/>
    <w:rsid w:val="00F06F2F"/>
    <w:rsid w:val="00F07B7B"/>
    <w:rsid w:val="00F1016C"/>
    <w:rsid w:val="00F10518"/>
    <w:rsid w:val="00F10FE7"/>
    <w:rsid w:val="00F110B3"/>
    <w:rsid w:val="00F11176"/>
    <w:rsid w:val="00F115D3"/>
    <w:rsid w:val="00F11607"/>
    <w:rsid w:val="00F11BEC"/>
    <w:rsid w:val="00F126A0"/>
    <w:rsid w:val="00F126D9"/>
    <w:rsid w:val="00F12760"/>
    <w:rsid w:val="00F1287E"/>
    <w:rsid w:val="00F12927"/>
    <w:rsid w:val="00F12EA2"/>
    <w:rsid w:val="00F13245"/>
    <w:rsid w:val="00F137DC"/>
    <w:rsid w:val="00F13A41"/>
    <w:rsid w:val="00F13AA4"/>
    <w:rsid w:val="00F13BE2"/>
    <w:rsid w:val="00F13C76"/>
    <w:rsid w:val="00F13F3D"/>
    <w:rsid w:val="00F142FC"/>
    <w:rsid w:val="00F145D2"/>
    <w:rsid w:val="00F1477A"/>
    <w:rsid w:val="00F14922"/>
    <w:rsid w:val="00F14AE8"/>
    <w:rsid w:val="00F14D66"/>
    <w:rsid w:val="00F158FF"/>
    <w:rsid w:val="00F15AB2"/>
    <w:rsid w:val="00F16419"/>
    <w:rsid w:val="00F1653A"/>
    <w:rsid w:val="00F16568"/>
    <w:rsid w:val="00F165D1"/>
    <w:rsid w:val="00F1685C"/>
    <w:rsid w:val="00F16CC3"/>
    <w:rsid w:val="00F16ECB"/>
    <w:rsid w:val="00F173F3"/>
    <w:rsid w:val="00F1747C"/>
    <w:rsid w:val="00F175D8"/>
    <w:rsid w:val="00F175FB"/>
    <w:rsid w:val="00F17955"/>
    <w:rsid w:val="00F17E3B"/>
    <w:rsid w:val="00F17F69"/>
    <w:rsid w:val="00F20089"/>
    <w:rsid w:val="00F200E5"/>
    <w:rsid w:val="00F203CB"/>
    <w:rsid w:val="00F209DE"/>
    <w:rsid w:val="00F212D7"/>
    <w:rsid w:val="00F219DD"/>
    <w:rsid w:val="00F22261"/>
    <w:rsid w:val="00F22439"/>
    <w:rsid w:val="00F22529"/>
    <w:rsid w:val="00F225E5"/>
    <w:rsid w:val="00F227B3"/>
    <w:rsid w:val="00F22A84"/>
    <w:rsid w:val="00F22B98"/>
    <w:rsid w:val="00F234E5"/>
    <w:rsid w:val="00F2366F"/>
    <w:rsid w:val="00F236A6"/>
    <w:rsid w:val="00F23733"/>
    <w:rsid w:val="00F2388A"/>
    <w:rsid w:val="00F23B90"/>
    <w:rsid w:val="00F23C3D"/>
    <w:rsid w:val="00F23ECB"/>
    <w:rsid w:val="00F242A6"/>
    <w:rsid w:val="00F2441F"/>
    <w:rsid w:val="00F24730"/>
    <w:rsid w:val="00F249F7"/>
    <w:rsid w:val="00F24F0D"/>
    <w:rsid w:val="00F2524B"/>
    <w:rsid w:val="00F253BB"/>
    <w:rsid w:val="00F25745"/>
    <w:rsid w:val="00F25B21"/>
    <w:rsid w:val="00F25C64"/>
    <w:rsid w:val="00F25C65"/>
    <w:rsid w:val="00F26056"/>
    <w:rsid w:val="00F2657C"/>
    <w:rsid w:val="00F266AD"/>
    <w:rsid w:val="00F267E4"/>
    <w:rsid w:val="00F26807"/>
    <w:rsid w:val="00F26954"/>
    <w:rsid w:val="00F26C10"/>
    <w:rsid w:val="00F26E66"/>
    <w:rsid w:val="00F26F67"/>
    <w:rsid w:val="00F271AC"/>
    <w:rsid w:val="00F27B91"/>
    <w:rsid w:val="00F300E8"/>
    <w:rsid w:val="00F304A5"/>
    <w:rsid w:val="00F30ABD"/>
    <w:rsid w:val="00F30D6A"/>
    <w:rsid w:val="00F31440"/>
    <w:rsid w:val="00F31FF4"/>
    <w:rsid w:val="00F322C3"/>
    <w:rsid w:val="00F32BCF"/>
    <w:rsid w:val="00F32BD9"/>
    <w:rsid w:val="00F3311A"/>
    <w:rsid w:val="00F334B7"/>
    <w:rsid w:val="00F33FCE"/>
    <w:rsid w:val="00F341F6"/>
    <w:rsid w:val="00F343A1"/>
    <w:rsid w:val="00F345FB"/>
    <w:rsid w:val="00F347A4"/>
    <w:rsid w:val="00F3485F"/>
    <w:rsid w:val="00F352AA"/>
    <w:rsid w:val="00F35627"/>
    <w:rsid w:val="00F35878"/>
    <w:rsid w:val="00F359B3"/>
    <w:rsid w:val="00F35A7F"/>
    <w:rsid w:val="00F36967"/>
    <w:rsid w:val="00F369A6"/>
    <w:rsid w:val="00F36EDF"/>
    <w:rsid w:val="00F37139"/>
    <w:rsid w:val="00F3758F"/>
    <w:rsid w:val="00F37832"/>
    <w:rsid w:val="00F3788B"/>
    <w:rsid w:val="00F37BB4"/>
    <w:rsid w:val="00F401D5"/>
    <w:rsid w:val="00F40CB3"/>
    <w:rsid w:val="00F40CD8"/>
    <w:rsid w:val="00F410AA"/>
    <w:rsid w:val="00F4147C"/>
    <w:rsid w:val="00F41AB2"/>
    <w:rsid w:val="00F41ADB"/>
    <w:rsid w:val="00F425B1"/>
    <w:rsid w:val="00F42786"/>
    <w:rsid w:val="00F4291C"/>
    <w:rsid w:val="00F42A00"/>
    <w:rsid w:val="00F42F8D"/>
    <w:rsid w:val="00F42FEE"/>
    <w:rsid w:val="00F43146"/>
    <w:rsid w:val="00F435AE"/>
    <w:rsid w:val="00F438FE"/>
    <w:rsid w:val="00F43DE6"/>
    <w:rsid w:val="00F43E18"/>
    <w:rsid w:val="00F4414E"/>
    <w:rsid w:val="00F4437D"/>
    <w:rsid w:val="00F446D3"/>
    <w:rsid w:val="00F44806"/>
    <w:rsid w:val="00F44EE2"/>
    <w:rsid w:val="00F45065"/>
    <w:rsid w:val="00F45271"/>
    <w:rsid w:val="00F45ED5"/>
    <w:rsid w:val="00F4685D"/>
    <w:rsid w:val="00F46F00"/>
    <w:rsid w:val="00F4766E"/>
    <w:rsid w:val="00F47702"/>
    <w:rsid w:val="00F479C0"/>
    <w:rsid w:val="00F506BC"/>
    <w:rsid w:val="00F5086A"/>
    <w:rsid w:val="00F509B7"/>
    <w:rsid w:val="00F50F54"/>
    <w:rsid w:val="00F51121"/>
    <w:rsid w:val="00F51405"/>
    <w:rsid w:val="00F51D44"/>
    <w:rsid w:val="00F5205B"/>
    <w:rsid w:val="00F52478"/>
    <w:rsid w:val="00F52891"/>
    <w:rsid w:val="00F52FB1"/>
    <w:rsid w:val="00F53281"/>
    <w:rsid w:val="00F5336C"/>
    <w:rsid w:val="00F5342F"/>
    <w:rsid w:val="00F53599"/>
    <w:rsid w:val="00F53C5C"/>
    <w:rsid w:val="00F53CEE"/>
    <w:rsid w:val="00F5423C"/>
    <w:rsid w:val="00F5447B"/>
    <w:rsid w:val="00F54549"/>
    <w:rsid w:val="00F54B9D"/>
    <w:rsid w:val="00F54DFC"/>
    <w:rsid w:val="00F55871"/>
    <w:rsid w:val="00F5626C"/>
    <w:rsid w:val="00F56270"/>
    <w:rsid w:val="00F56D5F"/>
    <w:rsid w:val="00F57F6B"/>
    <w:rsid w:val="00F57FEF"/>
    <w:rsid w:val="00F6025D"/>
    <w:rsid w:val="00F6044E"/>
    <w:rsid w:val="00F6068B"/>
    <w:rsid w:val="00F60875"/>
    <w:rsid w:val="00F60980"/>
    <w:rsid w:val="00F60A4B"/>
    <w:rsid w:val="00F61107"/>
    <w:rsid w:val="00F61300"/>
    <w:rsid w:val="00F614E5"/>
    <w:rsid w:val="00F61591"/>
    <w:rsid w:val="00F61657"/>
    <w:rsid w:val="00F619E2"/>
    <w:rsid w:val="00F61A12"/>
    <w:rsid w:val="00F62051"/>
    <w:rsid w:val="00F6244B"/>
    <w:rsid w:val="00F62CB1"/>
    <w:rsid w:val="00F62FAA"/>
    <w:rsid w:val="00F630C5"/>
    <w:rsid w:val="00F6367F"/>
    <w:rsid w:val="00F63723"/>
    <w:rsid w:val="00F6386A"/>
    <w:rsid w:val="00F638BF"/>
    <w:rsid w:val="00F63AC5"/>
    <w:rsid w:val="00F63DBB"/>
    <w:rsid w:val="00F63E49"/>
    <w:rsid w:val="00F63F53"/>
    <w:rsid w:val="00F64150"/>
    <w:rsid w:val="00F64CBB"/>
    <w:rsid w:val="00F6539B"/>
    <w:rsid w:val="00F65863"/>
    <w:rsid w:val="00F658D4"/>
    <w:rsid w:val="00F6641F"/>
    <w:rsid w:val="00F668E9"/>
    <w:rsid w:val="00F66BF9"/>
    <w:rsid w:val="00F6710C"/>
    <w:rsid w:val="00F67123"/>
    <w:rsid w:val="00F67702"/>
    <w:rsid w:val="00F678B6"/>
    <w:rsid w:val="00F67F08"/>
    <w:rsid w:val="00F67F82"/>
    <w:rsid w:val="00F7028D"/>
    <w:rsid w:val="00F7055C"/>
    <w:rsid w:val="00F7058B"/>
    <w:rsid w:val="00F709C7"/>
    <w:rsid w:val="00F70E5F"/>
    <w:rsid w:val="00F7150C"/>
    <w:rsid w:val="00F715FB"/>
    <w:rsid w:val="00F71753"/>
    <w:rsid w:val="00F71AEB"/>
    <w:rsid w:val="00F71D74"/>
    <w:rsid w:val="00F72644"/>
    <w:rsid w:val="00F72CBE"/>
    <w:rsid w:val="00F72CD0"/>
    <w:rsid w:val="00F72CE1"/>
    <w:rsid w:val="00F72F4B"/>
    <w:rsid w:val="00F7303D"/>
    <w:rsid w:val="00F73773"/>
    <w:rsid w:val="00F73F7E"/>
    <w:rsid w:val="00F74A07"/>
    <w:rsid w:val="00F751E0"/>
    <w:rsid w:val="00F753F8"/>
    <w:rsid w:val="00F75546"/>
    <w:rsid w:val="00F75970"/>
    <w:rsid w:val="00F75C30"/>
    <w:rsid w:val="00F762FD"/>
    <w:rsid w:val="00F76364"/>
    <w:rsid w:val="00F7755E"/>
    <w:rsid w:val="00F77718"/>
    <w:rsid w:val="00F77A71"/>
    <w:rsid w:val="00F77DB4"/>
    <w:rsid w:val="00F80D46"/>
    <w:rsid w:val="00F80EB8"/>
    <w:rsid w:val="00F8139F"/>
    <w:rsid w:val="00F81EC2"/>
    <w:rsid w:val="00F81F73"/>
    <w:rsid w:val="00F82E9A"/>
    <w:rsid w:val="00F83049"/>
    <w:rsid w:val="00F835AA"/>
    <w:rsid w:val="00F83821"/>
    <w:rsid w:val="00F83854"/>
    <w:rsid w:val="00F838F8"/>
    <w:rsid w:val="00F84983"/>
    <w:rsid w:val="00F85057"/>
    <w:rsid w:val="00F85CCB"/>
    <w:rsid w:val="00F871C6"/>
    <w:rsid w:val="00F8775B"/>
    <w:rsid w:val="00F90820"/>
    <w:rsid w:val="00F90A98"/>
    <w:rsid w:val="00F90EA1"/>
    <w:rsid w:val="00F915A2"/>
    <w:rsid w:val="00F91893"/>
    <w:rsid w:val="00F91DF3"/>
    <w:rsid w:val="00F91E13"/>
    <w:rsid w:val="00F91E18"/>
    <w:rsid w:val="00F91FA8"/>
    <w:rsid w:val="00F9213E"/>
    <w:rsid w:val="00F927E5"/>
    <w:rsid w:val="00F92E88"/>
    <w:rsid w:val="00F92EB9"/>
    <w:rsid w:val="00F937E6"/>
    <w:rsid w:val="00F93C2E"/>
    <w:rsid w:val="00F93D47"/>
    <w:rsid w:val="00F93FB2"/>
    <w:rsid w:val="00F94293"/>
    <w:rsid w:val="00F94728"/>
    <w:rsid w:val="00F94830"/>
    <w:rsid w:val="00F94A88"/>
    <w:rsid w:val="00F959C5"/>
    <w:rsid w:val="00F95A51"/>
    <w:rsid w:val="00F95BFD"/>
    <w:rsid w:val="00F95F3A"/>
    <w:rsid w:val="00F965DD"/>
    <w:rsid w:val="00F9698D"/>
    <w:rsid w:val="00F96B9D"/>
    <w:rsid w:val="00F96C14"/>
    <w:rsid w:val="00F96E8A"/>
    <w:rsid w:val="00F971B5"/>
    <w:rsid w:val="00F9742A"/>
    <w:rsid w:val="00F9779A"/>
    <w:rsid w:val="00F97C49"/>
    <w:rsid w:val="00FA04C8"/>
    <w:rsid w:val="00FA06A5"/>
    <w:rsid w:val="00FA0B99"/>
    <w:rsid w:val="00FA0E49"/>
    <w:rsid w:val="00FA1975"/>
    <w:rsid w:val="00FA19EB"/>
    <w:rsid w:val="00FA1ADF"/>
    <w:rsid w:val="00FA1CB9"/>
    <w:rsid w:val="00FA250B"/>
    <w:rsid w:val="00FA27A3"/>
    <w:rsid w:val="00FA2A3E"/>
    <w:rsid w:val="00FA2B97"/>
    <w:rsid w:val="00FA2D3A"/>
    <w:rsid w:val="00FA3411"/>
    <w:rsid w:val="00FA3534"/>
    <w:rsid w:val="00FA3786"/>
    <w:rsid w:val="00FA3803"/>
    <w:rsid w:val="00FA39EB"/>
    <w:rsid w:val="00FA3B1B"/>
    <w:rsid w:val="00FA3DB2"/>
    <w:rsid w:val="00FA3E39"/>
    <w:rsid w:val="00FA4145"/>
    <w:rsid w:val="00FA42FC"/>
    <w:rsid w:val="00FA4346"/>
    <w:rsid w:val="00FA4718"/>
    <w:rsid w:val="00FA48FD"/>
    <w:rsid w:val="00FA4926"/>
    <w:rsid w:val="00FA4AF8"/>
    <w:rsid w:val="00FA51B5"/>
    <w:rsid w:val="00FA5453"/>
    <w:rsid w:val="00FA5690"/>
    <w:rsid w:val="00FA57C3"/>
    <w:rsid w:val="00FA5D7C"/>
    <w:rsid w:val="00FA6276"/>
    <w:rsid w:val="00FA6357"/>
    <w:rsid w:val="00FA6763"/>
    <w:rsid w:val="00FA68E4"/>
    <w:rsid w:val="00FA6AB6"/>
    <w:rsid w:val="00FA6B5E"/>
    <w:rsid w:val="00FA6DE3"/>
    <w:rsid w:val="00FA707F"/>
    <w:rsid w:val="00FA7768"/>
    <w:rsid w:val="00FA7EC2"/>
    <w:rsid w:val="00FB024B"/>
    <w:rsid w:val="00FB05E8"/>
    <w:rsid w:val="00FB0EF2"/>
    <w:rsid w:val="00FB11A7"/>
    <w:rsid w:val="00FB150F"/>
    <w:rsid w:val="00FB21EE"/>
    <w:rsid w:val="00FB22D7"/>
    <w:rsid w:val="00FB2330"/>
    <w:rsid w:val="00FB2622"/>
    <w:rsid w:val="00FB2AC2"/>
    <w:rsid w:val="00FB2F1E"/>
    <w:rsid w:val="00FB2F8E"/>
    <w:rsid w:val="00FB34AE"/>
    <w:rsid w:val="00FB3604"/>
    <w:rsid w:val="00FB3FD4"/>
    <w:rsid w:val="00FB3FDC"/>
    <w:rsid w:val="00FB40AE"/>
    <w:rsid w:val="00FB410A"/>
    <w:rsid w:val="00FB4291"/>
    <w:rsid w:val="00FB4576"/>
    <w:rsid w:val="00FB4646"/>
    <w:rsid w:val="00FB467E"/>
    <w:rsid w:val="00FB4A82"/>
    <w:rsid w:val="00FB4C34"/>
    <w:rsid w:val="00FB4C83"/>
    <w:rsid w:val="00FB50F6"/>
    <w:rsid w:val="00FB59AE"/>
    <w:rsid w:val="00FB6314"/>
    <w:rsid w:val="00FB634D"/>
    <w:rsid w:val="00FB64A3"/>
    <w:rsid w:val="00FB6983"/>
    <w:rsid w:val="00FB69CA"/>
    <w:rsid w:val="00FB70FC"/>
    <w:rsid w:val="00FB795F"/>
    <w:rsid w:val="00FB7BAA"/>
    <w:rsid w:val="00FB7CCA"/>
    <w:rsid w:val="00FB7D07"/>
    <w:rsid w:val="00FB7E77"/>
    <w:rsid w:val="00FC005D"/>
    <w:rsid w:val="00FC0265"/>
    <w:rsid w:val="00FC0267"/>
    <w:rsid w:val="00FC04C9"/>
    <w:rsid w:val="00FC074A"/>
    <w:rsid w:val="00FC0872"/>
    <w:rsid w:val="00FC122F"/>
    <w:rsid w:val="00FC17F7"/>
    <w:rsid w:val="00FC1976"/>
    <w:rsid w:val="00FC1E45"/>
    <w:rsid w:val="00FC24CD"/>
    <w:rsid w:val="00FC2B54"/>
    <w:rsid w:val="00FC2FCB"/>
    <w:rsid w:val="00FC313F"/>
    <w:rsid w:val="00FC32DB"/>
    <w:rsid w:val="00FC3592"/>
    <w:rsid w:val="00FC39DF"/>
    <w:rsid w:val="00FC410F"/>
    <w:rsid w:val="00FC44A0"/>
    <w:rsid w:val="00FC44E2"/>
    <w:rsid w:val="00FC49BA"/>
    <w:rsid w:val="00FC4B99"/>
    <w:rsid w:val="00FC5097"/>
    <w:rsid w:val="00FC5119"/>
    <w:rsid w:val="00FC53C1"/>
    <w:rsid w:val="00FC5424"/>
    <w:rsid w:val="00FC54D0"/>
    <w:rsid w:val="00FC61C6"/>
    <w:rsid w:val="00FC6392"/>
    <w:rsid w:val="00FC6ADB"/>
    <w:rsid w:val="00FC6F0B"/>
    <w:rsid w:val="00FC7019"/>
    <w:rsid w:val="00FC706E"/>
    <w:rsid w:val="00FC75AC"/>
    <w:rsid w:val="00FC77CF"/>
    <w:rsid w:val="00FC77D1"/>
    <w:rsid w:val="00FC7940"/>
    <w:rsid w:val="00FD03C4"/>
    <w:rsid w:val="00FD06C8"/>
    <w:rsid w:val="00FD1000"/>
    <w:rsid w:val="00FD195E"/>
    <w:rsid w:val="00FD19EC"/>
    <w:rsid w:val="00FD1F1B"/>
    <w:rsid w:val="00FD30FB"/>
    <w:rsid w:val="00FD326D"/>
    <w:rsid w:val="00FD3DAA"/>
    <w:rsid w:val="00FD4BE8"/>
    <w:rsid w:val="00FD4E73"/>
    <w:rsid w:val="00FD5357"/>
    <w:rsid w:val="00FD5968"/>
    <w:rsid w:val="00FD5BC3"/>
    <w:rsid w:val="00FD5BF3"/>
    <w:rsid w:val="00FD5C37"/>
    <w:rsid w:val="00FD5DCB"/>
    <w:rsid w:val="00FD5FB2"/>
    <w:rsid w:val="00FD656E"/>
    <w:rsid w:val="00FD657C"/>
    <w:rsid w:val="00FD6586"/>
    <w:rsid w:val="00FD6989"/>
    <w:rsid w:val="00FD7221"/>
    <w:rsid w:val="00FD7609"/>
    <w:rsid w:val="00FE0180"/>
    <w:rsid w:val="00FE038D"/>
    <w:rsid w:val="00FE088C"/>
    <w:rsid w:val="00FE08C4"/>
    <w:rsid w:val="00FE0EE1"/>
    <w:rsid w:val="00FE1340"/>
    <w:rsid w:val="00FE136E"/>
    <w:rsid w:val="00FE1C48"/>
    <w:rsid w:val="00FE2566"/>
    <w:rsid w:val="00FE2A0B"/>
    <w:rsid w:val="00FE33FD"/>
    <w:rsid w:val="00FE37B5"/>
    <w:rsid w:val="00FE382B"/>
    <w:rsid w:val="00FE3A56"/>
    <w:rsid w:val="00FE3ADD"/>
    <w:rsid w:val="00FE3FA4"/>
    <w:rsid w:val="00FE5321"/>
    <w:rsid w:val="00FE5B08"/>
    <w:rsid w:val="00FE5F5A"/>
    <w:rsid w:val="00FE60E9"/>
    <w:rsid w:val="00FE6404"/>
    <w:rsid w:val="00FE6651"/>
    <w:rsid w:val="00FE674D"/>
    <w:rsid w:val="00FE683D"/>
    <w:rsid w:val="00FE6A0A"/>
    <w:rsid w:val="00FE6F32"/>
    <w:rsid w:val="00FE7163"/>
    <w:rsid w:val="00FE71EF"/>
    <w:rsid w:val="00FE77C6"/>
    <w:rsid w:val="00FF03CA"/>
    <w:rsid w:val="00FF05C8"/>
    <w:rsid w:val="00FF0994"/>
    <w:rsid w:val="00FF0CF0"/>
    <w:rsid w:val="00FF0DE2"/>
    <w:rsid w:val="00FF0F8B"/>
    <w:rsid w:val="00FF1600"/>
    <w:rsid w:val="00FF1A3A"/>
    <w:rsid w:val="00FF1BE8"/>
    <w:rsid w:val="00FF1CE2"/>
    <w:rsid w:val="00FF27BD"/>
    <w:rsid w:val="00FF2899"/>
    <w:rsid w:val="00FF2AA9"/>
    <w:rsid w:val="00FF2AB0"/>
    <w:rsid w:val="00FF2C9A"/>
    <w:rsid w:val="00FF2D5C"/>
    <w:rsid w:val="00FF2EF6"/>
    <w:rsid w:val="00FF301E"/>
    <w:rsid w:val="00FF4A69"/>
    <w:rsid w:val="00FF4E31"/>
    <w:rsid w:val="00FF4FEF"/>
    <w:rsid w:val="00FF5283"/>
    <w:rsid w:val="00FF53AC"/>
    <w:rsid w:val="00FF58D2"/>
    <w:rsid w:val="00FF5BC9"/>
    <w:rsid w:val="00FF669C"/>
    <w:rsid w:val="00FF67C8"/>
    <w:rsid w:val="00FF6892"/>
    <w:rsid w:val="00FF69DD"/>
    <w:rsid w:val="00FF6C93"/>
    <w:rsid w:val="00FF73B3"/>
    <w:rsid w:val="00FF742B"/>
    <w:rsid w:val="00FF76D7"/>
    <w:rsid w:val="00FF7E33"/>
    <w:rsid w:val="00FF7F14"/>
    <w:rsid w:val="00FF7FA1"/>
    <w:rsid w:val="00FF7FE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1AD3FF3"/>
  <w15:docId w15:val="{57DEDC3B-B9AF-42C1-9F9F-D055700B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74" w:unhideWhenUsed="1"/>
    <w:lsdException w:name="endnote text" w:semiHidden="1" w:uiPriority="7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74" w:unhideWhenUsed="1"/>
    <w:lsdException w:name="Signature" w:semiHidden="1"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74"/>
    <w:lsdException w:name="Body Text First Indent" w:uiPriority="74"/>
    <w:lsdException w:name="Body Text First Indent 2" w:semiHidden="1" w:uiPriority="74" w:unhideWhenUsed="1"/>
    <w:lsdException w:name="Note Heading" w:semiHidden="1"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74" w:unhideWhenUsed="1"/>
    <w:lsdException w:name="Strong" w:uiPriority="22" w:qFormat="1"/>
    <w:lsdException w:name="Emphasis" w:uiPriority="20" w:qFormat="1"/>
    <w:lsdException w:name="Document Map" w:semiHidden="1" w:uiPriority="74"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9B0"/>
    <w:pPr>
      <w:spacing w:before="200" w:after="60"/>
    </w:pPr>
    <w:rPr>
      <w:rFonts w:asciiTheme="minorHAnsi" w:hAnsiTheme="minorHAnsi"/>
      <w:sz w:val="22"/>
      <w:szCs w:val="24"/>
      <w:lang w:val="en-GB"/>
    </w:rPr>
  </w:style>
  <w:style w:type="paragraph" w:styleId="Heading1">
    <w:name w:val="heading 1"/>
    <w:basedOn w:val="Normal"/>
    <w:next w:val="Normal"/>
    <w:link w:val="Heading1Char"/>
    <w:qFormat/>
    <w:rsid w:val="008855E4"/>
    <w:pPr>
      <w:keepNext/>
      <w:numPr>
        <w:numId w:val="2"/>
      </w:numPr>
      <w:spacing w:before="320" w:after="160"/>
      <w:outlineLvl w:val="0"/>
    </w:pPr>
    <w:rPr>
      <w:rFonts w:eastAsiaTheme="minorHAnsi" w:cs="Arial"/>
      <w:b/>
      <w:bCs/>
      <w:color w:val="01653F"/>
      <w:kern w:val="32"/>
      <w:sz w:val="32"/>
      <w:szCs w:val="28"/>
      <w:lang w:val="en-US" w:eastAsia="en-US"/>
    </w:rPr>
  </w:style>
  <w:style w:type="paragraph" w:styleId="Heading2">
    <w:name w:val="heading 2"/>
    <w:basedOn w:val="Normal"/>
    <w:next w:val="Normal"/>
    <w:link w:val="Heading2Char"/>
    <w:qFormat/>
    <w:rsid w:val="005E1FCF"/>
    <w:pPr>
      <w:keepNext/>
      <w:numPr>
        <w:ilvl w:val="1"/>
        <w:numId w:val="2"/>
      </w:numPr>
      <w:spacing w:before="320"/>
      <w:ind w:left="567"/>
      <w:outlineLvl w:val="1"/>
    </w:pPr>
    <w:rPr>
      <w:rFonts w:eastAsiaTheme="minorHAnsi" w:cs="Arial"/>
      <w:b/>
      <w:bCs/>
      <w:iCs/>
      <w:color w:val="01653F"/>
      <w:sz w:val="28"/>
      <w:szCs w:val="22"/>
      <w:lang w:val="en-AU" w:eastAsia="en-US"/>
    </w:rPr>
  </w:style>
  <w:style w:type="paragraph" w:styleId="Heading3">
    <w:name w:val="heading 3"/>
    <w:basedOn w:val="Normal"/>
    <w:next w:val="Normal"/>
    <w:link w:val="Heading3Char"/>
    <w:qFormat/>
    <w:rsid w:val="008460E3"/>
    <w:pPr>
      <w:keepNext/>
      <w:numPr>
        <w:ilvl w:val="2"/>
        <w:numId w:val="2"/>
      </w:numPr>
      <w:spacing w:before="240"/>
      <w:outlineLvl w:val="2"/>
    </w:pPr>
    <w:rPr>
      <w:rFonts w:eastAsiaTheme="minorHAnsi" w:cs="Arial"/>
      <w:b/>
      <w:bCs/>
      <w:i/>
      <w:color w:val="B66113"/>
      <w:sz w:val="24"/>
      <w:lang w:val="en-US" w:eastAsia="en-US"/>
    </w:rPr>
  </w:style>
  <w:style w:type="paragraph" w:styleId="Heading4">
    <w:name w:val="heading 4"/>
    <w:basedOn w:val="Normal"/>
    <w:next w:val="Normal"/>
    <w:link w:val="Heading4Char"/>
    <w:uiPriority w:val="9"/>
    <w:qFormat/>
    <w:rsid w:val="00174510"/>
    <w:pPr>
      <w:keepNext/>
      <w:numPr>
        <w:ilvl w:val="3"/>
        <w:numId w:val="2"/>
      </w:numPr>
      <w:spacing w:before="240"/>
      <w:ind w:left="1134" w:hanging="1134"/>
      <w:outlineLvl w:val="3"/>
    </w:pPr>
    <w:rPr>
      <w:rFonts w:eastAsiaTheme="minorHAnsi" w:cs="Arial"/>
      <w:b/>
      <w:bCs/>
      <w:i/>
      <w:sz w:val="26"/>
      <w:szCs w:val="28"/>
      <w:lang w:val="en-US" w:eastAsia="en-US"/>
    </w:rPr>
  </w:style>
  <w:style w:type="paragraph" w:styleId="Heading5">
    <w:name w:val="heading 5"/>
    <w:basedOn w:val="Normal"/>
    <w:next w:val="Normal"/>
    <w:link w:val="Heading5Char"/>
    <w:uiPriority w:val="9"/>
    <w:qFormat/>
    <w:rsid w:val="00CB5B1A"/>
    <w:pPr>
      <w:numPr>
        <w:ilvl w:val="4"/>
        <w:numId w:val="2"/>
      </w:numPr>
      <w:spacing w:before="240"/>
      <w:outlineLvl w:val="4"/>
    </w:pPr>
    <w:rPr>
      <w:rFonts w:eastAsiaTheme="minorHAnsi" w:cs="Arial"/>
      <w:b/>
      <w:bCs/>
      <w:iCs/>
      <w:sz w:val="26"/>
      <w:szCs w:val="26"/>
      <w:lang w:val="en-US" w:eastAsia="en-US"/>
    </w:rPr>
  </w:style>
  <w:style w:type="paragraph" w:styleId="Heading6">
    <w:name w:val="heading 6"/>
    <w:basedOn w:val="Normal"/>
    <w:next w:val="Normal"/>
    <w:link w:val="Heading6Char"/>
    <w:uiPriority w:val="9"/>
    <w:qFormat/>
    <w:rsid w:val="00CB5B1A"/>
    <w:pPr>
      <w:numPr>
        <w:ilvl w:val="5"/>
        <w:numId w:val="2"/>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6C0049"/>
    <w:pPr>
      <w:keepNext/>
      <w:keepLines/>
      <w:numPr>
        <w:ilvl w:val="6"/>
        <w:numId w:val="2"/>
      </w:numPr>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6C0049"/>
    <w:pPr>
      <w:keepNext/>
      <w:keepLines/>
      <w:numPr>
        <w:ilvl w:val="7"/>
        <w:numId w:val="2"/>
      </w:numPr>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C0049"/>
    <w:pPr>
      <w:keepNext/>
      <w:keepLines/>
      <w:numPr>
        <w:ilvl w:val="8"/>
        <w:numId w:val="2"/>
      </w:numPr>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basedOn w:val="DefaultParagraphFont"/>
    <w:uiPriority w:val="22"/>
    <w:qFormat/>
    <w:rsid w:val="00AF127F"/>
    <w:rPr>
      <w:b/>
      <w:bCs/>
    </w:rPr>
  </w:style>
  <w:style w:type="paragraph" w:styleId="Subtitle">
    <w:name w:val="Subtitle"/>
    <w:basedOn w:val="Normal"/>
    <w:next w:val="Normal"/>
    <w:link w:val="SubtitleChar"/>
    <w:qFormat/>
    <w:rsid w:val="00AF127F"/>
    <w:pPr>
      <w:numPr>
        <w:ilvl w:val="1"/>
      </w:numPr>
    </w:pPr>
    <w:rPr>
      <w:rFonts w:asciiTheme="majorHAnsi" w:eastAsiaTheme="majorEastAsia" w:hAnsiTheme="majorHAnsi" w:cstheme="majorBidi"/>
      <w:iCs/>
      <w:spacing w:val="15"/>
      <w:szCs w:val="20"/>
    </w:rPr>
  </w:style>
  <w:style w:type="character" w:customStyle="1" w:styleId="SubtitleChar">
    <w:name w:val="Subtitle Char"/>
    <w:basedOn w:val="DefaultParagraphFont"/>
    <w:link w:val="Subtitle"/>
    <w:rsid w:val="00AF127F"/>
    <w:rPr>
      <w:rFonts w:asciiTheme="majorHAnsi" w:eastAsiaTheme="majorEastAsia" w:hAnsiTheme="majorHAnsi" w:cstheme="majorBidi"/>
      <w:iCs/>
      <w:spacing w:val="15"/>
      <w:sz w:val="24"/>
    </w:rPr>
  </w:style>
  <w:style w:type="paragraph" w:styleId="Title">
    <w:name w:val="Title"/>
    <w:basedOn w:val="Normal"/>
    <w:next w:val="Normal"/>
    <w:link w:val="TitleChar"/>
    <w:qFormat/>
    <w:rsid w:val="00AF127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F127F"/>
    <w:rPr>
      <w:rFonts w:ascii="Arial" w:eastAsiaTheme="majorEastAsia" w:hAnsi="Arial" w:cstheme="majorBidi"/>
      <w:b/>
      <w:kern w:val="28"/>
      <w:sz w:val="32"/>
      <w:szCs w:val="52"/>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F127F"/>
    <w:rPr>
      <w:rFonts w:eastAsiaTheme="minorHAnsi" w:cs="Arial"/>
      <w:i/>
      <w:iCs/>
      <w:color w:val="000000" w:themeColor="text1"/>
      <w:szCs w:val="20"/>
    </w:rPr>
  </w:style>
  <w:style w:type="character" w:customStyle="1" w:styleId="QuoteChar">
    <w:name w:val="Quote Char"/>
    <w:basedOn w:val="DefaultParagraphFont"/>
    <w:link w:val="Quote"/>
    <w:uiPriority w:val="29"/>
    <w:rsid w:val="00AF127F"/>
    <w:rPr>
      <w:rFonts w:ascii="Arial" w:hAnsi="Arial"/>
      <w:i/>
      <w:iCs/>
      <w:color w:val="000000" w:themeColor="text1"/>
      <w:sz w:val="24"/>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40EAC"/>
    <w:pPr>
      <w:numPr>
        <w:numId w:val="3"/>
      </w:numPr>
      <w:contextualSpacing/>
    </w:pPr>
    <w:rPr>
      <w:rFonts w:eastAsiaTheme="minorHAnsi" w:cs="Arial"/>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A668A"/>
    <w:pPr>
      <w:spacing w:before="40" w:after="40"/>
      <w:ind w:left="249" w:hanging="249"/>
    </w:pPr>
    <w:rPr>
      <w:rFonts w:eastAsiaTheme="minorHAnsi" w:cs="Arial"/>
      <w:sz w:val="16"/>
      <w:szCs w:val="16"/>
    </w:rPr>
  </w:style>
  <w:style w:type="character" w:customStyle="1" w:styleId="FootnoteTextChar">
    <w:name w:val="Footnote Text Char"/>
    <w:basedOn w:val="DefaultParagraphFont"/>
    <w:link w:val="FootnoteText"/>
    <w:uiPriority w:val="99"/>
    <w:rsid w:val="006A668A"/>
    <w:rPr>
      <w:rFonts w:ascii="Arial" w:eastAsiaTheme="minorHAnsi" w:hAnsi="Arial" w:cs="Arial"/>
      <w:sz w:val="16"/>
      <w:szCs w:val="16"/>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AF127F"/>
    <w:pPr>
      <w:keepLines/>
      <w:pBdr>
        <w:bottom w:val="single" w:sz="4" w:space="1" w:color="auto"/>
      </w:pBdr>
      <w:spacing w:before="480" w:after="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D93924"/>
    <w:pPr>
      <w:tabs>
        <w:tab w:val="right" w:leader="dot" w:pos="9016"/>
      </w:tabs>
      <w:ind w:left="284" w:right="284" w:hanging="284"/>
    </w:pPr>
    <w:rPr>
      <w:b/>
      <w:bCs/>
      <w:sz w:val="20"/>
      <w:szCs w:val="20"/>
    </w:rPr>
  </w:style>
  <w:style w:type="paragraph" w:styleId="TOC2">
    <w:name w:val="toc 2"/>
    <w:basedOn w:val="Normal"/>
    <w:next w:val="Normal"/>
    <w:autoRedefine/>
    <w:uiPriority w:val="39"/>
    <w:qFormat/>
    <w:rsid w:val="00380966"/>
    <w:pPr>
      <w:tabs>
        <w:tab w:val="left" w:pos="880"/>
        <w:tab w:val="right" w:leader="dot" w:pos="9016"/>
      </w:tabs>
      <w:spacing w:before="120"/>
      <w:ind w:left="766" w:right="284" w:hanging="482"/>
    </w:pPr>
    <w:rPr>
      <w:i/>
      <w:iCs/>
      <w:sz w:val="20"/>
      <w:szCs w:val="20"/>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uiPriority w:val="99"/>
    <w:rsid w:val="00AF127F"/>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B7051C"/>
    <w:rPr>
      <w:rFonts w:ascii="Tahoma" w:eastAsiaTheme="minorHAnsi" w:hAnsi="Tahoma" w:cs="Tahoma"/>
      <w:sz w:val="16"/>
      <w:szCs w:val="16"/>
      <w:lang w:val="en-GB"/>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DC17B1"/>
    <w:pPr>
      <w:keepNext/>
      <w:spacing w:after="20"/>
    </w:pPr>
    <w:rPr>
      <w:rFonts w:ascii="Arial" w:eastAsiaTheme="minorHAnsi" w:hAnsi="Arial" w:cs="Arial"/>
      <w:b/>
      <w:sz w:val="18"/>
      <w:szCs w:val="18"/>
      <w:lang w:val="en-AU" w:eastAsia="en-US"/>
    </w:rPr>
  </w:style>
  <w:style w:type="paragraph" w:customStyle="1" w:styleId="Default">
    <w:name w:val="Default"/>
    <w:uiPriority w:val="74"/>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40EAC"/>
    <w:rPr>
      <w:rFonts w:asciiTheme="minorHAnsi" w:eastAsiaTheme="minorHAnsi" w:hAnsiTheme="minorHAnsi" w:cs="Arial"/>
      <w:sz w:val="22"/>
      <w:szCs w:val="22"/>
      <w:lang w:val="en-GB"/>
    </w:rPr>
  </w:style>
  <w:style w:type="paragraph" w:styleId="TableofFigures">
    <w:name w:val="table of figures"/>
    <w:basedOn w:val="Normal"/>
    <w:next w:val="Normal"/>
    <w:uiPriority w:val="99"/>
    <w:rsid w:val="00FA0E49"/>
    <w:pPr>
      <w:ind w:left="442" w:hanging="442"/>
    </w:pPr>
    <w:rPr>
      <w:bCs/>
      <w:sz w:val="20"/>
      <w:szCs w:val="20"/>
    </w:rPr>
  </w:style>
  <w:style w:type="paragraph" w:styleId="TOC3">
    <w:name w:val="toc 3"/>
    <w:basedOn w:val="Normal"/>
    <w:next w:val="Normal"/>
    <w:autoRedefine/>
    <w:uiPriority w:val="39"/>
    <w:qFormat/>
    <w:rsid w:val="00380966"/>
    <w:pPr>
      <w:tabs>
        <w:tab w:val="left" w:pos="1100"/>
        <w:tab w:val="right" w:leader="dot" w:pos="9016"/>
      </w:tabs>
      <w:spacing w:before="80"/>
      <w:ind w:left="1474" w:right="284" w:hanging="709"/>
    </w:pPr>
    <w:rPr>
      <w:sz w:val="20"/>
      <w:szCs w:val="20"/>
    </w:rPr>
  </w:style>
  <w:style w:type="character" w:styleId="PageNumber">
    <w:name w:val="page number"/>
    <w:basedOn w:val="DefaultParagraphFont"/>
    <w:rsid w:val="006C0049"/>
  </w:style>
  <w:style w:type="paragraph" w:styleId="BodyText">
    <w:name w:val="Body Text"/>
    <w:basedOn w:val="Normal"/>
    <w:link w:val="BodyTextChar"/>
    <w:uiPriority w:val="74"/>
    <w:rsid w:val="006C0049"/>
    <w:pPr>
      <w:spacing w:after="120"/>
    </w:pPr>
    <w:rPr>
      <w:rFonts w:eastAsiaTheme="minorHAnsi" w:cs="Arial"/>
      <w:szCs w:val="20"/>
    </w:rPr>
  </w:style>
  <w:style w:type="character" w:customStyle="1" w:styleId="BodyTextChar">
    <w:name w:val="Body Text Char"/>
    <w:basedOn w:val="DefaultParagraphFont"/>
    <w:link w:val="BodyText"/>
    <w:uiPriority w:val="74"/>
    <w:rsid w:val="00B7051C"/>
    <w:rPr>
      <w:rFonts w:asciiTheme="minorHAnsi" w:eastAsiaTheme="minorHAnsi" w:hAnsiTheme="minorHAnsi" w:cs="Arial"/>
      <w:sz w:val="22"/>
      <w:lang w:val="en-GB"/>
    </w:rPr>
  </w:style>
  <w:style w:type="paragraph" w:customStyle="1" w:styleId="departmentalnormal">
    <w:name w:val="departmentalnormal"/>
    <w:basedOn w:val="Normal"/>
    <w:uiPriority w:val="74"/>
    <w:rsid w:val="006C0049"/>
    <w:pPr>
      <w:spacing w:before="100" w:beforeAutospacing="1" w:after="100" w:afterAutospacing="1"/>
    </w:pPr>
    <w:rPr>
      <w:rFonts w:eastAsiaTheme="minorHAnsi" w:cs="Arial"/>
      <w:szCs w:val="22"/>
    </w:rPr>
  </w:style>
  <w:style w:type="paragraph" w:styleId="BodyText3">
    <w:name w:val="Body Text 3"/>
    <w:basedOn w:val="Normal"/>
    <w:link w:val="BodyText3Char"/>
    <w:uiPriority w:val="74"/>
    <w:rsid w:val="006C0049"/>
    <w:pPr>
      <w:spacing w:after="120"/>
    </w:pPr>
    <w:rPr>
      <w:rFonts w:eastAsiaTheme="minorHAnsi" w:cs="Arial"/>
      <w:sz w:val="16"/>
      <w:szCs w:val="16"/>
    </w:rPr>
  </w:style>
  <w:style w:type="character" w:customStyle="1" w:styleId="BodyText3Char">
    <w:name w:val="Body Text 3 Char"/>
    <w:basedOn w:val="DefaultParagraphFont"/>
    <w:link w:val="BodyText3"/>
    <w:uiPriority w:val="74"/>
    <w:rsid w:val="00B7051C"/>
    <w:rPr>
      <w:rFonts w:asciiTheme="minorHAnsi" w:eastAsiaTheme="minorHAnsi" w:hAnsiTheme="minorHAnsi" w:cs="Arial"/>
      <w:sz w:val="16"/>
      <w:szCs w:val="16"/>
      <w:lang w:val="en-GB"/>
    </w:rPr>
  </w:style>
  <w:style w:type="paragraph" w:styleId="BodyTextIndent">
    <w:name w:val="Body Text Indent"/>
    <w:basedOn w:val="Normal"/>
    <w:link w:val="BodyTextIndentChar"/>
    <w:uiPriority w:val="74"/>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uiPriority w:val="74"/>
    <w:rsid w:val="00B7051C"/>
    <w:rPr>
      <w:rFonts w:asciiTheme="minorHAnsi" w:eastAsiaTheme="minorHAnsi" w:hAnsiTheme="minorHAnsi" w:cs="Arial"/>
      <w:sz w:val="22"/>
      <w:lang w:val="en-GB"/>
    </w:rPr>
  </w:style>
  <w:style w:type="paragraph" w:customStyle="1" w:styleId="DepartmentalNormal0">
    <w:name w:val="Departmental Normal"/>
    <w:basedOn w:val="Normal"/>
    <w:uiPriority w:val="74"/>
    <w:rsid w:val="006C0049"/>
    <w:rPr>
      <w:rFonts w:eastAsiaTheme="minorHAnsi" w:cs="Arial"/>
      <w:szCs w:val="20"/>
    </w:rPr>
  </w:style>
  <w:style w:type="paragraph" w:customStyle="1" w:styleId="CharCharChar">
    <w:name w:val="Char Char Char"/>
    <w:basedOn w:val="Normal"/>
    <w:uiPriority w:val="74"/>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Normal"/>
    <w:link w:val="BulletedChar"/>
    <w:uiPriority w:val="2"/>
    <w:qFormat/>
    <w:rsid w:val="006C0049"/>
    <w:pPr>
      <w:numPr>
        <w:numId w:val="1"/>
      </w:numPr>
      <w:autoSpaceDE w:val="0"/>
      <w:autoSpaceDN w:val="0"/>
      <w:adjustRightInd w:val="0"/>
      <w:spacing w:after="200" w:line="300" w:lineRule="auto"/>
    </w:pPr>
    <w:rPr>
      <w:rFonts w:eastAsia="MS Mincho" w:cs="Arial"/>
      <w:szCs w:val="22"/>
      <w:lang w:eastAsia="en-US"/>
    </w:rPr>
  </w:style>
  <w:style w:type="character" w:customStyle="1" w:styleId="BulletedChar">
    <w:name w:val="Bulleted Char"/>
    <w:basedOn w:val="DefaultParagraphFont"/>
    <w:link w:val="Bulleted"/>
    <w:uiPriority w:val="2"/>
    <w:rsid w:val="0015052B"/>
    <w:rPr>
      <w:rFonts w:asciiTheme="minorHAnsi" w:eastAsia="MS Mincho" w:hAnsiTheme="minorHAnsi" w:cs="Arial"/>
      <w:sz w:val="22"/>
      <w:szCs w:val="22"/>
      <w:lang w:val="en-GB" w:eastAsia="en-US"/>
    </w:rPr>
  </w:style>
  <w:style w:type="character" w:customStyle="1" w:styleId="Heading7Char">
    <w:name w:val="Heading 7 Char"/>
    <w:basedOn w:val="DefaultParagraphFont"/>
    <w:link w:val="Heading7"/>
    <w:uiPriority w:val="9"/>
    <w:rsid w:val="006C004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6C004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6C004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uiPriority w:val="74"/>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uiPriority w:val="74"/>
    <w:rsid w:val="00B7051C"/>
    <w:rPr>
      <w:rFonts w:asciiTheme="minorHAnsi" w:eastAsiaTheme="minorHAnsi" w:hAnsiTheme="minorHAnsi" w:cs="Arial"/>
      <w:sz w:val="22"/>
      <w:szCs w:val="22"/>
      <w:lang w:val="en-US" w:eastAsia="en-US"/>
    </w:rPr>
  </w:style>
  <w:style w:type="paragraph" w:customStyle="1" w:styleId="02Tabletext">
    <w:name w:val="02. Table text"/>
    <w:next w:val="Normal"/>
    <w:link w:val="02TabletextChar"/>
    <w:uiPriority w:val="11"/>
    <w:qFormat/>
    <w:rsid w:val="005E1809"/>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771969"/>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5E1809"/>
    <w:rPr>
      <w:b/>
    </w:rPr>
  </w:style>
  <w:style w:type="character" w:customStyle="1" w:styleId="01TableheaderrowChar">
    <w:name w:val="01. Table header row Char"/>
    <w:basedOn w:val="02TabletextChar"/>
    <w:link w:val="01Tableheaderrow"/>
    <w:uiPriority w:val="9"/>
    <w:rsid w:val="00771969"/>
    <w:rPr>
      <w:rFonts w:ascii="Arial" w:eastAsiaTheme="minorHAnsi" w:hAnsi="Arial" w:cs="Arial"/>
      <w:b/>
      <w:sz w:val="18"/>
      <w:szCs w:val="18"/>
      <w:lang w:val="en-GB" w:eastAsia="en-US"/>
    </w:rPr>
  </w:style>
  <w:style w:type="character" w:styleId="FollowedHyperlink">
    <w:name w:val="FollowedHyperlink"/>
    <w:basedOn w:val="DefaultParagraphFont"/>
    <w:uiPriority w:val="74"/>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uiPriority w:val="8"/>
    <w:qFormat/>
    <w:rsid w:val="00032108"/>
    <w:pPr>
      <w:spacing w:before="120" w:after="60" w:line="240" w:lineRule="auto"/>
      <w:ind w:left="357"/>
    </w:pPr>
  </w:style>
  <w:style w:type="paragraph" w:customStyle="1" w:styleId="Bullet2">
    <w:name w:val="Bullet 2"/>
    <w:basedOn w:val="ListParagraph"/>
    <w:qFormat/>
    <w:rsid w:val="00BD7AF2"/>
    <w:pPr>
      <w:numPr>
        <w:ilvl w:val="1"/>
        <w:numId w:val="4"/>
      </w:numPr>
      <w:spacing w:before="120"/>
      <w:contextualSpacing w:val="0"/>
    </w:pPr>
  </w:style>
  <w:style w:type="paragraph" w:customStyle="1" w:styleId="Bullet3">
    <w:name w:val="Bullet 3"/>
    <w:basedOn w:val="02dash"/>
    <w:uiPriority w:val="74"/>
    <w:qFormat/>
    <w:rsid w:val="008460E3"/>
    <w:pPr>
      <w:numPr>
        <w:ilvl w:val="2"/>
      </w:numPr>
    </w:pPr>
  </w:style>
  <w:style w:type="paragraph" w:styleId="TOC4">
    <w:name w:val="toc 4"/>
    <w:basedOn w:val="Normal"/>
    <w:next w:val="Normal"/>
    <w:autoRedefine/>
    <w:uiPriority w:val="39"/>
    <w:unhideWhenUsed/>
    <w:rsid w:val="008460E3"/>
    <w:pPr>
      <w:spacing w:before="0" w:after="0"/>
      <w:ind w:left="660"/>
    </w:pPr>
    <w:rPr>
      <w:sz w:val="20"/>
      <w:szCs w:val="20"/>
    </w:rPr>
  </w:style>
  <w:style w:type="paragraph" w:styleId="TOC5">
    <w:name w:val="toc 5"/>
    <w:basedOn w:val="Normal"/>
    <w:next w:val="Normal"/>
    <w:autoRedefine/>
    <w:uiPriority w:val="39"/>
    <w:unhideWhenUsed/>
    <w:rsid w:val="008460E3"/>
    <w:pPr>
      <w:spacing w:before="0" w:after="0"/>
      <w:ind w:left="880"/>
    </w:pPr>
    <w:rPr>
      <w:sz w:val="20"/>
      <w:szCs w:val="20"/>
    </w:rPr>
  </w:style>
  <w:style w:type="paragraph" w:styleId="TOC6">
    <w:name w:val="toc 6"/>
    <w:basedOn w:val="Normal"/>
    <w:next w:val="Normal"/>
    <w:autoRedefine/>
    <w:uiPriority w:val="39"/>
    <w:unhideWhenUsed/>
    <w:rsid w:val="008460E3"/>
    <w:pPr>
      <w:spacing w:before="0" w:after="0"/>
      <w:ind w:left="1100"/>
    </w:pPr>
    <w:rPr>
      <w:sz w:val="20"/>
      <w:szCs w:val="20"/>
    </w:rPr>
  </w:style>
  <w:style w:type="paragraph" w:styleId="TOC7">
    <w:name w:val="toc 7"/>
    <w:basedOn w:val="Normal"/>
    <w:next w:val="Normal"/>
    <w:autoRedefine/>
    <w:uiPriority w:val="39"/>
    <w:unhideWhenUsed/>
    <w:rsid w:val="008460E3"/>
    <w:pPr>
      <w:spacing w:before="0" w:after="0"/>
      <w:ind w:left="1320"/>
    </w:pPr>
    <w:rPr>
      <w:sz w:val="20"/>
      <w:szCs w:val="20"/>
    </w:rPr>
  </w:style>
  <w:style w:type="paragraph" w:styleId="TOC8">
    <w:name w:val="toc 8"/>
    <w:basedOn w:val="Normal"/>
    <w:next w:val="Normal"/>
    <w:autoRedefine/>
    <w:uiPriority w:val="39"/>
    <w:unhideWhenUsed/>
    <w:rsid w:val="008460E3"/>
    <w:pPr>
      <w:spacing w:before="0" w:after="0"/>
      <w:ind w:left="1540"/>
    </w:pPr>
    <w:rPr>
      <w:sz w:val="20"/>
      <w:szCs w:val="20"/>
    </w:rPr>
  </w:style>
  <w:style w:type="paragraph" w:styleId="TOC9">
    <w:name w:val="toc 9"/>
    <w:basedOn w:val="Normal"/>
    <w:next w:val="Normal"/>
    <w:autoRedefine/>
    <w:uiPriority w:val="39"/>
    <w:unhideWhenUsed/>
    <w:rsid w:val="008460E3"/>
    <w:pPr>
      <w:spacing w:before="0" w:after="0"/>
      <w:ind w:left="1760"/>
    </w:pPr>
    <w:rPr>
      <w:sz w:val="20"/>
      <w:szCs w:val="20"/>
    </w:rPr>
  </w:style>
  <w:style w:type="character" w:styleId="CommentReference">
    <w:name w:val="annotation reference"/>
    <w:basedOn w:val="DefaultParagraphFont"/>
    <w:uiPriority w:val="99"/>
    <w:unhideWhenUsed/>
    <w:rsid w:val="000337EF"/>
    <w:rPr>
      <w:sz w:val="16"/>
      <w:szCs w:val="16"/>
    </w:rPr>
  </w:style>
  <w:style w:type="paragraph" w:styleId="CommentText">
    <w:name w:val="annotation text"/>
    <w:basedOn w:val="Normal"/>
    <w:link w:val="CommentTextChar"/>
    <w:uiPriority w:val="99"/>
    <w:unhideWhenUsed/>
    <w:rsid w:val="000337EF"/>
    <w:rPr>
      <w:sz w:val="20"/>
      <w:szCs w:val="20"/>
    </w:rPr>
  </w:style>
  <w:style w:type="character" w:customStyle="1" w:styleId="CommentTextChar">
    <w:name w:val="Comment Text Char"/>
    <w:basedOn w:val="DefaultParagraphFont"/>
    <w:link w:val="CommentText"/>
    <w:uiPriority w:val="99"/>
    <w:rsid w:val="00B7051C"/>
    <w:rPr>
      <w:rFonts w:asciiTheme="minorHAnsi" w:hAnsiTheme="minorHAnsi"/>
      <w:lang w:val="en-GB"/>
    </w:rPr>
  </w:style>
  <w:style w:type="paragraph" w:styleId="CommentSubject">
    <w:name w:val="annotation subject"/>
    <w:basedOn w:val="CommentText"/>
    <w:next w:val="CommentText"/>
    <w:link w:val="CommentSubjectChar"/>
    <w:uiPriority w:val="99"/>
    <w:semiHidden/>
    <w:unhideWhenUsed/>
    <w:rsid w:val="000337EF"/>
    <w:rPr>
      <w:b/>
      <w:bCs/>
    </w:rPr>
  </w:style>
  <w:style w:type="character" w:customStyle="1" w:styleId="CommentSubjectChar">
    <w:name w:val="Comment Subject Char"/>
    <w:basedOn w:val="CommentTextChar"/>
    <w:link w:val="CommentSubject"/>
    <w:uiPriority w:val="99"/>
    <w:semiHidden/>
    <w:rsid w:val="00B7051C"/>
    <w:rPr>
      <w:rFonts w:asciiTheme="minorHAnsi" w:hAnsiTheme="minorHAnsi"/>
      <w:b/>
      <w:bCs/>
      <w:lang w:val="en-GB"/>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557D61"/>
    <w:pPr>
      <w:spacing w:before="60"/>
      <w:ind w:left="144" w:right="289"/>
      <w:jc w:val="center"/>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link w:val="01squarebulletChar"/>
    <w:uiPriority w:val="3"/>
    <w:qFormat/>
    <w:rsid w:val="008460E3"/>
    <w:pPr>
      <w:numPr>
        <w:numId w:val="17"/>
      </w:numPr>
      <w:spacing w:before="120"/>
      <w:ind w:right="142"/>
    </w:pPr>
    <w:rPr>
      <w:szCs w:val="20"/>
      <w:lang w:val="en-US" w:eastAsia="en-US"/>
    </w:rPr>
  </w:style>
  <w:style w:type="paragraph" w:customStyle="1" w:styleId="02dash">
    <w:name w:val="02 dash"/>
    <w:basedOn w:val="01squarebullet"/>
    <w:uiPriority w:val="4"/>
    <w:qFormat/>
    <w:rsid w:val="008460E3"/>
    <w:pPr>
      <w:numPr>
        <w:ilvl w:val="1"/>
        <w:numId w:val="6"/>
      </w:numPr>
    </w:pPr>
    <w:rPr>
      <w:rFonts w:eastAsiaTheme="minorHAnsi"/>
    </w:rPr>
  </w:style>
  <w:style w:type="paragraph" w:customStyle="1" w:styleId="03opensquarebullet">
    <w:name w:val="03 open square bullet"/>
    <w:basedOn w:val="02dash"/>
    <w:uiPriority w:val="5"/>
    <w:qFormat/>
    <w:rsid w:val="00C60693"/>
    <w:pPr>
      <w:numPr>
        <w:numId w:val="7"/>
      </w:numPr>
      <w:tabs>
        <w:tab w:val="left" w:pos="924"/>
      </w:tabs>
      <w:ind w:left="925" w:hanging="284"/>
    </w:pPr>
  </w:style>
  <w:style w:type="paragraph" w:customStyle="1" w:styleId="04shortdash">
    <w:name w:val="04 short dash"/>
    <w:basedOn w:val="03opensquarebullet"/>
    <w:uiPriority w:val="6"/>
    <w:qFormat/>
    <w:rsid w:val="00C60693"/>
    <w:pPr>
      <w:numPr>
        <w:numId w:val="8"/>
      </w:numPr>
      <w:tabs>
        <w:tab w:val="clear" w:pos="924"/>
        <w:tab w:val="left" w:pos="1213"/>
      </w:tabs>
      <w:ind w:left="1208" w:hanging="284"/>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FF2899"/>
    <w:pPr>
      <w:numPr>
        <w:ilvl w:val="0"/>
        <w:numId w:val="0"/>
      </w:numPr>
    </w:pPr>
    <w:rPr>
      <w:rFonts w:ascii="Calibri" w:eastAsia="Times New Roman" w:hAnsi="Calibri"/>
      <w:sz w:val="32"/>
      <w:szCs w:val="24"/>
      <w:lang w:eastAsia="en-AU"/>
    </w:rPr>
  </w:style>
  <w:style w:type="character" w:customStyle="1" w:styleId="Heading2ReportChar">
    <w:name w:val="Heading 2 Report Char"/>
    <w:basedOn w:val="DefaultParagraphFont"/>
    <w:link w:val="Heading2Report"/>
    <w:rsid w:val="00FF2899"/>
    <w:rPr>
      <w:rFonts w:ascii="Calibri" w:hAnsi="Calibri" w:cs="Arial"/>
      <w:b/>
      <w:bCs/>
      <w:iCs/>
      <w:sz w:val="32"/>
      <w:szCs w:val="24"/>
      <w:lang w:val="en-US"/>
    </w:rPr>
  </w:style>
  <w:style w:type="paragraph" w:customStyle="1" w:styleId="AppendixStyle1">
    <w:name w:val="Appendix Style 1"/>
    <w:basedOn w:val="Normal"/>
    <w:next w:val="Normal"/>
    <w:uiPriority w:val="11"/>
    <w:qFormat/>
    <w:rsid w:val="00D10783"/>
    <w:pPr>
      <w:keepNext/>
      <w:numPr>
        <w:numId w:val="5"/>
      </w:numPr>
      <w:spacing w:before="0" w:after="120"/>
      <w:ind w:left="357" w:hanging="357"/>
      <w:outlineLvl w:val="0"/>
    </w:pPr>
    <w:rPr>
      <w:b/>
      <w:color w:val="01653F"/>
      <w:sz w:val="32"/>
      <w:lang w:val="en-AU" w:eastAsia="en-US"/>
    </w:rPr>
  </w:style>
  <w:style w:type="table" w:customStyle="1" w:styleId="TableGrid3">
    <w:name w:val="Table Grid3"/>
    <w:basedOn w:val="TableNormal"/>
    <w:next w:val="TableGrid"/>
    <w:rsid w:val="00801E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18"/>
      </w:rPr>
      <w:tblPr/>
      <w:tcPr>
        <w:shd w:val="clear" w:color="auto" w:fill="D9D9D9" w:themeFill="background1" w:themeFillShade="D9"/>
      </w:tcPr>
    </w:tblStylePr>
  </w:style>
  <w:style w:type="paragraph" w:customStyle="1" w:styleId="05number1">
    <w:name w:val="05 number/1"/>
    <w:basedOn w:val="Normal"/>
    <w:uiPriority w:val="7"/>
    <w:qFormat/>
    <w:rsid w:val="00C60693"/>
    <w:pPr>
      <w:numPr>
        <w:numId w:val="9"/>
      </w:numPr>
      <w:spacing w:before="120" w:line="264" w:lineRule="auto"/>
      <w:ind w:left="357" w:hanging="357"/>
    </w:pPr>
    <w:rPr>
      <w:szCs w:val="20"/>
      <w:lang w:val="en-US" w:eastAsia="en-US"/>
    </w:rPr>
  </w:style>
  <w:style w:type="paragraph" w:customStyle="1" w:styleId="06letter2">
    <w:name w:val="06 letter/2"/>
    <w:basedOn w:val="Normal"/>
    <w:uiPriority w:val="8"/>
    <w:qFormat/>
    <w:rsid w:val="00C60693"/>
    <w:pPr>
      <w:numPr>
        <w:numId w:val="10"/>
      </w:numPr>
      <w:spacing w:before="120" w:line="264" w:lineRule="auto"/>
      <w:ind w:left="641" w:hanging="284"/>
    </w:pPr>
    <w:rPr>
      <w:szCs w:val="20"/>
      <w:lang w:val="en-US" w:eastAsia="en-US"/>
    </w:rPr>
  </w:style>
  <w:style w:type="paragraph" w:customStyle="1" w:styleId="07number3">
    <w:name w:val="07 number/3"/>
    <w:basedOn w:val="Normal"/>
    <w:uiPriority w:val="8"/>
    <w:qFormat/>
    <w:rsid w:val="00C60693"/>
    <w:pPr>
      <w:numPr>
        <w:numId w:val="11"/>
      </w:numPr>
      <w:spacing w:before="120" w:line="264" w:lineRule="auto"/>
      <w:ind w:left="925" w:hanging="284"/>
    </w:pPr>
    <w:rPr>
      <w:szCs w:val="20"/>
      <w:lang w:val="en-US" w:eastAsia="en-US"/>
    </w:rPr>
  </w:style>
  <w:style w:type="paragraph" w:customStyle="1" w:styleId="08letter4">
    <w:name w:val="08 letter/4"/>
    <w:basedOn w:val="Normal"/>
    <w:uiPriority w:val="10"/>
    <w:qFormat/>
    <w:rsid w:val="00C60693"/>
    <w:pPr>
      <w:numPr>
        <w:numId w:val="12"/>
      </w:numPr>
      <w:spacing w:before="120" w:line="264" w:lineRule="auto"/>
      <w:ind w:left="1208" w:hanging="284"/>
    </w:pPr>
    <w:rPr>
      <w:szCs w:val="20"/>
      <w:lang w:val="en-US" w:eastAsia="en-US"/>
    </w:rPr>
  </w:style>
  <w:style w:type="paragraph" w:customStyle="1" w:styleId="20major">
    <w:name w:val="20 major"/>
    <w:basedOn w:val="Normal"/>
    <w:next w:val="Normal"/>
    <w:uiPriority w:val="1"/>
    <w:qFormat/>
    <w:rsid w:val="00395CB6"/>
    <w:pPr>
      <w:keepNext/>
      <w:spacing w:before="540" w:after="120" w:line="264" w:lineRule="auto"/>
      <w:ind w:right="360"/>
      <w:outlineLvl w:val="1"/>
    </w:pPr>
    <w:rPr>
      <w:b/>
      <w:caps/>
      <w:color w:val="002960"/>
      <w:sz w:val="24"/>
      <w:szCs w:val="20"/>
      <w:lang w:val="en-US" w:eastAsia="en-US"/>
    </w:rPr>
  </w:style>
  <w:style w:type="paragraph" w:customStyle="1" w:styleId="21minor">
    <w:name w:val="21 minor"/>
    <w:basedOn w:val="Normal"/>
    <w:next w:val="Normal"/>
    <w:uiPriority w:val="2"/>
    <w:qFormat/>
    <w:rsid w:val="00395CB6"/>
    <w:pPr>
      <w:keepNext/>
      <w:spacing w:before="420" w:after="120" w:line="264" w:lineRule="auto"/>
      <w:ind w:right="360"/>
      <w:outlineLvl w:val="2"/>
    </w:pPr>
    <w:rPr>
      <w:b/>
      <w:color w:val="002960"/>
      <w:sz w:val="26"/>
      <w:szCs w:val="20"/>
      <w:lang w:val="en-US" w:eastAsia="en-US"/>
    </w:rPr>
  </w:style>
  <w:style w:type="paragraph" w:customStyle="1" w:styleId="Normal2">
    <w:name w:val="Normal 2"/>
    <w:basedOn w:val="Bulleted"/>
    <w:rsid w:val="00130F9E"/>
    <w:pPr>
      <w:numPr>
        <w:numId w:val="0"/>
      </w:numPr>
    </w:pPr>
  </w:style>
  <w:style w:type="character" w:customStyle="1" w:styleId="Heading1Char">
    <w:name w:val="Heading 1 Char"/>
    <w:basedOn w:val="DefaultParagraphFont"/>
    <w:link w:val="Heading1"/>
    <w:rsid w:val="008855E4"/>
    <w:rPr>
      <w:rFonts w:asciiTheme="minorHAnsi" w:eastAsiaTheme="minorHAnsi" w:hAnsiTheme="minorHAnsi" w:cs="Arial"/>
      <w:b/>
      <w:bCs/>
      <w:color w:val="01653F"/>
      <w:kern w:val="32"/>
      <w:sz w:val="32"/>
      <w:szCs w:val="28"/>
      <w:lang w:val="en-US" w:eastAsia="en-US"/>
    </w:rPr>
  </w:style>
  <w:style w:type="paragraph" w:customStyle="1" w:styleId="Boldhdg">
    <w:name w:val="Bold hdg"/>
    <w:basedOn w:val="Normal"/>
    <w:link w:val="BoldhdgChar"/>
    <w:uiPriority w:val="99"/>
    <w:qFormat/>
    <w:rsid w:val="006A668A"/>
    <w:pPr>
      <w:keepNext/>
      <w:spacing w:before="320"/>
    </w:pPr>
    <w:rPr>
      <w:rFonts w:eastAsiaTheme="minorHAnsi" w:cs="Arial"/>
      <w:b/>
      <w:szCs w:val="22"/>
      <w:lang w:val="en-US" w:eastAsia="en-US"/>
    </w:rPr>
  </w:style>
  <w:style w:type="character" w:customStyle="1" w:styleId="BoldhdgChar">
    <w:name w:val="Bold hdg Char"/>
    <w:basedOn w:val="DefaultParagraphFont"/>
    <w:link w:val="Boldhdg"/>
    <w:uiPriority w:val="99"/>
    <w:rsid w:val="006A668A"/>
    <w:rPr>
      <w:rFonts w:ascii="Arial" w:eastAsiaTheme="minorHAnsi" w:hAnsi="Arial" w:cs="Arial"/>
      <w:b/>
      <w:sz w:val="22"/>
      <w:szCs w:val="22"/>
      <w:lang w:val="en-US" w:eastAsia="en-US"/>
    </w:rPr>
  </w:style>
  <w:style w:type="paragraph" w:customStyle="1" w:styleId="23threesquarebulletsbreak">
    <w:name w:val="23 three square bullets break"/>
    <w:basedOn w:val="Normal"/>
    <w:next w:val="Normal"/>
    <w:uiPriority w:val="99"/>
    <w:rsid w:val="004257BF"/>
    <w:pPr>
      <w:spacing w:before="600" w:after="480" w:line="264" w:lineRule="auto"/>
      <w:jc w:val="center"/>
    </w:pPr>
    <w:rPr>
      <w:sz w:val="24"/>
      <w:szCs w:val="20"/>
      <w:lang w:val="de-DE" w:eastAsia="en-US"/>
    </w:rPr>
  </w:style>
  <w:style w:type="character" w:customStyle="1" w:styleId="Heading3Char">
    <w:name w:val="Heading 3 Char"/>
    <w:basedOn w:val="DefaultParagraphFont"/>
    <w:link w:val="Heading3"/>
    <w:rsid w:val="00AB752F"/>
    <w:rPr>
      <w:rFonts w:asciiTheme="minorHAnsi" w:eastAsiaTheme="minorHAnsi" w:hAnsiTheme="minorHAnsi" w:cs="Arial"/>
      <w:b/>
      <w:bCs/>
      <w:i/>
      <w:color w:val="B66113"/>
      <w:sz w:val="24"/>
      <w:szCs w:val="24"/>
      <w:lang w:val="en-US" w:eastAsia="en-US"/>
    </w:rPr>
  </w:style>
  <w:style w:type="character" w:customStyle="1" w:styleId="Heading2Char">
    <w:name w:val="Heading 2 Char"/>
    <w:basedOn w:val="DefaultParagraphFont"/>
    <w:link w:val="Heading2"/>
    <w:rsid w:val="005E1FCF"/>
    <w:rPr>
      <w:rFonts w:asciiTheme="minorHAnsi" w:eastAsiaTheme="minorHAnsi" w:hAnsiTheme="minorHAnsi" w:cs="Arial"/>
      <w:b/>
      <w:bCs/>
      <w:iCs/>
      <w:color w:val="01653F"/>
      <w:sz w:val="28"/>
      <w:szCs w:val="22"/>
      <w:lang w:eastAsia="en-US"/>
    </w:rPr>
  </w:style>
  <w:style w:type="character" w:customStyle="1" w:styleId="slug-pub-date">
    <w:name w:val="slug-pub-date"/>
    <w:basedOn w:val="DefaultParagraphFont"/>
    <w:rsid w:val="007B1E97"/>
  </w:style>
  <w:style w:type="character" w:customStyle="1" w:styleId="slug-vol">
    <w:name w:val="slug-vol"/>
    <w:basedOn w:val="DefaultParagraphFont"/>
    <w:rsid w:val="007B1E97"/>
  </w:style>
  <w:style w:type="character" w:customStyle="1" w:styleId="slug-issue">
    <w:name w:val="slug-issue"/>
    <w:basedOn w:val="DefaultParagraphFont"/>
    <w:rsid w:val="007B1E97"/>
  </w:style>
  <w:style w:type="character" w:customStyle="1" w:styleId="slug-pages">
    <w:name w:val="slug-pages"/>
    <w:basedOn w:val="DefaultParagraphFont"/>
    <w:rsid w:val="007B1E97"/>
  </w:style>
  <w:style w:type="paragraph" w:customStyle="1" w:styleId="EndNoteBibliography">
    <w:name w:val="EndNote Bibliography"/>
    <w:basedOn w:val="Normal"/>
    <w:link w:val="EndNoteBibliographyChar"/>
    <w:uiPriority w:val="74"/>
    <w:rsid w:val="00D123D4"/>
    <w:pPr>
      <w:numPr>
        <w:numId w:val="14"/>
      </w:numPr>
      <w:spacing w:before="0" w:after="0"/>
    </w:pPr>
    <w:rPr>
      <w:rFonts w:ascii="Calibri" w:eastAsiaTheme="minorHAnsi" w:hAnsi="Calibri" w:cs="Calibri"/>
      <w:noProof/>
      <w:szCs w:val="22"/>
      <w:lang w:val="en-US" w:eastAsia="en-US"/>
    </w:rPr>
  </w:style>
  <w:style w:type="character" w:customStyle="1" w:styleId="EndNoteBibliographyChar">
    <w:name w:val="EndNote Bibliography Char"/>
    <w:basedOn w:val="DefaultParagraphFont"/>
    <w:link w:val="EndNoteBibliography"/>
    <w:uiPriority w:val="74"/>
    <w:rsid w:val="00B7051C"/>
    <w:rPr>
      <w:rFonts w:ascii="Calibri" w:eastAsiaTheme="minorHAnsi" w:hAnsi="Calibri" w:cs="Calibri"/>
      <w:noProof/>
      <w:sz w:val="22"/>
      <w:szCs w:val="22"/>
      <w:lang w:val="en-US" w:eastAsia="en-US"/>
    </w:rPr>
  </w:style>
  <w:style w:type="paragraph" w:styleId="Revision">
    <w:name w:val="Revision"/>
    <w:hidden/>
    <w:uiPriority w:val="99"/>
    <w:semiHidden/>
    <w:rsid w:val="00BA1855"/>
    <w:rPr>
      <w:rFonts w:ascii="Arial" w:hAnsi="Arial"/>
      <w:sz w:val="22"/>
      <w:szCs w:val="24"/>
    </w:rPr>
  </w:style>
  <w:style w:type="paragraph" w:customStyle="1" w:styleId="NormalBulleted">
    <w:name w:val="Normal Bulleted"/>
    <w:basedOn w:val="ListContinue"/>
    <w:link w:val="NormalBulletedChar"/>
    <w:qFormat/>
    <w:rsid w:val="008460E3"/>
    <w:pPr>
      <w:numPr>
        <w:numId w:val="15"/>
      </w:numPr>
      <w:spacing w:before="180" w:line="312" w:lineRule="auto"/>
    </w:pPr>
  </w:style>
  <w:style w:type="character" w:customStyle="1" w:styleId="NormalBulletedChar">
    <w:name w:val="Normal Bulleted Char"/>
    <w:basedOn w:val="DefaultParagraphFont"/>
    <w:link w:val="NormalBulleted"/>
    <w:rsid w:val="00082595"/>
    <w:rPr>
      <w:rFonts w:asciiTheme="minorHAnsi" w:hAnsiTheme="minorHAnsi"/>
      <w:sz w:val="22"/>
      <w:szCs w:val="24"/>
      <w:lang w:val="en-GB"/>
    </w:rPr>
  </w:style>
  <w:style w:type="paragraph" w:styleId="ListContinue">
    <w:name w:val="List Continue"/>
    <w:basedOn w:val="Normal"/>
    <w:uiPriority w:val="99"/>
    <w:semiHidden/>
    <w:unhideWhenUsed/>
    <w:rsid w:val="00082595"/>
    <w:pPr>
      <w:spacing w:after="120"/>
      <w:ind w:left="283"/>
      <w:contextualSpacing/>
    </w:pPr>
  </w:style>
  <w:style w:type="numbering" w:customStyle="1" w:styleId="Style2">
    <w:name w:val="Style2"/>
    <w:uiPriority w:val="99"/>
    <w:rsid w:val="00E15A50"/>
    <w:pPr>
      <w:numPr>
        <w:numId w:val="16"/>
      </w:numPr>
    </w:pPr>
  </w:style>
  <w:style w:type="paragraph" w:customStyle="1" w:styleId="AppendixStyle2">
    <w:name w:val="Appendix Style2"/>
    <w:basedOn w:val="Normal"/>
    <w:qFormat/>
    <w:rsid w:val="00A1707A"/>
    <w:pPr>
      <w:keepNext/>
      <w:spacing w:before="120" w:line="312" w:lineRule="auto"/>
      <w:outlineLvl w:val="1"/>
    </w:pPr>
    <w:rPr>
      <w:rFonts w:eastAsiaTheme="minorHAnsi" w:cs="Arial"/>
      <w:b/>
      <w:bCs/>
      <w:iCs/>
      <w:sz w:val="26"/>
      <w:szCs w:val="22"/>
      <w:lang w:val="en-US" w:eastAsia="en-US"/>
    </w:rPr>
  </w:style>
  <w:style w:type="paragraph" w:styleId="PlainText">
    <w:name w:val="Plain Text"/>
    <w:basedOn w:val="Normal"/>
    <w:link w:val="PlainTextChar"/>
    <w:uiPriority w:val="99"/>
    <w:unhideWhenUsed/>
    <w:rsid w:val="00B409DB"/>
    <w:pPr>
      <w:spacing w:before="0" w:after="0"/>
    </w:pPr>
    <w:rPr>
      <w:rFonts w:ascii="Consolas" w:eastAsiaTheme="minorHAnsi" w:hAnsi="Consolas" w:cs="Consolas"/>
      <w:sz w:val="21"/>
      <w:szCs w:val="21"/>
      <w:lang w:val="en-AU" w:eastAsia="en-US"/>
    </w:rPr>
  </w:style>
  <w:style w:type="character" w:customStyle="1" w:styleId="PlainTextChar">
    <w:name w:val="Plain Text Char"/>
    <w:basedOn w:val="DefaultParagraphFont"/>
    <w:link w:val="PlainText"/>
    <w:uiPriority w:val="99"/>
    <w:rsid w:val="00B409DB"/>
    <w:rPr>
      <w:rFonts w:ascii="Consolas" w:eastAsiaTheme="minorHAnsi" w:hAnsi="Consolas" w:cs="Consolas"/>
      <w:sz w:val="21"/>
      <w:szCs w:val="21"/>
      <w:lang w:eastAsia="en-US"/>
    </w:rPr>
  </w:style>
  <w:style w:type="paragraph" w:customStyle="1" w:styleId="BoxText">
    <w:name w:val="BoxText"/>
    <w:basedOn w:val="Normal"/>
    <w:qFormat/>
    <w:rsid w:val="002D172E"/>
    <w:pPr>
      <w:pBdr>
        <w:top w:val="single" w:sz="12" w:space="4" w:color="C75F09"/>
        <w:left w:val="single" w:sz="12" w:space="4" w:color="C75F09"/>
        <w:bottom w:val="single" w:sz="12" w:space="4" w:color="C75F09"/>
        <w:right w:val="single" w:sz="12" w:space="4" w:color="C75F09"/>
      </w:pBdr>
      <w:spacing w:before="0" w:after="120"/>
    </w:pPr>
    <w:rPr>
      <w:rFonts w:ascii="Calibri" w:hAnsi="Calibri"/>
      <w:color w:val="000000"/>
      <w:szCs w:val="20"/>
      <w:lang w:val="en-AU"/>
    </w:rPr>
  </w:style>
  <w:style w:type="paragraph" w:customStyle="1" w:styleId="BoxBullet">
    <w:name w:val="BoxBullet"/>
    <w:basedOn w:val="BoxText"/>
    <w:rsid w:val="002D172E"/>
    <w:pPr>
      <w:numPr>
        <w:numId w:val="18"/>
      </w:numPr>
    </w:pPr>
  </w:style>
  <w:style w:type="paragraph" w:customStyle="1" w:styleId="Normalpara">
    <w:name w:val="Normal para"/>
    <w:basedOn w:val="Normal"/>
    <w:link w:val="NormalparaChar"/>
    <w:qFormat/>
    <w:rsid w:val="00E15D68"/>
    <w:rPr>
      <w:lang w:val="en-AU"/>
    </w:rPr>
  </w:style>
  <w:style w:type="character" w:customStyle="1" w:styleId="NormalparaChar">
    <w:name w:val="Normal para Char"/>
    <w:basedOn w:val="DefaultParagraphFont"/>
    <w:link w:val="Normalpara"/>
    <w:rsid w:val="00E15D68"/>
    <w:rPr>
      <w:rFonts w:asciiTheme="minorHAnsi" w:hAnsiTheme="minorHAnsi"/>
      <w:sz w:val="22"/>
      <w:szCs w:val="24"/>
    </w:rPr>
  </w:style>
  <w:style w:type="character" w:customStyle="1" w:styleId="Heading4Char">
    <w:name w:val="Heading 4 Char"/>
    <w:basedOn w:val="DefaultParagraphFont"/>
    <w:link w:val="Heading4"/>
    <w:uiPriority w:val="9"/>
    <w:rsid w:val="00174510"/>
    <w:rPr>
      <w:rFonts w:asciiTheme="minorHAnsi" w:eastAsiaTheme="minorHAnsi" w:hAnsiTheme="minorHAnsi" w:cs="Arial"/>
      <w:b/>
      <w:bCs/>
      <w:i/>
      <w:sz w:val="26"/>
      <w:szCs w:val="28"/>
      <w:lang w:val="en-US" w:eastAsia="en-US"/>
    </w:rPr>
  </w:style>
  <w:style w:type="character" w:customStyle="1" w:styleId="Heading5Char">
    <w:name w:val="Heading 5 Char"/>
    <w:basedOn w:val="DefaultParagraphFont"/>
    <w:link w:val="Heading5"/>
    <w:uiPriority w:val="9"/>
    <w:rsid w:val="0033420E"/>
    <w:rPr>
      <w:rFonts w:asciiTheme="minorHAnsi" w:eastAsiaTheme="minorHAnsi" w:hAnsiTheme="minorHAnsi" w:cs="Arial"/>
      <w:b/>
      <w:bCs/>
      <w:iCs/>
      <w:sz w:val="26"/>
      <w:szCs w:val="26"/>
      <w:lang w:val="en-US" w:eastAsia="en-US"/>
    </w:rPr>
  </w:style>
  <w:style w:type="character" w:customStyle="1" w:styleId="Heading6Char">
    <w:name w:val="Heading 6 Char"/>
    <w:basedOn w:val="DefaultParagraphFont"/>
    <w:link w:val="Heading6"/>
    <w:uiPriority w:val="9"/>
    <w:rsid w:val="0033420E"/>
    <w:rPr>
      <w:rFonts w:asciiTheme="minorHAnsi" w:eastAsiaTheme="minorHAnsi" w:hAnsiTheme="minorHAnsi" w:cs="Arial"/>
      <w:b/>
      <w:bCs/>
      <w:i/>
      <w:sz w:val="22"/>
      <w:szCs w:val="22"/>
      <w:lang w:val="en-US" w:eastAsia="en-US"/>
    </w:rPr>
  </w:style>
  <w:style w:type="character" w:customStyle="1" w:styleId="01squarebulletChar">
    <w:name w:val="01 square bullet Char"/>
    <w:basedOn w:val="DefaultParagraphFont"/>
    <w:link w:val="01squarebullet"/>
    <w:uiPriority w:val="3"/>
    <w:rsid w:val="0033420E"/>
    <w:rPr>
      <w:rFonts w:asciiTheme="minorHAnsi" w:hAnsiTheme="minorHAnsi"/>
      <w:sz w:val="22"/>
      <w:lang w:val="en-US" w:eastAsia="en-US"/>
    </w:rPr>
  </w:style>
  <w:style w:type="paragraph" w:customStyle="1" w:styleId="03Tableundertext">
    <w:name w:val="03 Table under text"/>
    <w:basedOn w:val="Normal"/>
    <w:rsid w:val="0033420E"/>
    <w:pPr>
      <w:spacing w:before="0" w:line="312" w:lineRule="auto"/>
    </w:pPr>
    <w:rPr>
      <w:bCs/>
      <w:sz w:val="18"/>
      <w:szCs w:val="16"/>
      <w:lang w:val="en-US"/>
    </w:rPr>
  </w:style>
  <w:style w:type="paragraph" w:customStyle="1" w:styleId="xmsonormal">
    <w:name w:val="x_msonormal"/>
    <w:basedOn w:val="Normal"/>
    <w:rsid w:val="00A85858"/>
    <w:pPr>
      <w:spacing w:before="100" w:beforeAutospacing="1" w:after="100" w:afterAutospacing="1"/>
    </w:pPr>
    <w:rPr>
      <w:rFonts w:ascii="Times New Roman" w:hAnsi="Times New Roman"/>
      <w:sz w:val="24"/>
      <w:lang w:val="en-AU"/>
    </w:rPr>
  </w:style>
  <w:style w:type="character" w:customStyle="1" w:styleId="Mention1">
    <w:name w:val="Mention1"/>
    <w:basedOn w:val="DefaultParagraphFont"/>
    <w:uiPriority w:val="99"/>
    <w:semiHidden/>
    <w:unhideWhenUsed/>
    <w:rsid w:val="008915E8"/>
    <w:rPr>
      <w:color w:val="2B579A"/>
      <w:shd w:val="clear" w:color="auto" w:fill="E6E6E6"/>
    </w:rPr>
  </w:style>
  <w:style w:type="paragraph" w:customStyle="1" w:styleId="Char1">
    <w:name w:val="Char1"/>
    <w:basedOn w:val="Normal"/>
    <w:rsid w:val="00EF0ECE"/>
    <w:pPr>
      <w:spacing w:before="0" w:after="0"/>
    </w:pPr>
    <w:rPr>
      <w:rFonts w:ascii="Arial" w:hAnsi="Arial" w:cs="Arial"/>
      <w:szCs w:val="22"/>
      <w:lang w:val="en-AU" w:eastAsia="en-US"/>
    </w:rPr>
  </w:style>
  <w:style w:type="paragraph" w:customStyle="1" w:styleId="Char10">
    <w:name w:val="Char1"/>
    <w:basedOn w:val="Normal"/>
    <w:rsid w:val="00DA4C10"/>
    <w:pPr>
      <w:spacing w:before="0" w:after="0"/>
    </w:pPr>
    <w:rPr>
      <w:rFonts w:ascii="Arial" w:hAnsi="Arial" w:cs="Arial"/>
      <w:szCs w:val="22"/>
      <w:lang w:val="en-AU" w:eastAsia="en-US"/>
    </w:rPr>
  </w:style>
  <w:style w:type="character" w:customStyle="1" w:styleId="Mention2">
    <w:name w:val="Mention2"/>
    <w:basedOn w:val="DefaultParagraphFont"/>
    <w:uiPriority w:val="99"/>
    <w:semiHidden/>
    <w:unhideWhenUsed/>
    <w:rsid w:val="00504DD0"/>
    <w:rPr>
      <w:color w:val="2B579A"/>
      <w:shd w:val="clear" w:color="auto" w:fill="E6E6E6"/>
    </w:rPr>
  </w:style>
  <w:style w:type="paragraph" w:customStyle="1" w:styleId="x01squarebullet">
    <w:name w:val="x_01squarebullet"/>
    <w:basedOn w:val="Normal"/>
    <w:rsid w:val="00CA7016"/>
    <w:pPr>
      <w:spacing w:before="100" w:beforeAutospacing="1" w:after="100" w:afterAutospacing="1"/>
    </w:pPr>
    <w:rPr>
      <w:rFonts w:ascii="Times New Roman" w:hAnsi="Times New Roman"/>
      <w:sz w:val="24"/>
      <w:lang w:val="en-AU"/>
    </w:rPr>
  </w:style>
  <w:style w:type="numbering" w:customStyle="1" w:styleId="Style21">
    <w:name w:val="Style21"/>
    <w:uiPriority w:val="99"/>
    <w:rsid w:val="00CA7016"/>
  </w:style>
  <w:style w:type="paragraph" w:customStyle="1" w:styleId="FigureCaption">
    <w:name w:val="Figure Caption"/>
    <w:basedOn w:val="Caption"/>
    <w:qFormat/>
    <w:rsid w:val="00CA7016"/>
    <w:pPr>
      <w:spacing w:before="120" w:after="0"/>
    </w:pPr>
    <w:rPr>
      <w:rFonts w:asciiTheme="minorHAnsi" w:hAnsiTheme="minorHAnsi"/>
      <w:sz w:val="20"/>
      <w:szCs w:val="22"/>
    </w:rPr>
  </w:style>
  <w:style w:type="numbering" w:customStyle="1" w:styleId="Style22">
    <w:name w:val="Style22"/>
    <w:uiPriority w:val="99"/>
    <w:rsid w:val="00CA7016"/>
  </w:style>
  <w:style w:type="character" w:customStyle="1" w:styleId="st">
    <w:name w:val="st"/>
    <w:basedOn w:val="DefaultParagraphFont"/>
    <w:rsid w:val="00CA7016"/>
  </w:style>
  <w:style w:type="character" w:customStyle="1" w:styleId="st1">
    <w:name w:val="st1"/>
    <w:basedOn w:val="DefaultParagraphFont"/>
    <w:rsid w:val="00CA7016"/>
  </w:style>
  <w:style w:type="character" w:customStyle="1" w:styleId="tgc">
    <w:name w:val="_tgc"/>
    <w:basedOn w:val="DefaultParagraphFont"/>
    <w:rsid w:val="00CA7016"/>
  </w:style>
  <w:style w:type="character" w:customStyle="1" w:styleId="Mention3">
    <w:name w:val="Mention3"/>
    <w:basedOn w:val="DefaultParagraphFont"/>
    <w:uiPriority w:val="99"/>
    <w:semiHidden/>
    <w:unhideWhenUsed/>
    <w:rsid w:val="00CA7016"/>
    <w:rPr>
      <w:color w:val="2B579A"/>
      <w:shd w:val="clear" w:color="auto" w:fill="E6E6E6"/>
    </w:rPr>
  </w:style>
  <w:style w:type="paragraph" w:customStyle="1" w:styleId="EndNoteBibliographyTitle">
    <w:name w:val="EndNote Bibliography Title"/>
    <w:basedOn w:val="Normal"/>
    <w:link w:val="EndNoteBibliographyTitleChar"/>
    <w:rsid w:val="00CA7016"/>
    <w:pPr>
      <w:spacing w:after="0"/>
      <w:jc w:val="center"/>
    </w:pPr>
    <w:rPr>
      <w:rFonts w:ascii="Calibri" w:hAnsi="Calibri" w:cs="Calibri"/>
      <w:noProof/>
      <w:lang w:val="en-US" w:eastAsia="en-US"/>
    </w:rPr>
  </w:style>
  <w:style w:type="character" w:customStyle="1" w:styleId="EndNoteBibliographyTitleChar">
    <w:name w:val="EndNote Bibliography Title Char"/>
    <w:basedOn w:val="01squarebulletChar"/>
    <w:link w:val="EndNoteBibliographyTitle"/>
    <w:rsid w:val="00CA7016"/>
    <w:rPr>
      <w:rFonts w:ascii="Calibri" w:hAnsi="Calibri" w:cs="Calibri"/>
      <w:noProof/>
      <w:sz w:val="22"/>
      <w:szCs w:val="24"/>
      <w:lang w:val="en-US" w:eastAsia="en-US"/>
    </w:rPr>
  </w:style>
  <w:style w:type="character" w:customStyle="1" w:styleId="UnresolvedMention1">
    <w:name w:val="Unresolved Mention1"/>
    <w:basedOn w:val="DefaultParagraphFont"/>
    <w:uiPriority w:val="99"/>
    <w:semiHidden/>
    <w:unhideWhenUsed/>
    <w:rsid w:val="00CA7016"/>
    <w:rPr>
      <w:color w:val="808080"/>
      <w:shd w:val="clear" w:color="auto" w:fill="E6E6E6"/>
    </w:rPr>
  </w:style>
  <w:style w:type="character" w:customStyle="1" w:styleId="UnresolvedMention2">
    <w:name w:val="Unresolved Mention2"/>
    <w:basedOn w:val="DefaultParagraphFont"/>
    <w:uiPriority w:val="99"/>
    <w:semiHidden/>
    <w:unhideWhenUsed/>
    <w:rsid w:val="00CA7016"/>
    <w:rPr>
      <w:color w:val="808080"/>
      <w:shd w:val="clear" w:color="auto" w:fill="E6E6E6"/>
    </w:rPr>
  </w:style>
  <w:style w:type="character" w:customStyle="1" w:styleId="UnresolvedMention3">
    <w:name w:val="Unresolved Mention3"/>
    <w:basedOn w:val="DefaultParagraphFont"/>
    <w:uiPriority w:val="99"/>
    <w:semiHidden/>
    <w:unhideWhenUsed/>
    <w:rsid w:val="00CA7016"/>
    <w:rPr>
      <w:color w:val="808080"/>
      <w:shd w:val="clear" w:color="auto" w:fill="E6E6E6"/>
    </w:rPr>
  </w:style>
  <w:style w:type="character" w:customStyle="1" w:styleId="UnresolvedMention4">
    <w:name w:val="Unresolved Mention4"/>
    <w:basedOn w:val="DefaultParagraphFont"/>
    <w:uiPriority w:val="99"/>
    <w:semiHidden/>
    <w:unhideWhenUsed/>
    <w:rsid w:val="00CA7016"/>
    <w:rPr>
      <w:color w:val="808080"/>
      <w:shd w:val="clear" w:color="auto" w:fill="E6E6E6"/>
    </w:rPr>
  </w:style>
  <w:style w:type="character" w:customStyle="1" w:styleId="UnresolvedMention5">
    <w:name w:val="Unresolved Mention5"/>
    <w:basedOn w:val="DefaultParagraphFont"/>
    <w:uiPriority w:val="99"/>
    <w:semiHidden/>
    <w:unhideWhenUsed/>
    <w:rsid w:val="00CA7016"/>
    <w:rPr>
      <w:color w:val="808080"/>
      <w:shd w:val="clear" w:color="auto" w:fill="E6E6E6"/>
    </w:rPr>
  </w:style>
  <w:style w:type="paragraph" w:customStyle="1" w:styleId="EndNoteCategoryHeading">
    <w:name w:val="EndNote Category Heading"/>
    <w:basedOn w:val="Normal"/>
    <w:link w:val="EndNoteCategoryHeadingChar"/>
    <w:rsid w:val="00EE147F"/>
    <w:pPr>
      <w:spacing w:before="120" w:after="120"/>
    </w:pPr>
  </w:style>
  <w:style w:type="character" w:customStyle="1" w:styleId="EndNoteCategoryHeadingChar">
    <w:name w:val="EndNote Category Heading Char"/>
    <w:basedOn w:val="Heading1Char"/>
    <w:link w:val="EndNoteCategoryHeading"/>
    <w:rsid w:val="00EE147F"/>
    <w:rPr>
      <w:rFonts w:asciiTheme="minorHAnsi" w:eastAsiaTheme="minorHAnsi" w:hAnsiTheme="minorHAnsi" w:cs="Arial"/>
      <w:b w:val="0"/>
      <w:bCs w:val="0"/>
      <w:color w:val="01653F"/>
      <w:kern w:val="32"/>
      <w:sz w:val="22"/>
      <w:szCs w:val="24"/>
      <w:lang w:val="en-GB" w:eastAsia="en-US"/>
    </w:rPr>
  </w:style>
  <w:style w:type="paragraph" w:customStyle="1" w:styleId="EndNoteCategoryTitle">
    <w:name w:val="EndNote Category Title"/>
    <w:basedOn w:val="Normal"/>
    <w:link w:val="EndNoteCategoryTitleChar"/>
    <w:rsid w:val="00EE147F"/>
    <w:pPr>
      <w:spacing w:before="120" w:after="120"/>
      <w:jc w:val="center"/>
    </w:pPr>
  </w:style>
  <w:style w:type="character" w:customStyle="1" w:styleId="EndNoteCategoryTitleChar">
    <w:name w:val="EndNote Category Title Char"/>
    <w:basedOn w:val="Heading1Char"/>
    <w:link w:val="EndNoteCategoryTitle"/>
    <w:rsid w:val="00EE147F"/>
    <w:rPr>
      <w:rFonts w:asciiTheme="minorHAnsi" w:eastAsiaTheme="minorHAnsi" w:hAnsiTheme="minorHAnsi" w:cs="Arial"/>
      <w:b w:val="0"/>
      <w:bCs w:val="0"/>
      <w:color w:val="01653F"/>
      <w:kern w:val="32"/>
      <w:sz w:val="22"/>
      <w:szCs w:val="24"/>
      <w:lang w:val="en-GB" w:eastAsia="en-US"/>
    </w:rPr>
  </w:style>
  <w:style w:type="character" w:customStyle="1" w:styleId="UnresolvedMention6">
    <w:name w:val="Unresolved Mention6"/>
    <w:basedOn w:val="DefaultParagraphFont"/>
    <w:uiPriority w:val="99"/>
    <w:semiHidden/>
    <w:unhideWhenUsed/>
    <w:rsid w:val="00CA47C6"/>
    <w:rPr>
      <w:color w:val="808080"/>
      <w:shd w:val="clear" w:color="auto" w:fill="E6E6E6"/>
    </w:rPr>
  </w:style>
  <w:style w:type="character" w:customStyle="1" w:styleId="N1Char">
    <w:name w:val="N 1 Char"/>
    <w:basedOn w:val="DefaultParagraphFont"/>
    <w:link w:val="N1"/>
    <w:locked/>
    <w:rsid w:val="00C10C14"/>
  </w:style>
  <w:style w:type="paragraph" w:customStyle="1" w:styleId="N1">
    <w:name w:val="N 1"/>
    <w:basedOn w:val="Normal"/>
    <w:link w:val="N1Char"/>
    <w:rsid w:val="00C10C14"/>
    <w:pPr>
      <w:spacing w:before="180"/>
    </w:pPr>
    <w:rPr>
      <w:rFonts w:ascii="Times New Roman" w:hAnsi="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17">
      <w:bodyDiv w:val="1"/>
      <w:marLeft w:val="0"/>
      <w:marRight w:val="0"/>
      <w:marTop w:val="0"/>
      <w:marBottom w:val="0"/>
      <w:divBdr>
        <w:top w:val="none" w:sz="0" w:space="0" w:color="auto"/>
        <w:left w:val="none" w:sz="0" w:space="0" w:color="auto"/>
        <w:bottom w:val="none" w:sz="0" w:space="0" w:color="auto"/>
        <w:right w:val="none" w:sz="0" w:space="0" w:color="auto"/>
      </w:divBdr>
    </w:div>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59910381">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79107731">
      <w:bodyDiv w:val="1"/>
      <w:marLeft w:val="0"/>
      <w:marRight w:val="0"/>
      <w:marTop w:val="0"/>
      <w:marBottom w:val="0"/>
      <w:divBdr>
        <w:top w:val="none" w:sz="0" w:space="0" w:color="auto"/>
        <w:left w:val="none" w:sz="0" w:space="0" w:color="auto"/>
        <w:bottom w:val="none" w:sz="0" w:space="0" w:color="auto"/>
        <w:right w:val="none" w:sz="0" w:space="0" w:color="auto"/>
      </w:divBdr>
    </w:div>
    <w:div w:id="90707671">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99495763">
      <w:bodyDiv w:val="1"/>
      <w:marLeft w:val="0"/>
      <w:marRight w:val="0"/>
      <w:marTop w:val="0"/>
      <w:marBottom w:val="0"/>
      <w:divBdr>
        <w:top w:val="none" w:sz="0" w:space="0" w:color="auto"/>
        <w:left w:val="none" w:sz="0" w:space="0" w:color="auto"/>
        <w:bottom w:val="none" w:sz="0" w:space="0" w:color="auto"/>
        <w:right w:val="none" w:sz="0" w:space="0" w:color="auto"/>
      </w:divBdr>
    </w:div>
    <w:div w:id="105122325">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12554176">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42745142">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6406755">
      <w:bodyDiv w:val="1"/>
      <w:marLeft w:val="0"/>
      <w:marRight w:val="0"/>
      <w:marTop w:val="0"/>
      <w:marBottom w:val="0"/>
      <w:divBdr>
        <w:top w:val="none" w:sz="0" w:space="0" w:color="auto"/>
        <w:left w:val="none" w:sz="0" w:space="0" w:color="auto"/>
        <w:bottom w:val="none" w:sz="0" w:space="0" w:color="auto"/>
        <w:right w:val="none" w:sz="0" w:space="0" w:color="auto"/>
      </w:divBdr>
    </w:div>
    <w:div w:id="167870362">
      <w:bodyDiv w:val="1"/>
      <w:marLeft w:val="0"/>
      <w:marRight w:val="0"/>
      <w:marTop w:val="0"/>
      <w:marBottom w:val="0"/>
      <w:divBdr>
        <w:top w:val="none" w:sz="0" w:space="0" w:color="auto"/>
        <w:left w:val="none" w:sz="0" w:space="0" w:color="auto"/>
        <w:bottom w:val="none" w:sz="0" w:space="0" w:color="auto"/>
        <w:right w:val="none" w:sz="0" w:space="0" w:color="auto"/>
      </w:divBdr>
      <w:divsChild>
        <w:div w:id="1681467237">
          <w:marLeft w:val="360"/>
          <w:marRight w:val="0"/>
          <w:marTop w:val="0"/>
          <w:marBottom w:val="0"/>
          <w:divBdr>
            <w:top w:val="none" w:sz="0" w:space="0" w:color="auto"/>
            <w:left w:val="none" w:sz="0" w:space="0" w:color="auto"/>
            <w:bottom w:val="none" w:sz="0" w:space="0" w:color="auto"/>
            <w:right w:val="none" w:sz="0" w:space="0" w:color="auto"/>
          </w:divBdr>
        </w:div>
        <w:div w:id="692414203">
          <w:marLeft w:val="360"/>
          <w:marRight w:val="0"/>
          <w:marTop w:val="0"/>
          <w:marBottom w:val="0"/>
          <w:divBdr>
            <w:top w:val="none" w:sz="0" w:space="0" w:color="auto"/>
            <w:left w:val="none" w:sz="0" w:space="0" w:color="auto"/>
            <w:bottom w:val="none" w:sz="0" w:space="0" w:color="auto"/>
            <w:right w:val="none" w:sz="0" w:space="0" w:color="auto"/>
          </w:divBdr>
        </w:div>
        <w:div w:id="145054071">
          <w:marLeft w:val="360"/>
          <w:marRight w:val="0"/>
          <w:marTop w:val="0"/>
          <w:marBottom w:val="0"/>
          <w:divBdr>
            <w:top w:val="none" w:sz="0" w:space="0" w:color="auto"/>
            <w:left w:val="none" w:sz="0" w:space="0" w:color="auto"/>
            <w:bottom w:val="none" w:sz="0" w:space="0" w:color="auto"/>
            <w:right w:val="none" w:sz="0" w:space="0" w:color="auto"/>
          </w:divBdr>
        </w:div>
        <w:div w:id="323167015">
          <w:marLeft w:val="360"/>
          <w:marRight w:val="0"/>
          <w:marTop w:val="0"/>
          <w:marBottom w:val="0"/>
          <w:divBdr>
            <w:top w:val="none" w:sz="0" w:space="0" w:color="auto"/>
            <w:left w:val="none" w:sz="0" w:space="0" w:color="auto"/>
            <w:bottom w:val="none" w:sz="0" w:space="0" w:color="auto"/>
            <w:right w:val="none" w:sz="0" w:space="0" w:color="auto"/>
          </w:divBdr>
        </w:div>
        <w:div w:id="620183237">
          <w:marLeft w:val="360"/>
          <w:marRight w:val="0"/>
          <w:marTop w:val="0"/>
          <w:marBottom w:val="0"/>
          <w:divBdr>
            <w:top w:val="none" w:sz="0" w:space="0" w:color="auto"/>
            <w:left w:val="none" w:sz="0" w:space="0" w:color="auto"/>
            <w:bottom w:val="none" w:sz="0" w:space="0" w:color="auto"/>
            <w:right w:val="none" w:sz="0" w:space="0" w:color="auto"/>
          </w:divBdr>
        </w:div>
        <w:div w:id="1790973251">
          <w:marLeft w:val="1166"/>
          <w:marRight w:val="0"/>
          <w:marTop w:val="0"/>
          <w:marBottom w:val="0"/>
          <w:divBdr>
            <w:top w:val="none" w:sz="0" w:space="0" w:color="auto"/>
            <w:left w:val="none" w:sz="0" w:space="0" w:color="auto"/>
            <w:bottom w:val="none" w:sz="0" w:space="0" w:color="auto"/>
            <w:right w:val="none" w:sz="0" w:space="0" w:color="auto"/>
          </w:divBdr>
        </w:div>
        <w:div w:id="1805196221">
          <w:marLeft w:val="1166"/>
          <w:marRight w:val="0"/>
          <w:marTop w:val="0"/>
          <w:marBottom w:val="0"/>
          <w:divBdr>
            <w:top w:val="none" w:sz="0" w:space="0" w:color="auto"/>
            <w:left w:val="none" w:sz="0" w:space="0" w:color="auto"/>
            <w:bottom w:val="none" w:sz="0" w:space="0" w:color="auto"/>
            <w:right w:val="none" w:sz="0" w:space="0" w:color="auto"/>
          </w:divBdr>
        </w:div>
        <w:div w:id="86269325">
          <w:marLeft w:val="446"/>
          <w:marRight w:val="0"/>
          <w:marTop w:val="0"/>
          <w:marBottom w:val="0"/>
          <w:divBdr>
            <w:top w:val="none" w:sz="0" w:space="0" w:color="auto"/>
            <w:left w:val="none" w:sz="0" w:space="0" w:color="auto"/>
            <w:bottom w:val="none" w:sz="0" w:space="0" w:color="auto"/>
            <w:right w:val="none" w:sz="0" w:space="0" w:color="auto"/>
          </w:divBdr>
        </w:div>
      </w:divsChild>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176695234">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49509052">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319280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89556590">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384439">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07913366">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79023207">
      <w:bodyDiv w:val="1"/>
      <w:marLeft w:val="0"/>
      <w:marRight w:val="0"/>
      <w:marTop w:val="0"/>
      <w:marBottom w:val="0"/>
      <w:divBdr>
        <w:top w:val="none" w:sz="0" w:space="0" w:color="auto"/>
        <w:left w:val="none" w:sz="0" w:space="0" w:color="auto"/>
        <w:bottom w:val="none" w:sz="0" w:space="0" w:color="auto"/>
        <w:right w:val="none" w:sz="0" w:space="0" w:color="auto"/>
      </w:divBdr>
    </w:div>
    <w:div w:id="580259281">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596596997">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09898804">
      <w:bodyDiv w:val="1"/>
      <w:marLeft w:val="0"/>
      <w:marRight w:val="0"/>
      <w:marTop w:val="0"/>
      <w:marBottom w:val="0"/>
      <w:divBdr>
        <w:top w:val="none" w:sz="0" w:space="0" w:color="auto"/>
        <w:left w:val="none" w:sz="0" w:space="0" w:color="auto"/>
        <w:bottom w:val="none" w:sz="0" w:space="0" w:color="auto"/>
        <w:right w:val="none" w:sz="0" w:space="0" w:color="auto"/>
      </w:divBdr>
    </w:div>
    <w:div w:id="612786941">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47379">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8169249">
      <w:bodyDiv w:val="1"/>
      <w:marLeft w:val="0"/>
      <w:marRight w:val="0"/>
      <w:marTop w:val="0"/>
      <w:marBottom w:val="0"/>
      <w:divBdr>
        <w:top w:val="none" w:sz="0" w:space="0" w:color="auto"/>
        <w:left w:val="none" w:sz="0" w:space="0" w:color="auto"/>
        <w:bottom w:val="none" w:sz="0" w:space="0" w:color="auto"/>
        <w:right w:val="none" w:sz="0" w:space="0" w:color="auto"/>
      </w:divBdr>
      <w:divsChild>
        <w:div w:id="847644932">
          <w:marLeft w:val="0"/>
          <w:marRight w:val="0"/>
          <w:marTop w:val="0"/>
          <w:marBottom w:val="0"/>
          <w:divBdr>
            <w:top w:val="single" w:sz="6" w:space="16" w:color="414141"/>
            <w:left w:val="single" w:sz="6" w:space="18" w:color="414141"/>
            <w:bottom w:val="single" w:sz="6" w:space="0" w:color="414141"/>
            <w:right w:val="single" w:sz="6" w:space="31" w:color="414141"/>
          </w:divBdr>
          <w:divsChild>
            <w:div w:id="1789664933">
              <w:marLeft w:val="0"/>
              <w:marRight w:val="0"/>
              <w:marTop w:val="0"/>
              <w:marBottom w:val="0"/>
              <w:divBdr>
                <w:top w:val="none" w:sz="0" w:space="0" w:color="auto"/>
                <w:left w:val="none" w:sz="0" w:space="0" w:color="auto"/>
                <w:bottom w:val="none" w:sz="0" w:space="0" w:color="auto"/>
                <w:right w:val="none" w:sz="0" w:space="0" w:color="auto"/>
              </w:divBdr>
            </w:div>
          </w:divsChild>
        </w:div>
        <w:div w:id="1727296251">
          <w:marLeft w:val="0"/>
          <w:marRight w:val="0"/>
          <w:marTop w:val="0"/>
          <w:marBottom w:val="0"/>
          <w:divBdr>
            <w:top w:val="single" w:sz="6" w:space="16" w:color="414141"/>
            <w:left w:val="single" w:sz="6" w:space="18" w:color="414141"/>
            <w:bottom w:val="single" w:sz="6" w:space="0" w:color="414141"/>
            <w:right w:val="single" w:sz="6" w:space="31" w:color="414141"/>
          </w:divBdr>
          <w:divsChild>
            <w:div w:id="2082436460">
              <w:marLeft w:val="0"/>
              <w:marRight w:val="0"/>
              <w:marTop w:val="0"/>
              <w:marBottom w:val="0"/>
              <w:divBdr>
                <w:top w:val="none" w:sz="0" w:space="0" w:color="auto"/>
                <w:left w:val="none" w:sz="0" w:space="0" w:color="auto"/>
                <w:bottom w:val="none" w:sz="0" w:space="0" w:color="auto"/>
                <w:right w:val="none" w:sz="0" w:space="0" w:color="auto"/>
              </w:divBdr>
            </w:div>
          </w:divsChild>
        </w:div>
        <w:div w:id="60445062">
          <w:marLeft w:val="0"/>
          <w:marRight w:val="0"/>
          <w:marTop w:val="0"/>
          <w:marBottom w:val="0"/>
          <w:divBdr>
            <w:top w:val="single" w:sz="6" w:space="16" w:color="414141"/>
            <w:left w:val="single" w:sz="6" w:space="18" w:color="414141"/>
            <w:bottom w:val="single" w:sz="6" w:space="0" w:color="414141"/>
            <w:right w:val="single" w:sz="6" w:space="31" w:color="414141"/>
          </w:divBdr>
          <w:divsChild>
            <w:div w:id="1096099202">
              <w:marLeft w:val="0"/>
              <w:marRight w:val="0"/>
              <w:marTop w:val="0"/>
              <w:marBottom w:val="0"/>
              <w:divBdr>
                <w:top w:val="none" w:sz="0" w:space="0" w:color="auto"/>
                <w:left w:val="none" w:sz="0" w:space="0" w:color="auto"/>
                <w:bottom w:val="none" w:sz="0" w:space="0" w:color="auto"/>
                <w:right w:val="none" w:sz="0" w:space="0" w:color="auto"/>
              </w:divBdr>
            </w:div>
          </w:divsChild>
        </w:div>
        <w:div w:id="649091954">
          <w:marLeft w:val="0"/>
          <w:marRight w:val="0"/>
          <w:marTop w:val="0"/>
          <w:marBottom w:val="0"/>
          <w:divBdr>
            <w:top w:val="single" w:sz="6" w:space="16" w:color="414141"/>
            <w:left w:val="single" w:sz="6" w:space="18" w:color="414141"/>
            <w:bottom w:val="single" w:sz="6" w:space="0" w:color="414141"/>
            <w:right w:val="single" w:sz="6" w:space="31" w:color="414141"/>
          </w:divBdr>
          <w:divsChild>
            <w:div w:id="405306865">
              <w:marLeft w:val="0"/>
              <w:marRight w:val="0"/>
              <w:marTop w:val="0"/>
              <w:marBottom w:val="0"/>
              <w:divBdr>
                <w:top w:val="none" w:sz="0" w:space="0" w:color="auto"/>
                <w:left w:val="none" w:sz="0" w:space="0" w:color="auto"/>
                <w:bottom w:val="none" w:sz="0" w:space="0" w:color="auto"/>
                <w:right w:val="none" w:sz="0" w:space="0" w:color="auto"/>
              </w:divBdr>
            </w:div>
          </w:divsChild>
        </w:div>
        <w:div w:id="984627605">
          <w:marLeft w:val="0"/>
          <w:marRight w:val="0"/>
          <w:marTop w:val="0"/>
          <w:marBottom w:val="0"/>
          <w:divBdr>
            <w:top w:val="single" w:sz="6" w:space="16" w:color="414141"/>
            <w:left w:val="single" w:sz="6" w:space="18" w:color="414141"/>
            <w:bottom w:val="single" w:sz="6" w:space="0" w:color="414141"/>
            <w:right w:val="single" w:sz="6" w:space="31" w:color="414141"/>
          </w:divBdr>
          <w:divsChild>
            <w:div w:id="1490826956">
              <w:marLeft w:val="0"/>
              <w:marRight w:val="0"/>
              <w:marTop w:val="0"/>
              <w:marBottom w:val="0"/>
              <w:divBdr>
                <w:top w:val="none" w:sz="0" w:space="0" w:color="auto"/>
                <w:left w:val="none" w:sz="0" w:space="0" w:color="auto"/>
                <w:bottom w:val="none" w:sz="0" w:space="0" w:color="auto"/>
                <w:right w:val="none" w:sz="0" w:space="0" w:color="auto"/>
              </w:divBdr>
            </w:div>
          </w:divsChild>
        </w:div>
        <w:div w:id="379406532">
          <w:marLeft w:val="0"/>
          <w:marRight w:val="0"/>
          <w:marTop w:val="0"/>
          <w:marBottom w:val="0"/>
          <w:divBdr>
            <w:top w:val="single" w:sz="6" w:space="16" w:color="414141"/>
            <w:left w:val="single" w:sz="6" w:space="18" w:color="414141"/>
            <w:bottom w:val="single" w:sz="6" w:space="0" w:color="414141"/>
            <w:right w:val="single" w:sz="6" w:space="31" w:color="414141"/>
          </w:divBdr>
          <w:divsChild>
            <w:div w:id="287668763">
              <w:marLeft w:val="0"/>
              <w:marRight w:val="0"/>
              <w:marTop w:val="0"/>
              <w:marBottom w:val="0"/>
              <w:divBdr>
                <w:top w:val="none" w:sz="0" w:space="0" w:color="auto"/>
                <w:left w:val="none" w:sz="0" w:space="0" w:color="auto"/>
                <w:bottom w:val="none" w:sz="0" w:space="0" w:color="auto"/>
                <w:right w:val="none" w:sz="0" w:space="0" w:color="auto"/>
              </w:divBdr>
            </w:div>
          </w:divsChild>
        </w:div>
        <w:div w:id="482159136">
          <w:marLeft w:val="0"/>
          <w:marRight w:val="0"/>
          <w:marTop w:val="0"/>
          <w:marBottom w:val="0"/>
          <w:divBdr>
            <w:top w:val="single" w:sz="6" w:space="16" w:color="414141"/>
            <w:left w:val="single" w:sz="6" w:space="18" w:color="414141"/>
            <w:bottom w:val="single" w:sz="6" w:space="0" w:color="414141"/>
            <w:right w:val="single" w:sz="6" w:space="31" w:color="414141"/>
          </w:divBdr>
          <w:divsChild>
            <w:div w:id="414667709">
              <w:marLeft w:val="0"/>
              <w:marRight w:val="0"/>
              <w:marTop w:val="0"/>
              <w:marBottom w:val="0"/>
              <w:divBdr>
                <w:top w:val="none" w:sz="0" w:space="0" w:color="auto"/>
                <w:left w:val="none" w:sz="0" w:space="0" w:color="auto"/>
                <w:bottom w:val="none" w:sz="0" w:space="0" w:color="auto"/>
                <w:right w:val="none" w:sz="0" w:space="0" w:color="auto"/>
              </w:divBdr>
            </w:div>
          </w:divsChild>
        </w:div>
        <w:div w:id="1806703411">
          <w:marLeft w:val="0"/>
          <w:marRight w:val="0"/>
          <w:marTop w:val="0"/>
          <w:marBottom w:val="0"/>
          <w:divBdr>
            <w:top w:val="single" w:sz="6" w:space="16" w:color="414141"/>
            <w:left w:val="single" w:sz="6" w:space="18" w:color="414141"/>
            <w:bottom w:val="single" w:sz="6" w:space="0" w:color="414141"/>
            <w:right w:val="single" w:sz="6" w:space="31" w:color="414141"/>
          </w:divBdr>
          <w:divsChild>
            <w:div w:id="894123088">
              <w:marLeft w:val="0"/>
              <w:marRight w:val="0"/>
              <w:marTop w:val="0"/>
              <w:marBottom w:val="0"/>
              <w:divBdr>
                <w:top w:val="none" w:sz="0" w:space="0" w:color="auto"/>
                <w:left w:val="none" w:sz="0" w:space="0" w:color="auto"/>
                <w:bottom w:val="none" w:sz="0" w:space="0" w:color="auto"/>
                <w:right w:val="none" w:sz="0" w:space="0" w:color="auto"/>
              </w:divBdr>
            </w:div>
          </w:divsChild>
        </w:div>
        <w:div w:id="308822309">
          <w:marLeft w:val="0"/>
          <w:marRight w:val="0"/>
          <w:marTop w:val="0"/>
          <w:marBottom w:val="0"/>
          <w:divBdr>
            <w:top w:val="single" w:sz="6" w:space="16" w:color="414141"/>
            <w:left w:val="single" w:sz="6" w:space="18" w:color="414141"/>
            <w:bottom w:val="single" w:sz="6" w:space="0" w:color="414141"/>
            <w:right w:val="single" w:sz="6" w:space="31" w:color="414141"/>
          </w:divBdr>
          <w:divsChild>
            <w:div w:id="147475602">
              <w:marLeft w:val="0"/>
              <w:marRight w:val="0"/>
              <w:marTop w:val="0"/>
              <w:marBottom w:val="0"/>
              <w:divBdr>
                <w:top w:val="none" w:sz="0" w:space="0" w:color="auto"/>
                <w:left w:val="none" w:sz="0" w:space="0" w:color="auto"/>
                <w:bottom w:val="none" w:sz="0" w:space="0" w:color="auto"/>
                <w:right w:val="none" w:sz="0" w:space="0" w:color="auto"/>
              </w:divBdr>
            </w:div>
          </w:divsChild>
        </w:div>
        <w:div w:id="884558992">
          <w:marLeft w:val="0"/>
          <w:marRight w:val="0"/>
          <w:marTop w:val="0"/>
          <w:marBottom w:val="0"/>
          <w:divBdr>
            <w:top w:val="single" w:sz="6" w:space="16" w:color="414141"/>
            <w:left w:val="single" w:sz="6" w:space="18" w:color="414141"/>
            <w:bottom w:val="single" w:sz="6" w:space="0" w:color="414141"/>
            <w:right w:val="single" w:sz="6" w:space="31" w:color="414141"/>
          </w:divBdr>
          <w:divsChild>
            <w:div w:id="1069235085">
              <w:marLeft w:val="0"/>
              <w:marRight w:val="0"/>
              <w:marTop w:val="0"/>
              <w:marBottom w:val="0"/>
              <w:divBdr>
                <w:top w:val="none" w:sz="0" w:space="0" w:color="auto"/>
                <w:left w:val="none" w:sz="0" w:space="0" w:color="auto"/>
                <w:bottom w:val="none" w:sz="0" w:space="0" w:color="auto"/>
                <w:right w:val="none" w:sz="0" w:space="0" w:color="auto"/>
              </w:divBdr>
            </w:div>
          </w:divsChild>
        </w:div>
        <w:div w:id="1383481441">
          <w:marLeft w:val="0"/>
          <w:marRight w:val="0"/>
          <w:marTop w:val="0"/>
          <w:marBottom w:val="0"/>
          <w:divBdr>
            <w:top w:val="single" w:sz="6" w:space="16" w:color="414141"/>
            <w:left w:val="single" w:sz="6" w:space="18" w:color="414141"/>
            <w:bottom w:val="single" w:sz="6" w:space="0" w:color="414141"/>
            <w:right w:val="single" w:sz="6" w:space="31" w:color="414141"/>
          </w:divBdr>
          <w:divsChild>
            <w:div w:id="1435974592">
              <w:marLeft w:val="0"/>
              <w:marRight w:val="0"/>
              <w:marTop w:val="0"/>
              <w:marBottom w:val="0"/>
              <w:divBdr>
                <w:top w:val="none" w:sz="0" w:space="0" w:color="auto"/>
                <w:left w:val="none" w:sz="0" w:space="0" w:color="auto"/>
                <w:bottom w:val="none" w:sz="0" w:space="0" w:color="auto"/>
                <w:right w:val="none" w:sz="0" w:space="0" w:color="auto"/>
              </w:divBdr>
            </w:div>
          </w:divsChild>
        </w:div>
        <w:div w:id="691342388">
          <w:marLeft w:val="0"/>
          <w:marRight w:val="0"/>
          <w:marTop w:val="0"/>
          <w:marBottom w:val="0"/>
          <w:divBdr>
            <w:top w:val="single" w:sz="6" w:space="16" w:color="414141"/>
            <w:left w:val="single" w:sz="6" w:space="18" w:color="414141"/>
            <w:bottom w:val="single" w:sz="6" w:space="0" w:color="414141"/>
            <w:right w:val="single" w:sz="6" w:space="31" w:color="414141"/>
          </w:divBdr>
          <w:divsChild>
            <w:div w:id="1978337725">
              <w:marLeft w:val="0"/>
              <w:marRight w:val="0"/>
              <w:marTop w:val="0"/>
              <w:marBottom w:val="0"/>
              <w:divBdr>
                <w:top w:val="none" w:sz="0" w:space="0" w:color="auto"/>
                <w:left w:val="none" w:sz="0" w:space="0" w:color="auto"/>
                <w:bottom w:val="none" w:sz="0" w:space="0" w:color="auto"/>
                <w:right w:val="none" w:sz="0" w:space="0" w:color="auto"/>
              </w:divBdr>
            </w:div>
          </w:divsChild>
        </w:div>
        <w:div w:id="1265767848">
          <w:marLeft w:val="0"/>
          <w:marRight w:val="0"/>
          <w:marTop w:val="0"/>
          <w:marBottom w:val="0"/>
          <w:divBdr>
            <w:top w:val="single" w:sz="6" w:space="16" w:color="414141"/>
            <w:left w:val="single" w:sz="6" w:space="18" w:color="414141"/>
            <w:bottom w:val="single" w:sz="6" w:space="0" w:color="414141"/>
            <w:right w:val="single" w:sz="6" w:space="31" w:color="414141"/>
          </w:divBdr>
          <w:divsChild>
            <w:div w:id="623195986">
              <w:marLeft w:val="0"/>
              <w:marRight w:val="0"/>
              <w:marTop w:val="0"/>
              <w:marBottom w:val="0"/>
              <w:divBdr>
                <w:top w:val="none" w:sz="0" w:space="0" w:color="auto"/>
                <w:left w:val="none" w:sz="0" w:space="0" w:color="auto"/>
                <w:bottom w:val="none" w:sz="0" w:space="0" w:color="auto"/>
                <w:right w:val="none" w:sz="0" w:space="0" w:color="auto"/>
              </w:divBdr>
            </w:div>
          </w:divsChild>
        </w:div>
        <w:div w:id="551772455">
          <w:marLeft w:val="0"/>
          <w:marRight w:val="0"/>
          <w:marTop w:val="0"/>
          <w:marBottom w:val="0"/>
          <w:divBdr>
            <w:top w:val="single" w:sz="6" w:space="16" w:color="414141"/>
            <w:left w:val="single" w:sz="6" w:space="18" w:color="414141"/>
            <w:bottom w:val="single" w:sz="6" w:space="0" w:color="414141"/>
            <w:right w:val="single" w:sz="6" w:space="31" w:color="414141"/>
          </w:divBdr>
          <w:divsChild>
            <w:div w:id="1322854944">
              <w:marLeft w:val="0"/>
              <w:marRight w:val="0"/>
              <w:marTop w:val="0"/>
              <w:marBottom w:val="0"/>
              <w:divBdr>
                <w:top w:val="none" w:sz="0" w:space="0" w:color="auto"/>
                <w:left w:val="none" w:sz="0" w:space="0" w:color="auto"/>
                <w:bottom w:val="none" w:sz="0" w:space="0" w:color="auto"/>
                <w:right w:val="none" w:sz="0" w:space="0" w:color="auto"/>
              </w:divBdr>
            </w:div>
          </w:divsChild>
        </w:div>
        <w:div w:id="991643104">
          <w:marLeft w:val="0"/>
          <w:marRight w:val="0"/>
          <w:marTop w:val="0"/>
          <w:marBottom w:val="0"/>
          <w:divBdr>
            <w:top w:val="single" w:sz="6" w:space="16" w:color="414141"/>
            <w:left w:val="single" w:sz="6" w:space="18" w:color="414141"/>
            <w:bottom w:val="single" w:sz="6" w:space="0" w:color="414141"/>
            <w:right w:val="single" w:sz="6" w:space="31" w:color="414141"/>
          </w:divBdr>
          <w:divsChild>
            <w:div w:id="959648464">
              <w:marLeft w:val="0"/>
              <w:marRight w:val="0"/>
              <w:marTop w:val="0"/>
              <w:marBottom w:val="0"/>
              <w:divBdr>
                <w:top w:val="none" w:sz="0" w:space="0" w:color="auto"/>
                <w:left w:val="none" w:sz="0" w:space="0" w:color="auto"/>
                <w:bottom w:val="none" w:sz="0" w:space="0" w:color="auto"/>
                <w:right w:val="none" w:sz="0" w:space="0" w:color="auto"/>
              </w:divBdr>
            </w:div>
          </w:divsChild>
        </w:div>
        <w:div w:id="1819764978">
          <w:marLeft w:val="0"/>
          <w:marRight w:val="0"/>
          <w:marTop w:val="0"/>
          <w:marBottom w:val="0"/>
          <w:divBdr>
            <w:top w:val="single" w:sz="6" w:space="16" w:color="414141"/>
            <w:left w:val="single" w:sz="6" w:space="18" w:color="414141"/>
            <w:bottom w:val="single" w:sz="6" w:space="0" w:color="414141"/>
            <w:right w:val="single" w:sz="6" w:space="31" w:color="414141"/>
          </w:divBdr>
          <w:divsChild>
            <w:div w:id="890769098">
              <w:marLeft w:val="0"/>
              <w:marRight w:val="0"/>
              <w:marTop w:val="0"/>
              <w:marBottom w:val="0"/>
              <w:divBdr>
                <w:top w:val="none" w:sz="0" w:space="0" w:color="auto"/>
                <w:left w:val="none" w:sz="0" w:space="0" w:color="auto"/>
                <w:bottom w:val="none" w:sz="0" w:space="0" w:color="auto"/>
                <w:right w:val="none" w:sz="0" w:space="0" w:color="auto"/>
              </w:divBdr>
            </w:div>
          </w:divsChild>
        </w:div>
        <w:div w:id="1288466915">
          <w:marLeft w:val="0"/>
          <w:marRight w:val="0"/>
          <w:marTop w:val="0"/>
          <w:marBottom w:val="0"/>
          <w:divBdr>
            <w:top w:val="single" w:sz="6" w:space="16" w:color="414141"/>
            <w:left w:val="single" w:sz="6" w:space="18" w:color="414141"/>
            <w:bottom w:val="single" w:sz="6" w:space="0" w:color="414141"/>
            <w:right w:val="single" w:sz="6" w:space="31" w:color="414141"/>
          </w:divBdr>
          <w:divsChild>
            <w:div w:id="733237969">
              <w:marLeft w:val="0"/>
              <w:marRight w:val="0"/>
              <w:marTop w:val="0"/>
              <w:marBottom w:val="0"/>
              <w:divBdr>
                <w:top w:val="none" w:sz="0" w:space="0" w:color="auto"/>
                <w:left w:val="none" w:sz="0" w:space="0" w:color="auto"/>
                <w:bottom w:val="none" w:sz="0" w:space="0" w:color="auto"/>
                <w:right w:val="none" w:sz="0" w:space="0" w:color="auto"/>
              </w:divBdr>
            </w:div>
          </w:divsChild>
        </w:div>
        <w:div w:id="923958251">
          <w:marLeft w:val="0"/>
          <w:marRight w:val="0"/>
          <w:marTop w:val="0"/>
          <w:marBottom w:val="0"/>
          <w:divBdr>
            <w:top w:val="single" w:sz="6" w:space="16" w:color="414141"/>
            <w:left w:val="single" w:sz="6" w:space="18" w:color="414141"/>
            <w:bottom w:val="single" w:sz="6" w:space="0" w:color="414141"/>
            <w:right w:val="single" w:sz="6" w:space="31" w:color="414141"/>
          </w:divBdr>
          <w:divsChild>
            <w:div w:id="824510639">
              <w:marLeft w:val="0"/>
              <w:marRight w:val="0"/>
              <w:marTop w:val="0"/>
              <w:marBottom w:val="0"/>
              <w:divBdr>
                <w:top w:val="none" w:sz="0" w:space="0" w:color="auto"/>
                <w:left w:val="none" w:sz="0" w:space="0" w:color="auto"/>
                <w:bottom w:val="none" w:sz="0" w:space="0" w:color="auto"/>
                <w:right w:val="none" w:sz="0" w:space="0" w:color="auto"/>
              </w:divBdr>
            </w:div>
          </w:divsChild>
        </w:div>
        <w:div w:id="845435638">
          <w:marLeft w:val="0"/>
          <w:marRight w:val="0"/>
          <w:marTop w:val="0"/>
          <w:marBottom w:val="0"/>
          <w:divBdr>
            <w:top w:val="single" w:sz="6" w:space="16" w:color="414141"/>
            <w:left w:val="single" w:sz="6" w:space="18" w:color="414141"/>
            <w:bottom w:val="single" w:sz="6" w:space="0" w:color="414141"/>
            <w:right w:val="single" w:sz="6" w:space="31" w:color="414141"/>
          </w:divBdr>
          <w:divsChild>
            <w:div w:id="213003865">
              <w:marLeft w:val="0"/>
              <w:marRight w:val="0"/>
              <w:marTop w:val="0"/>
              <w:marBottom w:val="0"/>
              <w:divBdr>
                <w:top w:val="none" w:sz="0" w:space="0" w:color="auto"/>
                <w:left w:val="none" w:sz="0" w:space="0" w:color="auto"/>
                <w:bottom w:val="none" w:sz="0" w:space="0" w:color="auto"/>
                <w:right w:val="none" w:sz="0" w:space="0" w:color="auto"/>
              </w:divBdr>
            </w:div>
          </w:divsChild>
        </w:div>
        <w:div w:id="1569875079">
          <w:marLeft w:val="0"/>
          <w:marRight w:val="0"/>
          <w:marTop w:val="0"/>
          <w:marBottom w:val="0"/>
          <w:divBdr>
            <w:top w:val="single" w:sz="6" w:space="16" w:color="414141"/>
            <w:left w:val="single" w:sz="6" w:space="18" w:color="414141"/>
            <w:bottom w:val="single" w:sz="6" w:space="0" w:color="414141"/>
            <w:right w:val="single" w:sz="6" w:space="31" w:color="414141"/>
          </w:divBdr>
          <w:divsChild>
            <w:div w:id="1173493324">
              <w:marLeft w:val="0"/>
              <w:marRight w:val="0"/>
              <w:marTop w:val="0"/>
              <w:marBottom w:val="0"/>
              <w:divBdr>
                <w:top w:val="none" w:sz="0" w:space="0" w:color="auto"/>
                <w:left w:val="none" w:sz="0" w:space="0" w:color="auto"/>
                <w:bottom w:val="none" w:sz="0" w:space="0" w:color="auto"/>
                <w:right w:val="none" w:sz="0" w:space="0" w:color="auto"/>
              </w:divBdr>
            </w:div>
          </w:divsChild>
        </w:div>
        <w:div w:id="1464931601">
          <w:marLeft w:val="0"/>
          <w:marRight w:val="0"/>
          <w:marTop w:val="0"/>
          <w:marBottom w:val="0"/>
          <w:divBdr>
            <w:top w:val="single" w:sz="6" w:space="16" w:color="414141"/>
            <w:left w:val="single" w:sz="6" w:space="18" w:color="414141"/>
            <w:bottom w:val="single" w:sz="6" w:space="0" w:color="414141"/>
            <w:right w:val="single" w:sz="6" w:space="31" w:color="414141"/>
          </w:divBdr>
          <w:divsChild>
            <w:div w:id="719205775">
              <w:marLeft w:val="0"/>
              <w:marRight w:val="0"/>
              <w:marTop w:val="0"/>
              <w:marBottom w:val="0"/>
              <w:divBdr>
                <w:top w:val="none" w:sz="0" w:space="0" w:color="auto"/>
                <w:left w:val="none" w:sz="0" w:space="0" w:color="auto"/>
                <w:bottom w:val="none" w:sz="0" w:space="0" w:color="auto"/>
                <w:right w:val="none" w:sz="0" w:space="0" w:color="auto"/>
              </w:divBdr>
            </w:div>
          </w:divsChild>
        </w:div>
        <w:div w:id="1938247166">
          <w:marLeft w:val="0"/>
          <w:marRight w:val="0"/>
          <w:marTop w:val="0"/>
          <w:marBottom w:val="0"/>
          <w:divBdr>
            <w:top w:val="single" w:sz="6" w:space="16" w:color="414141"/>
            <w:left w:val="single" w:sz="6" w:space="18" w:color="414141"/>
            <w:bottom w:val="single" w:sz="6" w:space="0" w:color="414141"/>
            <w:right w:val="single" w:sz="6" w:space="31" w:color="414141"/>
          </w:divBdr>
          <w:divsChild>
            <w:div w:id="13010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68623990">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24129115">
      <w:bodyDiv w:val="1"/>
      <w:marLeft w:val="0"/>
      <w:marRight w:val="0"/>
      <w:marTop w:val="0"/>
      <w:marBottom w:val="0"/>
      <w:divBdr>
        <w:top w:val="none" w:sz="0" w:space="0" w:color="auto"/>
        <w:left w:val="none" w:sz="0" w:space="0" w:color="auto"/>
        <w:bottom w:val="none" w:sz="0" w:space="0" w:color="auto"/>
        <w:right w:val="none" w:sz="0" w:space="0" w:color="auto"/>
      </w:divBdr>
    </w:div>
    <w:div w:id="827327673">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31087406">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51399546">
      <w:bodyDiv w:val="1"/>
      <w:marLeft w:val="0"/>
      <w:marRight w:val="0"/>
      <w:marTop w:val="0"/>
      <w:marBottom w:val="0"/>
      <w:divBdr>
        <w:top w:val="none" w:sz="0" w:space="0" w:color="auto"/>
        <w:left w:val="none" w:sz="0" w:space="0" w:color="auto"/>
        <w:bottom w:val="none" w:sz="0" w:space="0" w:color="auto"/>
        <w:right w:val="none" w:sz="0" w:space="0" w:color="auto"/>
      </w:divBdr>
    </w:div>
    <w:div w:id="961154400">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370889">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4131294">
      <w:bodyDiv w:val="1"/>
      <w:marLeft w:val="0"/>
      <w:marRight w:val="0"/>
      <w:marTop w:val="0"/>
      <w:marBottom w:val="0"/>
      <w:divBdr>
        <w:top w:val="none" w:sz="0" w:space="0" w:color="auto"/>
        <w:left w:val="none" w:sz="0" w:space="0" w:color="auto"/>
        <w:bottom w:val="none" w:sz="0" w:space="0" w:color="auto"/>
        <w:right w:val="none" w:sz="0" w:space="0" w:color="auto"/>
      </w:divBdr>
    </w:div>
    <w:div w:id="1127049073">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188182511">
      <w:bodyDiv w:val="1"/>
      <w:marLeft w:val="0"/>
      <w:marRight w:val="0"/>
      <w:marTop w:val="0"/>
      <w:marBottom w:val="0"/>
      <w:divBdr>
        <w:top w:val="none" w:sz="0" w:space="0" w:color="auto"/>
        <w:left w:val="none" w:sz="0" w:space="0" w:color="auto"/>
        <w:bottom w:val="none" w:sz="0" w:space="0" w:color="auto"/>
        <w:right w:val="none" w:sz="0" w:space="0" w:color="auto"/>
      </w:divBdr>
    </w:div>
    <w:div w:id="1192262757">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05949669">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46569824">
      <w:bodyDiv w:val="1"/>
      <w:marLeft w:val="0"/>
      <w:marRight w:val="0"/>
      <w:marTop w:val="0"/>
      <w:marBottom w:val="0"/>
      <w:divBdr>
        <w:top w:val="none" w:sz="0" w:space="0" w:color="auto"/>
        <w:left w:val="none" w:sz="0" w:space="0" w:color="auto"/>
        <w:bottom w:val="none" w:sz="0" w:space="0" w:color="auto"/>
        <w:right w:val="none" w:sz="0" w:space="0" w:color="auto"/>
      </w:divBdr>
    </w:div>
    <w:div w:id="1248805653">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25083107">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01100008">
      <w:bodyDiv w:val="1"/>
      <w:marLeft w:val="0"/>
      <w:marRight w:val="0"/>
      <w:marTop w:val="0"/>
      <w:marBottom w:val="0"/>
      <w:divBdr>
        <w:top w:val="none" w:sz="0" w:space="0" w:color="auto"/>
        <w:left w:val="none" w:sz="0" w:space="0" w:color="auto"/>
        <w:bottom w:val="none" w:sz="0" w:space="0" w:color="auto"/>
        <w:right w:val="none" w:sz="0" w:space="0" w:color="auto"/>
      </w:divBdr>
    </w:div>
    <w:div w:id="1465778433">
      <w:bodyDiv w:val="1"/>
      <w:marLeft w:val="0"/>
      <w:marRight w:val="0"/>
      <w:marTop w:val="0"/>
      <w:marBottom w:val="0"/>
      <w:divBdr>
        <w:top w:val="none" w:sz="0" w:space="0" w:color="auto"/>
        <w:left w:val="none" w:sz="0" w:space="0" w:color="auto"/>
        <w:bottom w:val="none" w:sz="0" w:space="0" w:color="auto"/>
        <w:right w:val="none" w:sz="0" w:space="0" w:color="auto"/>
      </w:divBdr>
    </w:div>
    <w:div w:id="1471096109">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22891655">
      <w:bodyDiv w:val="1"/>
      <w:marLeft w:val="0"/>
      <w:marRight w:val="0"/>
      <w:marTop w:val="0"/>
      <w:marBottom w:val="0"/>
      <w:divBdr>
        <w:top w:val="none" w:sz="0" w:space="0" w:color="auto"/>
        <w:left w:val="none" w:sz="0" w:space="0" w:color="auto"/>
        <w:bottom w:val="none" w:sz="0" w:space="0" w:color="auto"/>
        <w:right w:val="none" w:sz="0" w:space="0" w:color="auto"/>
      </w:divBdr>
    </w:div>
    <w:div w:id="1526753057">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37879814">
      <w:bodyDiv w:val="1"/>
      <w:marLeft w:val="0"/>
      <w:marRight w:val="0"/>
      <w:marTop w:val="0"/>
      <w:marBottom w:val="0"/>
      <w:divBdr>
        <w:top w:val="none" w:sz="0" w:space="0" w:color="auto"/>
        <w:left w:val="none" w:sz="0" w:space="0" w:color="auto"/>
        <w:bottom w:val="none" w:sz="0" w:space="0" w:color="auto"/>
        <w:right w:val="none" w:sz="0" w:space="0" w:color="auto"/>
      </w:divBdr>
    </w:div>
    <w:div w:id="1654335190">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36708448">
      <w:bodyDiv w:val="1"/>
      <w:marLeft w:val="0"/>
      <w:marRight w:val="0"/>
      <w:marTop w:val="0"/>
      <w:marBottom w:val="0"/>
      <w:divBdr>
        <w:top w:val="none" w:sz="0" w:space="0" w:color="auto"/>
        <w:left w:val="none" w:sz="0" w:space="0" w:color="auto"/>
        <w:bottom w:val="none" w:sz="0" w:space="0" w:color="auto"/>
        <w:right w:val="none" w:sz="0" w:space="0" w:color="auto"/>
      </w:divBdr>
    </w:div>
    <w:div w:id="1742942790">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17330682">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23176004">
      <w:bodyDiv w:val="1"/>
      <w:marLeft w:val="0"/>
      <w:marRight w:val="0"/>
      <w:marTop w:val="0"/>
      <w:marBottom w:val="0"/>
      <w:divBdr>
        <w:top w:val="none" w:sz="0" w:space="0" w:color="auto"/>
        <w:left w:val="none" w:sz="0" w:space="0" w:color="auto"/>
        <w:bottom w:val="none" w:sz="0" w:space="0" w:color="auto"/>
        <w:right w:val="none" w:sz="0" w:space="0" w:color="auto"/>
      </w:divBdr>
    </w:div>
    <w:div w:id="1927303265">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35938299">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02156125">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1150220">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3339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ealth.gov.au/internet/main/publishing.nsf/Content/cda-phlncd-clostridium-difficile-infection-(CDI).htm" TargetMode="External"/><Relationship Id="rId18" Type="http://schemas.openxmlformats.org/officeDocument/2006/relationships/hyperlink" Target="http://www.health.nsw.gov.au/Infectious/CDWR/2017/CDWR-Week15-2017.pdf" TargetMode="External"/><Relationship Id="rId26" Type="http://schemas.openxmlformats.org/officeDocument/2006/relationships/hyperlink" Target="https://www.safetyandquality.gov.au/wp-content/uploads/2017/05/Recommendations-for-the-control-of-Carbapenemase-producing-Enterobacteriaceae.pdf" TargetMode="External"/><Relationship Id="rId3" Type="http://schemas.openxmlformats.org/officeDocument/2006/relationships/styles" Target="styles.xml"/><Relationship Id="rId21" Type="http://schemas.openxmlformats.org/officeDocument/2006/relationships/hyperlink" Target="http://www.health.gov.au/internet/main/publishing.nsf/Content/cda-cdi4101j.htm"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rcpa.edu.au/getattachment/cec7ecb1-632d-4102-8087-117a471c7c31/Faecal-pathogen-testing-by-PCR.aspx" TargetMode="External"/><Relationship Id="rId17" Type="http://schemas.openxmlformats.org/officeDocument/2006/relationships/hyperlink" Target="http://www.health.gov.au/internet/main/publishing.nsf/content/ohp-bbvs-data" TargetMode="External"/><Relationship Id="rId25" Type="http://schemas.openxmlformats.org/officeDocument/2006/relationships/hyperlink" Target="https://www.safetyandquality.gov.au/antimicrobial-use-and-resistance-in-australia/"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sid.net.au/documents/item/368" TargetMode="External"/><Relationship Id="rId20" Type="http://schemas.openxmlformats.org/officeDocument/2006/relationships/hyperlink" Target="http://testingportal.ashm.org.au/hb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gesa.org.au/public/13/files/Hepatitis%20C/Hepatitis%20C%20virus%20infection%20a%20consensus%20statement%202017.pdf"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i.guidelines.org.au/sexually-transmissible-infections/gonorrhoea" TargetMode="External"/><Relationship Id="rId23" Type="http://schemas.openxmlformats.org/officeDocument/2006/relationships/hyperlink" Target="http://www.aihw.gov.au/australias-health/2016/health-indicators/" TargetMode="External"/><Relationship Id="rId28" Type="http://schemas.openxmlformats.org/officeDocument/2006/relationships/header" Target="header1.xm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msac.gov.au/internet/msac/publishing.nsf/Content/1234-publi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bsreviews@health.gov.au" TargetMode="External"/><Relationship Id="rId14" Type="http://schemas.openxmlformats.org/officeDocument/2006/relationships/hyperlink" Target="https://www.ranzcog.edu.au/RANZCOG_SITE/media/RANZCOG-MEDIA/Women%27s%20Health/Statement%20and%20guidelines/Clinical-Obstetrics/Maternal-Group-B-Streptococcus-in-pregnancy-screening-and-management-(C-Obs-19)-Review-March-2016.pdf?ext=.pdf" TargetMode="External"/><Relationship Id="rId22" Type="http://schemas.openxmlformats.org/officeDocument/2006/relationships/hyperlink" Target="http://www9.health.gov.au/cda/source/rpt_1_sel.cfm" TargetMode="External"/><Relationship Id="rId27" Type="http://schemas.openxmlformats.org/officeDocument/2006/relationships/hyperlink" Target="http://www.health.gov.au/internet/main/publishing.nsf/Content/1803C433C71415CACA257C8400121B1F/$File/amr-strategy-2015-2019.pdf" TargetMode="External"/><Relationship Id="rId30" Type="http://schemas.openxmlformats.org/officeDocument/2006/relationships/hyperlink" Target="https://labtestsonline.org/glossary/dna"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
    <b:Tag>Mil10</b:Tag>
    <b:SourceType>Report</b:SourceType>
    <b:Guid>{0E55BD48-023A-4975-BB25-4A78E6975001}</b:Guid>
    <b:Title>Consensus Statement: Chromosomal Microarray Is a First-Tier Diagnostic Test for Individuals with Developmental Disabilities of Congenital Anomalies</b:Title>
    <b:Year>2010</b:Year>
    <b:Publisher>American Journal of Human Genetics</b:Publisher>
    <b:Author>
      <b:Author>
        <b:NameList>
          <b:Person>
            <b:Last>Miller</b:Last>
            <b:First>D</b:First>
          </b:Person>
        </b:NameList>
      </b:Author>
    </b:Author>
    <b:RefOrder>1</b:RefOrder>
  </b:Source>
</b:Sources>
</file>

<file path=customXml/itemProps1.xml><?xml version="1.0" encoding="utf-8"?>
<ds:datastoreItem xmlns:ds="http://schemas.openxmlformats.org/officeDocument/2006/customXml" ds:itemID="{C49AAF75-4339-40C2-BED4-D5DFC45F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36754</Words>
  <Characters>209498</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Pathology Clinical Committee — Microbiology</vt:lpstr>
    </vt:vector>
  </TitlesOfParts>
  <Company/>
  <LinksUpToDate>false</LinksUpToDate>
  <CharactersWithSpaces>245761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Pathology Clinical Committee — Microbiology</dc:title>
  <dc:subject>Medicare Benefits Schedule</dc:subject>
  <dc:creator>Australian Government Department of Health</dc:creator>
  <dc:description>_x000d_
</dc:description>
  <cp:lastModifiedBy>SMEDLEY, Tyne</cp:lastModifiedBy>
  <cp:revision>2</cp:revision>
  <cp:lastPrinted>2017-11-01T00:53:00Z</cp:lastPrinted>
  <dcterms:created xsi:type="dcterms:W3CDTF">2021-06-29T01:48:00Z</dcterms:created>
  <dcterms:modified xsi:type="dcterms:W3CDTF">2021-06-29T01:48:00Z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7b34cf94-a2f4-3b72-87b6-90a8bb5c4388</vt:lpwstr>
  </property>
  <property fmtid="{D5CDD505-2E9C-101B-9397-08002B2CF9AE}" pid="25" name="DMSDOCTYPE">
    <vt:lpwstr/>
  </property>
  <property fmtid="{D5CDD505-2E9C-101B-9397-08002B2CF9AE}" pid="26" name="DraftType">
    <vt:lpwstr/>
  </property>
  <property fmtid="{D5CDD505-2E9C-101B-9397-08002B2CF9AE}" pid="27" name="WPLUSServerName">
    <vt:lpwstr/>
  </property>
  <property fmtid="{D5CDD505-2E9C-101B-9397-08002B2CF9AE}" pid="28" name="WPLUSDataBaseName">
    <vt:lpwstr/>
  </property>
  <property fmtid="{D5CDD505-2E9C-101B-9397-08002B2CF9AE}" pid="29" name="WPLUSDocumentUNID">
    <vt:lpwstr/>
  </property>
  <property fmtid="{D5CDD505-2E9C-101B-9397-08002B2CF9AE}" pid="30" name="NeverSavedToNT">
    <vt:lpwstr/>
  </property>
</Properties>
</file>