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F7561" w14:textId="77777777" w:rsidR="00AF5D75" w:rsidRDefault="00AF5D75" w:rsidP="00AF5D75">
      <w:pPr>
        <w:pStyle w:val="Subtitle"/>
      </w:pPr>
      <w:bookmarkStart w:id="0" w:name="_Toc427153112"/>
      <w:r>
        <w:t>Medicare Benefits Schedule Review Taskforce</w:t>
      </w:r>
    </w:p>
    <w:p w14:paraId="17F6EB33" w14:textId="77777777" w:rsidR="00AF5D75" w:rsidRDefault="00AF5D75" w:rsidP="00AF5D75">
      <w:pPr>
        <w:pStyle w:val="Title"/>
        <w:rPr>
          <w:sz w:val="60"/>
          <w:szCs w:val="60"/>
        </w:rPr>
      </w:pPr>
      <w:r>
        <w:rPr>
          <w:sz w:val="60"/>
          <w:szCs w:val="60"/>
        </w:rPr>
        <w:t>Report from the Pathology Clinical Committee</w:t>
      </w:r>
      <w:r w:rsidR="003C426F">
        <w:rPr>
          <w:sz w:val="60"/>
          <w:szCs w:val="60"/>
        </w:rPr>
        <w:t xml:space="preserve"> – </w:t>
      </w:r>
      <w:r w:rsidR="005472DF">
        <w:rPr>
          <w:sz w:val="60"/>
          <w:szCs w:val="60"/>
        </w:rPr>
        <w:t>I</w:t>
      </w:r>
      <w:r>
        <w:rPr>
          <w:sz w:val="60"/>
          <w:szCs w:val="60"/>
        </w:rPr>
        <w:t>mmunology</w:t>
      </w:r>
    </w:p>
    <w:p w14:paraId="76A9B8A6" w14:textId="77777777" w:rsidR="00AF5D75" w:rsidRDefault="003C426F" w:rsidP="00AF5D75">
      <w:pPr>
        <w:pStyle w:val="Subtitle"/>
        <w:rPr>
          <w:rStyle w:val="IntenseReference"/>
          <w:bCs w:val="0"/>
          <w:i w:val="0"/>
          <w:sz w:val="20"/>
          <w:szCs w:val="20"/>
        </w:rPr>
      </w:pPr>
      <w:bookmarkStart w:id="1" w:name="_Toc448369494"/>
      <w:r>
        <w:t>February</w:t>
      </w:r>
      <w:r w:rsidR="00196853">
        <w:t xml:space="preserve"> </w:t>
      </w:r>
      <w:r>
        <w:t>2018</w:t>
      </w:r>
      <w:r w:rsidR="00AF5D75">
        <w:rPr>
          <w:b w:val="0"/>
          <w:bCs/>
          <w:i/>
          <w:smallCaps/>
          <w:color w:val="C0504D" w:themeColor="accent2"/>
          <w:sz w:val="20"/>
          <w:szCs w:val="20"/>
        </w:rPr>
        <w:br w:type="page"/>
      </w:r>
    </w:p>
    <w:tbl>
      <w:tblPr>
        <w:tblStyle w:val="TableGrid"/>
        <w:tblW w:w="5000" w:type="pct"/>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CellMar>
          <w:top w:w="28" w:type="dxa"/>
          <w:left w:w="28" w:type="dxa"/>
          <w:bottom w:w="28" w:type="dxa"/>
          <w:right w:w="28" w:type="dxa"/>
        </w:tblCellMar>
        <w:tblLook w:val="04A0" w:firstRow="1" w:lastRow="0" w:firstColumn="1" w:lastColumn="0" w:noHBand="0" w:noVBand="1"/>
        <w:tblCaption w:val="Important Note"/>
        <w:tblDescription w:val="The views and recommendations in this report from the Clinical Committee have been released for the purpose of seeking the views of stakeholders. This report does not constitute the final position on these items, which is subject to stakeholder feedback.&#10;Then consideration by the MBS Review Taskforce.&#10;Then, if endorsed, consideration by the Minister for Health and the Government. &#10;&#10;Stakeholders should provide comment on the recommendations via mbsreviews@health.gov.au.&#10;&#10;If you would like your feedback to remain confidential, please mark it as such. It is important to be aware that confidential feedback may still be subject to access under freedom of information law."/>
      </w:tblPr>
      <w:tblGrid>
        <w:gridCol w:w="8996"/>
      </w:tblGrid>
      <w:tr w:rsidR="00131540" w14:paraId="7A509F23" w14:textId="77777777" w:rsidTr="00131540">
        <w:trPr>
          <w:tblHeader/>
        </w:trPr>
        <w:tc>
          <w:tcPr>
            <w:tcW w:w="9016"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hideMark/>
          </w:tcPr>
          <w:p w14:paraId="681DB030" w14:textId="77777777" w:rsidR="00131540" w:rsidRDefault="00131540">
            <w:pPr>
              <w:rPr>
                <w:rFonts w:cstheme="minorHAnsi"/>
                <w:b/>
                <w:color w:val="01653F"/>
                <w:sz w:val="32"/>
                <w:szCs w:val="32"/>
              </w:rPr>
            </w:pPr>
            <w:r>
              <w:rPr>
                <w:rFonts w:cstheme="minorHAnsi"/>
                <w:b/>
                <w:color w:val="01653F"/>
                <w:sz w:val="32"/>
                <w:szCs w:val="32"/>
              </w:rPr>
              <w:lastRenderedPageBreak/>
              <w:t>Important note</w:t>
            </w:r>
          </w:p>
          <w:p w14:paraId="55FD1341" w14:textId="77777777" w:rsidR="00131540" w:rsidRDefault="00131540">
            <w:pPr>
              <w:rPr>
                <w:rFonts w:ascii="Calibri" w:hAnsi="Calibri"/>
                <w:szCs w:val="22"/>
                <w:lang w:val="en-GB"/>
              </w:rPr>
            </w:pPr>
            <w:r>
              <w:rPr>
                <w:lang w:val="en-GB"/>
              </w:rPr>
              <w:t xml:space="preserve">The views and recommendations in this report from the Clinical Committee have been released for the purpose of seeking the views of stakeholders. </w:t>
            </w:r>
          </w:p>
          <w:p w14:paraId="68D87B14" w14:textId="77777777" w:rsidR="00131540" w:rsidRDefault="00131540">
            <w:pPr>
              <w:rPr>
                <w:lang w:val="en-GB"/>
              </w:rPr>
            </w:pPr>
            <w:r>
              <w:rPr>
                <w:lang w:val="en-GB"/>
              </w:rPr>
              <w:t xml:space="preserve">This report does not constitute the final position on these items, which is subject to: </w:t>
            </w:r>
          </w:p>
          <w:p w14:paraId="53F69FA2" w14:textId="77777777" w:rsidR="00131540" w:rsidRDefault="00131540" w:rsidP="00131540">
            <w:pPr>
              <w:pStyle w:val="01squarebullet"/>
              <w:numPr>
                <w:ilvl w:val="0"/>
                <w:numId w:val="37"/>
              </w:numPr>
              <w:ind w:right="0"/>
            </w:pPr>
            <w:r>
              <w:t>Stakeholder feedback.</w:t>
            </w:r>
          </w:p>
          <w:p w14:paraId="3756DCDF" w14:textId="77777777" w:rsidR="00131540" w:rsidRDefault="00131540">
            <w:pPr>
              <w:pStyle w:val="01squarebullet"/>
              <w:numPr>
                <w:ilvl w:val="0"/>
                <w:numId w:val="0"/>
              </w:numPr>
            </w:pPr>
            <w:r>
              <w:t>Then</w:t>
            </w:r>
          </w:p>
          <w:p w14:paraId="1A643ABE" w14:textId="77777777" w:rsidR="00131540" w:rsidRDefault="00131540" w:rsidP="00131540">
            <w:pPr>
              <w:pStyle w:val="01squarebullet"/>
              <w:numPr>
                <w:ilvl w:val="0"/>
                <w:numId w:val="37"/>
              </w:numPr>
              <w:ind w:right="0"/>
            </w:pPr>
            <w:r>
              <w:t>Consideration by the MBS Review Taskforce.</w:t>
            </w:r>
          </w:p>
          <w:p w14:paraId="122E5BCD" w14:textId="77777777" w:rsidR="00131540" w:rsidRDefault="00131540">
            <w:pPr>
              <w:pStyle w:val="01squarebullet"/>
              <w:numPr>
                <w:ilvl w:val="0"/>
                <w:numId w:val="0"/>
              </w:numPr>
            </w:pPr>
            <w:r>
              <w:t xml:space="preserve">Then, </w:t>
            </w:r>
            <w:r>
              <w:rPr>
                <w:i/>
              </w:rPr>
              <w:t>if endorsed</w:t>
            </w:r>
            <w:r>
              <w:t>, consideration by</w:t>
            </w:r>
          </w:p>
          <w:p w14:paraId="1784739C" w14:textId="77777777" w:rsidR="00131540" w:rsidRDefault="00131540" w:rsidP="00131540">
            <w:pPr>
              <w:pStyle w:val="01squarebullet"/>
              <w:numPr>
                <w:ilvl w:val="0"/>
                <w:numId w:val="37"/>
              </w:numPr>
              <w:ind w:right="0"/>
            </w:pPr>
            <w:r>
              <w:t xml:space="preserve">The Minister for Health. </w:t>
            </w:r>
          </w:p>
          <w:p w14:paraId="4F53DA9F" w14:textId="77777777" w:rsidR="00131540" w:rsidRDefault="00131540" w:rsidP="00131540">
            <w:pPr>
              <w:pStyle w:val="01squarebullet"/>
              <w:numPr>
                <w:ilvl w:val="0"/>
                <w:numId w:val="37"/>
              </w:numPr>
              <w:ind w:right="0"/>
            </w:pPr>
            <w:r>
              <w:t>The Government.</w:t>
            </w:r>
          </w:p>
          <w:p w14:paraId="5EF6F361" w14:textId="77777777" w:rsidR="00131540" w:rsidRDefault="00131540">
            <w:pPr>
              <w:rPr>
                <w:u w:val="single"/>
                <w:lang w:val="en-GB"/>
              </w:rPr>
            </w:pPr>
            <w:r>
              <w:rPr>
                <w:lang w:val="en-GB"/>
              </w:rPr>
              <w:t xml:space="preserve">Stakeholders should provide comment on the recommendations via </w:t>
            </w:r>
            <w:hyperlink r:id="rId8" w:history="1">
              <w:r>
                <w:rPr>
                  <w:rStyle w:val="Hyperlink"/>
                  <w:lang w:val="en-GB"/>
                </w:rPr>
                <w:t>mbsreviews@health.gov.au</w:t>
              </w:r>
            </w:hyperlink>
            <w:r>
              <w:rPr>
                <w:lang w:val="en-GB"/>
              </w:rPr>
              <w:t>.</w:t>
            </w:r>
          </w:p>
          <w:p w14:paraId="42E3C67A" w14:textId="77777777" w:rsidR="00131540" w:rsidRDefault="00131540">
            <w:pPr>
              <w:rPr>
                <w:rFonts w:cstheme="minorHAnsi"/>
                <w:b/>
                <w:color w:val="01653F"/>
                <w:sz w:val="32"/>
                <w:szCs w:val="32"/>
              </w:rPr>
            </w:pPr>
            <w:r>
              <w:rPr>
                <w:rFonts w:cstheme="minorHAnsi"/>
                <w:b/>
                <w:color w:val="01653F"/>
                <w:sz w:val="32"/>
                <w:szCs w:val="32"/>
              </w:rPr>
              <w:t xml:space="preserve">Confidentiality of comments: </w:t>
            </w:r>
          </w:p>
          <w:p w14:paraId="374201EC" w14:textId="77777777" w:rsidR="00131540" w:rsidRDefault="00131540">
            <w:pPr>
              <w:rPr>
                <w:rFonts w:ascii="Calibri" w:hAnsi="Calibri"/>
                <w:szCs w:val="22"/>
              </w:rPr>
            </w:pPr>
            <w:r>
              <w:t>If you would like your feedback to remain confidential, please mark it as such. It is important to be aware that confidential feedback may still be subject to access under freedom of information law.</w:t>
            </w:r>
          </w:p>
        </w:tc>
      </w:tr>
    </w:tbl>
    <w:p w14:paraId="01F5EAD8" w14:textId="77777777" w:rsidR="00131540" w:rsidRDefault="00131540" w:rsidP="00AF5D75">
      <w:pPr>
        <w:spacing w:before="120" w:after="120"/>
        <w:rPr>
          <w:rFonts w:cs="Arial"/>
          <w:b/>
          <w:sz w:val="32"/>
          <w:szCs w:val="32"/>
        </w:rPr>
        <w:sectPr w:rsidR="00131540">
          <w:footerReference w:type="default" r:id="rId9"/>
          <w:pgSz w:w="11906" w:h="16838"/>
          <w:pgMar w:top="1440" w:right="1440" w:bottom="1276" w:left="1440" w:header="720" w:footer="720" w:gutter="0"/>
          <w:paperSrc w:first="2" w:other="2"/>
          <w:cols w:space="720"/>
        </w:sectPr>
      </w:pPr>
    </w:p>
    <w:p w14:paraId="523F0DF3" w14:textId="77777777" w:rsidR="00AF5D75" w:rsidRPr="0078040F" w:rsidRDefault="00AF5D75" w:rsidP="00AF5D75">
      <w:pPr>
        <w:spacing w:before="120" w:after="120"/>
        <w:rPr>
          <w:rFonts w:cs="Arial"/>
          <w:b/>
          <w:sz w:val="32"/>
          <w:szCs w:val="32"/>
        </w:rPr>
      </w:pPr>
      <w:r w:rsidRPr="0078040F">
        <w:rPr>
          <w:rFonts w:cs="Arial"/>
          <w:b/>
          <w:sz w:val="32"/>
          <w:szCs w:val="32"/>
        </w:rPr>
        <w:lastRenderedPageBreak/>
        <w:t>Table of Contents</w:t>
      </w:r>
      <w:bookmarkEnd w:id="1"/>
    </w:p>
    <w:p w14:paraId="580706EF" w14:textId="77777777" w:rsidR="001D2073" w:rsidRDefault="000557CD">
      <w:pPr>
        <w:pStyle w:val="TOC1"/>
        <w:rPr>
          <w:rFonts w:eastAsiaTheme="minorEastAsia" w:cstheme="minorBidi"/>
          <w:b w:val="0"/>
          <w:noProof/>
        </w:rPr>
      </w:pPr>
      <w:r w:rsidRPr="0078040F">
        <w:fldChar w:fldCharType="begin"/>
      </w:r>
      <w:r w:rsidR="00AF5D75" w:rsidRPr="0078040F">
        <w:rPr>
          <w:smallCaps/>
          <w:noProof/>
          <w:sz w:val="24"/>
        </w:rPr>
        <w:instrText xml:space="preserve"> TOC \o "1-2" \t "Rec,2" </w:instrText>
      </w:r>
      <w:r w:rsidRPr="0078040F">
        <w:fldChar w:fldCharType="separate"/>
      </w:r>
      <w:r w:rsidR="001D2073" w:rsidRPr="00C72D69">
        <w:rPr>
          <w:noProof/>
          <w14:scene3d>
            <w14:camera w14:prst="orthographicFront"/>
            <w14:lightRig w14:rig="threePt" w14:dir="t">
              <w14:rot w14:lat="0" w14:lon="0" w14:rev="0"/>
            </w14:lightRig>
          </w14:scene3d>
        </w:rPr>
        <w:t>1.</w:t>
      </w:r>
      <w:r w:rsidR="001D2073">
        <w:rPr>
          <w:rFonts w:eastAsiaTheme="minorEastAsia" w:cstheme="minorBidi"/>
          <w:b w:val="0"/>
          <w:noProof/>
        </w:rPr>
        <w:tab/>
      </w:r>
      <w:r w:rsidR="001D2073">
        <w:rPr>
          <w:noProof/>
        </w:rPr>
        <w:t>Executive summary</w:t>
      </w:r>
      <w:r w:rsidR="001D2073">
        <w:rPr>
          <w:noProof/>
        </w:rPr>
        <w:tab/>
      </w:r>
      <w:r w:rsidR="001D2073">
        <w:rPr>
          <w:noProof/>
        </w:rPr>
        <w:fldChar w:fldCharType="begin"/>
      </w:r>
      <w:r w:rsidR="001D2073">
        <w:rPr>
          <w:noProof/>
        </w:rPr>
        <w:instrText xml:space="preserve"> PAGEREF _Toc499293020 \h </w:instrText>
      </w:r>
      <w:r w:rsidR="001D2073">
        <w:rPr>
          <w:noProof/>
        </w:rPr>
      </w:r>
      <w:r w:rsidR="001D2073">
        <w:rPr>
          <w:noProof/>
        </w:rPr>
        <w:fldChar w:fldCharType="separate"/>
      </w:r>
      <w:r w:rsidR="00E95F8E">
        <w:rPr>
          <w:noProof/>
        </w:rPr>
        <w:t>5</w:t>
      </w:r>
      <w:r w:rsidR="001D2073">
        <w:rPr>
          <w:noProof/>
        </w:rPr>
        <w:fldChar w:fldCharType="end"/>
      </w:r>
    </w:p>
    <w:p w14:paraId="20A1DFA2" w14:textId="77777777" w:rsidR="001D2073" w:rsidRDefault="001D2073">
      <w:pPr>
        <w:pStyle w:val="TOC2"/>
        <w:tabs>
          <w:tab w:val="left" w:pos="993"/>
        </w:tabs>
        <w:rPr>
          <w:rFonts w:eastAsiaTheme="minorEastAsia" w:cstheme="minorBidi"/>
        </w:rPr>
      </w:pPr>
      <w:r>
        <w:t>1.1</w:t>
      </w:r>
      <w:r>
        <w:rPr>
          <w:rFonts w:eastAsiaTheme="minorEastAsia" w:cstheme="minorBidi"/>
        </w:rPr>
        <w:tab/>
      </w:r>
      <w:r>
        <w:t>The Pathology Clinical Committee</w:t>
      </w:r>
      <w:r>
        <w:tab/>
      </w:r>
      <w:r>
        <w:fldChar w:fldCharType="begin"/>
      </w:r>
      <w:r>
        <w:instrText xml:space="preserve"> PAGEREF _Toc499293022 \h </w:instrText>
      </w:r>
      <w:r>
        <w:fldChar w:fldCharType="separate"/>
      </w:r>
      <w:r w:rsidR="00E95F8E">
        <w:t>5</w:t>
      </w:r>
      <w:r>
        <w:fldChar w:fldCharType="end"/>
      </w:r>
    </w:p>
    <w:p w14:paraId="7D0D1766" w14:textId="77777777" w:rsidR="001D2073" w:rsidRDefault="001D2073">
      <w:pPr>
        <w:pStyle w:val="TOC2"/>
        <w:tabs>
          <w:tab w:val="left" w:pos="993"/>
        </w:tabs>
        <w:rPr>
          <w:rFonts w:eastAsiaTheme="minorEastAsia" w:cstheme="minorBidi"/>
        </w:rPr>
      </w:pPr>
      <w:r>
        <w:t>1.2</w:t>
      </w:r>
      <w:r>
        <w:rPr>
          <w:rFonts w:eastAsiaTheme="minorEastAsia" w:cstheme="minorBidi"/>
        </w:rPr>
        <w:tab/>
      </w:r>
      <w:r>
        <w:t>Recommendations</w:t>
      </w:r>
      <w:r>
        <w:tab/>
      </w:r>
      <w:r>
        <w:fldChar w:fldCharType="begin"/>
      </w:r>
      <w:r>
        <w:instrText xml:space="preserve"> PAGEREF _Toc499293023 \h </w:instrText>
      </w:r>
      <w:r>
        <w:fldChar w:fldCharType="separate"/>
      </w:r>
      <w:r w:rsidR="00E95F8E">
        <w:t>5</w:t>
      </w:r>
      <w:r>
        <w:fldChar w:fldCharType="end"/>
      </w:r>
    </w:p>
    <w:p w14:paraId="7A47A42E" w14:textId="77777777" w:rsidR="001D2073" w:rsidRDefault="001D2073">
      <w:pPr>
        <w:pStyle w:val="TOC2"/>
        <w:tabs>
          <w:tab w:val="left" w:pos="993"/>
        </w:tabs>
        <w:rPr>
          <w:rFonts w:eastAsiaTheme="minorEastAsia" w:cstheme="minorBidi"/>
        </w:rPr>
      </w:pPr>
      <w:r>
        <w:t>1.3</w:t>
      </w:r>
      <w:r>
        <w:rPr>
          <w:rFonts w:eastAsiaTheme="minorEastAsia" w:cstheme="minorBidi"/>
        </w:rPr>
        <w:tab/>
      </w:r>
      <w:r>
        <w:t>Consumer engagement</w:t>
      </w:r>
      <w:r>
        <w:tab/>
      </w:r>
      <w:r>
        <w:fldChar w:fldCharType="begin"/>
      </w:r>
      <w:r>
        <w:instrText xml:space="preserve"> PAGEREF _Toc499293024 \h </w:instrText>
      </w:r>
      <w:r>
        <w:fldChar w:fldCharType="separate"/>
      </w:r>
      <w:r w:rsidR="00E95F8E">
        <w:t>6</w:t>
      </w:r>
      <w:r>
        <w:fldChar w:fldCharType="end"/>
      </w:r>
    </w:p>
    <w:p w14:paraId="297269EE" w14:textId="77777777" w:rsidR="001D2073" w:rsidRDefault="001D2073">
      <w:pPr>
        <w:pStyle w:val="TOC1"/>
        <w:rPr>
          <w:rFonts w:eastAsiaTheme="minorEastAsia" w:cstheme="minorBidi"/>
          <w:b w:val="0"/>
          <w:noProof/>
        </w:rPr>
      </w:pPr>
      <w:r w:rsidRPr="00C72D69">
        <w:rPr>
          <w:noProof/>
          <w14:scene3d>
            <w14:camera w14:prst="orthographicFront"/>
            <w14:lightRig w14:rig="threePt" w14:dir="t">
              <w14:rot w14:lat="0" w14:lon="0" w14:rev="0"/>
            </w14:lightRig>
          </w14:scene3d>
        </w:rPr>
        <w:t>2.</w:t>
      </w:r>
      <w:r>
        <w:rPr>
          <w:rFonts w:eastAsiaTheme="minorEastAsia" w:cstheme="minorBidi"/>
          <w:b w:val="0"/>
          <w:noProof/>
        </w:rPr>
        <w:tab/>
      </w:r>
      <w:r>
        <w:rPr>
          <w:noProof/>
        </w:rPr>
        <w:t>About the Medicare Benefits Schedule (MBS) Review</w:t>
      </w:r>
      <w:r>
        <w:rPr>
          <w:noProof/>
        </w:rPr>
        <w:tab/>
      </w:r>
      <w:r>
        <w:rPr>
          <w:noProof/>
        </w:rPr>
        <w:fldChar w:fldCharType="begin"/>
      </w:r>
      <w:r>
        <w:rPr>
          <w:noProof/>
        </w:rPr>
        <w:instrText xml:space="preserve"> PAGEREF _Toc499293025 \h </w:instrText>
      </w:r>
      <w:r>
        <w:rPr>
          <w:noProof/>
        </w:rPr>
      </w:r>
      <w:r>
        <w:rPr>
          <w:noProof/>
        </w:rPr>
        <w:fldChar w:fldCharType="separate"/>
      </w:r>
      <w:r w:rsidR="00E95F8E">
        <w:rPr>
          <w:noProof/>
        </w:rPr>
        <w:t>8</w:t>
      </w:r>
      <w:r>
        <w:rPr>
          <w:noProof/>
        </w:rPr>
        <w:fldChar w:fldCharType="end"/>
      </w:r>
    </w:p>
    <w:p w14:paraId="2556949F" w14:textId="77777777" w:rsidR="001D2073" w:rsidRDefault="001D2073">
      <w:pPr>
        <w:pStyle w:val="TOC2"/>
        <w:tabs>
          <w:tab w:val="left" w:pos="993"/>
        </w:tabs>
        <w:rPr>
          <w:rFonts w:eastAsiaTheme="minorEastAsia" w:cstheme="minorBidi"/>
        </w:rPr>
      </w:pPr>
      <w:r>
        <w:t>2.1</w:t>
      </w:r>
      <w:r>
        <w:rPr>
          <w:rFonts w:eastAsiaTheme="minorEastAsia" w:cstheme="minorBidi"/>
        </w:rPr>
        <w:tab/>
      </w:r>
      <w:r>
        <w:t>Medicare and the MBS</w:t>
      </w:r>
      <w:r>
        <w:tab/>
      </w:r>
      <w:r>
        <w:fldChar w:fldCharType="begin"/>
      </w:r>
      <w:r>
        <w:instrText xml:space="preserve"> PAGEREF _Toc499293026 \h </w:instrText>
      </w:r>
      <w:r>
        <w:fldChar w:fldCharType="separate"/>
      </w:r>
      <w:r w:rsidR="00E95F8E">
        <w:t>8</w:t>
      </w:r>
      <w:r>
        <w:fldChar w:fldCharType="end"/>
      </w:r>
    </w:p>
    <w:p w14:paraId="05906458" w14:textId="77777777" w:rsidR="001D2073" w:rsidRDefault="001D2073">
      <w:pPr>
        <w:pStyle w:val="TOC2"/>
        <w:tabs>
          <w:tab w:val="left" w:pos="993"/>
        </w:tabs>
        <w:rPr>
          <w:rFonts w:eastAsiaTheme="minorEastAsia" w:cstheme="minorBidi"/>
        </w:rPr>
      </w:pPr>
      <w:r>
        <w:t>2.2</w:t>
      </w:r>
      <w:r>
        <w:rPr>
          <w:rFonts w:eastAsiaTheme="minorEastAsia" w:cstheme="minorBidi"/>
        </w:rPr>
        <w:tab/>
      </w:r>
      <w:r>
        <w:t>The MBS Review Taskforce</w:t>
      </w:r>
      <w:r>
        <w:tab/>
      </w:r>
      <w:r>
        <w:fldChar w:fldCharType="begin"/>
      </w:r>
      <w:r>
        <w:instrText xml:space="preserve"> PAGEREF _Toc499293027 \h </w:instrText>
      </w:r>
      <w:r>
        <w:fldChar w:fldCharType="separate"/>
      </w:r>
      <w:r w:rsidR="00E95F8E">
        <w:t>8</w:t>
      </w:r>
      <w:r>
        <w:fldChar w:fldCharType="end"/>
      </w:r>
    </w:p>
    <w:p w14:paraId="0F662983" w14:textId="77777777" w:rsidR="001D2073" w:rsidRDefault="001D2073">
      <w:pPr>
        <w:pStyle w:val="TOC2"/>
        <w:tabs>
          <w:tab w:val="left" w:pos="993"/>
        </w:tabs>
        <w:rPr>
          <w:rFonts w:eastAsiaTheme="minorEastAsia" w:cstheme="minorBidi"/>
        </w:rPr>
      </w:pPr>
      <w:r>
        <w:t>2.3</w:t>
      </w:r>
      <w:r>
        <w:rPr>
          <w:rFonts w:eastAsiaTheme="minorEastAsia" w:cstheme="minorBidi"/>
        </w:rPr>
        <w:tab/>
      </w:r>
      <w:r>
        <w:t>The Taskforce’s approach</w:t>
      </w:r>
      <w:r>
        <w:tab/>
      </w:r>
      <w:r>
        <w:fldChar w:fldCharType="begin"/>
      </w:r>
      <w:r>
        <w:instrText xml:space="preserve"> PAGEREF _Toc499293028 \h </w:instrText>
      </w:r>
      <w:r>
        <w:fldChar w:fldCharType="separate"/>
      </w:r>
      <w:r w:rsidR="00E95F8E">
        <w:t>9</w:t>
      </w:r>
      <w:r>
        <w:fldChar w:fldCharType="end"/>
      </w:r>
    </w:p>
    <w:p w14:paraId="5D533A24" w14:textId="77777777" w:rsidR="001D2073" w:rsidRDefault="001D2073">
      <w:pPr>
        <w:pStyle w:val="TOC1"/>
        <w:rPr>
          <w:rFonts w:eastAsiaTheme="minorEastAsia" w:cstheme="minorBidi"/>
          <w:b w:val="0"/>
          <w:noProof/>
        </w:rPr>
      </w:pPr>
      <w:r w:rsidRPr="00C72D69">
        <w:rPr>
          <w:noProof/>
          <w14:scene3d>
            <w14:camera w14:prst="orthographicFront"/>
            <w14:lightRig w14:rig="threePt" w14:dir="t">
              <w14:rot w14:lat="0" w14:lon="0" w14:rev="0"/>
            </w14:lightRig>
          </w14:scene3d>
        </w:rPr>
        <w:t>3.</w:t>
      </w:r>
      <w:r>
        <w:rPr>
          <w:rFonts w:eastAsiaTheme="minorEastAsia" w:cstheme="minorBidi"/>
          <w:b w:val="0"/>
          <w:noProof/>
        </w:rPr>
        <w:tab/>
      </w:r>
      <w:r>
        <w:rPr>
          <w:noProof/>
        </w:rPr>
        <w:t>About the Pathology Clinical Committee</w:t>
      </w:r>
      <w:r>
        <w:rPr>
          <w:noProof/>
        </w:rPr>
        <w:tab/>
      </w:r>
      <w:r>
        <w:rPr>
          <w:noProof/>
        </w:rPr>
        <w:fldChar w:fldCharType="begin"/>
      </w:r>
      <w:r>
        <w:rPr>
          <w:noProof/>
        </w:rPr>
        <w:instrText xml:space="preserve"> PAGEREF _Toc499293029 \h </w:instrText>
      </w:r>
      <w:r>
        <w:rPr>
          <w:noProof/>
        </w:rPr>
      </w:r>
      <w:r>
        <w:rPr>
          <w:noProof/>
        </w:rPr>
        <w:fldChar w:fldCharType="separate"/>
      </w:r>
      <w:r w:rsidR="00E95F8E">
        <w:rPr>
          <w:noProof/>
        </w:rPr>
        <w:t>11</w:t>
      </w:r>
      <w:r>
        <w:rPr>
          <w:noProof/>
        </w:rPr>
        <w:fldChar w:fldCharType="end"/>
      </w:r>
    </w:p>
    <w:p w14:paraId="5CEA4FB8" w14:textId="77777777" w:rsidR="001D2073" w:rsidRDefault="001D2073">
      <w:pPr>
        <w:pStyle w:val="TOC2"/>
        <w:tabs>
          <w:tab w:val="left" w:pos="993"/>
        </w:tabs>
        <w:rPr>
          <w:rFonts w:eastAsiaTheme="minorEastAsia" w:cstheme="minorBidi"/>
        </w:rPr>
      </w:pPr>
      <w:r>
        <w:t>3.1</w:t>
      </w:r>
      <w:r>
        <w:rPr>
          <w:rFonts w:eastAsiaTheme="minorEastAsia" w:cstheme="minorBidi"/>
        </w:rPr>
        <w:tab/>
      </w:r>
      <w:r>
        <w:t>Committee members</w:t>
      </w:r>
      <w:r>
        <w:tab/>
      </w:r>
      <w:r>
        <w:fldChar w:fldCharType="begin"/>
      </w:r>
      <w:r>
        <w:instrText xml:space="preserve"> PAGEREF _Toc499293030 \h </w:instrText>
      </w:r>
      <w:r>
        <w:fldChar w:fldCharType="separate"/>
      </w:r>
      <w:r w:rsidR="00E95F8E">
        <w:t>11</w:t>
      </w:r>
      <w:r>
        <w:fldChar w:fldCharType="end"/>
      </w:r>
    </w:p>
    <w:p w14:paraId="24011B1D" w14:textId="77777777" w:rsidR="001D2073" w:rsidRDefault="001D2073">
      <w:pPr>
        <w:pStyle w:val="TOC2"/>
        <w:tabs>
          <w:tab w:val="left" w:pos="993"/>
        </w:tabs>
        <w:rPr>
          <w:rFonts w:eastAsiaTheme="minorEastAsia" w:cstheme="minorBidi"/>
        </w:rPr>
      </w:pPr>
      <w:r>
        <w:t>3.2</w:t>
      </w:r>
      <w:r>
        <w:rPr>
          <w:rFonts w:eastAsiaTheme="minorEastAsia" w:cstheme="minorBidi"/>
        </w:rPr>
        <w:tab/>
      </w:r>
      <w:r>
        <w:t>Immunology Working Group</w:t>
      </w:r>
      <w:r>
        <w:tab/>
      </w:r>
      <w:r>
        <w:fldChar w:fldCharType="begin"/>
      </w:r>
      <w:r>
        <w:instrText xml:space="preserve"> PAGEREF _Toc499293031 \h </w:instrText>
      </w:r>
      <w:r>
        <w:fldChar w:fldCharType="separate"/>
      </w:r>
      <w:r w:rsidR="00E95F8E">
        <w:t>12</w:t>
      </w:r>
      <w:r>
        <w:fldChar w:fldCharType="end"/>
      </w:r>
    </w:p>
    <w:p w14:paraId="5979F622" w14:textId="77777777" w:rsidR="001D2073" w:rsidRDefault="001D2073">
      <w:pPr>
        <w:pStyle w:val="TOC2"/>
        <w:tabs>
          <w:tab w:val="left" w:pos="993"/>
        </w:tabs>
        <w:rPr>
          <w:rFonts w:eastAsiaTheme="minorEastAsia" w:cstheme="minorBidi"/>
        </w:rPr>
      </w:pPr>
      <w:r>
        <w:t>3.3</w:t>
      </w:r>
      <w:r>
        <w:rPr>
          <w:rFonts w:eastAsiaTheme="minorEastAsia" w:cstheme="minorBidi"/>
        </w:rPr>
        <w:tab/>
      </w:r>
      <w:r>
        <w:t>Conflicts of interest</w:t>
      </w:r>
      <w:r>
        <w:tab/>
      </w:r>
      <w:r>
        <w:fldChar w:fldCharType="begin"/>
      </w:r>
      <w:r>
        <w:instrText xml:space="preserve"> PAGEREF _Toc499293032 \h </w:instrText>
      </w:r>
      <w:r>
        <w:fldChar w:fldCharType="separate"/>
      </w:r>
      <w:r w:rsidR="00E95F8E">
        <w:t>12</w:t>
      </w:r>
      <w:r>
        <w:fldChar w:fldCharType="end"/>
      </w:r>
    </w:p>
    <w:p w14:paraId="36E464F2" w14:textId="77777777" w:rsidR="001D2073" w:rsidRDefault="001D2073">
      <w:pPr>
        <w:pStyle w:val="TOC2"/>
        <w:tabs>
          <w:tab w:val="left" w:pos="993"/>
        </w:tabs>
        <w:rPr>
          <w:rFonts w:eastAsiaTheme="minorEastAsia" w:cstheme="minorBidi"/>
        </w:rPr>
      </w:pPr>
      <w:r>
        <w:t>3.4</w:t>
      </w:r>
      <w:r>
        <w:rPr>
          <w:rFonts w:eastAsiaTheme="minorEastAsia" w:cstheme="minorBidi"/>
        </w:rPr>
        <w:tab/>
      </w:r>
      <w:r>
        <w:t>Areas of responsibility of the Committee</w:t>
      </w:r>
      <w:r>
        <w:tab/>
      </w:r>
      <w:r>
        <w:fldChar w:fldCharType="begin"/>
      </w:r>
      <w:r>
        <w:instrText xml:space="preserve"> PAGEREF _Toc499293033 \h </w:instrText>
      </w:r>
      <w:r>
        <w:fldChar w:fldCharType="separate"/>
      </w:r>
      <w:r w:rsidR="00E95F8E">
        <w:t>12</w:t>
      </w:r>
      <w:r>
        <w:fldChar w:fldCharType="end"/>
      </w:r>
    </w:p>
    <w:p w14:paraId="730175A6" w14:textId="77777777" w:rsidR="001D2073" w:rsidRDefault="001D2073">
      <w:pPr>
        <w:pStyle w:val="TOC2"/>
        <w:tabs>
          <w:tab w:val="left" w:pos="993"/>
        </w:tabs>
        <w:rPr>
          <w:rFonts w:eastAsiaTheme="minorEastAsia" w:cstheme="minorBidi"/>
        </w:rPr>
      </w:pPr>
      <w:r>
        <w:t>3.5</w:t>
      </w:r>
      <w:r>
        <w:rPr>
          <w:rFonts w:eastAsiaTheme="minorEastAsia" w:cstheme="minorBidi"/>
        </w:rPr>
        <w:tab/>
      </w:r>
      <w:r>
        <w:t>Summary of the Committee’s review approach</w:t>
      </w:r>
      <w:r>
        <w:tab/>
      </w:r>
      <w:r>
        <w:fldChar w:fldCharType="begin"/>
      </w:r>
      <w:r>
        <w:instrText xml:space="preserve"> PAGEREF _Toc499293034 \h </w:instrText>
      </w:r>
      <w:r>
        <w:fldChar w:fldCharType="separate"/>
      </w:r>
      <w:r w:rsidR="00E95F8E">
        <w:t>12</w:t>
      </w:r>
      <w:r>
        <w:fldChar w:fldCharType="end"/>
      </w:r>
    </w:p>
    <w:p w14:paraId="1A0B4410" w14:textId="77777777" w:rsidR="001D2073" w:rsidRDefault="001D2073">
      <w:pPr>
        <w:pStyle w:val="TOC1"/>
        <w:rPr>
          <w:rFonts w:eastAsiaTheme="minorEastAsia" w:cstheme="minorBidi"/>
          <w:b w:val="0"/>
          <w:noProof/>
        </w:rPr>
      </w:pPr>
      <w:r w:rsidRPr="00C72D69">
        <w:rPr>
          <w:noProof/>
          <w14:scene3d>
            <w14:camera w14:prst="orthographicFront"/>
            <w14:lightRig w14:rig="threePt" w14:dir="t">
              <w14:rot w14:lat="0" w14:lon="0" w14:rev="0"/>
            </w14:lightRig>
          </w14:scene3d>
        </w:rPr>
        <w:t>4.</w:t>
      </w:r>
      <w:r>
        <w:rPr>
          <w:rFonts w:eastAsiaTheme="minorEastAsia" w:cstheme="minorBidi"/>
          <w:b w:val="0"/>
          <w:noProof/>
        </w:rPr>
        <w:tab/>
      </w:r>
      <w:r>
        <w:rPr>
          <w:noProof/>
        </w:rPr>
        <w:t>Recommendations for immunology-related pathology tests</w:t>
      </w:r>
      <w:r>
        <w:rPr>
          <w:noProof/>
        </w:rPr>
        <w:tab/>
      </w:r>
      <w:r>
        <w:rPr>
          <w:noProof/>
        </w:rPr>
        <w:fldChar w:fldCharType="begin"/>
      </w:r>
      <w:r>
        <w:rPr>
          <w:noProof/>
        </w:rPr>
        <w:instrText xml:space="preserve"> PAGEREF _Toc499293035 \h </w:instrText>
      </w:r>
      <w:r>
        <w:rPr>
          <w:noProof/>
        </w:rPr>
      </w:r>
      <w:r>
        <w:rPr>
          <w:noProof/>
        </w:rPr>
        <w:fldChar w:fldCharType="separate"/>
      </w:r>
      <w:r w:rsidR="00E95F8E">
        <w:rPr>
          <w:noProof/>
        </w:rPr>
        <w:t>14</w:t>
      </w:r>
      <w:r>
        <w:rPr>
          <w:noProof/>
        </w:rPr>
        <w:fldChar w:fldCharType="end"/>
      </w:r>
    </w:p>
    <w:p w14:paraId="3D3EDCE0" w14:textId="77777777" w:rsidR="001D2073" w:rsidRDefault="001D2073">
      <w:pPr>
        <w:pStyle w:val="TOC2"/>
        <w:tabs>
          <w:tab w:val="left" w:pos="993"/>
        </w:tabs>
        <w:rPr>
          <w:rFonts w:eastAsiaTheme="minorEastAsia" w:cstheme="minorBidi"/>
        </w:rPr>
      </w:pPr>
      <w:r>
        <w:t>4.2</w:t>
      </w:r>
      <w:r>
        <w:rPr>
          <w:rFonts w:eastAsiaTheme="minorEastAsia" w:cstheme="minorBidi"/>
        </w:rPr>
        <w:tab/>
      </w:r>
      <w:r>
        <w:t>Coeliac disease panel: items 71163, 71164</w:t>
      </w:r>
      <w:r>
        <w:tab/>
      </w:r>
      <w:r>
        <w:fldChar w:fldCharType="begin"/>
      </w:r>
      <w:r>
        <w:instrText xml:space="preserve"> PAGEREF _Toc499293036 \h </w:instrText>
      </w:r>
      <w:r>
        <w:fldChar w:fldCharType="separate"/>
      </w:r>
      <w:r w:rsidR="00E95F8E">
        <w:t>14</w:t>
      </w:r>
      <w:r>
        <w:fldChar w:fldCharType="end"/>
      </w:r>
    </w:p>
    <w:p w14:paraId="2FAC46A8" w14:textId="77777777" w:rsidR="001D2073" w:rsidRDefault="001D2073">
      <w:pPr>
        <w:pStyle w:val="TOC2"/>
        <w:tabs>
          <w:tab w:val="left" w:pos="993"/>
        </w:tabs>
        <w:rPr>
          <w:rFonts w:eastAsiaTheme="minorEastAsia" w:cstheme="minorBidi"/>
        </w:rPr>
      </w:pPr>
      <w:r>
        <w:t>4.3</w:t>
      </w:r>
      <w:r>
        <w:rPr>
          <w:rFonts w:eastAsiaTheme="minorEastAsia" w:cstheme="minorBidi"/>
        </w:rPr>
        <w:tab/>
      </w:r>
      <w:r>
        <w:t>Genotyping for coeliac disease risk for DQ2 and DQ8: item 71151</w:t>
      </w:r>
      <w:r>
        <w:tab/>
      </w:r>
      <w:r>
        <w:fldChar w:fldCharType="begin"/>
      </w:r>
      <w:r>
        <w:instrText xml:space="preserve"> PAGEREF _Toc499293037 \h </w:instrText>
      </w:r>
      <w:r>
        <w:fldChar w:fldCharType="separate"/>
      </w:r>
      <w:r w:rsidR="00E95F8E">
        <w:t>16</w:t>
      </w:r>
      <w:r>
        <w:fldChar w:fldCharType="end"/>
      </w:r>
    </w:p>
    <w:p w14:paraId="7F1F673B" w14:textId="77777777" w:rsidR="001D2073" w:rsidRDefault="001D2073">
      <w:pPr>
        <w:pStyle w:val="TOC2"/>
        <w:tabs>
          <w:tab w:val="left" w:pos="993"/>
        </w:tabs>
        <w:rPr>
          <w:rFonts w:eastAsiaTheme="minorEastAsia" w:cstheme="minorBidi"/>
        </w:rPr>
      </w:pPr>
      <w:r>
        <w:t>4.4</w:t>
      </w:r>
      <w:r>
        <w:rPr>
          <w:rFonts w:eastAsiaTheme="minorEastAsia" w:cstheme="minorBidi"/>
        </w:rPr>
        <w:tab/>
      </w:r>
      <w:r>
        <w:t>Specific immunoglobulin E antibodies: item 71079</w:t>
      </w:r>
      <w:r>
        <w:tab/>
      </w:r>
      <w:r>
        <w:fldChar w:fldCharType="begin"/>
      </w:r>
      <w:r>
        <w:instrText xml:space="preserve"> PAGEREF _Toc499293038 \h </w:instrText>
      </w:r>
      <w:r>
        <w:fldChar w:fldCharType="separate"/>
      </w:r>
      <w:r w:rsidR="00E95F8E">
        <w:t>17</w:t>
      </w:r>
      <w:r>
        <w:fldChar w:fldCharType="end"/>
      </w:r>
    </w:p>
    <w:p w14:paraId="72C83838" w14:textId="77777777" w:rsidR="001D2073" w:rsidRDefault="001D2073">
      <w:pPr>
        <w:pStyle w:val="TOC2"/>
        <w:tabs>
          <w:tab w:val="left" w:pos="993"/>
        </w:tabs>
        <w:rPr>
          <w:rFonts w:eastAsiaTheme="minorEastAsia" w:cstheme="minorBidi"/>
        </w:rPr>
      </w:pPr>
      <w:r>
        <w:t>4.5</w:t>
      </w:r>
      <w:r>
        <w:rPr>
          <w:rFonts w:eastAsiaTheme="minorEastAsia" w:cstheme="minorBidi"/>
        </w:rPr>
        <w:tab/>
      </w:r>
      <w:r>
        <w:t>Antinuclear antibodies tests: item 71097</w:t>
      </w:r>
      <w:r>
        <w:tab/>
      </w:r>
      <w:r>
        <w:fldChar w:fldCharType="begin"/>
      </w:r>
      <w:r>
        <w:instrText xml:space="preserve"> PAGEREF _Toc499293039 \h </w:instrText>
      </w:r>
      <w:r>
        <w:fldChar w:fldCharType="separate"/>
      </w:r>
      <w:r w:rsidR="00E95F8E">
        <w:t>19</w:t>
      </w:r>
      <w:r>
        <w:fldChar w:fldCharType="end"/>
      </w:r>
    </w:p>
    <w:p w14:paraId="0621AADE" w14:textId="77777777" w:rsidR="001D2073" w:rsidRDefault="001D2073">
      <w:pPr>
        <w:pStyle w:val="TOC2"/>
        <w:tabs>
          <w:tab w:val="left" w:pos="993"/>
        </w:tabs>
        <w:rPr>
          <w:rFonts w:eastAsiaTheme="minorEastAsia" w:cstheme="minorBidi"/>
        </w:rPr>
      </w:pPr>
      <w:r>
        <w:t>4.6</w:t>
      </w:r>
      <w:r>
        <w:rPr>
          <w:rFonts w:eastAsiaTheme="minorEastAsia" w:cstheme="minorBidi"/>
        </w:rPr>
        <w:tab/>
      </w:r>
      <w:r>
        <w:t>Double-stranded DNA antibodies: item 71099</w:t>
      </w:r>
      <w:r>
        <w:tab/>
      </w:r>
      <w:r>
        <w:fldChar w:fldCharType="begin"/>
      </w:r>
      <w:r>
        <w:instrText xml:space="preserve"> PAGEREF _Toc499293040 \h </w:instrText>
      </w:r>
      <w:r>
        <w:fldChar w:fldCharType="separate"/>
      </w:r>
      <w:r w:rsidR="00E95F8E">
        <w:t>20</w:t>
      </w:r>
      <w:r>
        <w:fldChar w:fldCharType="end"/>
      </w:r>
    </w:p>
    <w:p w14:paraId="54A4B720" w14:textId="77777777" w:rsidR="001D2073" w:rsidRDefault="001D2073">
      <w:pPr>
        <w:pStyle w:val="TOC2"/>
        <w:tabs>
          <w:tab w:val="left" w:pos="993"/>
        </w:tabs>
        <w:rPr>
          <w:rFonts w:eastAsiaTheme="minorEastAsia" w:cstheme="minorBidi"/>
        </w:rPr>
      </w:pPr>
      <w:r>
        <w:t>4.7</w:t>
      </w:r>
      <w:r>
        <w:rPr>
          <w:rFonts w:eastAsiaTheme="minorEastAsia" w:cstheme="minorBidi"/>
        </w:rPr>
        <w:tab/>
      </w:r>
      <w:r>
        <w:t>Antibodies to extractable nuclear antigens: items 71101 and 71103</w:t>
      </w:r>
      <w:r>
        <w:tab/>
      </w:r>
      <w:r>
        <w:fldChar w:fldCharType="begin"/>
      </w:r>
      <w:r>
        <w:instrText xml:space="preserve"> PAGEREF _Toc499293041 \h </w:instrText>
      </w:r>
      <w:r>
        <w:fldChar w:fldCharType="separate"/>
      </w:r>
      <w:r w:rsidR="00E95F8E">
        <w:t>21</w:t>
      </w:r>
      <w:r>
        <w:fldChar w:fldCharType="end"/>
      </w:r>
    </w:p>
    <w:p w14:paraId="4E123478" w14:textId="77777777" w:rsidR="001D2073" w:rsidRDefault="001D2073">
      <w:pPr>
        <w:pStyle w:val="TOC2"/>
        <w:tabs>
          <w:tab w:val="left" w:pos="993"/>
        </w:tabs>
        <w:rPr>
          <w:rFonts w:eastAsiaTheme="minorEastAsia" w:cstheme="minorBidi"/>
        </w:rPr>
      </w:pPr>
      <w:r>
        <w:t>4.8</w:t>
      </w:r>
      <w:r>
        <w:rPr>
          <w:rFonts w:eastAsiaTheme="minorEastAsia" w:cstheme="minorBidi"/>
        </w:rPr>
        <w:tab/>
      </w:r>
      <w:r>
        <w:t>Quantitation of complement components: items 71083, 71085, 71087, 71089, 71091 and 71093</w:t>
      </w:r>
      <w:r>
        <w:tab/>
      </w:r>
      <w:r>
        <w:fldChar w:fldCharType="begin"/>
      </w:r>
      <w:r>
        <w:instrText xml:space="preserve"> PAGEREF _Toc499293042 \h </w:instrText>
      </w:r>
      <w:r>
        <w:fldChar w:fldCharType="separate"/>
      </w:r>
      <w:r w:rsidR="00E95F8E">
        <w:t>22</w:t>
      </w:r>
      <w:r>
        <w:fldChar w:fldCharType="end"/>
      </w:r>
    </w:p>
    <w:p w14:paraId="2B73C460" w14:textId="77777777" w:rsidR="001D2073" w:rsidRDefault="001D2073">
      <w:pPr>
        <w:pStyle w:val="TOC2"/>
        <w:tabs>
          <w:tab w:val="left" w:pos="993"/>
        </w:tabs>
        <w:rPr>
          <w:rFonts w:eastAsiaTheme="minorEastAsia" w:cstheme="minorBidi"/>
        </w:rPr>
      </w:pPr>
      <w:r>
        <w:t>4.9</w:t>
      </w:r>
      <w:r>
        <w:rPr>
          <w:rFonts w:eastAsiaTheme="minorEastAsia" w:cstheme="minorBidi"/>
        </w:rPr>
        <w:tab/>
      </w:r>
      <w:r>
        <w:t>Antibodies to tissue antigens: items 71119, 71121, 71123 and 71125</w:t>
      </w:r>
      <w:r>
        <w:tab/>
      </w:r>
      <w:r>
        <w:fldChar w:fldCharType="begin"/>
      </w:r>
      <w:r>
        <w:instrText xml:space="preserve"> PAGEREF _Toc499293043 \h </w:instrText>
      </w:r>
      <w:r>
        <w:fldChar w:fldCharType="separate"/>
      </w:r>
      <w:r w:rsidR="00E95F8E">
        <w:t>23</w:t>
      </w:r>
      <w:r>
        <w:fldChar w:fldCharType="end"/>
      </w:r>
    </w:p>
    <w:p w14:paraId="1341561E" w14:textId="77777777" w:rsidR="001D2073" w:rsidRDefault="001D2073">
      <w:pPr>
        <w:pStyle w:val="TOC2"/>
        <w:tabs>
          <w:tab w:val="left" w:pos="1100"/>
        </w:tabs>
        <w:rPr>
          <w:rFonts w:eastAsiaTheme="minorEastAsia" w:cstheme="minorBidi"/>
        </w:rPr>
      </w:pPr>
      <w:r>
        <w:t>4.10</w:t>
      </w:r>
      <w:r>
        <w:rPr>
          <w:rFonts w:eastAsiaTheme="minorEastAsia" w:cstheme="minorBidi"/>
        </w:rPr>
        <w:tab/>
      </w:r>
      <w:r>
        <w:t>Antibodies to tissue antigens: item 71165</w:t>
      </w:r>
      <w:r>
        <w:tab/>
      </w:r>
      <w:r>
        <w:fldChar w:fldCharType="begin"/>
      </w:r>
      <w:r>
        <w:instrText xml:space="preserve"> PAGEREF _Toc499293044 \h </w:instrText>
      </w:r>
      <w:r>
        <w:fldChar w:fldCharType="separate"/>
      </w:r>
      <w:r w:rsidR="00E95F8E">
        <w:t>24</w:t>
      </w:r>
      <w:r>
        <w:fldChar w:fldCharType="end"/>
      </w:r>
    </w:p>
    <w:p w14:paraId="4C917C10" w14:textId="77777777" w:rsidR="001D2073" w:rsidRDefault="001D2073">
      <w:pPr>
        <w:pStyle w:val="TOC2"/>
        <w:tabs>
          <w:tab w:val="left" w:pos="1100"/>
        </w:tabs>
        <w:rPr>
          <w:rFonts w:eastAsiaTheme="minorEastAsia" w:cstheme="minorBidi"/>
        </w:rPr>
      </w:pPr>
      <w:r>
        <w:t>4.11</w:t>
      </w:r>
      <w:r>
        <w:rPr>
          <w:rFonts w:eastAsiaTheme="minorEastAsia" w:cstheme="minorBidi"/>
        </w:rPr>
        <w:tab/>
      </w:r>
      <w:r>
        <w:t>Quantitation of immunoglobulin E: items 71075 and 71077</w:t>
      </w:r>
      <w:r>
        <w:tab/>
      </w:r>
      <w:r>
        <w:fldChar w:fldCharType="begin"/>
      </w:r>
      <w:r>
        <w:instrText xml:space="preserve"> PAGEREF _Toc499293045 \h </w:instrText>
      </w:r>
      <w:r>
        <w:fldChar w:fldCharType="separate"/>
      </w:r>
      <w:r w:rsidR="00E95F8E">
        <w:t>25</w:t>
      </w:r>
      <w:r>
        <w:fldChar w:fldCharType="end"/>
      </w:r>
    </w:p>
    <w:p w14:paraId="04515060" w14:textId="77777777" w:rsidR="001D2073" w:rsidRDefault="001D2073">
      <w:pPr>
        <w:pStyle w:val="TOC2"/>
        <w:tabs>
          <w:tab w:val="left" w:pos="1100"/>
        </w:tabs>
        <w:rPr>
          <w:rFonts w:eastAsiaTheme="minorEastAsia" w:cstheme="minorBidi"/>
        </w:rPr>
      </w:pPr>
      <w:r>
        <w:t>4.12</w:t>
      </w:r>
      <w:r>
        <w:rPr>
          <w:rFonts w:eastAsiaTheme="minorEastAsia" w:cstheme="minorBidi"/>
        </w:rPr>
        <w:tab/>
      </w:r>
      <w:r>
        <w:t>Quantitation of total immunoglobulin A: item 71066</w:t>
      </w:r>
      <w:r>
        <w:tab/>
      </w:r>
      <w:r>
        <w:fldChar w:fldCharType="begin"/>
      </w:r>
      <w:r>
        <w:instrText xml:space="preserve"> PAGEREF _Toc499293046 \h </w:instrText>
      </w:r>
      <w:r>
        <w:fldChar w:fldCharType="separate"/>
      </w:r>
      <w:r w:rsidR="00E95F8E">
        <w:t>26</w:t>
      </w:r>
      <w:r>
        <w:fldChar w:fldCharType="end"/>
      </w:r>
    </w:p>
    <w:p w14:paraId="3E852F31" w14:textId="77777777" w:rsidR="001D2073" w:rsidRDefault="001D2073">
      <w:pPr>
        <w:pStyle w:val="TOC2"/>
        <w:tabs>
          <w:tab w:val="left" w:pos="1100"/>
        </w:tabs>
        <w:rPr>
          <w:rFonts w:eastAsiaTheme="minorEastAsia" w:cstheme="minorBidi"/>
        </w:rPr>
      </w:pPr>
      <w:r>
        <w:t>4.13</w:t>
      </w:r>
      <w:r>
        <w:rPr>
          <w:rFonts w:eastAsiaTheme="minorEastAsia" w:cstheme="minorBidi"/>
        </w:rPr>
        <w:tab/>
      </w:r>
      <w:r>
        <w:t>Quantitation of total immunoglobulin M: item 71072</w:t>
      </w:r>
      <w:r>
        <w:tab/>
      </w:r>
      <w:r>
        <w:fldChar w:fldCharType="begin"/>
      </w:r>
      <w:r>
        <w:instrText xml:space="preserve"> PAGEREF _Toc499293047 \h </w:instrText>
      </w:r>
      <w:r>
        <w:fldChar w:fldCharType="separate"/>
      </w:r>
      <w:r w:rsidR="00E95F8E">
        <w:t>27</w:t>
      </w:r>
      <w:r>
        <w:fldChar w:fldCharType="end"/>
      </w:r>
    </w:p>
    <w:p w14:paraId="16704D1C" w14:textId="77777777" w:rsidR="001D2073" w:rsidRDefault="001D2073">
      <w:pPr>
        <w:pStyle w:val="TOC2"/>
        <w:tabs>
          <w:tab w:val="left" w:pos="1100"/>
        </w:tabs>
        <w:rPr>
          <w:rFonts w:eastAsiaTheme="minorEastAsia" w:cstheme="minorBidi"/>
        </w:rPr>
      </w:pPr>
      <w:r>
        <w:t>4.14</w:t>
      </w:r>
      <w:r>
        <w:rPr>
          <w:rFonts w:eastAsiaTheme="minorEastAsia" w:cstheme="minorBidi"/>
        </w:rPr>
        <w:tab/>
      </w:r>
      <w:r>
        <w:t>Quantitation of total immunoglobulin D: item 71074</w:t>
      </w:r>
      <w:r>
        <w:tab/>
      </w:r>
      <w:r>
        <w:fldChar w:fldCharType="begin"/>
      </w:r>
      <w:r>
        <w:instrText xml:space="preserve"> PAGEREF _Toc499293048 \h </w:instrText>
      </w:r>
      <w:r>
        <w:fldChar w:fldCharType="separate"/>
      </w:r>
      <w:r w:rsidR="00E95F8E">
        <w:t>28</w:t>
      </w:r>
      <w:r>
        <w:fldChar w:fldCharType="end"/>
      </w:r>
    </w:p>
    <w:p w14:paraId="6D4AEAA2" w14:textId="77777777" w:rsidR="001D2073" w:rsidRDefault="001D2073">
      <w:pPr>
        <w:pStyle w:val="TOC2"/>
        <w:tabs>
          <w:tab w:val="left" w:pos="1100"/>
        </w:tabs>
        <w:rPr>
          <w:rFonts w:eastAsiaTheme="minorEastAsia" w:cstheme="minorBidi"/>
        </w:rPr>
      </w:pPr>
      <w:r>
        <w:t>4.15</w:t>
      </w:r>
      <w:r>
        <w:rPr>
          <w:rFonts w:eastAsiaTheme="minorEastAsia" w:cstheme="minorBidi"/>
        </w:rPr>
        <w:tab/>
      </w:r>
      <w:r>
        <w:t>Cryoglobulins or cryofibrinogen: item 71064</w:t>
      </w:r>
      <w:r>
        <w:tab/>
      </w:r>
      <w:r>
        <w:fldChar w:fldCharType="begin"/>
      </w:r>
      <w:r>
        <w:instrText xml:space="preserve"> PAGEREF _Toc499293049 \h </w:instrText>
      </w:r>
      <w:r>
        <w:fldChar w:fldCharType="separate"/>
      </w:r>
      <w:r w:rsidR="00E95F8E">
        <w:t>28</w:t>
      </w:r>
      <w:r>
        <w:fldChar w:fldCharType="end"/>
      </w:r>
    </w:p>
    <w:p w14:paraId="6E184348" w14:textId="77777777" w:rsidR="001D2073" w:rsidRDefault="001D2073">
      <w:pPr>
        <w:pStyle w:val="TOC2"/>
        <w:tabs>
          <w:tab w:val="left" w:pos="1100"/>
        </w:tabs>
        <w:rPr>
          <w:rFonts w:eastAsiaTheme="minorEastAsia" w:cstheme="minorBidi"/>
        </w:rPr>
      </w:pPr>
      <w:r>
        <w:t>4.16</w:t>
      </w:r>
      <w:r>
        <w:rPr>
          <w:rFonts w:eastAsiaTheme="minorEastAsia" w:cstheme="minorBidi"/>
        </w:rPr>
        <w:tab/>
      </w:r>
      <w:r>
        <w:t>Rheumatoid factor: item 71106</w:t>
      </w:r>
      <w:r>
        <w:tab/>
      </w:r>
      <w:r>
        <w:fldChar w:fldCharType="begin"/>
      </w:r>
      <w:r>
        <w:instrText xml:space="preserve"> PAGEREF _Toc499293050 \h </w:instrText>
      </w:r>
      <w:r>
        <w:fldChar w:fldCharType="separate"/>
      </w:r>
      <w:r w:rsidR="00E95F8E">
        <w:t>29</w:t>
      </w:r>
      <w:r>
        <w:fldChar w:fldCharType="end"/>
      </w:r>
    </w:p>
    <w:p w14:paraId="33DA19DE" w14:textId="77777777" w:rsidR="001D2073" w:rsidRDefault="001D2073">
      <w:pPr>
        <w:pStyle w:val="TOC2"/>
        <w:tabs>
          <w:tab w:val="left" w:pos="1100"/>
        </w:tabs>
        <w:rPr>
          <w:rFonts w:eastAsiaTheme="minorEastAsia" w:cstheme="minorBidi"/>
        </w:rPr>
      </w:pPr>
      <w:r>
        <w:t>4.17</w:t>
      </w:r>
      <w:r>
        <w:rPr>
          <w:rFonts w:eastAsiaTheme="minorEastAsia" w:cstheme="minorBidi"/>
        </w:rPr>
        <w:tab/>
      </w:r>
      <w:r>
        <w:t>Antibody to cardiolipin: items 71180, 71183, 71186</w:t>
      </w:r>
      <w:r>
        <w:tab/>
      </w:r>
      <w:r>
        <w:fldChar w:fldCharType="begin"/>
      </w:r>
      <w:r>
        <w:instrText xml:space="preserve"> PAGEREF _Toc499293051 \h </w:instrText>
      </w:r>
      <w:r>
        <w:fldChar w:fldCharType="separate"/>
      </w:r>
      <w:r w:rsidR="00E95F8E">
        <w:t>30</w:t>
      </w:r>
      <w:r>
        <w:fldChar w:fldCharType="end"/>
      </w:r>
    </w:p>
    <w:p w14:paraId="511F251A" w14:textId="77777777" w:rsidR="001D2073" w:rsidRDefault="001D2073">
      <w:pPr>
        <w:pStyle w:val="TOC2"/>
        <w:tabs>
          <w:tab w:val="left" w:pos="1100"/>
        </w:tabs>
        <w:rPr>
          <w:rFonts w:eastAsiaTheme="minorEastAsia" w:cstheme="minorBidi"/>
        </w:rPr>
      </w:pPr>
      <w:r>
        <w:t>4.18</w:t>
      </w:r>
      <w:r>
        <w:rPr>
          <w:rFonts w:eastAsiaTheme="minorEastAsia" w:cstheme="minorBidi"/>
        </w:rPr>
        <w:tab/>
      </w:r>
      <w:r>
        <w:t>Free kappa and lambda light chains: item 71200</w:t>
      </w:r>
      <w:r>
        <w:tab/>
      </w:r>
      <w:r>
        <w:fldChar w:fldCharType="begin"/>
      </w:r>
      <w:r>
        <w:instrText xml:space="preserve"> PAGEREF _Toc499293052 \h </w:instrText>
      </w:r>
      <w:r>
        <w:fldChar w:fldCharType="separate"/>
      </w:r>
      <w:r w:rsidR="00E95F8E">
        <w:t>31</w:t>
      </w:r>
      <w:r>
        <w:fldChar w:fldCharType="end"/>
      </w:r>
    </w:p>
    <w:p w14:paraId="32DF2CEA" w14:textId="77777777" w:rsidR="001D2073" w:rsidRDefault="001D2073">
      <w:pPr>
        <w:pStyle w:val="TOC2"/>
        <w:tabs>
          <w:tab w:val="left" w:pos="1100"/>
        </w:tabs>
        <w:rPr>
          <w:rFonts w:eastAsiaTheme="minorEastAsia" w:cstheme="minorBidi"/>
        </w:rPr>
      </w:pPr>
      <w:r>
        <w:t>4.19</w:t>
      </w:r>
      <w:r>
        <w:rPr>
          <w:rFonts w:eastAsiaTheme="minorEastAsia" w:cstheme="minorBidi"/>
        </w:rPr>
        <w:tab/>
      </w:r>
      <w:r>
        <w:t>Items to be deleted</w:t>
      </w:r>
      <w:r>
        <w:tab/>
      </w:r>
      <w:r>
        <w:fldChar w:fldCharType="begin"/>
      </w:r>
      <w:r>
        <w:instrText xml:space="preserve"> PAGEREF _Toc499293053 \h </w:instrText>
      </w:r>
      <w:r>
        <w:fldChar w:fldCharType="separate"/>
      </w:r>
      <w:r w:rsidR="00E95F8E">
        <w:t>32</w:t>
      </w:r>
      <w:r>
        <w:fldChar w:fldCharType="end"/>
      </w:r>
    </w:p>
    <w:p w14:paraId="36CAD803" w14:textId="77777777" w:rsidR="001D2073" w:rsidRDefault="001D2073">
      <w:pPr>
        <w:pStyle w:val="TOC2"/>
        <w:tabs>
          <w:tab w:val="left" w:pos="1100"/>
        </w:tabs>
        <w:rPr>
          <w:rFonts w:eastAsiaTheme="minorEastAsia" w:cstheme="minorBidi"/>
        </w:rPr>
      </w:pPr>
      <w:r>
        <w:t>4.20</w:t>
      </w:r>
      <w:r>
        <w:rPr>
          <w:rFonts w:eastAsiaTheme="minorEastAsia" w:cstheme="minorBidi"/>
        </w:rPr>
        <w:tab/>
      </w:r>
      <w:r>
        <w:t>No changes</w:t>
      </w:r>
      <w:r>
        <w:tab/>
      </w:r>
      <w:r>
        <w:fldChar w:fldCharType="begin"/>
      </w:r>
      <w:r>
        <w:instrText xml:space="preserve"> PAGEREF _Toc499293054 \h </w:instrText>
      </w:r>
      <w:r>
        <w:fldChar w:fldCharType="separate"/>
      </w:r>
      <w:r w:rsidR="00E95F8E">
        <w:t>32</w:t>
      </w:r>
      <w:r>
        <w:fldChar w:fldCharType="end"/>
      </w:r>
    </w:p>
    <w:p w14:paraId="1ECDBE1D" w14:textId="77777777" w:rsidR="001D2073" w:rsidRDefault="001D2073">
      <w:pPr>
        <w:pStyle w:val="TOC1"/>
        <w:rPr>
          <w:rFonts w:eastAsiaTheme="minorEastAsia" w:cstheme="minorBidi"/>
          <w:b w:val="0"/>
          <w:noProof/>
        </w:rPr>
      </w:pPr>
      <w:r w:rsidRPr="00C72D69">
        <w:rPr>
          <w:noProof/>
          <w14:scene3d>
            <w14:camera w14:prst="orthographicFront"/>
            <w14:lightRig w14:rig="threePt" w14:dir="t">
              <w14:rot w14:lat="0" w14:lon="0" w14:rev="0"/>
            </w14:lightRig>
          </w14:scene3d>
        </w:rPr>
        <w:t>5.</w:t>
      </w:r>
      <w:r>
        <w:rPr>
          <w:rFonts w:eastAsiaTheme="minorEastAsia" w:cstheme="minorBidi"/>
          <w:b w:val="0"/>
          <w:noProof/>
        </w:rPr>
        <w:tab/>
      </w:r>
      <w:r>
        <w:rPr>
          <w:noProof/>
        </w:rPr>
        <w:t>Referred items</w:t>
      </w:r>
      <w:r>
        <w:rPr>
          <w:noProof/>
        </w:rPr>
        <w:tab/>
      </w:r>
      <w:r>
        <w:rPr>
          <w:noProof/>
        </w:rPr>
        <w:fldChar w:fldCharType="begin"/>
      </w:r>
      <w:r>
        <w:rPr>
          <w:noProof/>
        </w:rPr>
        <w:instrText xml:space="preserve"> PAGEREF _Toc499293055 \h </w:instrText>
      </w:r>
      <w:r>
        <w:rPr>
          <w:noProof/>
        </w:rPr>
      </w:r>
      <w:r>
        <w:rPr>
          <w:noProof/>
        </w:rPr>
        <w:fldChar w:fldCharType="separate"/>
      </w:r>
      <w:r w:rsidR="00E95F8E">
        <w:rPr>
          <w:noProof/>
        </w:rPr>
        <w:t>35</w:t>
      </w:r>
      <w:r>
        <w:rPr>
          <w:noProof/>
        </w:rPr>
        <w:fldChar w:fldCharType="end"/>
      </w:r>
    </w:p>
    <w:p w14:paraId="56031BE7" w14:textId="77777777" w:rsidR="001D2073" w:rsidRDefault="001D2073">
      <w:pPr>
        <w:pStyle w:val="TOC2"/>
        <w:tabs>
          <w:tab w:val="left" w:pos="993"/>
        </w:tabs>
        <w:rPr>
          <w:rFonts w:eastAsiaTheme="minorEastAsia" w:cstheme="minorBidi"/>
        </w:rPr>
      </w:pPr>
      <w:r>
        <w:t>5.1</w:t>
      </w:r>
      <w:r>
        <w:rPr>
          <w:rFonts w:eastAsiaTheme="minorEastAsia" w:cstheme="minorBidi"/>
        </w:rPr>
        <w:tab/>
      </w:r>
      <w:r>
        <w:t>Erythrocyte sedimentation rate (ESR)</w:t>
      </w:r>
      <w:r>
        <w:tab/>
      </w:r>
      <w:r>
        <w:fldChar w:fldCharType="begin"/>
      </w:r>
      <w:r>
        <w:instrText xml:space="preserve"> PAGEREF _Toc499293056 \h </w:instrText>
      </w:r>
      <w:r>
        <w:fldChar w:fldCharType="separate"/>
      </w:r>
      <w:r w:rsidR="00E95F8E">
        <w:t>35</w:t>
      </w:r>
      <w:r>
        <w:fldChar w:fldCharType="end"/>
      </w:r>
    </w:p>
    <w:p w14:paraId="50523DB1" w14:textId="77777777" w:rsidR="001D2073" w:rsidRDefault="001D2073">
      <w:pPr>
        <w:pStyle w:val="TOC1"/>
        <w:rPr>
          <w:rFonts w:eastAsiaTheme="minorEastAsia" w:cstheme="minorBidi"/>
          <w:b w:val="0"/>
          <w:noProof/>
        </w:rPr>
      </w:pPr>
      <w:r w:rsidRPr="00C72D69">
        <w:rPr>
          <w:noProof/>
          <w14:scene3d>
            <w14:camera w14:prst="orthographicFront"/>
            <w14:lightRig w14:rig="threePt" w14:dir="t">
              <w14:rot w14:lat="0" w14:lon="0" w14:rev="0"/>
            </w14:lightRig>
          </w14:scene3d>
        </w:rPr>
        <w:t>6.</w:t>
      </w:r>
      <w:r>
        <w:rPr>
          <w:rFonts w:eastAsiaTheme="minorEastAsia" w:cstheme="minorBidi"/>
          <w:b w:val="0"/>
          <w:noProof/>
        </w:rPr>
        <w:tab/>
      </w:r>
      <w:r>
        <w:rPr>
          <w:noProof/>
        </w:rPr>
        <w:t>Recommendations to the Medical Services Advisory Committee</w:t>
      </w:r>
      <w:r>
        <w:rPr>
          <w:noProof/>
        </w:rPr>
        <w:tab/>
      </w:r>
      <w:r>
        <w:rPr>
          <w:noProof/>
        </w:rPr>
        <w:fldChar w:fldCharType="begin"/>
      </w:r>
      <w:r>
        <w:rPr>
          <w:noProof/>
        </w:rPr>
        <w:instrText xml:space="preserve"> PAGEREF _Toc499293057 \h </w:instrText>
      </w:r>
      <w:r>
        <w:rPr>
          <w:noProof/>
        </w:rPr>
      </w:r>
      <w:r>
        <w:rPr>
          <w:noProof/>
        </w:rPr>
        <w:fldChar w:fldCharType="separate"/>
      </w:r>
      <w:r w:rsidR="00E95F8E">
        <w:rPr>
          <w:noProof/>
        </w:rPr>
        <w:t>36</w:t>
      </w:r>
      <w:r>
        <w:rPr>
          <w:noProof/>
        </w:rPr>
        <w:fldChar w:fldCharType="end"/>
      </w:r>
    </w:p>
    <w:p w14:paraId="7E1581CB" w14:textId="77777777" w:rsidR="001D2073" w:rsidRDefault="001D2073">
      <w:pPr>
        <w:pStyle w:val="TOC2"/>
        <w:tabs>
          <w:tab w:val="left" w:pos="993"/>
        </w:tabs>
        <w:rPr>
          <w:rFonts w:eastAsiaTheme="minorEastAsia" w:cstheme="minorBidi"/>
        </w:rPr>
      </w:pPr>
      <w:r>
        <w:t>6.1</w:t>
      </w:r>
      <w:r>
        <w:rPr>
          <w:rFonts w:eastAsiaTheme="minorEastAsia" w:cstheme="minorBidi"/>
        </w:rPr>
        <w:tab/>
      </w:r>
      <w:r>
        <w:t>Neuromyelitis optica (NMO) antibody testing</w:t>
      </w:r>
      <w:r>
        <w:tab/>
      </w:r>
      <w:r>
        <w:fldChar w:fldCharType="begin"/>
      </w:r>
      <w:r>
        <w:instrText xml:space="preserve"> PAGEREF _Toc499293058 \h </w:instrText>
      </w:r>
      <w:r>
        <w:fldChar w:fldCharType="separate"/>
      </w:r>
      <w:r w:rsidR="00E95F8E">
        <w:t>36</w:t>
      </w:r>
      <w:r>
        <w:fldChar w:fldCharType="end"/>
      </w:r>
    </w:p>
    <w:p w14:paraId="1A21486D" w14:textId="77777777" w:rsidR="001D2073" w:rsidRDefault="001D2073">
      <w:pPr>
        <w:pStyle w:val="TOC2"/>
        <w:tabs>
          <w:tab w:val="left" w:pos="993"/>
        </w:tabs>
        <w:rPr>
          <w:rFonts w:eastAsiaTheme="minorEastAsia" w:cstheme="minorBidi"/>
        </w:rPr>
      </w:pPr>
      <w:r>
        <w:t>6.2</w:t>
      </w:r>
      <w:r>
        <w:rPr>
          <w:rFonts w:eastAsiaTheme="minorEastAsia" w:cstheme="minorBidi"/>
        </w:rPr>
        <w:tab/>
      </w:r>
      <w:r>
        <w:t>Antibodies to citrullinated peptide antigens</w:t>
      </w:r>
      <w:r>
        <w:tab/>
      </w:r>
      <w:r>
        <w:fldChar w:fldCharType="begin"/>
      </w:r>
      <w:r>
        <w:instrText xml:space="preserve"> PAGEREF _Toc499293059 \h </w:instrText>
      </w:r>
      <w:r>
        <w:fldChar w:fldCharType="separate"/>
      </w:r>
      <w:r w:rsidR="00E95F8E">
        <w:t>36</w:t>
      </w:r>
      <w:r>
        <w:fldChar w:fldCharType="end"/>
      </w:r>
    </w:p>
    <w:p w14:paraId="09E444DC" w14:textId="77777777" w:rsidR="001D2073" w:rsidRDefault="001D2073">
      <w:pPr>
        <w:pStyle w:val="TOC1"/>
        <w:rPr>
          <w:rFonts w:eastAsiaTheme="minorEastAsia" w:cstheme="minorBidi"/>
          <w:b w:val="0"/>
          <w:noProof/>
        </w:rPr>
      </w:pPr>
      <w:r w:rsidRPr="00C72D69">
        <w:rPr>
          <w:noProof/>
          <w14:scene3d>
            <w14:camera w14:prst="orthographicFront"/>
            <w14:lightRig w14:rig="threePt" w14:dir="t">
              <w14:rot w14:lat="0" w14:lon="0" w14:rev="0"/>
            </w14:lightRig>
          </w14:scene3d>
        </w:rPr>
        <w:t>7.</w:t>
      </w:r>
      <w:r>
        <w:rPr>
          <w:rFonts w:eastAsiaTheme="minorEastAsia" w:cstheme="minorBidi"/>
          <w:b w:val="0"/>
          <w:noProof/>
        </w:rPr>
        <w:tab/>
      </w:r>
      <w:r>
        <w:rPr>
          <w:noProof/>
        </w:rPr>
        <w:t>References</w:t>
      </w:r>
      <w:r>
        <w:rPr>
          <w:noProof/>
        </w:rPr>
        <w:tab/>
      </w:r>
      <w:r>
        <w:rPr>
          <w:noProof/>
        </w:rPr>
        <w:fldChar w:fldCharType="begin"/>
      </w:r>
      <w:r>
        <w:rPr>
          <w:noProof/>
        </w:rPr>
        <w:instrText xml:space="preserve"> PAGEREF _Toc499293060 \h </w:instrText>
      </w:r>
      <w:r>
        <w:rPr>
          <w:noProof/>
        </w:rPr>
      </w:r>
      <w:r>
        <w:rPr>
          <w:noProof/>
        </w:rPr>
        <w:fldChar w:fldCharType="separate"/>
      </w:r>
      <w:r w:rsidR="00E95F8E">
        <w:rPr>
          <w:noProof/>
        </w:rPr>
        <w:t>38</w:t>
      </w:r>
      <w:r>
        <w:rPr>
          <w:noProof/>
        </w:rPr>
        <w:fldChar w:fldCharType="end"/>
      </w:r>
    </w:p>
    <w:p w14:paraId="1532556F" w14:textId="77777777" w:rsidR="001D2073" w:rsidRDefault="001D2073">
      <w:pPr>
        <w:pStyle w:val="TOC1"/>
        <w:rPr>
          <w:rFonts w:eastAsiaTheme="minorEastAsia" w:cstheme="minorBidi"/>
          <w:b w:val="0"/>
          <w:noProof/>
        </w:rPr>
      </w:pPr>
      <w:r w:rsidRPr="00C72D69">
        <w:rPr>
          <w:noProof/>
          <w14:scene3d>
            <w14:camera w14:prst="orthographicFront"/>
            <w14:lightRig w14:rig="threePt" w14:dir="t">
              <w14:rot w14:lat="0" w14:lon="0" w14:rev="0"/>
            </w14:lightRig>
          </w14:scene3d>
        </w:rPr>
        <w:t>8.</w:t>
      </w:r>
      <w:r>
        <w:rPr>
          <w:rFonts w:eastAsiaTheme="minorEastAsia" w:cstheme="minorBidi"/>
          <w:b w:val="0"/>
          <w:noProof/>
        </w:rPr>
        <w:tab/>
      </w:r>
      <w:r>
        <w:rPr>
          <w:noProof/>
        </w:rPr>
        <w:t>Glossary</w:t>
      </w:r>
      <w:r>
        <w:rPr>
          <w:noProof/>
        </w:rPr>
        <w:tab/>
      </w:r>
      <w:r>
        <w:rPr>
          <w:noProof/>
        </w:rPr>
        <w:fldChar w:fldCharType="begin"/>
      </w:r>
      <w:r>
        <w:rPr>
          <w:noProof/>
        </w:rPr>
        <w:instrText xml:space="preserve"> PAGEREF _Toc499293061 \h </w:instrText>
      </w:r>
      <w:r>
        <w:rPr>
          <w:noProof/>
        </w:rPr>
      </w:r>
      <w:r>
        <w:rPr>
          <w:noProof/>
        </w:rPr>
        <w:fldChar w:fldCharType="separate"/>
      </w:r>
      <w:r w:rsidR="00E95F8E">
        <w:rPr>
          <w:noProof/>
        </w:rPr>
        <w:t>39</w:t>
      </w:r>
      <w:r>
        <w:rPr>
          <w:noProof/>
        </w:rPr>
        <w:fldChar w:fldCharType="end"/>
      </w:r>
    </w:p>
    <w:p w14:paraId="47044EED" w14:textId="77777777" w:rsidR="001D2073" w:rsidRDefault="001D2073">
      <w:pPr>
        <w:pStyle w:val="TOC1"/>
        <w:rPr>
          <w:rFonts w:eastAsiaTheme="minorEastAsia" w:cstheme="minorBidi"/>
          <w:b w:val="0"/>
          <w:noProof/>
        </w:rPr>
      </w:pPr>
      <w:r>
        <w:rPr>
          <w:noProof/>
        </w:rPr>
        <w:t>Appendix A – Immunology-related pathology test items – recommendations list</w:t>
      </w:r>
      <w:r>
        <w:rPr>
          <w:noProof/>
        </w:rPr>
        <w:tab/>
      </w:r>
      <w:r>
        <w:rPr>
          <w:noProof/>
        </w:rPr>
        <w:fldChar w:fldCharType="begin"/>
      </w:r>
      <w:r>
        <w:rPr>
          <w:noProof/>
        </w:rPr>
        <w:instrText xml:space="preserve"> PAGEREF _Toc499293062 \h </w:instrText>
      </w:r>
      <w:r>
        <w:rPr>
          <w:noProof/>
        </w:rPr>
      </w:r>
      <w:r>
        <w:rPr>
          <w:noProof/>
        </w:rPr>
        <w:fldChar w:fldCharType="separate"/>
      </w:r>
      <w:r w:rsidR="00E95F8E">
        <w:rPr>
          <w:noProof/>
        </w:rPr>
        <w:t>40</w:t>
      </w:r>
      <w:r>
        <w:rPr>
          <w:noProof/>
        </w:rPr>
        <w:fldChar w:fldCharType="end"/>
      </w:r>
    </w:p>
    <w:p w14:paraId="0B54BE81" w14:textId="77777777" w:rsidR="001D2073" w:rsidRDefault="001D2073">
      <w:pPr>
        <w:pStyle w:val="TOC1"/>
        <w:rPr>
          <w:rFonts w:eastAsiaTheme="minorEastAsia" w:cstheme="minorBidi"/>
          <w:b w:val="0"/>
          <w:noProof/>
        </w:rPr>
      </w:pPr>
      <w:r>
        <w:rPr>
          <w:noProof/>
        </w:rPr>
        <w:t>Appendix B – Summary for consumers</w:t>
      </w:r>
      <w:r>
        <w:rPr>
          <w:noProof/>
        </w:rPr>
        <w:tab/>
      </w:r>
      <w:r>
        <w:rPr>
          <w:noProof/>
        </w:rPr>
        <w:fldChar w:fldCharType="begin"/>
      </w:r>
      <w:r>
        <w:rPr>
          <w:noProof/>
        </w:rPr>
        <w:instrText xml:space="preserve"> PAGEREF _Toc499293063 \h </w:instrText>
      </w:r>
      <w:r>
        <w:rPr>
          <w:noProof/>
        </w:rPr>
      </w:r>
      <w:r>
        <w:rPr>
          <w:noProof/>
        </w:rPr>
        <w:fldChar w:fldCharType="separate"/>
      </w:r>
      <w:r w:rsidR="00E95F8E">
        <w:rPr>
          <w:noProof/>
        </w:rPr>
        <w:t>45</w:t>
      </w:r>
      <w:r>
        <w:rPr>
          <w:noProof/>
        </w:rPr>
        <w:fldChar w:fldCharType="end"/>
      </w:r>
    </w:p>
    <w:p w14:paraId="4D1D1DA0" w14:textId="77777777" w:rsidR="00AF5D75" w:rsidRPr="003C426F" w:rsidRDefault="000557CD" w:rsidP="004F17D1">
      <w:pPr>
        <w:pStyle w:val="TableofFigures"/>
        <w:tabs>
          <w:tab w:val="left" w:pos="1100"/>
          <w:tab w:val="right" w:leader="dot" w:pos="9016"/>
        </w:tabs>
        <w:spacing w:line="360" w:lineRule="auto"/>
        <w:ind w:left="0" w:hanging="14"/>
        <w:rPr>
          <w:rStyle w:val="Hyperlink"/>
          <w:noProof/>
          <w:color w:val="01653F"/>
          <w:sz w:val="22"/>
          <w:szCs w:val="24"/>
        </w:rPr>
      </w:pPr>
      <w:r w:rsidRPr="0078040F">
        <w:fldChar w:fldCharType="end"/>
      </w:r>
      <w:r w:rsidR="00AF5D75" w:rsidRPr="00FE5552">
        <w:rPr>
          <w:color w:val="A6A6A6" w:themeColor="background1" w:themeShade="A6"/>
        </w:rPr>
        <w:br w:type="page"/>
      </w:r>
      <w:r w:rsidR="00AF5D75" w:rsidRPr="003C426F">
        <w:rPr>
          <w:b/>
          <w:bCs/>
          <w:noProof/>
          <w:color w:val="01653F"/>
          <w:sz w:val="32"/>
          <w:szCs w:val="32"/>
        </w:rPr>
        <w:lastRenderedPageBreak/>
        <w:t xml:space="preserve">List of </w:t>
      </w:r>
      <w:r w:rsidR="001F11D7" w:rsidRPr="003C426F">
        <w:rPr>
          <w:b/>
          <w:bCs/>
          <w:noProof/>
          <w:color w:val="01653F"/>
          <w:sz w:val="32"/>
          <w:szCs w:val="32"/>
        </w:rPr>
        <w:t xml:space="preserve">tables </w:t>
      </w:r>
      <w:r w:rsidR="0021329D" w:rsidRPr="003C426F">
        <w:rPr>
          <w:b/>
          <w:bCs/>
          <w:noProof/>
          <w:color w:val="01653F"/>
          <w:sz w:val="32"/>
          <w:szCs w:val="32"/>
        </w:rPr>
        <w:t xml:space="preserve">and </w:t>
      </w:r>
      <w:r w:rsidR="001F11D7" w:rsidRPr="003C426F">
        <w:rPr>
          <w:b/>
          <w:bCs/>
          <w:noProof/>
          <w:color w:val="01653F"/>
          <w:sz w:val="32"/>
          <w:szCs w:val="32"/>
        </w:rPr>
        <w:t>figures</w:t>
      </w:r>
    </w:p>
    <w:p w14:paraId="710656E4" w14:textId="77777777" w:rsidR="00410457" w:rsidRDefault="000557CD">
      <w:pPr>
        <w:pStyle w:val="TableofFigures"/>
        <w:tabs>
          <w:tab w:val="right" w:leader="dot" w:pos="9016"/>
        </w:tabs>
        <w:rPr>
          <w:rFonts w:eastAsiaTheme="minorEastAsia" w:cstheme="minorBidi"/>
          <w:noProof/>
          <w:sz w:val="22"/>
          <w:szCs w:val="22"/>
        </w:rPr>
      </w:pPr>
      <w:r w:rsidRPr="0078040F">
        <w:fldChar w:fldCharType="begin"/>
      </w:r>
      <w:r w:rsidR="00AF5D75" w:rsidRPr="0078040F">
        <w:rPr>
          <w:rStyle w:val="Hyperlink"/>
          <w:color w:val="auto"/>
        </w:rPr>
        <w:instrText xml:space="preserve"> TOC \h \z \t "Caption" \c </w:instrText>
      </w:r>
      <w:r w:rsidRPr="0078040F">
        <w:fldChar w:fldCharType="separate"/>
      </w:r>
      <w:hyperlink w:anchor="_Toc499289237" w:history="1">
        <w:r w:rsidR="00410457" w:rsidRPr="00186982">
          <w:rPr>
            <w:rStyle w:val="Hyperlink"/>
            <w:noProof/>
          </w:rPr>
          <w:t>Figure 1. Prioritisation matrix</w:t>
        </w:r>
        <w:r w:rsidR="00410457">
          <w:rPr>
            <w:noProof/>
            <w:webHidden/>
          </w:rPr>
          <w:tab/>
        </w:r>
        <w:r w:rsidR="00410457">
          <w:rPr>
            <w:noProof/>
            <w:webHidden/>
          </w:rPr>
          <w:fldChar w:fldCharType="begin"/>
        </w:r>
        <w:r w:rsidR="00410457">
          <w:rPr>
            <w:noProof/>
            <w:webHidden/>
          </w:rPr>
          <w:instrText xml:space="preserve"> PAGEREF _Toc499289237 \h </w:instrText>
        </w:r>
        <w:r w:rsidR="00410457">
          <w:rPr>
            <w:noProof/>
            <w:webHidden/>
          </w:rPr>
        </w:r>
        <w:r w:rsidR="00410457">
          <w:rPr>
            <w:noProof/>
            <w:webHidden/>
          </w:rPr>
          <w:fldChar w:fldCharType="separate"/>
        </w:r>
        <w:r w:rsidR="00E95F8E">
          <w:rPr>
            <w:noProof/>
            <w:webHidden/>
          </w:rPr>
          <w:t>10</w:t>
        </w:r>
        <w:r w:rsidR="00410457">
          <w:rPr>
            <w:noProof/>
            <w:webHidden/>
          </w:rPr>
          <w:fldChar w:fldCharType="end"/>
        </w:r>
      </w:hyperlink>
    </w:p>
    <w:p w14:paraId="1B406BE1" w14:textId="77777777" w:rsidR="00410457" w:rsidRDefault="000B0991">
      <w:pPr>
        <w:pStyle w:val="TableofFigures"/>
        <w:tabs>
          <w:tab w:val="right" w:leader="dot" w:pos="9016"/>
        </w:tabs>
        <w:rPr>
          <w:rFonts w:eastAsiaTheme="minorEastAsia" w:cstheme="minorBidi"/>
          <w:noProof/>
          <w:sz w:val="22"/>
          <w:szCs w:val="22"/>
        </w:rPr>
      </w:pPr>
      <w:hyperlink w:anchor="_Toc499289238" w:history="1">
        <w:r w:rsidR="00410457" w:rsidRPr="00186982">
          <w:rPr>
            <w:rStyle w:val="Hyperlink"/>
            <w:noProof/>
          </w:rPr>
          <w:t>Table 1. Pathology Clinical Committee members</w:t>
        </w:r>
        <w:r w:rsidR="00410457">
          <w:rPr>
            <w:noProof/>
            <w:webHidden/>
          </w:rPr>
          <w:tab/>
        </w:r>
        <w:r w:rsidR="00410457">
          <w:rPr>
            <w:noProof/>
            <w:webHidden/>
          </w:rPr>
          <w:fldChar w:fldCharType="begin"/>
        </w:r>
        <w:r w:rsidR="00410457">
          <w:rPr>
            <w:noProof/>
            <w:webHidden/>
          </w:rPr>
          <w:instrText xml:space="preserve"> PAGEREF _Toc499289238 \h </w:instrText>
        </w:r>
        <w:r w:rsidR="00410457">
          <w:rPr>
            <w:noProof/>
            <w:webHidden/>
          </w:rPr>
        </w:r>
        <w:r w:rsidR="00410457">
          <w:rPr>
            <w:noProof/>
            <w:webHidden/>
          </w:rPr>
          <w:fldChar w:fldCharType="separate"/>
        </w:r>
        <w:r w:rsidR="00E95F8E">
          <w:rPr>
            <w:noProof/>
            <w:webHidden/>
          </w:rPr>
          <w:t>11</w:t>
        </w:r>
        <w:r w:rsidR="00410457">
          <w:rPr>
            <w:noProof/>
            <w:webHidden/>
          </w:rPr>
          <w:fldChar w:fldCharType="end"/>
        </w:r>
      </w:hyperlink>
    </w:p>
    <w:p w14:paraId="117764BE" w14:textId="77777777" w:rsidR="00410457" w:rsidRDefault="000B0991">
      <w:pPr>
        <w:pStyle w:val="TableofFigures"/>
        <w:tabs>
          <w:tab w:val="right" w:leader="dot" w:pos="9016"/>
        </w:tabs>
        <w:rPr>
          <w:rFonts w:eastAsiaTheme="minorEastAsia" w:cstheme="minorBidi"/>
          <w:noProof/>
          <w:sz w:val="22"/>
          <w:szCs w:val="22"/>
        </w:rPr>
      </w:pPr>
      <w:hyperlink w:anchor="_Toc499289239" w:history="1">
        <w:r w:rsidR="00410457" w:rsidRPr="00186982">
          <w:rPr>
            <w:rStyle w:val="Hyperlink"/>
            <w:noProof/>
          </w:rPr>
          <w:t>Table 2. Immunology Working Group members</w:t>
        </w:r>
        <w:r w:rsidR="00410457">
          <w:rPr>
            <w:noProof/>
            <w:webHidden/>
          </w:rPr>
          <w:tab/>
        </w:r>
        <w:r w:rsidR="00410457">
          <w:rPr>
            <w:noProof/>
            <w:webHidden/>
          </w:rPr>
          <w:fldChar w:fldCharType="begin"/>
        </w:r>
        <w:r w:rsidR="00410457">
          <w:rPr>
            <w:noProof/>
            <w:webHidden/>
          </w:rPr>
          <w:instrText xml:space="preserve"> PAGEREF _Toc499289239 \h </w:instrText>
        </w:r>
        <w:r w:rsidR="00410457">
          <w:rPr>
            <w:noProof/>
            <w:webHidden/>
          </w:rPr>
        </w:r>
        <w:r w:rsidR="00410457">
          <w:rPr>
            <w:noProof/>
            <w:webHidden/>
          </w:rPr>
          <w:fldChar w:fldCharType="separate"/>
        </w:r>
        <w:r w:rsidR="00E95F8E">
          <w:rPr>
            <w:noProof/>
            <w:webHidden/>
          </w:rPr>
          <w:t>12</w:t>
        </w:r>
        <w:r w:rsidR="00410457">
          <w:rPr>
            <w:noProof/>
            <w:webHidden/>
          </w:rPr>
          <w:fldChar w:fldCharType="end"/>
        </w:r>
      </w:hyperlink>
    </w:p>
    <w:p w14:paraId="2C6083DF" w14:textId="77777777" w:rsidR="00410457" w:rsidRDefault="000B0991">
      <w:pPr>
        <w:pStyle w:val="TableofFigures"/>
        <w:tabs>
          <w:tab w:val="right" w:leader="dot" w:pos="9016"/>
        </w:tabs>
        <w:rPr>
          <w:rFonts w:eastAsiaTheme="minorEastAsia" w:cstheme="minorBidi"/>
          <w:noProof/>
          <w:sz w:val="22"/>
          <w:szCs w:val="22"/>
        </w:rPr>
      </w:pPr>
      <w:hyperlink w:anchor="_Toc499289240" w:history="1">
        <w:r w:rsidR="00410457" w:rsidRPr="00186982">
          <w:rPr>
            <w:rStyle w:val="Hyperlink"/>
            <w:noProof/>
          </w:rPr>
          <w:t>Table 3. Item introduction table for items 71163, 71164</w:t>
        </w:r>
        <w:r w:rsidR="00410457">
          <w:rPr>
            <w:noProof/>
            <w:webHidden/>
          </w:rPr>
          <w:tab/>
        </w:r>
        <w:r w:rsidR="00410457">
          <w:rPr>
            <w:noProof/>
            <w:webHidden/>
          </w:rPr>
          <w:fldChar w:fldCharType="begin"/>
        </w:r>
        <w:r w:rsidR="00410457">
          <w:rPr>
            <w:noProof/>
            <w:webHidden/>
          </w:rPr>
          <w:instrText xml:space="preserve"> PAGEREF _Toc499289240 \h </w:instrText>
        </w:r>
        <w:r w:rsidR="00410457">
          <w:rPr>
            <w:noProof/>
            <w:webHidden/>
          </w:rPr>
        </w:r>
        <w:r w:rsidR="00410457">
          <w:rPr>
            <w:noProof/>
            <w:webHidden/>
          </w:rPr>
          <w:fldChar w:fldCharType="separate"/>
        </w:r>
        <w:r w:rsidR="00E95F8E">
          <w:rPr>
            <w:noProof/>
            <w:webHidden/>
          </w:rPr>
          <w:t>14</w:t>
        </w:r>
        <w:r w:rsidR="00410457">
          <w:rPr>
            <w:noProof/>
            <w:webHidden/>
          </w:rPr>
          <w:fldChar w:fldCharType="end"/>
        </w:r>
      </w:hyperlink>
    </w:p>
    <w:p w14:paraId="0DAFDA5B" w14:textId="77777777" w:rsidR="00410457" w:rsidRDefault="000B0991">
      <w:pPr>
        <w:pStyle w:val="TableofFigures"/>
        <w:tabs>
          <w:tab w:val="right" w:leader="dot" w:pos="9016"/>
        </w:tabs>
        <w:rPr>
          <w:rFonts w:eastAsiaTheme="minorEastAsia" w:cstheme="minorBidi"/>
          <w:noProof/>
          <w:sz w:val="22"/>
          <w:szCs w:val="22"/>
        </w:rPr>
      </w:pPr>
      <w:hyperlink w:anchor="_Toc499289241" w:history="1">
        <w:r w:rsidR="00410457" w:rsidRPr="00186982">
          <w:rPr>
            <w:rStyle w:val="Hyperlink"/>
            <w:noProof/>
          </w:rPr>
          <w:t>Table 4. Current and proposed item descriptors for items 71163 and 71164</w:t>
        </w:r>
        <w:r w:rsidR="00410457">
          <w:rPr>
            <w:noProof/>
            <w:webHidden/>
          </w:rPr>
          <w:tab/>
        </w:r>
        <w:r w:rsidR="00410457">
          <w:rPr>
            <w:noProof/>
            <w:webHidden/>
          </w:rPr>
          <w:fldChar w:fldCharType="begin"/>
        </w:r>
        <w:r w:rsidR="00410457">
          <w:rPr>
            <w:noProof/>
            <w:webHidden/>
          </w:rPr>
          <w:instrText xml:space="preserve"> PAGEREF _Toc499289241 \h </w:instrText>
        </w:r>
        <w:r w:rsidR="00410457">
          <w:rPr>
            <w:noProof/>
            <w:webHidden/>
          </w:rPr>
        </w:r>
        <w:r w:rsidR="00410457">
          <w:rPr>
            <w:noProof/>
            <w:webHidden/>
          </w:rPr>
          <w:fldChar w:fldCharType="separate"/>
        </w:r>
        <w:r w:rsidR="00E95F8E">
          <w:rPr>
            <w:noProof/>
            <w:webHidden/>
          </w:rPr>
          <w:t>15</w:t>
        </w:r>
        <w:r w:rsidR="00410457">
          <w:rPr>
            <w:noProof/>
            <w:webHidden/>
          </w:rPr>
          <w:fldChar w:fldCharType="end"/>
        </w:r>
      </w:hyperlink>
    </w:p>
    <w:p w14:paraId="2E588E74" w14:textId="77777777" w:rsidR="00410457" w:rsidRDefault="000B0991">
      <w:pPr>
        <w:pStyle w:val="TableofFigures"/>
        <w:tabs>
          <w:tab w:val="right" w:leader="dot" w:pos="9016"/>
        </w:tabs>
        <w:rPr>
          <w:rFonts w:eastAsiaTheme="minorEastAsia" w:cstheme="minorBidi"/>
          <w:noProof/>
          <w:sz w:val="22"/>
          <w:szCs w:val="22"/>
        </w:rPr>
      </w:pPr>
      <w:hyperlink w:anchor="_Toc499289242" w:history="1">
        <w:r w:rsidR="00410457" w:rsidRPr="00186982">
          <w:rPr>
            <w:rStyle w:val="Hyperlink"/>
            <w:noProof/>
          </w:rPr>
          <w:t>Table 5. Item introduction table for item 71151</w:t>
        </w:r>
        <w:r w:rsidR="00410457">
          <w:rPr>
            <w:noProof/>
            <w:webHidden/>
          </w:rPr>
          <w:tab/>
        </w:r>
        <w:r w:rsidR="00410457">
          <w:rPr>
            <w:noProof/>
            <w:webHidden/>
          </w:rPr>
          <w:fldChar w:fldCharType="begin"/>
        </w:r>
        <w:r w:rsidR="00410457">
          <w:rPr>
            <w:noProof/>
            <w:webHidden/>
          </w:rPr>
          <w:instrText xml:space="preserve"> PAGEREF _Toc499289242 \h </w:instrText>
        </w:r>
        <w:r w:rsidR="00410457">
          <w:rPr>
            <w:noProof/>
            <w:webHidden/>
          </w:rPr>
        </w:r>
        <w:r w:rsidR="00410457">
          <w:rPr>
            <w:noProof/>
            <w:webHidden/>
          </w:rPr>
          <w:fldChar w:fldCharType="separate"/>
        </w:r>
        <w:r w:rsidR="00E95F8E">
          <w:rPr>
            <w:noProof/>
            <w:webHidden/>
          </w:rPr>
          <w:t>16</w:t>
        </w:r>
        <w:r w:rsidR="00410457">
          <w:rPr>
            <w:noProof/>
            <w:webHidden/>
          </w:rPr>
          <w:fldChar w:fldCharType="end"/>
        </w:r>
      </w:hyperlink>
    </w:p>
    <w:p w14:paraId="165DD73A" w14:textId="77777777" w:rsidR="00410457" w:rsidRDefault="000B0991">
      <w:pPr>
        <w:pStyle w:val="TableofFigures"/>
        <w:tabs>
          <w:tab w:val="right" w:leader="dot" w:pos="9016"/>
        </w:tabs>
        <w:rPr>
          <w:rFonts w:eastAsiaTheme="minorEastAsia" w:cstheme="minorBidi"/>
          <w:noProof/>
          <w:sz w:val="22"/>
          <w:szCs w:val="22"/>
        </w:rPr>
      </w:pPr>
      <w:hyperlink w:anchor="_Toc499289243" w:history="1">
        <w:r w:rsidR="00410457" w:rsidRPr="00186982">
          <w:rPr>
            <w:rStyle w:val="Hyperlink"/>
            <w:noProof/>
          </w:rPr>
          <w:t xml:space="preserve">Table 6. </w:t>
        </w:r>
        <w:r w:rsidR="00410457" w:rsidRPr="00186982">
          <w:rPr>
            <w:rStyle w:val="Hyperlink"/>
            <w:noProof/>
            <w:lang w:val="en-US"/>
          </w:rPr>
          <w:t>Current and proposed item descriptors for item 71151 and new item</w:t>
        </w:r>
        <w:r w:rsidR="00410457">
          <w:rPr>
            <w:noProof/>
            <w:webHidden/>
          </w:rPr>
          <w:tab/>
        </w:r>
        <w:r w:rsidR="00410457">
          <w:rPr>
            <w:noProof/>
            <w:webHidden/>
          </w:rPr>
          <w:fldChar w:fldCharType="begin"/>
        </w:r>
        <w:r w:rsidR="00410457">
          <w:rPr>
            <w:noProof/>
            <w:webHidden/>
          </w:rPr>
          <w:instrText xml:space="preserve"> PAGEREF _Toc499289243 \h </w:instrText>
        </w:r>
        <w:r w:rsidR="00410457">
          <w:rPr>
            <w:noProof/>
            <w:webHidden/>
          </w:rPr>
        </w:r>
        <w:r w:rsidR="00410457">
          <w:rPr>
            <w:noProof/>
            <w:webHidden/>
          </w:rPr>
          <w:fldChar w:fldCharType="separate"/>
        </w:r>
        <w:r w:rsidR="00E95F8E">
          <w:rPr>
            <w:noProof/>
            <w:webHidden/>
          </w:rPr>
          <w:t>16</w:t>
        </w:r>
        <w:r w:rsidR="00410457">
          <w:rPr>
            <w:noProof/>
            <w:webHidden/>
          </w:rPr>
          <w:fldChar w:fldCharType="end"/>
        </w:r>
      </w:hyperlink>
    </w:p>
    <w:p w14:paraId="291692CE" w14:textId="77777777" w:rsidR="00410457" w:rsidRDefault="000B0991">
      <w:pPr>
        <w:pStyle w:val="TableofFigures"/>
        <w:tabs>
          <w:tab w:val="right" w:leader="dot" w:pos="9016"/>
        </w:tabs>
        <w:rPr>
          <w:rFonts w:eastAsiaTheme="minorEastAsia" w:cstheme="minorBidi"/>
          <w:noProof/>
          <w:sz w:val="22"/>
          <w:szCs w:val="22"/>
        </w:rPr>
      </w:pPr>
      <w:hyperlink w:anchor="_Toc499289244" w:history="1">
        <w:r w:rsidR="00410457" w:rsidRPr="00186982">
          <w:rPr>
            <w:rStyle w:val="Hyperlink"/>
            <w:noProof/>
          </w:rPr>
          <w:t>Table 7. Item introduction table for item 71079</w:t>
        </w:r>
        <w:r w:rsidR="00410457">
          <w:rPr>
            <w:noProof/>
            <w:webHidden/>
          </w:rPr>
          <w:tab/>
        </w:r>
        <w:r w:rsidR="00410457">
          <w:rPr>
            <w:noProof/>
            <w:webHidden/>
          </w:rPr>
          <w:fldChar w:fldCharType="begin"/>
        </w:r>
        <w:r w:rsidR="00410457">
          <w:rPr>
            <w:noProof/>
            <w:webHidden/>
          </w:rPr>
          <w:instrText xml:space="preserve"> PAGEREF _Toc499289244 \h </w:instrText>
        </w:r>
        <w:r w:rsidR="00410457">
          <w:rPr>
            <w:noProof/>
            <w:webHidden/>
          </w:rPr>
        </w:r>
        <w:r w:rsidR="00410457">
          <w:rPr>
            <w:noProof/>
            <w:webHidden/>
          </w:rPr>
          <w:fldChar w:fldCharType="separate"/>
        </w:r>
        <w:r w:rsidR="00E95F8E">
          <w:rPr>
            <w:noProof/>
            <w:webHidden/>
          </w:rPr>
          <w:t>17</w:t>
        </w:r>
        <w:r w:rsidR="00410457">
          <w:rPr>
            <w:noProof/>
            <w:webHidden/>
          </w:rPr>
          <w:fldChar w:fldCharType="end"/>
        </w:r>
      </w:hyperlink>
    </w:p>
    <w:p w14:paraId="620AAE4B" w14:textId="77777777" w:rsidR="00410457" w:rsidRDefault="000B0991">
      <w:pPr>
        <w:pStyle w:val="TableofFigures"/>
        <w:tabs>
          <w:tab w:val="right" w:leader="dot" w:pos="9016"/>
        </w:tabs>
        <w:rPr>
          <w:rFonts w:eastAsiaTheme="minorEastAsia" w:cstheme="minorBidi"/>
          <w:noProof/>
          <w:sz w:val="22"/>
          <w:szCs w:val="22"/>
        </w:rPr>
      </w:pPr>
      <w:hyperlink w:anchor="_Toc499289245" w:history="1">
        <w:r w:rsidR="00410457" w:rsidRPr="00186982">
          <w:rPr>
            <w:rStyle w:val="Hyperlink"/>
            <w:noProof/>
          </w:rPr>
          <w:t>Table 8. Current and proposed item descriptors for item 71079 and new item</w:t>
        </w:r>
        <w:r w:rsidR="00410457">
          <w:rPr>
            <w:noProof/>
            <w:webHidden/>
          </w:rPr>
          <w:tab/>
        </w:r>
        <w:r w:rsidR="00410457">
          <w:rPr>
            <w:noProof/>
            <w:webHidden/>
          </w:rPr>
          <w:fldChar w:fldCharType="begin"/>
        </w:r>
        <w:r w:rsidR="00410457">
          <w:rPr>
            <w:noProof/>
            <w:webHidden/>
          </w:rPr>
          <w:instrText xml:space="preserve"> PAGEREF _Toc499289245 \h </w:instrText>
        </w:r>
        <w:r w:rsidR="00410457">
          <w:rPr>
            <w:noProof/>
            <w:webHidden/>
          </w:rPr>
        </w:r>
        <w:r w:rsidR="00410457">
          <w:rPr>
            <w:noProof/>
            <w:webHidden/>
          </w:rPr>
          <w:fldChar w:fldCharType="separate"/>
        </w:r>
        <w:r w:rsidR="00E95F8E">
          <w:rPr>
            <w:noProof/>
            <w:webHidden/>
          </w:rPr>
          <w:t>18</w:t>
        </w:r>
        <w:r w:rsidR="00410457">
          <w:rPr>
            <w:noProof/>
            <w:webHidden/>
          </w:rPr>
          <w:fldChar w:fldCharType="end"/>
        </w:r>
      </w:hyperlink>
    </w:p>
    <w:p w14:paraId="4ECD5BB2" w14:textId="77777777" w:rsidR="00410457" w:rsidRDefault="000B0991">
      <w:pPr>
        <w:pStyle w:val="TableofFigures"/>
        <w:tabs>
          <w:tab w:val="right" w:leader="dot" w:pos="9016"/>
        </w:tabs>
        <w:rPr>
          <w:rFonts w:eastAsiaTheme="minorEastAsia" w:cstheme="minorBidi"/>
          <w:noProof/>
          <w:sz w:val="22"/>
          <w:szCs w:val="22"/>
        </w:rPr>
      </w:pPr>
      <w:hyperlink w:anchor="_Toc499289246" w:history="1">
        <w:r w:rsidR="00410457" w:rsidRPr="00186982">
          <w:rPr>
            <w:rStyle w:val="Hyperlink"/>
            <w:noProof/>
          </w:rPr>
          <w:t>Table 9. Item introduction table for item 71097</w:t>
        </w:r>
        <w:r w:rsidR="00410457">
          <w:rPr>
            <w:noProof/>
            <w:webHidden/>
          </w:rPr>
          <w:tab/>
        </w:r>
        <w:r w:rsidR="00410457">
          <w:rPr>
            <w:noProof/>
            <w:webHidden/>
          </w:rPr>
          <w:fldChar w:fldCharType="begin"/>
        </w:r>
        <w:r w:rsidR="00410457">
          <w:rPr>
            <w:noProof/>
            <w:webHidden/>
          </w:rPr>
          <w:instrText xml:space="preserve"> PAGEREF _Toc499289246 \h </w:instrText>
        </w:r>
        <w:r w:rsidR="00410457">
          <w:rPr>
            <w:noProof/>
            <w:webHidden/>
          </w:rPr>
        </w:r>
        <w:r w:rsidR="00410457">
          <w:rPr>
            <w:noProof/>
            <w:webHidden/>
          </w:rPr>
          <w:fldChar w:fldCharType="separate"/>
        </w:r>
        <w:r w:rsidR="00E95F8E">
          <w:rPr>
            <w:noProof/>
            <w:webHidden/>
          </w:rPr>
          <w:t>19</w:t>
        </w:r>
        <w:r w:rsidR="00410457">
          <w:rPr>
            <w:noProof/>
            <w:webHidden/>
          </w:rPr>
          <w:fldChar w:fldCharType="end"/>
        </w:r>
      </w:hyperlink>
    </w:p>
    <w:p w14:paraId="37439D72" w14:textId="77777777" w:rsidR="00410457" w:rsidRDefault="000B0991">
      <w:pPr>
        <w:pStyle w:val="TableofFigures"/>
        <w:tabs>
          <w:tab w:val="right" w:leader="dot" w:pos="9016"/>
        </w:tabs>
        <w:rPr>
          <w:rFonts w:eastAsiaTheme="minorEastAsia" w:cstheme="minorBidi"/>
          <w:noProof/>
          <w:sz w:val="22"/>
          <w:szCs w:val="22"/>
        </w:rPr>
      </w:pPr>
      <w:hyperlink w:anchor="_Toc499289247" w:history="1">
        <w:r w:rsidR="00410457" w:rsidRPr="00186982">
          <w:rPr>
            <w:rStyle w:val="Hyperlink"/>
            <w:noProof/>
          </w:rPr>
          <w:t xml:space="preserve">Table 10. </w:t>
        </w:r>
        <w:r w:rsidR="00410457" w:rsidRPr="00186982">
          <w:rPr>
            <w:rStyle w:val="Hyperlink"/>
            <w:noProof/>
            <w:lang w:val="en-US"/>
          </w:rPr>
          <w:t>Current and proposed item descriptors for item 71097</w:t>
        </w:r>
        <w:r w:rsidR="00410457">
          <w:rPr>
            <w:noProof/>
            <w:webHidden/>
          </w:rPr>
          <w:tab/>
        </w:r>
        <w:r w:rsidR="00410457">
          <w:rPr>
            <w:noProof/>
            <w:webHidden/>
          </w:rPr>
          <w:fldChar w:fldCharType="begin"/>
        </w:r>
        <w:r w:rsidR="00410457">
          <w:rPr>
            <w:noProof/>
            <w:webHidden/>
          </w:rPr>
          <w:instrText xml:space="preserve"> PAGEREF _Toc499289247 \h </w:instrText>
        </w:r>
        <w:r w:rsidR="00410457">
          <w:rPr>
            <w:noProof/>
            <w:webHidden/>
          </w:rPr>
        </w:r>
        <w:r w:rsidR="00410457">
          <w:rPr>
            <w:noProof/>
            <w:webHidden/>
          </w:rPr>
          <w:fldChar w:fldCharType="separate"/>
        </w:r>
        <w:r w:rsidR="00E95F8E">
          <w:rPr>
            <w:noProof/>
            <w:webHidden/>
          </w:rPr>
          <w:t>19</w:t>
        </w:r>
        <w:r w:rsidR="00410457">
          <w:rPr>
            <w:noProof/>
            <w:webHidden/>
          </w:rPr>
          <w:fldChar w:fldCharType="end"/>
        </w:r>
      </w:hyperlink>
    </w:p>
    <w:p w14:paraId="37FBF9D4" w14:textId="77777777" w:rsidR="00410457" w:rsidRDefault="000B0991">
      <w:pPr>
        <w:pStyle w:val="TableofFigures"/>
        <w:tabs>
          <w:tab w:val="right" w:leader="dot" w:pos="9016"/>
        </w:tabs>
        <w:rPr>
          <w:rFonts w:eastAsiaTheme="minorEastAsia" w:cstheme="minorBidi"/>
          <w:noProof/>
          <w:sz w:val="22"/>
          <w:szCs w:val="22"/>
        </w:rPr>
      </w:pPr>
      <w:hyperlink w:anchor="_Toc499289248" w:history="1">
        <w:r w:rsidR="00410457" w:rsidRPr="00186982">
          <w:rPr>
            <w:rStyle w:val="Hyperlink"/>
            <w:noProof/>
          </w:rPr>
          <w:t>Table 11. Item introduction table for item 71099</w:t>
        </w:r>
        <w:r w:rsidR="00410457">
          <w:rPr>
            <w:noProof/>
            <w:webHidden/>
          </w:rPr>
          <w:tab/>
        </w:r>
        <w:r w:rsidR="00410457">
          <w:rPr>
            <w:noProof/>
            <w:webHidden/>
          </w:rPr>
          <w:fldChar w:fldCharType="begin"/>
        </w:r>
        <w:r w:rsidR="00410457">
          <w:rPr>
            <w:noProof/>
            <w:webHidden/>
          </w:rPr>
          <w:instrText xml:space="preserve"> PAGEREF _Toc499289248 \h </w:instrText>
        </w:r>
        <w:r w:rsidR="00410457">
          <w:rPr>
            <w:noProof/>
            <w:webHidden/>
          </w:rPr>
        </w:r>
        <w:r w:rsidR="00410457">
          <w:rPr>
            <w:noProof/>
            <w:webHidden/>
          </w:rPr>
          <w:fldChar w:fldCharType="separate"/>
        </w:r>
        <w:r w:rsidR="00E95F8E">
          <w:rPr>
            <w:noProof/>
            <w:webHidden/>
          </w:rPr>
          <w:t>20</w:t>
        </w:r>
        <w:r w:rsidR="00410457">
          <w:rPr>
            <w:noProof/>
            <w:webHidden/>
          </w:rPr>
          <w:fldChar w:fldCharType="end"/>
        </w:r>
      </w:hyperlink>
    </w:p>
    <w:p w14:paraId="58AC0491" w14:textId="77777777" w:rsidR="00410457" w:rsidRDefault="000B0991">
      <w:pPr>
        <w:pStyle w:val="TableofFigures"/>
        <w:tabs>
          <w:tab w:val="right" w:leader="dot" w:pos="9016"/>
        </w:tabs>
        <w:rPr>
          <w:rFonts w:eastAsiaTheme="minorEastAsia" w:cstheme="minorBidi"/>
          <w:noProof/>
          <w:sz w:val="22"/>
          <w:szCs w:val="22"/>
        </w:rPr>
      </w:pPr>
      <w:hyperlink w:anchor="_Toc499289249" w:history="1">
        <w:r w:rsidR="00410457" w:rsidRPr="00186982">
          <w:rPr>
            <w:rStyle w:val="Hyperlink"/>
            <w:noProof/>
          </w:rPr>
          <w:t>Table 12. Current and proposed item descriptors for item 71099</w:t>
        </w:r>
        <w:r w:rsidR="00410457">
          <w:rPr>
            <w:noProof/>
            <w:webHidden/>
          </w:rPr>
          <w:tab/>
        </w:r>
        <w:r w:rsidR="00410457">
          <w:rPr>
            <w:noProof/>
            <w:webHidden/>
          </w:rPr>
          <w:fldChar w:fldCharType="begin"/>
        </w:r>
        <w:r w:rsidR="00410457">
          <w:rPr>
            <w:noProof/>
            <w:webHidden/>
          </w:rPr>
          <w:instrText xml:space="preserve"> PAGEREF _Toc499289249 \h </w:instrText>
        </w:r>
        <w:r w:rsidR="00410457">
          <w:rPr>
            <w:noProof/>
            <w:webHidden/>
          </w:rPr>
        </w:r>
        <w:r w:rsidR="00410457">
          <w:rPr>
            <w:noProof/>
            <w:webHidden/>
          </w:rPr>
          <w:fldChar w:fldCharType="separate"/>
        </w:r>
        <w:r w:rsidR="00E95F8E">
          <w:rPr>
            <w:noProof/>
            <w:webHidden/>
          </w:rPr>
          <w:t>20</w:t>
        </w:r>
        <w:r w:rsidR="00410457">
          <w:rPr>
            <w:noProof/>
            <w:webHidden/>
          </w:rPr>
          <w:fldChar w:fldCharType="end"/>
        </w:r>
      </w:hyperlink>
    </w:p>
    <w:p w14:paraId="5A38249D" w14:textId="77777777" w:rsidR="00410457" w:rsidRDefault="000B0991">
      <w:pPr>
        <w:pStyle w:val="TableofFigures"/>
        <w:tabs>
          <w:tab w:val="right" w:leader="dot" w:pos="9016"/>
        </w:tabs>
        <w:rPr>
          <w:rFonts w:eastAsiaTheme="minorEastAsia" w:cstheme="minorBidi"/>
          <w:noProof/>
          <w:sz w:val="22"/>
          <w:szCs w:val="22"/>
        </w:rPr>
      </w:pPr>
      <w:hyperlink w:anchor="_Toc499289250" w:history="1">
        <w:r w:rsidR="00410457" w:rsidRPr="00186982">
          <w:rPr>
            <w:rStyle w:val="Hyperlink"/>
            <w:noProof/>
          </w:rPr>
          <w:t>Table 13. Item introduction table for items 71101 and 71103</w:t>
        </w:r>
        <w:r w:rsidR="00410457">
          <w:rPr>
            <w:noProof/>
            <w:webHidden/>
          </w:rPr>
          <w:tab/>
        </w:r>
        <w:r w:rsidR="00410457">
          <w:rPr>
            <w:noProof/>
            <w:webHidden/>
          </w:rPr>
          <w:fldChar w:fldCharType="begin"/>
        </w:r>
        <w:r w:rsidR="00410457">
          <w:rPr>
            <w:noProof/>
            <w:webHidden/>
          </w:rPr>
          <w:instrText xml:space="preserve"> PAGEREF _Toc499289250 \h </w:instrText>
        </w:r>
        <w:r w:rsidR="00410457">
          <w:rPr>
            <w:noProof/>
            <w:webHidden/>
          </w:rPr>
        </w:r>
        <w:r w:rsidR="00410457">
          <w:rPr>
            <w:noProof/>
            <w:webHidden/>
          </w:rPr>
          <w:fldChar w:fldCharType="separate"/>
        </w:r>
        <w:r w:rsidR="00E95F8E">
          <w:rPr>
            <w:noProof/>
            <w:webHidden/>
          </w:rPr>
          <w:t>21</w:t>
        </w:r>
        <w:r w:rsidR="00410457">
          <w:rPr>
            <w:noProof/>
            <w:webHidden/>
          </w:rPr>
          <w:fldChar w:fldCharType="end"/>
        </w:r>
      </w:hyperlink>
    </w:p>
    <w:p w14:paraId="36E17121" w14:textId="77777777" w:rsidR="00410457" w:rsidRDefault="000B0991">
      <w:pPr>
        <w:pStyle w:val="TableofFigures"/>
        <w:tabs>
          <w:tab w:val="right" w:leader="dot" w:pos="9016"/>
        </w:tabs>
        <w:rPr>
          <w:rFonts w:eastAsiaTheme="minorEastAsia" w:cstheme="minorBidi"/>
          <w:noProof/>
          <w:sz w:val="22"/>
          <w:szCs w:val="22"/>
        </w:rPr>
      </w:pPr>
      <w:hyperlink w:anchor="_Toc499289251" w:history="1">
        <w:r w:rsidR="00410457" w:rsidRPr="00186982">
          <w:rPr>
            <w:rStyle w:val="Hyperlink"/>
            <w:noProof/>
          </w:rPr>
          <w:t>Table 14. Item introduction table for items 71083, 71085, 71087, 71089, 71091 and 71093</w:t>
        </w:r>
        <w:r w:rsidR="00410457">
          <w:rPr>
            <w:noProof/>
            <w:webHidden/>
          </w:rPr>
          <w:tab/>
        </w:r>
        <w:r w:rsidR="00410457">
          <w:rPr>
            <w:noProof/>
            <w:webHidden/>
          </w:rPr>
          <w:fldChar w:fldCharType="begin"/>
        </w:r>
        <w:r w:rsidR="00410457">
          <w:rPr>
            <w:noProof/>
            <w:webHidden/>
          </w:rPr>
          <w:instrText xml:space="preserve"> PAGEREF _Toc499289251 \h </w:instrText>
        </w:r>
        <w:r w:rsidR="00410457">
          <w:rPr>
            <w:noProof/>
            <w:webHidden/>
          </w:rPr>
        </w:r>
        <w:r w:rsidR="00410457">
          <w:rPr>
            <w:noProof/>
            <w:webHidden/>
          </w:rPr>
          <w:fldChar w:fldCharType="separate"/>
        </w:r>
        <w:r w:rsidR="00E95F8E">
          <w:rPr>
            <w:noProof/>
            <w:webHidden/>
          </w:rPr>
          <w:t>22</w:t>
        </w:r>
        <w:r w:rsidR="00410457">
          <w:rPr>
            <w:noProof/>
            <w:webHidden/>
          </w:rPr>
          <w:fldChar w:fldCharType="end"/>
        </w:r>
      </w:hyperlink>
    </w:p>
    <w:p w14:paraId="01BDCD84" w14:textId="77777777" w:rsidR="00410457" w:rsidRDefault="000B0991">
      <w:pPr>
        <w:pStyle w:val="TableofFigures"/>
        <w:tabs>
          <w:tab w:val="right" w:leader="dot" w:pos="9016"/>
        </w:tabs>
        <w:rPr>
          <w:rFonts w:eastAsiaTheme="minorEastAsia" w:cstheme="minorBidi"/>
          <w:noProof/>
          <w:sz w:val="22"/>
          <w:szCs w:val="22"/>
        </w:rPr>
      </w:pPr>
      <w:hyperlink w:anchor="_Toc499289252" w:history="1">
        <w:r w:rsidR="00410457" w:rsidRPr="00186982">
          <w:rPr>
            <w:rStyle w:val="Hyperlink"/>
            <w:noProof/>
          </w:rPr>
          <w:t xml:space="preserve">Table 15. </w:t>
        </w:r>
        <w:r w:rsidR="00410457" w:rsidRPr="00186982">
          <w:rPr>
            <w:rStyle w:val="Hyperlink"/>
            <w:noProof/>
            <w:lang w:val="en-US"/>
          </w:rPr>
          <w:t xml:space="preserve">Current and proposed item descriptors for items </w:t>
        </w:r>
        <w:r w:rsidR="00410457" w:rsidRPr="00186982">
          <w:rPr>
            <w:rStyle w:val="Hyperlink"/>
            <w:noProof/>
          </w:rPr>
          <w:t>71083, 71085, 71087, 71089, 71091 and 71093</w:t>
        </w:r>
        <w:r w:rsidR="00410457">
          <w:rPr>
            <w:noProof/>
            <w:webHidden/>
          </w:rPr>
          <w:tab/>
        </w:r>
        <w:r w:rsidR="00410457">
          <w:rPr>
            <w:noProof/>
            <w:webHidden/>
          </w:rPr>
          <w:fldChar w:fldCharType="begin"/>
        </w:r>
        <w:r w:rsidR="00410457">
          <w:rPr>
            <w:noProof/>
            <w:webHidden/>
          </w:rPr>
          <w:instrText xml:space="preserve"> PAGEREF _Toc499289252 \h </w:instrText>
        </w:r>
        <w:r w:rsidR="00410457">
          <w:rPr>
            <w:noProof/>
            <w:webHidden/>
          </w:rPr>
        </w:r>
        <w:r w:rsidR="00410457">
          <w:rPr>
            <w:noProof/>
            <w:webHidden/>
          </w:rPr>
          <w:fldChar w:fldCharType="separate"/>
        </w:r>
        <w:r w:rsidR="00E95F8E">
          <w:rPr>
            <w:noProof/>
            <w:webHidden/>
          </w:rPr>
          <w:t>22</w:t>
        </w:r>
        <w:r w:rsidR="00410457">
          <w:rPr>
            <w:noProof/>
            <w:webHidden/>
          </w:rPr>
          <w:fldChar w:fldCharType="end"/>
        </w:r>
      </w:hyperlink>
    </w:p>
    <w:p w14:paraId="69820237" w14:textId="77777777" w:rsidR="00410457" w:rsidRDefault="000B0991">
      <w:pPr>
        <w:pStyle w:val="TableofFigures"/>
        <w:tabs>
          <w:tab w:val="right" w:leader="dot" w:pos="9016"/>
        </w:tabs>
        <w:rPr>
          <w:rFonts w:eastAsiaTheme="minorEastAsia" w:cstheme="minorBidi"/>
          <w:noProof/>
          <w:sz w:val="22"/>
          <w:szCs w:val="22"/>
        </w:rPr>
      </w:pPr>
      <w:hyperlink w:anchor="_Toc499289253" w:history="1">
        <w:r w:rsidR="00410457" w:rsidRPr="00186982">
          <w:rPr>
            <w:rStyle w:val="Hyperlink"/>
            <w:noProof/>
          </w:rPr>
          <w:t>Table 16. Item introduction table for items 71119, 71121, 71123 and 71125</w:t>
        </w:r>
        <w:r w:rsidR="00410457">
          <w:rPr>
            <w:noProof/>
            <w:webHidden/>
          </w:rPr>
          <w:tab/>
        </w:r>
        <w:r w:rsidR="00410457">
          <w:rPr>
            <w:noProof/>
            <w:webHidden/>
          </w:rPr>
          <w:fldChar w:fldCharType="begin"/>
        </w:r>
        <w:r w:rsidR="00410457">
          <w:rPr>
            <w:noProof/>
            <w:webHidden/>
          </w:rPr>
          <w:instrText xml:space="preserve"> PAGEREF _Toc499289253 \h </w:instrText>
        </w:r>
        <w:r w:rsidR="00410457">
          <w:rPr>
            <w:noProof/>
            <w:webHidden/>
          </w:rPr>
        </w:r>
        <w:r w:rsidR="00410457">
          <w:rPr>
            <w:noProof/>
            <w:webHidden/>
          </w:rPr>
          <w:fldChar w:fldCharType="separate"/>
        </w:r>
        <w:r w:rsidR="00E95F8E">
          <w:rPr>
            <w:noProof/>
            <w:webHidden/>
          </w:rPr>
          <w:t>23</w:t>
        </w:r>
        <w:r w:rsidR="00410457">
          <w:rPr>
            <w:noProof/>
            <w:webHidden/>
          </w:rPr>
          <w:fldChar w:fldCharType="end"/>
        </w:r>
      </w:hyperlink>
    </w:p>
    <w:p w14:paraId="3B9BD9D7" w14:textId="77777777" w:rsidR="00410457" w:rsidRDefault="000B0991">
      <w:pPr>
        <w:pStyle w:val="TableofFigures"/>
        <w:tabs>
          <w:tab w:val="right" w:leader="dot" w:pos="9016"/>
        </w:tabs>
        <w:rPr>
          <w:rFonts w:eastAsiaTheme="minorEastAsia" w:cstheme="minorBidi"/>
          <w:noProof/>
          <w:sz w:val="22"/>
          <w:szCs w:val="22"/>
        </w:rPr>
      </w:pPr>
      <w:hyperlink w:anchor="_Toc499289254" w:history="1">
        <w:r w:rsidR="00410457" w:rsidRPr="00186982">
          <w:rPr>
            <w:rStyle w:val="Hyperlink"/>
            <w:noProof/>
          </w:rPr>
          <w:t xml:space="preserve">Table 17. </w:t>
        </w:r>
        <w:r w:rsidR="00410457" w:rsidRPr="00186982">
          <w:rPr>
            <w:rStyle w:val="Hyperlink"/>
            <w:noProof/>
            <w:lang w:val="en-US"/>
          </w:rPr>
          <w:t>Current and proposed item descriptors for items 71119, 71121, 71123, 71125</w:t>
        </w:r>
        <w:r w:rsidR="00410457">
          <w:rPr>
            <w:noProof/>
            <w:webHidden/>
          </w:rPr>
          <w:tab/>
        </w:r>
        <w:r w:rsidR="00410457">
          <w:rPr>
            <w:noProof/>
            <w:webHidden/>
          </w:rPr>
          <w:fldChar w:fldCharType="begin"/>
        </w:r>
        <w:r w:rsidR="00410457">
          <w:rPr>
            <w:noProof/>
            <w:webHidden/>
          </w:rPr>
          <w:instrText xml:space="preserve"> PAGEREF _Toc499289254 \h </w:instrText>
        </w:r>
        <w:r w:rsidR="00410457">
          <w:rPr>
            <w:noProof/>
            <w:webHidden/>
          </w:rPr>
        </w:r>
        <w:r w:rsidR="00410457">
          <w:rPr>
            <w:noProof/>
            <w:webHidden/>
          </w:rPr>
          <w:fldChar w:fldCharType="separate"/>
        </w:r>
        <w:r w:rsidR="00E95F8E">
          <w:rPr>
            <w:noProof/>
            <w:webHidden/>
          </w:rPr>
          <w:t>24</w:t>
        </w:r>
        <w:r w:rsidR="00410457">
          <w:rPr>
            <w:noProof/>
            <w:webHidden/>
          </w:rPr>
          <w:fldChar w:fldCharType="end"/>
        </w:r>
      </w:hyperlink>
    </w:p>
    <w:p w14:paraId="6500E020" w14:textId="77777777" w:rsidR="00410457" w:rsidRDefault="000B0991">
      <w:pPr>
        <w:pStyle w:val="TableofFigures"/>
        <w:tabs>
          <w:tab w:val="right" w:leader="dot" w:pos="9016"/>
        </w:tabs>
        <w:rPr>
          <w:rFonts w:eastAsiaTheme="minorEastAsia" w:cstheme="minorBidi"/>
          <w:noProof/>
          <w:sz w:val="22"/>
          <w:szCs w:val="22"/>
        </w:rPr>
      </w:pPr>
      <w:hyperlink w:anchor="_Toc499289255" w:history="1">
        <w:r w:rsidR="00410457" w:rsidRPr="00186982">
          <w:rPr>
            <w:rStyle w:val="Hyperlink"/>
            <w:noProof/>
          </w:rPr>
          <w:t>Table 18. Item introduction table for item 71165</w:t>
        </w:r>
        <w:r w:rsidR="00410457">
          <w:rPr>
            <w:noProof/>
            <w:webHidden/>
          </w:rPr>
          <w:tab/>
        </w:r>
        <w:r w:rsidR="00410457">
          <w:rPr>
            <w:noProof/>
            <w:webHidden/>
          </w:rPr>
          <w:fldChar w:fldCharType="begin"/>
        </w:r>
        <w:r w:rsidR="00410457">
          <w:rPr>
            <w:noProof/>
            <w:webHidden/>
          </w:rPr>
          <w:instrText xml:space="preserve"> PAGEREF _Toc499289255 \h </w:instrText>
        </w:r>
        <w:r w:rsidR="00410457">
          <w:rPr>
            <w:noProof/>
            <w:webHidden/>
          </w:rPr>
        </w:r>
        <w:r w:rsidR="00410457">
          <w:rPr>
            <w:noProof/>
            <w:webHidden/>
          </w:rPr>
          <w:fldChar w:fldCharType="separate"/>
        </w:r>
        <w:r w:rsidR="00E95F8E">
          <w:rPr>
            <w:noProof/>
            <w:webHidden/>
          </w:rPr>
          <w:t>24</w:t>
        </w:r>
        <w:r w:rsidR="00410457">
          <w:rPr>
            <w:noProof/>
            <w:webHidden/>
          </w:rPr>
          <w:fldChar w:fldCharType="end"/>
        </w:r>
      </w:hyperlink>
    </w:p>
    <w:p w14:paraId="6DA30F5A" w14:textId="77777777" w:rsidR="00410457" w:rsidRDefault="000B0991">
      <w:pPr>
        <w:pStyle w:val="TableofFigures"/>
        <w:tabs>
          <w:tab w:val="right" w:leader="dot" w:pos="9016"/>
        </w:tabs>
        <w:rPr>
          <w:rFonts w:eastAsiaTheme="minorEastAsia" w:cstheme="minorBidi"/>
          <w:noProof/>
          <w:sz w:val="22"/>
          <w:szCs w:val="22"/>
        </w:rPr>
      </w:pPr>
      <w:hyperlink w:anchor="_Toc499289256" w:history="1">
        <w:r w:rsidR="00410457" w:rsidRPr="00186982">
          <w:rPr>
            <w:rStyle w:val="Hyperlink"/>
            <w:noProof/>
          </w:rPr>
          <w:t xml:space="preserve">Table 19. </w:t>
        </w:r>
        <w:r w:rsidR="00410457" w:rsidRPr="00186982">
          <w:rPr>
            <w:rStyle w:val="Hyperlink"/>
            <w:noProof/>
            <w:lang w:val="en-US"/>
          </w:rPr>
          <w:t>Current and proposed item descriptors for item 71165</w:t>
        </w:r>
        <w:r w:rsidR="00410457">
          <w:rPr>
            <w:noProof/>
            <w:webHidden/>
          </w:rPr>
          <w:tab/>
        </w:r>
        <w:r w:rsidR="00410457">
          <w:rPr>
            <w:noProof/>
            <w:webHidden/>
          </w:rPr>
          <w:fldChar w:fldCharType="begin"/>
        </w:r>
        <w:r w:rsidR="00410457">
          <w:rPr>
            <w:noProof/>
            <w:webHidden/>
          </w:rPr>
          <w:instrText xml:space="preserve"> PAGEREF _Toc499289256 \h </w:instrText>
        </w:r>
        <w:r w:rsidR="00410457">
          <w:rPr>
            <w:noProof/>
            <w:webHidden/>
          </w:rPr>
        </w:r>
        <w:r w:rsidR="00410457">
          <w:rPr>
            <w:noProof/>
            <w:webHidden/>
          </w:rPr>
          <w:fldChar w:fldCharType="separate"/>
        </w:r>
        <w:r w:rsidR="00E95F8E">
          <w:rPr>
            <w:noProof/>
            <w:webHidden/>
          </w:rPr>
          <w:t>25</w:t>
        </w:r>
        <w:r w:rsidR="00410457">
          <w:rPr>
            <w:noProof/>
            <w:webHidden/>
          </w:rPr>
          <w:fldChar w:fldCharType="end"/>
        </w:r>
      </w:hyperlink>
    </w:p>
    <w:p w14:paraId="2390E6D5" w14:textId="77777777" w:rsidR="00410457" w:rsidRDefault="000B0991">
      <w:pPr>
        <w:pStyle w:val="TableofFigures"/>
        <w:tabs>
          <w:tab w:val="right" w:leader="dot" w:pos="9016"/>
        </w:tabs>
        <w:rPr>
          <w:rFonts w:eastAsiaTheme="minorEastAsia" w:cstheme="minorBidi"/>
          <w:noProof/>
          <w:sz w:val="22"/>
          <w:szCs w:val="22"/>
        </w:rPr>
      </w:pPr>
      <w:hyperlink w:anchor="_Toc499289257" w:history="1">
        <w:r w:rsidR="00410457" w:rsidRPr="00186982">
          <w:rPr>
            <w:rStyle w:val="Hyperlink"/>
            <w:noProof/>
          </w:rPr>
          <w:t>Table 20. Item introduction table for item 71075 and 71077</w:t>
        </w:r>
        <w:r w:rsidR="00410457">
          <w:rPr>
            <w:noProof/>
            <w:webHidden/>
          </w:rPr>
          <w:tab/>
        </w:r>
        <w:r w:rsidR="00410457">
          <w:rPr>
            <w:noProof/>
            <w:webHidden/>
          </w:rPr>
          <w:fldChar w:fldCharType="begin"/>
        </w:r>
        <w:r w:rsidR="00410457">
          <w:rPr>
            <w:noProof/>
            <w:webHidden/>
          </w:rPr>
          <w:instrText xml:space="preserve"> PAGEREF _Toc499289257 \h </w:instrText>
        </w:r>
        <w:r w:rsidR="00410457">
          <w:rPr>
            <w:noProof/>
            <w:webHidden/>
          </w:rPr>
        </w:r>
        <w:r w:rsidR="00410457">
          <w:rPr>
            <w:noProof/>
            <w:webHidden/>
          </w:rPr>
          <w:fldChar w:fldCharType="separate"/>
        </w:r>
        <w:r w:rsidR="00E95F8E">
          <w:rPr>
            <w:noProof/>
            <w:webHidden/>
          </w:rPr>
          <w:t>25</w:t>
        </w:r>
        <w:r w:rsidR="00410457">
          <w:rPr>
            <w:noProof/>
            <w:webHidden/>
          </w:rPr>
          <w:fldChar w:fldCharType="end"/>
        </w:r>
      </w:hyperlink>
    </w:p>
    <w:p w14:paraId="08F44C07" w14:textId="77777777" w:rsidR="00410457" w:rsidRDefault="000B0991">
      <w:pPr>
        <w:pStyle w:val="TableofFigures"/>
        <w:tabs>
          <w:tab w:val="right" w:leader="dot" w:pos="9016"/>
        </w:tabs>
        <w:rPr>
          <w:rFonts w:eastAsiaTheme="minorEastAsia" w:cstheme="minorBidi"/>
          <w:noProof/>
          <w:sz w:val="22"/>
          <w:szCs w:val="22"/>
        </w:rPr>
      </w:pPr>
      <w:hyperlink w:anchor="_Toc499289258" w:history="1">
        <w:r w:rsidR="00410457" w:rsidRPr="00186982">
          <w:rPr>
            <w:rStyle w:val="Hyperlink"/>
            <w:noProof/>
          </w:rPr>
          <w:t xml:space="preserve">Table 21. </w:t>
        </w:r>
        <w:r w:rsidR="00410457" w:rsidRPr="00186982">
          <w:rPr>
            <w:rStyle w:val="Hyperlink"/>
            <w:noProof/>
            <w:lang w:val="en-US"/>
          </w:rPr>
          <w:t>Current and proposed item descriptors for items 71075 and 71077</w:t>
        </w:r>
        <w:r w:rsidR="00410457">
          <w:rPr>
            <w:noProof/>
            <w:webHidden/>
          </w:rPr>
          <w:tab/>
        </w:r>
        <w:r w:rsidR="00410457">
          <w:rPr>
            <w:noProof/>
            <w:webHidden/>
          </w:rPr>
          <w:fldChar w:fldCharType="begin"/>
        </w:r>
        <w:r w:rsidR="00410457">
          <w:rPr>
            <w:noProof/>
            <w:webHidden/>
          </w:rPr>
          <w:instrText xml:space="preserve"> PAGEREF _Toc499289258 \h </w:instrText>
        </w:r>
        <w:r w:rsidR="00410457">
          <w:rPr>
            <w:noProof/>
            <w:webHidden/>
          </w:rPr>
        </w:r>
        <w:r w:rsidR="00410457">
          <w:rPr>
            <w:noProof/>
            <w:webHidden/>
          </w:rPr>
          <w:fldChar w:fldCharType="separate"/>
        </w:r>
        <w:r w:rsidR="00E95F8E">
          <w:rPr>
            <w:noProof/>
            <w:webHidden/>
          </w:rPr>
          <w:t>26</w:t>
        </w:r>
        <w:r w:rsidR="00410457">
          <w:rPr>
            <w:noProof/>
            <w:webHidden/>
          </w:rPr>
          <w:fldChar w:fldCharType="end"/>
        </w:r>
      </w:hyperlink>
    </w:p>
    <w:p w14:paraId="1F15696F" w14:textId="77777777" w:rsidR="00410457" w:rsidRDefault="000B0991">
      <w:pPr>
        <w:pStyle w:val="TableofFigures"/>
        <w:tabs>
          <w:tab w:val="right" w:leader="dot" w:pos="9016"/>
        </w:tabs>
        <w:rPr>
          <w:rFonts w:eastAsiaTheme="minorEastAsia" w:cstheme="minorBidi"/>
          <w:noProof/>
          <w:sz w:val="22"/>
          <w:szCs w:val="22"/>
        </w:rPr>
      </w:pPr>
      <w:hyperlink w:anchor="_Toc499289259" w:history="1">
        <w:r w:rsidR="00410457" w:rsidRPr="00186982">
          <w:rPr>
            <w:rStyle w:val="Hyperlink"/>
            <w:noProof/>
          </w:rPr>
          <w:t>Table 22. Item introduction table for item 71066</w:t>
        </w:r>
        <w:r w:rsidR="00410457">
          <w:rPr>
            <w:noProof/>
            <w:webHidden/>
          </w:rPr>
          <w:tab/>
        </w:r>
        <w:r w:rsidR="00410457">
          <w:rPr>
            <w:noProof/>
            <w:webHidden/>
          </w:rPr>
          <w:fldChar w:fldCharType="begin"/>
        </w:r>
        <w:r w:rsidR="00410457">
          <w:rPr>
            <w:noProof/>
            <w:webHidden/>
          </w:rPr>
          <w:instrText xml:space="preserve"> PAGEREF _Toc499289259 \h </w:instrText>
        </w:r>
        <w:r w:rsidR="00410457">
          <w:rPr>
            <w:noProof/>
            <w:webHidden/>
          </w:rPr>
        </w:r>
        <w:r w:rsidR="00410457">
          <w:rPr>
            <w:noProof/>
            <w:webHidden/>
          </w:rPr>
          <w:fldChar w:fldCharType="separate"/>
        </w:r>
        <w:r w:rsidR="00E95F8E">
          <w:rPr>
            <w:noProof/>
            <w:webHidden/>
          </w:rPr>
          <w:t>26</w:t>
        </w:r>
        <w:r w:rsidR="00410457">
          <w:rPr>
            <w:noProof/>
            <w:webHidden/>
          </w:rPr>
          <w:fldChar w:fldCharType="end"/>
        </w:r>
      </w:hyperlink>
    </w:p>
    <w:p w14:paraId="137A8658" w14:textId="77777777" w:rsidR="00410457" w:rsidRDefault="000B0991">
      <w:pPr>
        <w:pStyle w:val="TableofFigures"/>
        <w:tabs>
          <w:tab w:val="right" w:leader="dot" w:pos="9016"/>
        </w:tabs>
        <w:rPr>
          <w:rFonts w:eastAsiaTheme="minorEastAsia" w:cstheme="minorBidi"/>
          <w:noProof/>
          <w:sz w:val="22"/>
          <w:szCs w:val="22"/>
        </w:rPr>
      </w:pPr>
      <w:hyperlink w:anchor="_Toc499289260" w:history="1">
        <w:r w:rsidR="00410457" w:rsidRPr="00186982">
          <w:rPr>
            <w:rStyle w:val="Hyperlink"/>
            <w:noProof/>
          </w:rPr>
          <w:t>Table 23. Current and proposed item descriptors for item 71066</w:t>
        </w:r>
        <w:r w:rsidR="00410457">
          <w:rPr>
            <w:noProof/>
            <w:webHidden/>
          </w:rPr>
          <w:tab/>
        </w:r>
        <w:r w:rsidR="00410457">
          <w:rPr>
            <w:noProof/>
            <w:webHidden/>
          </w:rPr>
          <w:fldChar w:fldCharType="begin"/>
        </w:r>
        <w:r w:rsidR="00410457">
          <w:rPr>
            <w:noProof/>
            <w:webHidden/>
          </w:rPr>
          <w:instrText xml:space="preserve"> PAGEREF _Toc499289260 \h </w:instrText>
        </w:r>
        <w:r w:rsidR="00410457">
          <w:rPr>
            <w:noProof/>
            <w:webHidden/>
          </w:rPr>
        </w:r>
        <w:r w:rsidR="00410457">
          <w:rPr>
            <w:noProof/>
            <w:webHidden/>
          </w:rPr>
          <w:fldChar w:fldCharType="separate"/>
        </w:r>
        <w:r w:rsidR="00E95F8E">
          <w:rPr>
            <w:noProof/>
            <w:webHidden/>
          </w:rPr>
          <w:t>27</w:t>
        </w:r>
        <w:r w:rsidR="00410457">
          <w:rPr>
            <w:noProof/>
            <w:webHidden/>
          </w:rPr>
          <w:fldChar w:fldCharType="end"/>
        </w:r>
      </w:hyperlink>
    </w:p>
    <w:p w14:paraId="5E80883A" w14:textId="77777777" w:rsidR="00410457" w:rsidRDefault="000B0991">
      <w:pPr>
        <w:pStyle w:val="TableofFigures"/>
        <w:tabs>
          <w:tab w:val="right" w:leader="dot" w:pos="9016"/>
        </w:tabs>
        <w:rPr>
          <w:rFonts w:eastAsiaTheme="minorEastAsia" w:cstheme="minorBidi"/>
          <w:noProof/>
          <w:sz w:val="22"/>
          <w:szCs w:val="22"/>
        </w:rPr>
      </w:pPr>
      <w:hyperlink w:anchor="_Toc499289261" w:history="1">
        <w:r w:rsidR="00410457" w:rsidRPr="00186982">
          <w:rPr>
            <w:rStyle w:val="Hyperlink"/>
            <w:noProof/>
          </w:rPr>
          <w:t>Table 24. Item introduction table for item 71072</w:t>
        </w:r>
        <w:r w:rsidR="00410457">
          <w:rPr>
            <w:noProof/>
            <w:webHidden/>
          </w:rPr>
          <w:tab/>
        </w:r>
        <w:r w:rsidR="00410457">
          <w:rPr>
            <w:noProof/>
            <w:webHidden/>
          </w:rPr>
          <w:fldChar w:fldCharType="begin"/>
        </w:r>
        <w:r w:rsidR="00410457">
          <w:rPr>
            <w:noProof/>
            <w:webHidden/>
          </w:rPr>
          <w:instrText xml:space="preserve"> PAGEREF _Toc499289261 \h </w:instrText>
        </w:r>
        <w:r w:rsidR="00410457">
          <w:rPr>
            <w:noProof/>
            <w:webHidden/>
          </w:rPr>
        </w:r>
        <w:r w:rsidR="00410457">
          <w:rPr>
            <w:noProof/>
            <w:webHidden/>
          </w:rPr>
          <w:fldChar w:fldCharType="separate"/>
        </w:r>
        <w:r w:rsidR="00E95F8E">
          <w:rPr>
            <w:noProof/>
            <w:webHidden/>
          </w:rPr>
          <w:t>27</w:t>
        </w:r>
        <w:r w:rsidR="00410457">
          <w:rPr>
            <w:noProof/>
            <w:webHidden/>
          </w:rPr>
          <w:fldChar w:fldCharType="end"/>
        </w:r>
      </w:hyperlink>
    </w:p>
    <w:p w14:paraId="03F703FF" w14:textId="77777777" w:rsidR="00410457" w:rsidRDefault="000B0991">
      <w:pPr>
        <w:pStyle w:val="TableofFigures"/>
        <w:tabs>
          <w:tab w:val="right" w:leader="dot" w:pos="9016"/>
        </w:tabs>
        <w:rPr>
          <w:rFonts w:eastAsiaTheme="minorEastAsia" w:cstheme="minorBidi"/>
          <w:noProof/>
          <w:sz w:val="22"/>
          <w:szCs w:val="22"/>
        </w:rPr>
      </w:pPr>
      <w:hyperlink w:anchor="_Toc499289262" w:history="1">
        <w:r w:rsidR="00410457" w:rsidRPr="00186982">
          <w:rPr>
            <w:rStyle w:val="Hyperlink"/>
            <w:noProof/>
          </w:rPr>
          <w:t>Table 26. Current and proposed item descriptors for item 71072</w:t>
        </w:r>
        <w:r w:rsidR="00410457">
          <w:rPr>
            <w:noProof/>
            <w:webHidden/>
          </w:rPr>
          <w:tab/>
        </w:r>
        <w:r w:rsidR="00410457">
          <w:rPr>
            <w:noProof/>
            <w:webHidden/>
          </w:rPr>
          <w:fldChar w:fldCharType="begin"/>
        </w:r>
        <w:r w:rsidR="00410457">
          <w:rPr>
            <w:noProof/>
            <w:webHidden/>
          </w:rPr>
          <w:instrText xml:space="preserve"> PAGEREF _Toc499289262 \h </w:instrText>
        </w:r>
        <w:r w:rsidR="00410457">
          <w:rPr>
            <w:noProof/>
            <w:webHidden/>
          </w:rPr>
        </w:r>
        <w:r w:rsidR="00410457">
          <w:rPr>
            <w:noProof/>
            <w:webHidden/>
          </w:rPr>
          <w:fldChar w:fldCharType="separate"/>
        </w:r>
        <w:r w:rsidR="00E95F8E">
          <w:rPr>
            <w:noProof/>
            <w:webHidden/>
          </w:rPr>
          <w:t>27</w:t>
        </w:r>
        <w:r w:rsidR="00410457">
          <w:rPr>
            <w:noProof/>
            <w:webHidden/>
          </w:rPr>
          <w:fldChar w:fldCharType="end"/>
        </w:r>
      </w:hyperlink>
    </w:p>
    <w:p w14:paraId="366108D5" w14:textId="77777777" w:rsidR="00410457" w:rsidRDefault="000B0991">
      <w:pPr>
        <w:pStyle w:val="TableofFigures"/>
        <w:tabs>
          <w:tab w:val="right" w:leader="dot" w:pos="9016"/>
        </w:tabs>
        <w:rPr>
          <w:rFonts w:eastAsiaTheme="minorEastAsia" w:cstheme="minorBidi"/>
          <w:noProof/>
          <w:sz w:val="22"/>
          <w:szCs w:val="22"/>
        </w:rPr>
      </w:pPr>
      <w:hyperlink w:anchor="_Toc499289263" w:history="1">
        <w:r w:rsidR="00410457" w:rsidRPr="00186982">
          <w:rPr>
            <w:rStyle w:val="Hyperlink"/>
            <w:noProof/>
          </w:rPr>
          <w:t>Table 27. Item introduction table for item 71074</w:t>
        </w:r>
        <w:r w:rsidR="00410457">
          <w:rPr>
            <w:noProof/>
            <w:webHidden/>
          </w:rPr>
          <w:tab/>
        </w:r>
        <w:r w:rsidR="00410457">
          <w:rPr>
            <w:noProof/>
            <w:webHidden/>
          </w:rPr>
          <w:fldChar w:fldCharType="begin"/>
        </w:r>
        <w:r w:rsidR="00410457">
          <w:rPr>
            <w:noProof/>
            <w:webHidden/>
          </w:rPr>
          <w:instrText xml:space="preserve"> PAGEREF _Toc499289263 \h </w:instrText>
        </w:r>
        <w:r w:rsidR="00410457">
          <w:rPr>
            <w:noProof/>
            <w:webHidden/>
          </w:rPr>
        </w:r>
        <w:r w:rsidR="00410457">
          <w:rPr>
            <w:noProof/>
            <w:webHidden/>
          </w:rPr>
          <w:fldChar w:fldCharType="separate"/>
        </w:r>
        <w:r w:rsidR="00E95F8E">
          <w:rPr>
            <w:noProof/>
            <w:webHidden/>
          </w:rPr>
          <w:t>28</w:t>
        </w:r>
        <w:r w:rsidR="00410457">
          <w:rPr>
            <w:noProof/>
            <w:webHidden/>
          </w:rPr>
          <w:fldChar w:fldCharType="end"/>
        </w:r>
      </w:hyperlink>
    </w:p>
    <w:p w14:paraId="439C99E3" w14:textId="77777777" w:rsidR="00410457" w:rsidRDefault="000B0991">
      <w:pPr>
        <w:pStyle w:val="TableofFigures"/>
        <w:tabs>
          <w:tab w:val="right" w:leader="dot" w:pos="9016"/>
        </w:tabs>
        <w:rPr>
          <w:rFonts w:eastAsiaTheme="minorEastAsia" w:cstheme="minorBidi"/>
          <w:noProof/>
          <w:sz w:val="22"/>
          <w:szCs w:val="22"/>
        </w:rPr>
      </w:pPr>
      <w:hyperlink w:anchor="_Toc499289264" w:history="1">
        <w:r w:rsidR="00410457" w:rsidRPr="00186982">
          <w:rPr>
            <w:rStyle w:val="Hyperlink"/>
            <w:noProof/>
          </w:rPr>
          <w:t>Table 28. Current and proposed item descriptors for item 71074</w:t>
        </w:r>
        <w:r w:rsidR="00410457">
          <w:rPr>
            <w:noProof/>
            <w:webHidden/>
          </w:rPr>
          <w:tab/>
        </w:r>
        <w:r w:rsidR="00410457">
          <w:rPr>
            <w:noProof/>
            <w:webHidden/>
          </w:rPr>
          <w:fldChar w:fldCharType="begin"/>
        </w:r>
        <w:r w:rsidR="00410457">
          <w:rPr>
            <w:noProof/>
            <w:webHidden/>
          </w:rPr>
          <w:instrText xml:space="preserve"> PAGEREF _Toc499289264 \h </w:instrText>
        </w:r>
        <w:r w:rsidR="00410457">
          <w:rPr>
            <w:noProof/>
            <w:webHidden/>
          </w:rPr>
        </w:r>
        <w:r w:rsidR="00410457">
          <w:rPr>
            <w:noProof/>
            <w:webHidden/>
          </w:rPr>
          <w:fldChar w:fldCharType="separate"/>
        </w:r>
        <w:r w:rsidR="00E95F8E">
          <w:rPr>
            <w:noProof/>
            <w:webHidden/>
          </w:rPr>
          <w:t>28</w:t>
        </w:r>
        <w:r w:rsidR="00410457">
          <w:rPr>
            <w:noProof/>
            <w:webHidden/>
          </w:rPr>
          <w:fldChar w:fldCharType="end"/>
        </w:r>
      </w:hyperlink>
    </w:p>
    <w:p w14:paraId="69C87061" w14:textId="77777777" w:rsidR="00410457" w:rsidRDefault="000B0991">
      <w:pPr>
        <w:pStyle w:val="TableofFigures"/>
        <w:tabs>
          <w:tab w:val="right" w:leader="dot" w:pos="9016"/>
        </w:tabs>
        <w:rPr>
          <w:rFonts w:eastAsiaTheme="minorEastAsia" w:cstheme="minorBidi"/>
          <w:noProof/>
          <w:sz w:val="22"/>
          <w:szCs w:val="22"/>
        </w:rPr>
      </w:pPr>
      <w:hyperlink w:anchor="_Toc499289265" w:history="1">
        <w:r w:rsidR="00410457" w:rsidRPr="00186982">
          <w:rPr>
            <w:rStyle w:val="Hyperlink"/>
            <w:noProof/>
          </w:rPr>
          <w:t>Table 28. Item introduction table for item 71064</w:t>
        </w:r>
        <w:r w:rsidR="00410457">
          <w:rPr>
            <w:noProof/>
            <w:webHidden/>
          </w:rPr>
          <w:tab/>
        </w:r>
        <w:r w:rsidR="00410457">
          <w:rPr>
            <w:noProof/>
            <w:webHidden/>
          </w:rPr>
          <w:fldChar w:fldCharType="begin"/>
        </w:r>
        <w:r w:rsidR="00410457">
          <w:rPr>
            <w:noProof/>
            <w:webHidden/>
          </w:rPr>
          <w:instrText xml:space="preserve"> PAGEREF _Toc499289265 \h </w:instrText>
        </w:r>
        <w:r w:rsidR="00410457">
          <w:rPr>
            <w:noProof/>
            <w:webHidden/>
          </w:rPr>
        </w:r>
        <w:r w:rsidR="00410457">
          <w:rPr>
            <w:noProof/>
            <w:webHidden/>
          </w:rPr>
          <w:fldChar w:fldCharType="separate"/>
        </w:r>
        <w:r w:rsidR="00E95F8E">
          <w:rPr>
            <w:noProof/>
            <w:webHidden/>
          </w:rPr>
          <w:t>28</w:t>
        </w:r>
        <w:r w:rsidR="00410457">
          <w:rPr>
            <w:noProof/>
            <w:webHidden/>
          </w:rPr>
          <w:fldChar w:fldCharType="end"/>
        </w:r>
      </w:hyperlink>
    </w:p>
    <w:p w14:paraId="498C2E0D" w14:textId="77777777" w:rsidR="00410457" w:rsidRDefault="000B0991">
      <w:pPr>
        <w:pStyle w:val="TableofFigures"/>
        <w:tabs>
          <w:tab w:val="right" w:leader="dot" w:pos="9016"/>
        </w:tabs>
        <w:rPr>
          <w:rFonts w:eastAsiaTheme="minorEastAsia" w:cstheme="minorBidi"/>
          <w:noProof/>
          <w:sz w:val="22"/>
          <w:szCs w:val="22"/>
        </w:rPr>
      </w:pPr>
      <w:hyperlink w:anchor="_Toc499289266" w:history="1">
        <w:r w:rsidR="00410457" w:rsidRPr="00186982">
          <w:rPr>
            <w:rStyle w:val="Hyperlink"/>
            <w:noProof/>
          </w:rPr>
          <w:t>Table 29. Item introduction table for item 71106</w:t>
        </w:r>
        <w:r w:rsidR="00410457">
          <w:rPr>
            <w:noProof/>
            <w:webHidden/>
          </w:rPr>
          <w:tab/>
        </w:r>
        <w:r w:rsidR="00410457">
          <w:rPr>
            <w:noProof/>
            <w:webHidden/>
          </w:rPr>
          <w:fldChar w:fldCharType="begin"/>
        </w:r>
        <w:r w:rsidR="00410457">
          <w:rPr>
            <w:noProof/>
            <w:webHidden/>
          </w:rPr>
          <w:instrText xml:space="preserve"> PAGEREF _Toc499289266 \h </w:instrText>
        </w:r>
        <w:r w:rsidR="00410457">
          <w:rPr>
            <w:noProof/>
            <w:webHidden/>
          </w:rPr>
        </w:r>
        <w:r w:rsidR="00410457">
          <w:rPr>
            <w:noProof/>
            <w:webHidden/>
          </w:rPr>
          <w:fldChar w:fldCharType="separate"/>
        </w:r>
        <w:r w:rsidR="00E95F8E">
          <w:rPr>
            <w:noProof/>
            <w:webHidden/>
          </w:rPr>
          <w:t>29</w:t>
        </w:r>
        <w:r w:rsidR="00410457">
          <w:rPr>
            <w:noProof/>
            <w:webHidden/>
          </w:rPr>
          <w:fldChar w:fldCharType="end"/>
        </w:r>
      </w:hyperlink>
    </w:p>
    <w:p w14:paraId="21CF8962" w14:textId="77777777" w:rsidR="00410457" w:rsidRDefault="000B0991">
      <w:pPr>
        <w:pStyle w:val="TableofFigures"/>
        <w:tabs>
          <w:tab w:val="right" w:leader="dot" w:pos="9016"/>
        </w:tabs>
        <w:rPr>
          <w:rFonts w:eastAsiaTheme="minorEastAsia" w:cstheme="minorBidi"/>
          <w:noProof/>
          <w:sz w:val="22"/>
          <w:szCs w:val="22"/>
        </w:rPr>
      </w:pPr>
      <w:hyperlink w:anchor="_Toc499289267" w:history="1">
        <w:r w:rsidR="00410457" w:rsidRPr="00186982">
          <w:rPr>
            <w:rStyle w:val="Hyperlink"/>
            <w:noProof/>
          </w:rPr>
          <w:t>Table 30. Item introduction table for items 71180, 71183, 71186</w:t>
        </w:r>
        <w:r w:rsidR="00410457">
          <w:rPr>
            <w:noProof/>
            <w:webHidden/>
          </w:rPr>
          <w:tab/>
        </w:r>
        <w:r w:rsidR="00410457">
          <w:rPr>
            <w:noProof/>
            <w:webHidden/>
          </w:rPr>
          <w:fldChar w:fldCharType="begin"/>
        </w:r>
        <w:r w:rsidR="00410457">
          <w:rPr>
            <w:noProof/>
            <w:webHidden/>
          </w:rPr>
          <w:instrText xml:space="preserve"> PAGEREF _Toc499289267 \h </w:instrText>
        </w:r>
        <w:r w:rsidR="00410457">
          <w:rPr>
            <w:noProof/>
            <w:webHidden/>
          </w:rPr>
        </w:r>
        <w:r w:rsidR="00410457">
          <w:rPr>
            <w:noProof/>
            <w:webHidden/>
          </w:rPr>
          <w:fldChar w:fldCharType="separate"/>
        </w:r>
        <w:r w:rsidR="00E95F8E">
          <w:rPr>
            <w:noProof/>
            <w:webHidden/>
          </w:rPr>
          <w:t>30</w:t>
        </w:r>
        <w:r w:rsidR="00410457">
          <w:rPr>
            <w:noProof/>
            <w:webHidden/>
          </w:rPr>
          <w:fldChar w:fldCharType="end"/>
        </w:r>
      </w:hyperlink>
    </w:p>
    <w:p w14:paraId="31D63438" w14:textId="77777777" w:rsidR="00410457" w:rsidRDefault="000B0991">
      <w:pPr>
        <w:pStyle w:val="TableofFigures"/>
        <w:tabs>
          <w:tab w:val="right" w:leader="dot" w:pos="9016"/>
        </w:tabs>
        <w:rPr>
          <w:rFonts w:eastAsiaTheme="minorEastAsia" w:cstheme="minorBidi"/>
          <w:noProof/>
          <w:sz w:val="22"/>
          <w:szCs w:val="22"/>
        </w:rPr>
      </w:pPr>
      <w:hyperlink w:anchor="_Toc499289268" w:history="1">
        <w:r w:rsidR="00410457" w:rsidRPr="00186982">
          <w:rPr>
            <w:rStyle w:val="Hyperlink"/>
            <w:noProof/>
          </w:rPr>
          <w:t>Table 31. Current and proposed item descriptors for item 71180</w:t>
        </w:r>
        <w:r w:rsidR="00410457">
          <w:rPr>
            <w:noProof/>
            <w:webHidden/>
          </w:rPr>
          <w:tab/>
        </w:r>
        <w:r w:rsidR="00410457">
          <w:rPr>
            <w:noProof/>
            <w:webHidden/>
          </w:rPr>
          <w:fldChar w:fldCharType="begin"/>
        </w:r>
        <w:r w:rsidR="00410457">
          <w:rPr>
            <w:noProof/>
            <w:webHidden/>
          </w:rPr>
          <w:instrText xml:space="preserve"> PAGEREF _Toc499289268 \h </w:instrText>
        </w:r>
        <w:r w:rsidR="00410457">
          <w:rPr>
            <w:noProof/>
            <w:webHidden/>
          </w:rPr>
        </w:r>
        <w:r w:rsidR="00410457">
          <w:rPr>
            <w:noProof/>
            <w:webHidden/>
          </w:rPr>
          <w:fldChar w:fldCharType="separate"/>
        </w:r>
        <w:r w:rsidR="00E95F8E">
          <w:rPr>
            <w:noProof/>
            <w:webHidden/>
          </w:rPr>
          <w:t>31</w:t>
        </w:r>
        <w:r w:rsidR="00410457">
          <w:rPr>
            <w:noProof/>
            <w:webHidden/>
          </w:rPr>
          <w:fldChar w:fldCharType="end"/>
        </w:r>
      </w:hyperlink>
    </w:p>
    <w:p w14:paraId="019E03FE" w14:textId="77777777" w:rsidR="00410457" w:rsidRDefault="000B0991">
      <w:pPr>
        <w:pStyle w:val="TableofFigures"/>
        <w:tabs>
          <w:tab w:val="right" w:leader="dot" w:pos="9016"/>
        </w:tabs>
        <w:rPr>
          <w:rFonts w:eastAsiaTheme="minorEastAsia" w:cstheme="minorBidi"/>
          <w:noProof/>
          <w:sz w:val="22"/>
          <w:szCs w:val="22"/>
        </w:rPr>
      </w:pPr>
      <w:hyperlink w:anchor="_Toc499289269" w:history="1">
        <w:r w:rsidR="00410457" w:rsidRPr="00186982">
          <w:rPr>
            <w:rStyle w:val="Hyperlink"/>
            <w:noProof/>
          </w:rPr>
          <w:t>Table 32. Item introduction table for item 71200</w:t>
        </w:r>
        <w:r w:rsidR="00410457">
          <w:rPr>
            <w:noProof/>
            <w:webHidden/>
          </w:rPr>
          <w:tab/>
        </w:r>
        <w:r w:rsidR="00410457">
          <w:rPr>
            <w:noProof/>
            <w:webHidden/>
          </w:rPr>
          <w:fldChar w:fldCharType="begin"/>
        </w:r>
        <w:r w:rsidR="00410457">
          <w:rPr>
            <w:noProof/>
            <w:webHidden/>
          </w:rPr>
          <w:instrText xml:space="preserve"> PAGEREF _Toc499289269 \h </w:instrText>
        </w:r>
        <w:r w:rsidR="00410457">
          <w:rPr>
            <w:noProof/>
            <w:webHidden/>
          </w:rPr>
        </w:r>
        <w:r w:rsidR="00410457">
          <w:rPr>
            <w:noProof/>
            <w:webHidden/>
          </w:rPr>
          <w:fldChar w:fldCharType="separate"/>
        </w:r>
        <w:r w:rsidR="00E95F8E">
          <w:rPr>
            <w:noProof/>
            <w:webHidden/>
          </w:rPr>
          <w:t>31</w:t>
        </w:r>
        <w:r w:rsidR="00410457">
          <w:rPr>
            <w:noProof/>
            <w:webHidden/>
          </w:rPr>
          <w:fldChar w:fldCharType="end"/>
        </w:r>
      </w:hyperlink>
    </w:p>
    <w:p w14:paraId="260BCADE" w14:textId="77777777" w:rsidR="00410457" w:rsidRDefault="000B0991">
      <w:pPr>
        <w:pStyle w:val="TableofFigures"/>
        <w:tabs>
          <w:tab w:val="right" w:leader="dot" w:pos="9016"/>
        </w:tabs>
        <w:rPr>
          <w:rFonts w:eastAsiaTheme="minorEastAsia" w:cstheme="minorBidi"/>
          <w:noProof/>
          <w:sz w:val="22"/>
          <w:szCs w:val="22"/>
        </w:rPr>
      </w:pPr>
      <w:hyperlink w:anchor="_Toc499289270" w:history="1">
        <w:r w:rsidR="00410457" w:rsidRPr="00186982">
          <w:rPr>
            <w:rStyle w:val="Hyperlink"/>
            <w:noProof/>
          </w:rPr>
          <w:t>Table 33. Current and proposed item descriptors for item 71200</w:t>
        </w:r>
        <w:r w:rsidR="00410457">
          <w:rPr>
            <w:noProof/>
            <w:webHidden/>
          </w:rPr>
          <w:tab/>
        </w:r>
        <w:r w:rsidR="00410457">
          <w:rPr>
            <w:noProof/>
            <w:webHidden/>
          </w:rPr>
          <w:fldChar w:fldCharType="begin"/>
        </w:r>
        <w:r w:rsidR="00410457">
          <w:rPr>
            <w:noProof/>
            <w:webHidden/>
          </w:rPr>
          <w:instrText xml:space="preserve"> PAGEREF _Toc499289270 \h </w:instrText>
        </w:r>
        <w:r w:rsidR="00410457">
          <w:rPr>
            <w:noProof/>
            <w:webHidden/>
          </w:rPr>
        </w:r>
        <w:r w:rsidR="00410457">
          <w:rPr>
            <w:noProof/>
            <w:webHidden/>
          </w:rPr>
          <w:fldChar w:fldCharType="separate"/>
        </w:r>
        <w:r w:rsidR="00E95F8E">
          <w:rPr>
            <w:noProof/>
            <w:webHidden/>
          </w:rPr>
          <w:t>31</w:t>
        </w:r>
        <w:r w:rsidR="00410457">
          <w:rPr>
            <w:noProof/>
            <w:webHidden/>
          </w:rPr>
          <w:fldChar w:fldCharType="end"/>
        </w:r>
      </w:hyperlink>
    </w:p>
    <w:p w14:paraId="2D7264D7" w14:textId="77777777" w:rsidR="00410457" w:rsidRDefault="000B0991">
      <w:pPr>
        <w:pStyle w:val="TableofFigures"/>
        <w:tabs>
          <w:tab w:val="right" w:leader="dot" w:pos="9016"/>
        </w:tabs>
        <w:rPr>
          <w:rFonts w:eastAsiaTheme="minorEastAsia" w:cstheme="minorBidi"/>
          <w:noProof/>
          <w:sz w:val="22"/>
          <w:szCs w:val="22"/>
        </w:rPr>
      </w:pPr>
      <w:hyperlink w:anchor="_Toc499289271" w:history="1">
        <w:r w:rsidR="00410457" w:rsidRPr="00186982">
          <w:rPr>
            <w:rStyle w:val="Hyperlink"/>
            <w:noProof/>
          </w:rPr>
          <w:t>Table 34. Items to be deleted</w:t>
        </w:r>
        <w:r w:rsidR="00410457">
          <w:rPr>
            <w:noProof/>
            <w:webHidden/>
          </w:rPr>
          <w:tab/>
        </w:r>
        <w:r w:rsidR="00410457">
          <w:rPr>
            <w:noProof/>
            <w:webHidden/>
          </w:rPr>
          <w:fldChar w:fldCharType="begin"/>
        </w:r>
        <w:r w:rsidR="00410457">
          <w:rPr>
            <w:noProof/>
            <w:webHidden/>
          </w:rPr>
          <w:instrText xml:space="preserve"> PAGEREF _Toc499289271 \h </w:instrText>
        </w:r>
        <w:r w:rsidR="00410457">
          <w:rPr>
            <w:noProof/>
            <w:webHidden/>
          </w:rPr>
        </w:r>
        <w:r w:rsidR="00410457">
          <w:rPr>
            <w:noProof/>
            <w:webHidden/>
          </w:rPr>
          <w:fldChar w:fldCharType="separate"/>
        </w:r>
        <w:r w:rsidR="00E95F8E">
          <w:rPr>
            <w:noProof/>
            <w:webHidden/>
          </w:rPr>
          <w:t>32</w:t>
        </w:r>
        <w:r w:rsidR="00410457">
          <w:rPr>
            <w:noProof/>
            <w:webHidden/>
          </w:rPr>
          <w:fldChar w:fldCharType="end"/>
        </w:r>
      </w:hyperlink>
    </w:p>
    <w:p w14:paraId="1893684F" w14:textId="77777777" w:rsidR="00410457" w:rsidRDefault="000B0991">
      <w:pPr>
        <w:pStyle w:val="TableofFigures"/>
        <w:tabs>
          <w:tab w:val="right" w:leader="dot" w:pos="9016"/>
        </w:tabs>
        <w:rPr>
          <w:rFonts w:eastAsiaTheme="minorEastAsia" w:cstheme="minorBidi"/>
          <w:noProof/>
          <w:sz w:val="22"/>
          <w:szCs w:val="22"/>
        </w:rPr>
      </w:pPr>
      <w:hyperlink w:anchor="_Toc499289272" w:history="1">
        <w:r w:rsidR="00410457" w:rsidRPr="00186982">
          <w:rPr>
            <w:rStyle w:val="Hyperlink"/>
            <w:noProof/>
          </w:rPr>
          <w:t xml:space="preserve">Table 35. </w:t>
        </w:r>
        <w:r w:rsidR="00410457" w:rsidRPr="00186982">
          <w:rPr>
            <w:rStyle w:val="Hyperlink"/>
            <w:noProof/>
            <w:lang w:val="en-US"/>
          </w:rPr>
          <w:t>MBS items that do not require amendment</w:t>
        </w:r>
        <w:r w:rsidR="00410457">
          <w:rPr>
            <w:noProof/>
            <w:webHidden/>
          </w:rPr>
          <w:tab/>
        </w:r>
        <w:r w:rsidR="00410457">
          <w:rPr>
            <w:noProof/>
            <w:webHidden/>
          </w:rPr>
          <w:fldChar w:fldCharType="begin"/>
        </w:r>
        <w:r w:rsidR="00410457">
          <w:rPr>
            <w:noProof/>
            <w:webHidden/>
          </w:rPr>
          <w:instrText xml:space="preserve"> PAGEREF _Toc499289272 \h </w:instrText>
        </w:r>
        <w:r w:rsidR="00410457">
          <w:rPr>
            <w:noProof/>
            <w:webHidden/>
          </w:rPr>
        </w:r>
        <w:r w:rsidR="00410457">
          <w:rPr>
            <w:noProof/>
            <w:webHidden/>
          </w:rPr>
          <w:fldChar w:fldCharType="separate"/>
        </w:r>
        <w:r w:rsidR="00E95F8E">
          <w:rPr>
            <w:noProof/>
            <w:webHidden/>
          </w:rPr>
          <w:t>32</w:t>
        </w:r>
        <w:r w:rsidR="00410457">
          <w:rPr>
            <w:noProof/>
            <w:webHidden/>
          </w:rPr>
          <w:fldChar w:fldCharType="end"/>
        </w:r>
      </w:hyperlink>
    </w:p>
    <w:p w14:paraId="6A155283" w14:textId="77777777" w:rsidR="00410457" w:rsidRDefault="000B0991">
      <w:pPr>
        <w:pStyle w:val="TableofFigures"/>
        <w:tabs>
          <w:tab w:val="right" w:leader="dot" w:pos="9016"/>
        </w:tabs>
        <w:rPr>
          <w:rFonts w:eastAsiaTheme="minorEastAsia" w:cstheme="minorBidi"/>
          <w:noProof/>
          <w:sz w:val="22"/>
          <w:szCs w:val="22"/>
        </w:rPr>
      </w:pPr>
      <w:hyperlink w:anchor="_Toc499289273" w:history="1">
        <w:r w:rsidR="00410457" w:rsidRPr="00186982">
          <w:rPr>
            <w:rStyle w:val="Hyperlink"/>
            <w:noProof/>
          </w:rPr>
          <w:t xml:space="preserve">Table 36. </w:t>
        </w:r>
        <w:r w:rsidR="00410457" w:rsidRPr="00186982">
          <w:rPr>
            <w:rStyle w:val="Hyperlink"/>
            <w:noProof/>
            <w:lang w:val="en-US"/>
          </w:rPr>
          <w:t>Item introduction for item 65060</w:t>
        </w:r>
        <w:r w:rsidR="00410457">
          <w:rPr>
            <w:noProof/>
            <w:webHidden/>
          </w:rPr>
          <w:tab/>
        </w:r>
        <w:r w:rsidR="00410457">
          <w:rPr>
            <w:noProof/>
            <w:webHidden/>
          </w:rPr>
          <w:fldChar w:fldCharType="begin"/>
        </w:r>
        <w:r w:rsidR="00410457">
          <w:rPr>
            <w:noProof/>
            <w:webHidden/>
          </w:rPr>
          <w:instrText xml:space="preserve"> PAGEREF _Toc499289273 \h </w:instrText>
        </w:r>
        <w:r w:rsidR="00410457">
          <w:rPr>
            <w:noProof/>
            <w:webHidden/>
          </w:rPr>
        </w:r>
        <w:r w:rsidR="00410457">
          <w:rPr>
            <w:noProof/>
            <w:webHidden/>
          </w:rPr>
          <w:fldChar w:fldCharType="separate"/>
        </w:r>
        <w:r w:rsidR="00E95F8E">
          <w:rPr>
            <w:noProof/>
            <w:webHidden/>
          </w:rPr>
          <w:t>35</w:t>
        </w:r>
        <w:r w:rsidR="00410457">
          <w:rPr>
            <w:noProof/>
            <w:webHidden/>
          </w:rPr>
          <w:fldChar w:fldCharType="end"/>
        </w:r>
      </w:hyperlink>
    </w:p>
    <w:p w14:paraId="4F0B4970" w14:textId="77777777" w:rsidR="00410457" w:rsidRDefault="000B0991">
      <w:pPr>
        <w:pStyle w:val="TableofFigures"/>
        <w:tabs>
          <w:tab w:val="right" w:leader="dot" w:pos="9016"/>
        </w:tabs>
        <w:rPr>
          <w:rFonts w:eastAsiaTheme="minorEastAsia" w:cstheme="minorBidi"/>
          <w:noProof/>
          <w:sz w:val="22"/>
          <w:szCs w:val="22"/>
        </w:rPr>
      </w:pPr>
      <w:hyperlink w:anchor="_Toc499289274" w:history="1">
        <w:r w:rsidR="00410457" w:rsidRPr="00186982">
          <w:rPr>
            <w:rStyle w:val="Hyperlink"/>
            <w:noProof/>
          </w:rPr>
          <w:t>Table 37. Proposed new item descriptor for antibodies to citrullinated peptide antigens</w:t>
        </w:r>
        <w:r w:rsidR="00410457">
          <w:rPr>
            <w:noProof/>
            <w:webHidden/>
          </w:rPr>
          <w:tab/>
        </w:r>
        <w:r w:rsidR="00410457">
          <w:rPr>
            <w:noProof/>
            <w:webHidden/>
          </w:rPr>
          <w:fldChar w:fldCharType="begin"/>
        </w:r>
        <w:r w:rsidR="00410457">
          <w:rPr>
            <w:noProof/>
            <w:webHidden/>
          </w:rPr>
          <w:instrText xml:space="preserve"> PAGEREF _Toc499289274 \h </w:instrText>
        </w:r>
        <w:r w:rsidR="00410457">
          <w:rPr>
            <w:noProof/>
            <w:webHidden/>
          </w:rPr>
        </w:r>
        <w:r w:rsidR="00410457">
          <w:rPr>
            <w:noProof/>
            <w:webHidden/>
          </w:rPr>
          <w:fldChar w:fldCharType="separate"/>
        </w:r>
        <w:r w:rsidR="00E95F8E">
          <w:rPr>
            <w:noProof/>
            <w:webHidden/>
          </w:rPr>
          <w:t>36</w:t>
        </w:r>
        <w:r w:rsidR="00410457">
          <w:rPr>
            <w:noProof/>
            <w:webHidden/>
          </w:rPr>
          <w:fldChar w:fldCharType="end"/>
        </w:r>
      </w:hyperlink>
    </w:p>
    <w:p w14:paraId="7F0D27BF" w14:textId="77777777" w:rsidR="00410457" w:rsidRDefault="000B0991">
      <w:pPr>
        <w:pStyle w:val="TableofFigures"/>
        <w:tabs>
          <w:tab w:val="right" w:leader="dot" w:pos="9016"/>
        </w:tabs>
        <w:rPr>
          <w:rFonts w:eastAsiaTheme="minorEastAsia" w:cstheme="minorBidi"/>
          <w:noProof/>
          <w:sz w:val="22"/>
          <w:szCs w:val="22"/>
        </w:rPr>
      </w:pPr>
      <w:hyperlink w:anchor="_Toc499289275" w:history="1">
        <w:r w:rsidR="00410457" w:rsidRPr="00186982">
          <w:rPr>
            <w:rStyle w:val="Hyperlink"/>
            <w:noProof/>
            <w:lang w:val="en-US"/>
          </w:rPr>
          <w:t>Table A1. MBS items considered by the committee</w:t>
        </w:r>
        <w:r w:rsidR="00410457">
          <w:rPr>
            <w:noProof/>
            <w:webHidden/>
          </w:rPr>
          <w:tab/>
        </w:r>
        <w:r w:rsidR="00410457">
          <w:rPr>
            <w:noProof/>
            <w:webHidden/>
          </w:rPr>
          <w:fldChar w:fldCharType="begin"/>
        </w:r>
        <w:r w:rsidR="00410457">
          <w:rPr>
            <w:noProof/>
            <w:webHidden/>
          </w:rPr>
          <w:instrText xml:space="preserve"> PAGEREF _Toc499289275 \h </w:instrText>
        </w:r>
        <w:r w:rsidR="00410457">
          <w:rPr>
            <w:noProof/>
            <w:webHidden/>
          </w:rPr>
        </w:r>
        <w:r w:rsidR="00410457">
          <w:rPr>
            <w:noProof/>
            <w:webHidden/>
          </w:rPr>
          <w:fldChar w:fldCharType="separate"/>
        </w:r>
        <w:r w:rsidR="00E95F8E">
          <w:rPr>
            <w:noProof/>
            <w:webHidden/>
          </w:rPr>
          <w:t>40</w:t>
        </w:r>
        <w:r w:rsidR="00410457">
          <w:rPr>
            <w:noProof/>
            <w:webHidden/>
          </w:rPr>
          <w:fldChar w:fldCharType="end"/>
        </w:r>
      </w:hyperlink>
    </w:p>
    <w:p w14:paraId="36BAD754" w14:textId="77777777" w:rsidR="00AF5D75" w:rsidRDefault="000557CD" w:rsidP="007B6365">
      <w:pPr>
        <w:pStyle w:val="Heading1"/>
      </w:pPr>
      <w:r w:rsidRPr="0078040F">
        <w:lastRenderedPageBreak/>
        <w:fldChar w:fldCharType="end"/>
      </w:r>
      <w:bookmarkStart w:id="2" w:name="_Toc499293020"/>
      <w:bookmarkEnd w:id="0"/>
      <w:r w:rsidR="00AF5D75" w:rsidRPr="00E2562E">
        <w:t>Executive</w:t>
      </w:r>
      <w:r w:rsidR="00AF5D75">
        <w:t xml:space="preserve"> </w:t>
      </w:r>
      <w:r w:rsidR="00196853">
        <w:t>summary</w:t>
      </w:r>
      <w:bookmarkEnd w:id="2"/>
    </w:p>
    <w:p w14:paraId="38E37E9E" w14:textId="77777777" w:rsidR="00AF5D75" w:rsidRDefault="00AF5D75" w:rsidP="00AF5D75">
      <w:r>
        <w:t>The Medicare Benefits Schedule (MBS) Review Taskforce (the Taskforce) is undertaking a program of work that considers how more than 5</w:t>
      </w:r>
      <w:r w:rsidR="003C426F">
        <w:t>,</w:t>
      </w:r>
      <w:r>
        <w:t>700 items on the MBS can be aligned with contemporary clinical evidence and practice and improve health outcomes for patients. The Taskforce also seeks to identify any services that may be unnecessary, outdated or potentially unsafe.</w:t>
      </w:r>
    </w:p>
    <w:p w14:paraId="0A7D49B8" w14:textId="77777777" w:rsidR="00AF5D75" w:rsidRDefault="00AF5D75" w:rsidP="00AF5D75">
      <w:r>
        <w:t>The Taskforce is committed to providing recommendations to the Minister</w:t>
      </w:r>
      <w:r w:rsidR="003C426F">
        <w:t xml:space="preserve"> for Health (the Minister)</w:t>
      </w:r>
      <w:r>
        <w:t xml:space="preserve"> that will allow the MBS to deliver on each of these four key goals:</w:t>
      </w:r>
    </w:p>
    <w:p w14:paraId="0381D4EA" w14:textId="77777777" w:rsidR="00AF5D75" w:rsidRDefault="00AF5D75">
      <w:pPr>
        <w:pStyle w:val="NormalBulleted"/>
      </w:pPr>
      <w:r w:rsidRPr="00C47224">
        <w:t>Affordable</w:t>
      </w:r>
      <w:r>
        <w:t xml:space="preserve"> and universal access</w:t>
      </w:r>
    </w:p>
    <w:p w14:paraId="26D1C9E9" w14:textId="77777777" w:rsidR="00AF5D75" w:rsidRDefault="00AF5D75">
      <w:pPr>
        <w:pStyle w:val="NormalBulleted"/>
      </w:pPr>
      <w:r>
        <w:t>Best practice health services</w:t>
      </w:r>
    </w:p>
    <w:p w14:paraId="593BAC43" w14:textId="77777777" w:rsidR="00AF5D75" w:rsidRDefault="00AF5D75">
      <w:pPr>
        <w:pStyle w:val="NormalBulleted"/>
      </w:pPr>
      <w:r>
        <w:t>Value for the individual patient</w:t>
      </w:r>
    </w:p>
    <w:p w14:paraId="614C5E27" w14:textId="77777777" w:rsidR="00AF5D75" w:rsidRDefault="00AF5D75">
      <w:pPr>
        <w:pStyle w:val="NormalBulleted"/>
      </w:pPr>
      <w:r>
        <w:t>Value for the health system.</w:t>
      </w:r>
    </w:p>
    <w:p w14:paraId="49C4F9E0" w14:textId="77777777" w:rsidR="00AF5D75" w:rsidRDefault="00AF5D75" w:rsidP="00AF5D75">
      <w:r>
        <w:t xml:space="preserve">The Taskforce has endorsed a methodology whereby the necessary clinical review of MBS items is undertaken by clinical committees and working groups. The Taskforce has asked the clinical committees to undertake the following tasks: </w:t>
      </w:r>
    </w:p>
    <w:p w14:paraId="24B2DBF2" w14:textId="77777777" w:rsidR="00AF5D75" w:rsidRDefault="00AF5D75" w:rsidP="003C426F">
      <w:pPr>
        <w:pStyle w:val="Numbered"/>
        <w:rPr>
          <w:b/>
        </w:rPr>
      </w:pPr>
      <w:r>
        <w:t xml:space="preserve">Consider whether there are MBS items that are obsolete and should be removed from the MBS. </w:t>
      </w:r>
    </w:p>
    <w:p w14:paraId="7CAC9705" w14:textId="77777777" w:rsidR="00AF5D75" w:rsidRDefault="00AF5D75" w:rsidP="003C426F">
      <w:pPr>
        <w:pStyle w:val="Numbered"/>
        <w:rPr>
          <w:b/>
        </w:rPr>
      </w:pPr>
      <w:r>
        <w:t xml:space="preserve">Consider identified priority reviews of selected MBS services. </w:t>
      </w:r>
    </w:p>
    <w:p w14:paraId="042A9F4B" w14:textId="77777777" w:rsidR="00AF5D75" w:rsidRDefault="00AF5D75" w:rsidP="003C426F">
      <w:pPr>
        <w:pStyle w:val="Numbered"/>
        <w:rPr>
          <w:b/>
        </w:rPr>
      </w:pPr>
      <w:r>
        <w:t xml:space="preserve">Develop a program of work to consider the balance of MBS services within its remit and items assigned to the committee. </w:t>
      </w:r>
    </w:p>
    <w:p w14:paraId="722DB91D" w14:textId="77777777" w:rsidR="00AF5D75" w:rsidRDefault="00AF5D75" w:rsidP="003C426F">
      <w:pPr>
        <w:pStyle w:val="Numbered"/>
        <w:rPr>
          <w:b/>
        </w:rPr>
      </w:pPr>
      <w:r>
        <w:t xml:space="preserve">Advise the Taskforce on relevant general MBS issues identified by the committee in the course of its deliberations. </w:t>
      </w:r>
    </w:p>
    <w:p w14:paraId="5F238891" w14:textId="77777777" w:rsidR="00AF5D75" w:rsidRDefault="00AF5D75" w:rsidP="00AF5D75">
      <w:r>
        <w:t xml:space="preserve">The recommendations from the clinical committees are released for stakeholder consultation. The clinical committees will consider feedback from stakeholders then provide recommendations to the Taskforce in review reports. The Taskforce will consider the review reports from clinical committees and stakeholder feedback before making recommendations to the Minister for consideration by Government. </w:t>
      </w:r>
    </w:p>
    <w:p w14:paraId="713B0667" w14:textId="77777777" w:rsidR="00B3499E" w:rsidRDefault="0084487B" w:rsidP="00E2562E">
      <w:pPr>
        <w:pStyle w:val="Heading2"/>
      </w:pPr>
      <w:bookmarkStart w:id="3" w:name="_Toc499293022"/>
      <w:r>
        <w:t>The Pathology Clinical Committee</w:t>
      </w:r>
      <w:bookmarkEnd w:id="3"/>
    </w:p>
    <w:p w14:paraId="0071948F" w14:textId="77777777" w:rsidR="0084487B" w:rsidRDefault="0084487B" w:rsidP="0084487B">
      <w:pPr>
        <w:rPr>
          <w:lang w:val="en-US" w:eastAsia="en-US"/>
        </w:rPr>
      </w:pPr>
      <w:r w:rsidRPr="00684817">
        <w:rPr>
          <w:lang w:val="en-US" w:eastAsia="en-US"/>
        </w:rPr>
        <w:t xml:space="preserve">The </w:t>
      </w:r>
      <w:r>
        <w:rPr>
          <w:lang w:val="en-US" w:eastAsia="en-US"/>
        </w:rPr>
        <w:t>Pathology</w:t>
      </w:r>
      <w:r w:rsidRPr="00684817">
        <w:rPr>
          <w:lang w:val="en-US" w:eastAsia="en-US"/>
        </w:rPr>
        <w:t xml:space="preserve"> Clinical Committee (the Committee) was established in </w:t>
      </w:r>
      <w:r>
        <w:rPr>
          <w:lang w:val="en-US" w:eastAsia="en-US"/>
        </w:rPr>
        <w:t>2016</w:t>
      </w:r>
      <w:r w:rsidRPr="00684817">
        <w:rPr>
          <w:lang w:val="en-US" w:eastAsia="en-US"/>
        </w:rPr>
        <w:t xml:space="preserve"> to make recommendations to the Taskforce on the review of MBS items within its remit, based on rapid evidence review and clinical expertise.</w:t>
      </w:r>
    </w:p>
    <w:p w14:paraId="205CDE3C" w14:textId="77777777" w:rsidR="0084487B" w:rsidRPr="00FC1976" w:rsidRDefault="004C6751" w:rsidP="0084487B">
      <w:r>
        <w:t xml:space="preserve">Most </w:t>
      </w:r>
      <w:r w:rsidR="0084487B" w:rsidRPr="007B3FE5">
        <w:t xml:space="preserve">recommendations relating to these items are included in this report for consultation. The Committee also provided </w:t>
      </w:r>
      <w:r w:rsidR="0084487B">
        <w:t xml:space="preserve">recommendations </w:t>
      </w:r>
      <w:r w:rsidR="0084487B" w:rsidRPr="007B3FE5">
        <w:t xml:space="preserve">on items that will be referred </w:t>
      </w:r>
      <w:r w:rsidR="0084487B">
        <w:t>to other committees</w:t>
      </w:r>
      <w:r w:rsidR="0084487B" w:rsidRPr="007B3FE5">
        <w:t xml:space="preserve"> for consultation.</w:t>
      </w:r>
      <w:r w:rsidR="0084487B" w:rsidRPr="00FC1976">
        <w:t xml:space="preserve"> </w:t>
      </w:r>
    </w:p>
    <w:p w14:paraId="25C664B0" w14:textId="77777777" w:rsidR="007B61AD" w:rsidRPr="007B61AD" w:rsidRDefault="007B61AD" w:rsidP="007B61AD">
      <w:r w:rsidRPr="007B61AD">
        <w:t xml:space="preserve"> An inclusive set of stakeholders is now engaged in consultation on the recommendations outlined in this report. Following this stakeholder consultation, the recommendations will be finalised and presented to the Taskforce. The Taskforce will consider the report and stakeholder feedback before making recommendations to the Minister for Health for consideration by the Government. </w:t>
      </w:r>
    </w:p>
    <w:p w14:paraId="47117E74" w14:textId="77777777" w:rsidR="0084487B" w:rsidRPr="00FB049C" w:rsidRDefault="0084487B" w:rsidP="00F610A0"/>
    <w:p w14:paraId="052D076A" w14:textId="77777777" w:rsidR="00AF5D75" w:rsidRDefault="0084487B" w:rsidP="00E2562E">
      <w:pPr>
        <w:pStyle w:val="Heading2"/>
      </w:pPr>
      <w:bookmarkStart w:id="4" w:name="_Toc499293023"/>
      <w:r>
        <w:lastRenderedPageBreak/>
        <w:t>Recommendations</w:t>
      </w:r>
      <w:bookmarkEnd w:id="4"/>
    </w:p>
    <w:p w14:paraId="2B823272" w14:textId="77777777" w:rsidR="008D512E" w:rsidRDefault="0041508C" w:rsidP="00AF5D75">
      <w:pPr>
        <w:rPr>
          <w:lang w:val="en-US"/>
        </w:rPr>
      </w:pPr>
      <w:r w:rsidRPr="0041508C">
        <w:rPr>
          <w:lang w:val="en-US"/>
        </w:rPr>
        <w:t xml:space="preserve">The Committee was assigned </w:t>
      </w:r>
      <w:r w:rsidR="0046400F" w:rsidRPr="0041508C">
        <w:rPr>
          <w:lang w:val="en-US"/>
        </w:rPr>
        <w:t>7</w:t>
      </w:r>
      <w:r w:rsidR="0046400F">
        <w:rPr>
          <w:lang w:val="en-US"/>
        </w:rPr>
        <w:t>2</w:t>
      </w:r>
      <w:r w:rsidR="0046400F" w:rsidRPr="0041508C">
        <w:rPr>
          <w:lang w:val="en-US"/>
        </w:rPr>
        <w:t xml:space="preserve"> </w:t>
      </w:r>
      <w:r w:rsidRPr="0041508C">
        <w:rPr>
          <w:lang w:val="en-US"/>
        </w:rPr>
        <w:t>MBS immunology items to review.</w:t>
      </w:r>
      <w:r>
        <w:rPr>
          <w:lang w:val="en-US"/>
        </w:rPr>
        <w:t xml:space="preserve"> </w:t>
      </w:r>
      <w:r w:rsidR="008D512E" w:rsidRPr="008D512E">
        <w:rPr>
          <w:lang w:val="en-US"/>
        </w:rPr>
        <w:t>The Committee’s recommendations for stakeholder consultation are</w:t>
      </w:r>
      <w:r w:rsidR="004C6751">
        <w:rPr>
          <w:lang w:val="en-US"/>
        </w:rPr>
        <w:t xml:space="preserve"> that</w:t>
      </w:r>
      <w:r w:rsidR="008D512E">
        <w:rPr>
          <w:lang w:val="en-US"/>
        </w:rPr>
        <w:t>:</w:t>
      </w:r>
    </w:p>
    <w:p w14:paraId="3CD5F716" w14:textId="77777777" w:rsidR="008D512E" w:rsidRDefault="00773BFA" w:rsidP="007B6365">
      <w:pPr>
        <w:pStyle w:val="NormalBulleted"/>
        <w:rPr>
          <w:lang w:val="en-US"/>
        </w:rPr>
      </w:pPr>
      <w:r w:rsidRPr="00F610A0">
        <w:rPr>
          <w:lang w:val="en-US"/>
        </w:rPr>
        <w:t>four</w:t>
      </w:r>
      <w:r w:rsidR="00AF5D75" w:rsidRPr="00F610A0">
        <w:rPr>
          <w:lang w:val="en-US"/>
        </w:rPr>
        <w:t xml:space="preserve"> items be deleted</w:t>
      </w:r>
      <w:r w:rsidR="008D512E">
        <w:rPr>
          <w:lang w:val="en-US"/>
        </w:rPr>
        <w:t xml:space="preserve"> from the MBS</w:t>
      </w:r>
    </w:p>
    <w:p w14:paraId="7774DF41" w14:textId="77777777" w:rsidR="0033577D" w:rsidRDefault="00773BFA" w:rsidP="007B6365">
      <w:pPr>
        <w:pStyle w:val="NormalBulleted"/>
        <w:rPr>
          <w:lang w:val="en-US"/>
        </w:rPr>
      </w:pPr>
      <w:r w:rsidRPr="00F610A0">
        <w:rPr>
          <w:lang w:val="en-US"/>
        </w:rPr>
        <w:t>five</w:t>
      </w:r>
      <w:r w:rsidR="00AF5D75" w:rsidRPr="00F610A0">
        <w:rPr>
          <w:lang w:val="en-US"/>
        </w:rPr>
        <w:t xml:space="preserve"> </w:t>
      </w:r>
      <w:r w:rsidR="0033577D">
        <w:rPr>
          <w:lang w:val="en-US"/>
        </w:rPr>
        <w:t xml:space="preserve">items </w:t>
      </w:r>
      <w:r w:rsidR="004C6751">
        <w:rPr>
          <w:lang w:val="en-US"/>
        </w:rPr>
        <w:t xml:space="preserve">be </w:t>
      </w:r>
      <w:r w:rsidR="00AF5D75" w:rsidRPr="00F610A0">
        <w:rPr>
          <w:lang w:val="en-US"/>
        </w:rPr>
        <w:t>added</w:t>
      </w:r>
    </w:p>
    <w:p w14:paraId="59A5BFC4" w14:textId="77777777" w:rsidR="008D512E" w:rsidRDefault="0046400F" w:rsidP="007B6365">
      <w:pPr>
        <w:pStyle w:val="NormalBulleted"/>
        <w:rPr>
          <w:lang w:val="en-US"/>
        </w:rPr>
      </w:pPr>
      <w:r>
        <w:rPr>
          <w:lang w:val="en-US"/>
        </w:rPr>
        <w:t>2</w:t>
      </w:r>
      <w:r w:rsidR="006B171B">
        <w:rPr>
          <w:lang w:val="en-US"/>
        </w:rPr>
        <w:t>1</w:t>
      </w:r>
      <w:r>
        <w:rPr>
          <w:lang w:val="en-US"/>
        </w:rPr>
        <w:t xml:space="preserve"> </w:t>
      </w:r>
      <w:r w:rsidR="008D512E">
        <w:rPr>
          <w:lang w:val="en-US"/>
        </w:rPr>
        <w:t xml:space="preserve">items should be </w:t>
      </w:r>
      <w:r w:rsidR="00AF5D75" w:rsidRPr="00F610A0">
        <w:rPr>
          <w:lang w:val="en-US"/>
        </w:rPr>
        <w:t>changed</w:t>
      </w:r>
    </w:p>
    <w:p w14:paraId="46BAA57C" w14:textId="77777777" w:rsidR="008D512E" w:rsidRDefault="00773BFA" w:rsidP="007B6365">
      <w:pPr>
        <w:pStyle w:val="NormalBulleted"/>
        <w:rPr>
          <w:lang w:val="en-US"/>
        </w:rPr>
      </w:pPr>
      <w:r w:rsidRPr="00F610A0">
        <w:rPr>
          <w:lang w:val="en-US"/>
        </w:rPr>
        <w:t>40</w:t>
      </w:r>
      <w:r w:rsidR="00AF5D75" w:rsidRPr="00F610A0">
        <w:rPr>
          <w:lang w:val="en-US"/>
        </w:rPr>
        <w:t xml:space="preserve"> items </w:t>
      </w:r>
      <w:r w:rsidR="004C6751">
        <w:rPr>
          <w:lang w:val="en-US"/>
        </w:rPr>
        <w:t xml:space="preserve">should </w:t>
      </w:r>
      <w:r w:rsidR="00AF5D75" w:rsidRPr="00F610A0">
        <w:rPr>
          <w:lang w:val="en-US"/>
        </w:rPr>
        <w:t xml:space="preserve">remain unchanged. </w:t>
      </w:r>
    </w:p>
    <w:p w14:paraId="016B5361" w14:textId="77777777" w:rsidR="004C79B6" w:rsidRDefault="004C79B6" w:rsidP="008D512E">
      <w:r>
        <w:t>These changes focus on encouraging best practice, modernising the MBS to reflect contemporary practice, and ensuring that MBS services provide value for the patient and the healthcare system.</w:t>
      </w:r>
    </w:p>
    <w:p w14:paraId="0D6A4EBD" w14:textId="77777777" w:rsidR="00F610A0" w:rsidRDefault="0033577D" w:rsidP="0033577D">
      <w:pPr>
        <w:rPr>
          <w:lang w:val="en-US"/>
        </w:rPr>
      </w:pPr>
      <w:r w:rsidRPr="00F610A0">
        <w:t>Major changes to items are summarised below and detailed descriptions of all recommendations are found in the body of this report</w:t>
      </w:r>
      <w:r w:rsidR="00E93F06" w:rsidRPr="00F610A0">
        <w:t xml:space="preserve">. </w:t>
      </w:r>
      <w:r w:rsidR="005C3813">
        <w:t>A p</w:t>
      </w:r>
      <w:r w:rsidR="00E93F06" w:rsidRPr="00F610A0">
        <w:t xml:space="preserve">lain English </w:t>
      </w:r>
      <w:r w:rsidR="005C3813">
        <w:t>summary of all changes can be found in</w:t>
      </w:r>
      <w:r w:rsidR="006C0FE3">
        <w:rPr>
          <w:lang w:val="en-US"/>
        </w:rPr>
        <w:t xml:space="preserve"> </w:t>
      </w:r>
      <w:r w:rsidR="006C0FE3">
        <w:rPr>
          <w:lang w:val="en-US"/>
        </w:rPr>
        <w:fldChar w:fldCharType="begin"/>
      </w:r>
      <w:r w:rsidR="006C0FE3">
        <w:rPr>
          <w:lang w:val="en-US"/>
        </w:rPr>
        <w:instrText xml:space="preserve"> REF _Ref499282992 \h </w:instrText>
      </w:r>
      <w:r w:rsidR="006C0FE3">
        <w:rPr>
          <w:lang w:val="en-US"/>
        </w:rPr>
      </w:r>
      <w:r w:rsidR="006C0FE3">
        <w:rPr>
          <w:lang w:val="en-US"/>
        </w:rPr>
        <w:fldChar w:fldCharType="separate"/>
      </w:r>
      <w:r w:rsidR="00E95F8E">
        <w:t xml:space="preserve">Appendix B – </w:t>
      </w:r>
      <w:r w:rsidR="00E95F8E" w:rsidRPr="001F0103">
        <w:t>Summary for consumers</w:t>
      </w:r>
      <w:r w:rsidR="006C0FE3">
        <w:rPr>
          <w:lang w:val="en-US"/>
        </w:rPr>
        <w:fldChar w:fldCharType="end"/>
      </w:r>
      <w:r w:rsidR="00E93F06">
        <w:rPr>
          <w:lang w:val="en-US"/>
        </w:rPr>
        <w:t>.</w:t>
      </w:r>
    </w:p>
    <w:p w14:paraId="425B595D" w14:textId="77777777" w:rsidR="00003EDD" w:rsidRPr="0078040F" w:rsidRDefault="00003EDD" w:rsidP="00097175">
      <w:pPr>
        <w:pStyle w:val="Heading3Numbered"/>
      </w:pPr>
      <w:r w:rsidRPr="0078040F">
        <w:t>Antinuclear antibodies</w:t>
      </w:r>
    </w:p>
    <w:p w14:paraId="45802CAC" w14:textId="77777777" w:rsidR="00003EDD" w:rsidRPr="0078040F" w:rsidRDefault="00003EDD" w:rsidP="00003EDD">
      <w:pPr>
        <w:rPr>
          <w:lang w:val="en-US"/>
        </w:rPr>
      </w:pPr>
      <w:r w:rsidRPr="0078040F">
        <w:rPr>
          <w:lang w:val="en-US"/>
        </w:rPr>
        <w:t>The Committee recommends limiting the use of item</w:t>
      </w:r>
      <w:r w:rsidR="00E93F06">
        <w:rPr>
          <w:lang w:val="en-US"/>
        </w:rPr>
        <w:t xml:space="preserve"> 71097</w:t>
      </w:r>
      <w:r w:rsidRPr="0078040F">
        <w:rPr>
          <w:lang w:val="en-US"/>
        </w:rPr>
        <w:t>, changing the wording of the descriptor, and educating requesters about optimal use of the item.</w:t>
      </w:r>
    </w:p>
    <w:p w14:paraId="613EA996" w14:textId="77777777" w:rsidR="0033577D" w:rsidRPr="008D512E" w:rsidRDefault="00003EDD" w:rsidP="008D512E">
      <w:pPr>
        <w:rPr>
          <w:lang w:val="en-US"/>
        </w:rPr>
      </w:pPr>
      <w:r w:rsidRPr="0078040F">
        <w:rPr>
          <w:lang w:val="en-US"/>
        </w:rPr>
        <w:t xml:space="preserve">The Committee has noted that repeat testing under Medicare is problematic for this item for two main reasons: tests are </w:t>
      </w:r>
      <w:r>
        <w:rPr>
          <w:lang w:val="en-US"/>
        </w:rPr>
        <w:t>requested</w:t>
      </w:r>
      <w:r w:rsidRPr="0078040F">
        <w:rPr>
          <w:lang w:val="en-US"/>
        </w:rPr>
        <w:t xml:space="preserve"> too many times; and lack of understanding by requesters of the intended use of this item. The recommendation for the education program aligns with a separate proposal for antinuclear antibody training to be a requirement for rheumatologists and the as-yet unpublished guidelines on use of antinuclear antibodies.</w:t>
      </w:r>
    </w:p>
    <w:p w14:paraId="3BFCB6EF" w14:textId="77777777" w:rsidR="00AF5D75" w:rsidRPr="0078040F" w:rsidRDefault="00E8051A" w:rsidP="00097175">
      <w:pPr>
        <w:pStyle w:val="Heading3Numbered"/>
      </w:pPr>
      <w:r w:rsidRPr="00704DA2">
        <w:t>Quantitation</w:t>
      </w:r>
      <w:r w:rsidR="00AF5D75" w:rsidRPr="0078040F">
        <w:t xml:space="preserve"> of complement components</w:t>
      </w:r>
    </w:p>
    <w:p w14:paraId="6902C7B0" w14:textId="77777777" w:rsidR="00030B42" w:rsidRDefault="00AF5D75" w:rsidP="00AF5D75">
      <w:pPr>
        <w:rPr>
          <w:lang w:val="en-US"/>
        </w:rPr>
      </w:pPr>
      <w:r w:rsidRPr="00032E37">
        <w:rPr>
          <w:lang w:val="en-US"/>
        </w:rPr>
        <w:t>The Committee recommends changes to the descript</w:t>
      </w:r>
      <w:r w:rsidR="00305B40">
        <w:rPr>
          <w:lang w:val="en-US"/>
        </w:rPr>
        <w:t>ors</w:t>
      </w:r>
      <w:r w:rsidRPr="00032E37">
        <w:rPr>
          <w:lang w:val="en-US"/>
        </w:rPr>
        <w:t xml:space="preserve"> and tests included in each of the items in this group. The knowledge and utility of more complex testing has advanced in medicine, with many new applications being relevant to the investigation of disease.</w:t>
      </w:r>
    </w:p>
    <w:p w14:paraId="2AB3951D" w14:textId="77777777" w:rsidR="00AF5D75" w:rsidRPr="00032E37" w:rsidRDefault="00AF5D75" w:rsidP="00AF5D75">
      <w:pPr>
        <w:rPr>
          <w:lang w:val="en-US"/>
        </w:rPr>
      </w:pPr>
      <w:r w:rsidRPr="00032E37">
        <w:rPr>
          <w:lang w:val="en-US"/>
        </w:rPr>
        <w:t>The Committee recommends removing properdin</w:t>
      </w:r>
      <w:r w:rsidR="00E93F06">
        <w:rPr>
          <w:lang w:val="en-US"/>
        </w:rPr>
        <w:t xml:space="preserve"> and</w:t>
      </w:r>
      <w:r w:rsidRPr="00032E37">
        <w:rPr>
          <w:lang w:val="en-US"/>
        </w:rPr>
        <w:t xml:space="preserve"> factor B from items 71083–71087</w:t>
      </w:r>
      <w:r w:rsidR="00305B40">
        <w:rPr>
          <w:lang w:val="en-US"/>
        </w:rPr>
        <w:t>,</w:t>
      </w:r>
      <w:r w:rsidRPr="00032E37">
        <w:rPr>
          <w:lang w:val="en-US"/>
        </w:rPr>
        <w:t xml:space="preserve"> as this </w:t>
      </w:r>
      <w:r w:rsidR="004564AC" w:rsidRPr="00032E37">
        <w:rPr>
          <w:lang w:val="en-US"/>
        </w:rPr>
        <w:t>test is of limited clinical use</w:t>
      </w:r>
      <w:r w:rsidRPr="00032E37">
        <w:rPr>
          <w:lang w:val="en-US"/>
        </w:rPr>
        <w:t xml:space="preserve">. The Committee also recommends deleting item 71087 </w:t>
      </w:r>
      <w:r w:rsidR="004564AC" w:rsidRPr="00032E37">
        <w:rPr>
          <w:lang w:val="en-US"/>
        </w:rPr>
        <w:t xml:space="preserve">(testing for </w:t>
      </w:r>
      <w:r w:rsidR="00030B42">
        <w:rPr>
          <w:lang w:val="en-US"/>
        </w:rPr>
        <w:t>three</w:t>
      </w:r>
      <w:r w:rsidR="00030B42" w:rsidRPr="00032E37">
        <w:rPr>
          <w:lang w:val="en-US"/>
        </w:rPr>
        <w:t xml:space="preserve"> </w:t>
      </w:r>
      <w:r w:rsidR="004564AC" w:rsidRPr="00032E37">
        <w:rPr>
          <w:lang w:val="en-US"/>
        </w:rPr>
        <w:t>of the preceding items)</w:t>
      </w:r>
      <w:r w:rsidR="00030B42">
        <w:rPr>
          <w:lang w:val="en-US"/>
        </w:rPr>
        <w:t>,</w:t>
      </w:r>
      <w:r w:rsidR="004564AC" w:rsidRPr="00032E37">
        <w:rPr>
          <w:lang w:val="en-US"/>
        </w:rPr>
        <w:t xml:space="preserve"> </w:t>
      </w:r>
      <w:r w:rsidRPr="00032E37">
        <w:rPr>
          <w:lang w:val="en-US"/>
        </w:rPr>
        <w:t xml:space="preserve">as this is no longer </w:t>
      </w:r>
      <w:r w:rsidR="004564AC" w:rsidRPr="00032E37">
        <w:rPr>
          <w:lang w:val="en-US"/>
        </w:rPr>
        <w:t xml:space="preserve">applicable </w:t>
      </w:r>
      <w:r w:rsidR="00794168">
        <w:rPr>
          <w:lang w:val="en-US"/>
        </w:rPr>
        <w:t xml:space="preserve">because </w:t>
      </w:r>
      <w:r w:rsidR="004564AC" w:rsidRPr="00032E37">
        <w:rPr>
          <w:lang w:val="en-US"/>
        </w:rPr>
        <w:t>the grouping will subsequently only contain two items, that is, testing for C3 and/or C4</w:t>
      </w:r>
      <w:r w:rsidRPr="00032E37">
        <w:rPr>
          <w:lang w:val="en-US"/>
        </w:rPr>
        <w:t xml:space="preserve">. The Committee recommends removing the wording specifying breakdown products of complement proteins and replacing the wording with other than C3 or C4 from items 71089–71093. </w:t>
      </w:r>
    </w:p>
    <w:p w14:paraId="466C3BC6" w14:textId="77777777" w:rsidR="00AF5D75" w:rsidRPr="0078040F" w:rsidRDefault="00AF5D75" w:rsidP="006A17D1">
      <w:pPr>
        <w:pStyle w:val="Heading3Numbered"/>
      </w:pPr>
      <w:r w:rsidRPr="0078040F">
        <w:t>Erythrocyte sedimentation rate (ESR) guidelines</w:t>
      </w:r>
    </w:p>
    <w:p w14:paraId="413DE449" w14:textId="77777777" w:rsidR="00BC5BA8" w:rsidRDefault="00704DA2" w:rsidP="00AF5D75">
      <w:pPr>
        <w:rPr>
          <w:lang w:val="en-US"/>
        </w:rPr>
      </w:pPr>
      <w:r>
        <w:rPr>
          <w:lang w:val="en-US"/>
        </w:rPr>
        <w:t>W</w:t>
      </w:r>
      <w:r w:rsidR="00AF5D75" w:rsidRPr="00032E37">
        <w:rPr>
          <w:lang w:val="en-US"/>
        </w:rPr>
        <w:t xml:space="preserve">hile </w:t>
      </w:r>
      <w:r w:rsidR="00331DEA" w:rsidRPr="00032E37">
        <w:rPr>
          <w:lang w:val="en-US"/>
        </w:rPr>
        <w:t>the Committee</w:t>
      </w:r>
      <w:r w:rsidR="00AF5D75" w:rsidRPr="00032E37">
        <w:rPr>
          <w:lang w:val="en-US"/>
        </w:rPr>
        <w:t xml:space="preserve"> consider</w:t>
      </w:r>
      <w:r w:rsidR="00331DEA" w:rsidRPr="00032E37">
        <w:rPr>
          <w:lang w:val="en-US"/>
        </w:rPr>
        <w:t>s</w:t>
      </w:r>
      <w:r w:rsidR="00AF5D75" w:rsidRPr="00032E37">
        <w:rPr>
          <w:lang w:val="en-US"/>
        </w:rPr>
        <w:t xml:space="preserve"> ESR to have a limited clinical role and that the </w:t>
      </w:r>
      <w:r w:rsidR="004564AC" w:rsidRPr="00032E37">
        <w:rPr>
          <w:lang w:val="en-US"/>
        </w:rPr>
        <w:t>evidence supporting the various clinical uses of ESR testing are poor</w:t>
      </w:r>
      <w:r w:rsidR="00AF5D75" w:rsidRPr="00032E37">
        <w:rPr>
          <w:lang w:val="en-US"/>
        </w:rPr>
        <w:t xml:space="preserve">, the </w:t>
      </w:r>
      <w:r w:rsidR="00331DEA" w:rsidRPr="00032E37">
        <w:rPr>
          <w:lang w:val="en-US"/>
        </w:rPr>
        <w:t>recommendation is to</w:t>
      </w:r>
      <w:r w:rsidR="00AF5D75" w:rsidRPr="00032E37">
        <w:rPr>
          <w:lang w:val="en-US"/>
        </w:rPr>
        <w:t xml:space="preserve"> retain this test </w:t>
      </w:r>
      <w:r w:rsidR="00331DEA" w:rsidRPr="00032E37">
        <w:rPr>
          <w:lang w:val="en-US"/>
        </w:rPr>
        <w:t>on the MBS</w:t>
      </w:r>
      <w:r w:rsidR="00AF5D75" w:rsidRPr="00032E37">
        <w:rPr>
          <w:lang w:val="en-US"/>
        </w:rPr>
        <w:t>.</w:t>
      </w:r>
      <w:r w:rsidR="004564AC" w:rsidRPr="00032E37">
        <w:rPr>
          <w:lang w:val="en-US"/>
        </w:rPr>
        <w:t xml:space="preserve"> This is in part due to the retention of ESR in some prognosis scoring systems and P</w:t>
      </w:r>
      <w:r w:rsidR="002B1A60">
        <w:rPr>
          <w:lang w:val="en-US"/>
        </w:rPr>
        <w:t xml:space="preserve">harmaceutical </w:t>
      </w:r>
      <w:r w:rsidR="004564AC" w:rsidRPr="00032E37">
        <w:rPr>
          <w:lang w:val="en-US"/>
        </w:rPr>
        <w:t>B</w:t>
      </w:r>
      <w:r w:rsidR="002B1A60">
        <w:rPr>
          <w:lang w:val="en-US"/>
        </w:rPr>
        <w:t xml:space="preserve">enefits </w:t>
      </w:r>
      <w:r w:rsidR="004564AC" w:rsidRPr="00032E37">
        <w:rPr>
          <w:lang w:val="en-US"/>
        </w:rPr>
        <w:t>S</w:t>
      </w:r>
      <w:r w:rsidR="002B1A60">
        <w:rPr>
          <w:lang w:val="en-US"/>
        </w:rPr>
        <w:t>cheme</w:t>
      </w:r>
      <w:r w:rsidR="004564AC" w:rsidRPr="00032E37">
        <w:rPr>
          <w:lang w:val="en-US"/>
        </w:rPr>
        <w:t xml:space="preserve"> authority criteria</w:t>
      </w:r>
      <w:r w:rsidR="00030B42">
        <w:rPr>
          <w:lang w:val="en-US"/>
        </w:rPr>
        <w:t>.</w:t>
      </w:r>
    </w:p>
    <w:p w14:paraId="7E6B97B0" w14:textId="77777777" w:rsidR="00E01B21" w:rsidRDefault="00E01B21" w:rsidP="00E01B21">
      <w:pPr>
        <w:pStyle w:val="Heading2"/>
        <w:spacing w:before="280"/>
        <w:ind w:left="576" w:hanging="576"/>
        <w:rPr>
          <w:rFonts w:eastAsia="Times New Roman"/>
        </w:rPr>
      </w:pPr>
      <w:bookmarkStart w:id="5" w:name="_Toc498516939"/>
      <w:bookmarkStart w:id="6" w:name="_Toc499293024"/>
      <w:r>
        <w:rPr>
          <w:rFonts w:eastAsia="Times New Roman"/>
        </w:rPr>
        <w:t>Consumer engagement and impact</w:t>
      </w:r>
      <w:bookmarkEnd w:id="5"/>
    </w:p>
    <w:p w14:paraId="00A72C9C" w14:textId="77777777" w:rsidR="00E01B21" w:rsidRPr="00E01B21" w:rsidRDefault="00E01B21" w:rsidP="00E01B21">
      <w:pPr>
        <w:spacing w:before="120" w:after="120"/>
        <w:ind w:right="-330"/>
        <w:rPr>
          <w:rFonts w:cs="Arial"/>
          <w:lang w:val="en-US" w:eastAsia="en-US"/>
        </w:rPr>
      </w:pPr>
      <w:r w:rsidRPr="00E01B21">
        <w:rPr>
          <w:rFonts w:cs="Arial"/>
          <w:lang w:val="en-US" w:eastAsia="en-US"/>
        </w:rPr>
        <w:t xml:space="preserve">The Committee includes experienced and committed health practitioners and consumer representatives. This section summarises the report’s key recommendations from a consumer perspective. It aims to make it easier for health consumers and members of the general public to understand the report’s recommendations. </w:t>
      </w:r>
    </w:p>
    <w:p w14:paraId="2866FEEA" w14:textId="77777777" w:rsidR="00E01B21" w:rsidRPr="00E01B21" w:rsidRDefault="00E01B21" w:rsidP="00E01B21">
      <w:pPr>
        <w:spacing w:before="120" w:after="120"/>
        <w:ind w:right="-330"/>
        <w:rPr>
          <w:rFonts w:cs="Arial"/>
          <w:lang w:val="en-US" w:eastAsia="en-US"/>
        </w:rPr>
      </w:pPr>
      <w:r w:rsidRPr="00E01B21">
        <w:rPr>
          <w:rFonts w:cs="Arial"/>
          <w:lang w:val="en-US" w:eastAsia="en-US"/>
        </w:rPr>
        <w:lastRenderedPageBreak/>
        <w:t xml:space="preserve">A complete list of the recommendations can be found in Appendix </w:t>
      </w:r>
      <w:r>
        <w:rPr>
          <w:rFonts w:cs="Arial"/>
          <w:lang w:val="en-US" w:eastAsia="en-US"/>
        </w:rPr>
        <w:t>B</w:t>
      </w:r>
      <w:r w:rsidRPr="00E01B21">
        <w:rPr>
          <w:rFonts w:cs="Arial"/>
          <w:lang w:val="en-US" w:eastAsia="en-US"/>
        </w:rPr>
        <w:t xml:space="preserve">, including a description in plain English of the medical service and the Committee’s recommendation, as well as an explanation of why the recommendation has been made. </w:t>
      </w:r>
    </w:p>
    <w:p w14:paraId="124E313A" w14:textId="77777777" w:rsidR="00E01B21" w:rsidRPr="00E01B21" w:rsidRDefault="00E01B21" w:rsidP="00E01B21">
      <w:pPr>
        <w:spacing w:before="120" w:after="120"/>
        <w:ind w:right="-330"/>
        <w:rPr>
          <w:rFonts w:cs="Arial"/>
          <w:lang w:val="en-US" w:eastAsia="en-US"/>
        </w:rPr>
      </w:pPr>
      <w:r w:rsidRPr="00E01B21">
        <w:rPr>
          <w:rFonts w:cs="Arial"/>
          <w:lang w:val="en-US" w:eastAsia="en-US"/>
        </w:rPr>
        <w:t xml:space="preserve">Consumers rarely engage with MBS item numbers unless they are following up on out-of-pocket expenses. Nevertheless, item descriptions and restrictions are an important part of healthcare accountability. The Committee’s recommendations encourage agreed best practice and reflect current clinical evidence. </w:t>
      </w:r>
    </w:p>
    <w:p w14:paraId="5CC3315B" w14:textId="77777777" w:rsidR="00E01B21" w:rsidRPr="00E01B21" w:rsidRDefault="00E01B21" w:rsidP="00E01B21">
      <w:pPr>
        <w:spacing w:before="120" w:after="120"/>
        <w:ind w:right="-330"/>
        <w:rPr>
          <w:rFonts w:cs="Arial"/>
          <w:lang w:val="en-US" w:eastAsia="en-US"/>
        </w:rPr>
      </w:pPr>
      <w:r w:rsidRPr="00E01B21">
        <w:rPr>
          <w:rFonts w:cs="Arial"/>
          <w:lang w:val="en-US" w:eastAsia="en-US"/>
        </w:rPr>
        <w:t xml:space="preserve">Both consumers and clinicians are expected to benefit from these recommendations because they address concerns regarding consumer safety and quality of care, and take steps to simplify the MBS and make it easier to use and understand. Consumer access to services was considered for each recommendation. The Committee also considered the impact of each recommendation on requestor and provider groups to ensure that changes were reasonable and fair. However, if the Committee identified evidence of potential item misuse or safety concerns, recommendations were made to encourage best practice, in line with the overarching purpose of the MBS Review. </w:t>
      </w:r>
    </w:p>
    <w:p w14:paraId="474969DB" w14:textId="77777777" w:rsidR="00E01B21" w:rsidRPr="00E01B21" w:rsidRDefault="00E01B21" w:rsidP="00E01B21">
      <w:pPr>
        <w:spacing w:before="120" w:after="120"/>
        <w:ind w:right="-330"/>
        <w:rPr>
          <w:rFonts w:cs="Arial"/>
          <w:lang w:val="en-US" w:eastAsia="en-US"/>
        </w:rPr>
      </w:pPr>
      <w:r w:rsidRPr="00E01B21">
        <w:rPr>
          <w:rFonts w:cs="Arial"/>
          <w:lang w:val="en-US" w:eastAsia="en-US"/>
        </w:rPr>
        <w:t xml:space="preserve">The Committee expects these recommendations to support better requesting, with the aim of ensuring that patients are provided with clinically indicated, high-quality care that reflects modern best practice. </w:t>
      </w:r>
    </w:p>
    <w:p w14:paraId="666EC708" w14:textId="77777777" w:rsidR="00E01B21" w:rsidRPr="00E01B21" w:rsidRDefault="00E01B21" w:rsidP="00E01B21">
      <w:pPr>
        <w:spacing w:before="120" w:after="120"/>
        <w:ind w:right="-330"/>
        <w:rPr>
          <w:rFonts w:cs="Arial"/>
          <w:lang w:val="en-US" w:eastAsia="en-US"/>
        </w:rPr>
      </w:pPr>
      <w:r w:rsidRPr="00E01B21">
        <w:rPr>
          <w:rFonts w:cs="Arial"/>
          <w:lang w:val="en-US" w:eastAsia="en-US"/>
        </w:rPr>
        <w:t>The consumer representatives used the following framework to assess recommendations:</w:t>
      </w:r>
    </w:p>
    <w:p w14:paraId="42D65AE4" w14:textId="77777777" w:rsidR="00E01B21" w:rsidRDefault="00E01B21" w:rsidP="00E01B21">
      <w:pPr>
        <w:pStyle w:val="02dash"/>
        <w:numPr>
          <w:ilvl w:val="0"/>
          <w:numId w:val="0"/>
        </w:numPr>
        <w:tabs>
          <w:tab w:val="left" w:pos="720"/>
        </w:tabs>
        <w:ind w:left="567"/>
      </w:pPr>
      <w:r>
        <w:rPr>
          <w:b/>
          <w:bCs/>
        </w:rPr>
        <w:t>Safety</w:t>
      </w:r>
      <w:r>
        <w:t>: None of the recommendations negatively affects the safety of pathology services.</w:t>
      </w:r>
    </w:p>
    <w:p w14:paraId="3469C6A1" w14:textId="77777777" w:rsidR="00E01B21" w:rsidRDefault="00E01B21" w:rsidP="00E01B21">
      <w:pPr>
        <w:pStyle w:val="02dash"/>
        <w:numPr>
          <w:ilvl w:val="0"/>
          <w:numId w:val="0"/>
        </w:numPr>
        <w:tabs>
          <w:tab w:val="left" w:pos="720"/>
        </w:tabs>
        <w:ind w:left="567"/>
      </w:pPr>
      <w:r>
        <w:rPr>
          <w:b/>
          <w:bCs/>
        </w:rPr>
        <w:t>Quality</w:t>
      </w:r>
      <w:r>
        <w:t xml:space="preserve">: Many of the recommended changes are intended to improve quality, primarily by aligning the reimbursement system with evidence-based practice. </w:t>
      </w:r>
    </w:p>
    <w:p w14:paraId="58F5D43F" w14:textId="77777777" w:rsidR="00E01B21" w:rsidRDefault="00E01B21" w:rsidP="00E01B21">
      <w:pPr>
        <w:pStyle w:val="02dash"/>
        <w:numPr>
          <w:ilvl w:val="0"/>
          <w:numId w:val="0"/>
        </w:numPr>
        <w:tabs>
          <w:tab w:val="left" w:pos="720"/>
        </w:tabs>
        <w:ind w:left="567"/>
      </w:pPr>
      <w:r>
        <w:rPr>
          <w:b/>
          <w:bCs/>
        </w:rPr>
        <w:t>Access</w:t>
      </w:r>
      <w:r>
        <w:t>: The recommendations do not negatively affect appropriate access. However, some patient groups have been receiving services they do not need, which can result in either negative health impacts or unnecessary cost. Inappropriate access was restricted where possible.</w:t>
      </w:r>
    </w:p>
    <w:p w14:paraId="69DC52D8" w14:textId="77777777" w:rsidR="00E01B21" w:rsidRDefault="00E01B21" w:rsidP="00E01B21">
      <w:pPr>
        <w:pStyle w:val="02dash"/>
        <w:numPr>
          <w:ilvl w:val="0"/>
          <w:numId w:val="0"/>
        </w:numPr>
        <w:tabs>
          <w:tab w:val="left" w:pos="720"/>
        </w:tabs>
        <w:ind w:left="567"/>
      </w:pPr>
      <w:r>
        <w:rPr>
          <w:b/>
          <w:bCs/>
        </w:rPr>
        <w:t>Effectiveness</w:t>
      </w:r>
      <w:r>
        <w:t xml:space="preserve">: None of the recommendations reduces the effectiveness of pathology services. </w:t>
      </w:r>
    </w:p>
    <w:p w14:paraId="44632021" w14:textId="77777777" w:rsidR="00E01B21" w:rsidRDefault="00E01B21" w:rsidP="00E01B21">
      <w:pPr>
        <w:pStyle w:val="02dash"/>
        <w:numPr>
          <w:ilvl w:val="0"/>
          <w:numId w:val="0"/>
        </w:numPr>
        <w:tabs>
          <w:tab w:val="left" w:pos="720"/>
        </w:tabs>
        <w:ind w:left="567"/>
      </w:pPr>
      <w:r>
        <w:rPr>
          <w:b/>
          <w:bCs/>
        </w:rPr>
        <w:t>Cost-effectiveness</w:t>
      </w:r>
      <w:r>
        <w:t xml:space="preserve">: The recommendations will have a positive effect on cost-effectiveness because they make it easier to determine which patient groups should have access to specific tests and treatments. </w:t>
      </w:r>
    </w:p>
    <w:p w14:paraId="29D46EE7" w14:textId="77777777" w:rsidR="00E01B21" w:rsidRDefault="00E01B21" w:rsidP="00E01B21">
      <w:pPr>
        <w:pStyle w:val="02dash"/>
        <w:numPr>
          <w:ilvl w:val="0"/>
          <w:numId w:val="0"/>
        </w:numPr>
        <w:tabs>
          <w:tab w:val="left" w:pos="720"/>
        </w:tabs>
        <w:ind w:left="567"/>
      </w:pPr>
      <w:r>
        <w:rPr>
          <w:b/>
          <w:bCs/>
        </w:rPr>
        <w:t>Accountability</w:t>
      </w:r>
      <w:r>
        <w:t>: Many of the changes include wording that facilitates future auditing for quality purposes.</w:t>
      </w:r>
    </w:p>
    <w:p w14:paraId="55AF5062" w14:textId="77777777" w:rsidR="00E01B21" w:rsidRDefault="00E01B21" w:rsidP="00E01B21">
      <w:pPr>
        <w:pStyle w:val="02dash"/>
        <w:numPr>
          <w:ilvl w:val="0"/>
          <w:numId w:val="0"/>
        </w:numPr>
        <w:tabs>
          <w:tab w:val="left" w:pos="720"/>
        </w:tabs>
        <w:ind w:left="567"/>
      </w:pPr>
      <w:r>
        <w:rPr>
          <w:b/>
          <w:bCs/>
        </w:rPr>
        <w:t>Data collection</w:t>
      </w:r>
      <w:r>
        <w:t>: Data collection for research, monitoring and auditing presents a huge opportunity for a revised MBS, and the recommendations should improve the opportunities to use this data for targeted research in the future.</w:t>
      </w:r>
    </w:p>
    <w:bookmarkEnd w:id="6"/>
    <w:p w14:paraId="41ABAFD8" w14:textId="77777777" w:rsidR="00AF5D75" w:rsidRDefault="00AF5D75" w:rsidP="002C017A">
      <w:pPr>
        <w:pStyle w:val="Bullet2"/>
        <w:rPr>
          <w:kern w:val="32"/>
          <w:sz w:val="32"/>
          <w:szCs w:val="28"/>
          <w:lang w:val="en-US" w:eastAsia="en-US"/>
        </w:rPr>
      </w:pPr>
      <w:r>
        <w:br w:type="page"/>
      </w:r>
    </w:p>
    <w:p w14:paraId="7285CF0D" w14:textId="77777777" w:rsidR="00AF5D75" w:rsidRDefault="00AF5D75" w:rsidP="007B6365">
      <w:pPr>
        <w:pStyle w:val="Heading1"/>
      </w:pPr>
      <w:bookmarkStart w:id="7" w:name="_Toc499293025"/>
      <w:r>
        <w:lastRenderedPageBreak/>
        <w:t>About the Medicare Benefits Schedule (MBS) Review</w:t>
      </w:r>
      <w:bookmarkEnd w:id="7"/>
    </w:p>
    <w:p w14:paraId="126520E8" w14:textId="77777777" w:rsidR="00AF5D75" w:rsidRDefault="00AF5D75" w:rsidP="00E2562E">
      <w:pPr>
        <w:pStyle w:val="Heading2"/>
      </w:pPr>
      <w:bookmarkStart w:id="8" w:name="_Toc499293026"/>
      <w:r>
        <w:t>Medicare and the MBS</w:t>
      </w:r>
      <w:bookmarkEnd w:id="8"/>
    </w:p>
    <w:p w14:paraId="4CAC2F6F" w14:textId="77777777" w:rsidR="00AF5D75" w:rsidRDefault="00AF5D75" w:rsidP="006A17D1">
      <w:pPr>
        <w:pStyle w:val="Heading3Numbered"/>
      </w:pPr>
      <w:r>
        <w:t>What is Medicare?</w:t>
      </w:r>
    </w:p>
    <w:p w14:paraId="04A49649" w14:textId="77777777" w:rsidR="00AF5D75" w:rsidRDefault="00AF5D75" w:rsidP="00AF5D75">
      <w:pPr>
        <w:spacing w:before="120" w:after="120"/>
        <w:ind w:right="-330"/>
        <w:rPr>
          <w:rFonts w:cs="Arial"/>
          <w:lang w:val="en-US" w:eastAsia="en-US"/>
        </w:rPr>
      </w:pPr>
      <w:r>
        <w:rPr>
          <w:rFonts w:cs="Arial"/>
          <w:lang w:val="en-US" w:eastAsia="en-US"/>
        </w:rPr>
        <w:t xml:space="preserve">Medicare is Australia’s universal health scheme that enables all Australian residents (and some overseas visitors) to have access to a wide range of health services and medicines at little or no cost. </w:t>
      </w:r>
    </w:p>
    <w:p w14:paraId="392623A5" w14:textId="77777777" w:rsidR="00AF5D75" w:rsidRDefault="00AF5D75" w:rsidP="00AF5D75">
      <w:pPr>
        <w:spacing w:before="120"/>
        <w:ind w:right="-329"/>
        <w:rPr>
          <w:rFonts w:cs="Arial"/>
        </w:rPr>
      </w:pPr>
      <w:r>
        <w:rPr>
          <w:rFonts w:cs="Arial"/>
        </w:rPr>
        <w:t>Introduced in 1984, Medicare has three components:</w:t>
      </w:r>
    </w:p>
    <w:p w14:paraId="07324278" w14:textId="77777777" w:rsidR="00AF5D75" w:rsidRDefault="00AF5D75" w:rsidP="007B6365">
      <w:pPr>
        <w:pStyle w:val="NormalBulleted"/>
      </w:pPr>
      <w:r>
        <w:t>free public hospital services for public patients</w:t>
      </w:r>
    </w:p>
    <w:p w14:paraId="2E2C9AAF" w14:textId="77777777" w:rsidR="00AF5D75" w:rsidRDefault="00AF5D75">
      <w:pPr>
        <w:pStyle w:val="NormalBulleted"/>
      </w:pPr>
      <w:r>
        <w:t>subsidised drugs covered by the Pharmaceutical Benefits Scheme (PBS)</w:t>
      </w:r>
    </w:p>
    <w:p w14:paraId="0037020C" w14:textId="77777777" w:rsidR="00AF5D75" w:rsidRDefault="00AF5D75">
      <w:pPr>
        <w:pStyle w:val="NormalBulleted"/>
      </w:pPr>
      <w:r>
        <w:t>subsidised health professional services listed on the MBS.</w:t>
      </w:r>
    </w:p>
    <w:p w14:paraId="59562B00" w14:textId="77777777" w:rsidR="00AF5D75" w:rsidRDefault="00AF5D75" w:rsidP="006A17D1">
      <w:pPr>
        <w:pStyle w:val="Heading3Numbered"/>
      </w:pPr>
      <w:r>
        <w:t xml:space="preserve">What is the </w:t>
      </w:r>
      <w:r w:rsidR="00B97CDF">
        <w:t>MBS?</w:t>
      </w:r>
    </w:p>
    <w:p w14:paraId="59BC7205" w14:textId="77777777" w:rsidR="00AF5D75" w:rsidRDefault="00AF5D75" w:rsidP="00AF5D75">
      <w:pPr>
        <w:spacing w:before="120" w:after="120"/>
        <w:ind w:right="-330"/>
        <w:rPr>
          <w:rFonts w:cs="Arial"/>
          <w:lang w:val="en-US" w:eastAsia="en-US"/>
        </w:rPr>
      </w:pPr>
      <w:r>
        <w:rPr>
          <w:rFonts w:cs="Arial"/>
          <w:lang w:val="en-US" w:eastAsia="en-US"/>
        </w:rPr>
        <w:t xml:space="preserve">The </w:t>
      </w:r>
      <w:r w:rsidR="00B97CDF">
        <w:rPr>
          <w:rFonts w:cs="Arial"/>
          <w:lang w:val="en-US" w:eastAsia="en-US"/>
        </w:rPr>
        <w:t>MBS</w:t>
      </w:r>
      <w:r>
        <w:rPr>
          <w:rFonts w:cs="Arial"/>
          <w:lang w:val="en-US" w:eastAsia="en-US"/>
        </w:rPr>
        <w:t xml:space="preserve"> is a listing of the health professional services subsidised by the Australian </w:t>
      </w:r>
      <w:r w:rsidR="00B97CDF">
        <w:rPr>
          <w:rFonts w:cs="Arial"/>
          <w:lang w:val="en-US" w:eastAsia="en-US"/>
        </w:rPr>
        <w:t>G</w:t>
      </w:r>
      <w:r>
        <w:rPr>
          <w:rFonts w:cs="Arial"/>
          <w:lang w:val="en-US" w:eastAsia="en-US"/>
        </w:rPr>
        <w:t>overnment. There are more than 5</w:t>
      </w:r>
      <w:r w:rsidR="00B97CDF">
        <w:rPr>
          <w:rFonts w:cs="Arial"/>
          <w:lang w:val="en-US" w:eastAsia="en-US"/>
        </w:rPr>
        <w:t>,</w:t>
      </w:r>
      <w:r>
        <w:rPr>
          <w:rFonts w:cs="Arial"/>
          <w:lang w:val="en-US" w:eastAsia="en-US"/>
        </w:rPr>
        <w:t xml:space="preserve">700 MBS items that provide benefits to patients for a comprehensive range of services, including consultations, diagnostic tests and operations. </w:t>
      </w:r>
    </w:p>
    <w:p w14:paraId="2D6F1BEF" w14:textId="77777777" w:rsidR="00AF5D75" w:rsidRDefault="00B97CDF" w:rsidP="00E2562E">
      <w:pPr>
        <w:pStyle w:val="Heading2"/>
      </w:pPr>
      <w:bookmarkStart w:id="9" w:name="_Toc499293027"/>
      <w:r>
        <w:t>The MBS Review Taskforce</w:t>
      </w:r>
      <w:bookmarkEnd w:id="9"/>
    </w:p>
    <w:p w14:paraId="1A8F6BCE" w14:textId="77777777" w:rsidR="00B97CDF" w:rsidRDefault="00B97CDF" w:rsidP="006A17D1">
      <w:pPr>
        <w:pStyle w:val="Heading3Numbered"/>
      </w:pPr>
      <w:r>
        <w:t>What is the MBS Review Taskforce?</w:t>
      </w:r>
    </w:p>
    <w:p w14:paraId="0B27785C" w14:textId="77777777" w:rsidR="00AF5D75" w:rsidRDefault="00AF5D75" w:rsidP="00AF5D75">
      <w:pPr>
        <w:spacing w:before="120" w:after="120"/>
        <w:ind w:right="-330"/>
        <w:contextualSpacing/>
        <w:rPr>
          <w:rFonts w:cs="Arial"/>
          <w:lang w:val="en-US" w:eastAsia="en-US"/>
        </w:rPr>
      </w:pPr>
      <w:r>
        <w:rPr>
          <w:rFonts w:cs="Arial"/>
          <w:lang w:val="en-US" w:eastAsia="en-US"/>
        </w:rPr>
        <w:t>The Government established</w:t>
      </w:r>
      <w:r w:rsidR="00B97CDF">
        <w:rPr>
          <w:rFonts w:cs="Arial"/>
          <w:lang w:val="en-US" w:eastAsia="en-US"/>
        </w:rPr>
        <w:t xml:space="preserve"> the</w:t>
      </w:r>
      <w:r>
        <w:rPr>
          <w:rFonts w:cs="Arial"/>
          <w:lang w:val="en-US" w:eastAsia="en-US"/>
        </w:rPr>
        <w:t xml:space="preserve"> </w:t>
      </w:r>
      <w:r w:rsidR="00B97CDF">
        <w:rPr>
          <w:rFonts w:cs="Arial"/>
          <w:lang w:val="en-US" w:eastAsia="en-US"/>
        </w:rPr>
        <w:t>MBS</w:t>
      </w:r>
      <w:r>
        <w:rPr>
          <w:rFonts w:cs="Arial"/>
          <w:lang w:val="en-US" w:eastAsia="en-US"/>
        </w:rPr>
        <w:t xml:space="preserve"> Review Taskforce to review all 5</w:t>
      </w:r>
      <w:r w:rsidR="00B97CDF">
        <w:rPr>
          <w:rFonts w:cs="Arial"/>
          <w:lang w:val="en-US" w:eastAsia="en-US"/>
        </w:rPr>
        <w:t>,</w:t>
      </w:r>
      <w:r>
        <w:rPr>
          <w:rFonts w:cs="Arial"/>
          <w:lang w:val="en-US" w:eastAsia="en-US"/>
        </w:rPr>
        <w:t>700 MBS items to ensure they are aligned with contemporary clinical evidence and practice and improve health outcomes for patients.</w:t>
      </w:r>
      <w:r w:rsidR="00B97CDF">
        <w:rPr>
          <w:rFonts w:cs="Arial"/>
          <w:lang w:val="en-US" w:eastAsia="en-US"/>
        </w:rPr>
        <w:t xml:space="preserve"> </w:t>
      </w:r>
      <w:r w:rsidR="00B97CDF" w:rsidRPr="00B97CDF">
        <w:rPr>
          <w:rFonts w:cs="Arial"/>
          <w:lang w:eastAsia="en-US"/>
        </w:rPr>
        <w:t>The Taskforce will also modernise the MBS by identifying any services that may be unnecessary, outdated or potentially unsafe.</w:t>
      </w:r>
    </w:p>
    <w:p w14:paraId="04410F95" w14:textId="77777777" w:rsidR="00AF5D75" w:rsidRDefault="00AF5D75" w:rsidP="006A17D1">
      <w:pPr>
        <w:pStyle w:val="Heading3Numbered"/>
      </w:pPr>
      <w:r>
        <w:t>What are the goals of the Taskforce?</w:t>
      </w:r>
    </w:p>
    <w:p w14:paraId="4EFF7668" w14:textId="77777777" w:rsidR="00AF5D75" w:rsidRDefault="00AF5D75" w:rsidP="00AF5D75">
      <w:pPr>
        <w:spacing w:before="120" w:after="120"/>
        <w:rPr>
          <w:rFonts w:cs="Arial"/>
        </w:rPr>
      </w:pPr>
      <w:r>
        <w:rPr>
          <w:rFonts w:cs="Arial"/>
        </w:rPr>
        <w:t>The Taskforce is committed to providing recommendations to the Minister that will allow the MBS to deliver on each of these four key goals:</w:t>
      </w:r>
    </w:p>
    <w:p w14:paraId="396E6539" w14:textId="77777777" w:rsidR="00AF5D75" w:rsidRDefault="00AF5D75">
      <w:pPr>
        <w:pStyle w:val="NormalBulleted"/>
      </w:pPr>
      <w:r>
        <w:rPr>
          <w:b/>
        </w:rPr>
        <w:t>Affordable and universal access</w:t>
      </w:r>
      <w:r>
        <w:t>—the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being particularly under-serviced.</w:t>
      </w:r>
    </w:p>
    <w:p w14:paraId="5B2E15B2" w14:textId="77777777" w:rsidR="00AF5D75" w:rsidRDefault="00AF5D75">
      <w:pPr>
        <w:pStyle w:val="NormalBulleted"/>
      </w:pPr>
      <w:r>
        <w:rPr>
          <w:b/>
        </w:rPr>
        <w:t>Best practice health services</w:t>
      </w:r>
      <w:r>
        <w:t>—one of the core objectives of the Review is to modernise the MBS, ensuring that individual items and their descriptors are consistent with contemporary best practice and the evidence base when possible. Although the Medical Services Advisory Committee (MSAC) plays a crucial role in thoroughly evaluating new services, the vast majority of existing MBS items predate this process and have never been reviewed.</w:t>
      </w:r>
    </w:p>
    <w:p w14:paraId="12032D47" w14:textId="77777777" w:rsidR="00AF5D75" w:rsidRDefault="00AF5D75">
      <w:pPr>
        <w:pStyle w:val="NormalBulleted"/>
      </w:pPr>
      <w:r>
        <w:rPr>
          <w:b/>
        </w:rPr>
        <w:t>Value for the individual patient</w:t>
      </w:r>
      <w:r>
        <w:t>—another core objective of the Review is to have an MBS that supports the delivery of services that are appropriate to the patient’s needs, provide real clinical value and do not expose the patient to unnecessary risk or expense.</w:t>
      </w:r>
    </w:p>
    <w:p w14:paraId="1EECA794" w14:textId="77777777" w:rsidR="00AF5D75" w:rsidRDefault="00AF5D75">
      <w:pPr>
        <w:pStyle w:val="NormalBulleted"/>
      </w:pPr>
      <w:r>
        <w:rPr>
          <w:b/>
        </w:rPr>
        <w:t>Value for the health system</w:t>
      </w:r>
      <w:r>
        <w:t>—achieving the above elements of the vision will go a long way to achieving improved value for the health system overall. Reducing the volume of services that provide little or no clinical benefit will enable resources to be redirected to new and existing services that have proven benefit and are underused, particularly for patients who cannot readily access those services currently.</w:t>
      </w:r>
    </w:p>
    <w:p w14:paraId="77E5A7BD" w14:textId="77777777" w:rsidR="00AF5D75" w:rsidRDefault="00AF5D75" w:rsidP="00E2562E">
      <w:pPr>
        <w:pStyle w:val="Heading2"/>
      </w:pPr>
      <w:bookmarkStart w:id="10" w:name="_Toc499293028"/>
      <w:r>
        <w:lastRenderedPageBreak/>
        <w:t>The Taskforce’s approach</w:t>
      </w:r>
      <w:bookmarkEnd w:id="10"/>
    </w:p>
    <w:p w14:paraId="4060E8BC" w14:textId="77777777" w:rsidR="00185875" w:rsidRDefault="00AF5D75" w:rsidP="00AF5D75">
      <w:pPr>
        <w:spacing w:before="120" w:after="120"/>
        <w:rPr>
          <w:rFonts w:cs="Arial"/>
        </w:rPr>
      </w:pPr>
      <w:r>
        <w:rPr>
          <w:rFonts w:cs="Arial"/>
        </w:rPr>
        <w:t>The Taskforce is reviewing the existing MBS items, with a primary focus on ensuring that individual items and usage meet the definition of best practice.</w:t>
      </w:r>
      <w:r w:rsidR="0084487B">
        <w:rPr>
          <w:rFonts w:cs="Arial"/>
        </w:rPr>
        <w:t xml:space="preserve"> </w:t>
      </w:r>
      <w:r>
        <w:rPr>
          <w:rFonts w:cs="Arial"/>
        </w:rPr>
        <w:t>Within the Taskforce’s brief there is considerable scope to review and advise on all aspects that would contribute to a modern, transparent and responsive system. This includes not only making recommendations about new items or services being added to the MBS, but also about a MBS structure that could better accommodate changing health service models.</w:t>
      </w:r>
    </w:p>
    <w:p w14:paraId="60CD3D80" w14:textId="77777777" w:rsidR="00AF5D75" w:rsidRDefault="00AF5D75" w:rsidP="00AF5D75">
      <w:pPr>
        <w:spacing w:before="120" w:after="120"/>
        <w:rPr>
          <w:rFonts w:cs="Arial"/>
        </w:rPr>
      </w:pPr>
      <w:r>
        <w:rPr>
          <w:rFonts w:cs="Arial"/>
        </w:rPr>
        <w:t xml:space="preserve">The Taskforce has made a conscious decision to be ambitious in its approach and seize this unique opportunity to recommend changes to modernise the MBS on all levels, from the clinical detail of individual items, through administrative rules and mechanisms, to structural, whole-of-MBS issues. </w:t>
      </w:r>
    </w:p>
    <w:p w14:paraId="3CBD4319" w14:textId="77777777" w:rsidR="00AF5D75" w:rsidRDefault="00AF5D75" w:rsidP="00AF5D75">
      <w:pPr>
        <w:spacing w:before="120" w:after="120"/>
        <w:rPr>
          <w:rFonts w:cs="Arial"/>
        </w:rPr>
      </w:pPr>
      <w:r>
        <w:rPr>
          <w:rFonts w:cs="Arial"/>
        </w:rPr>
        <w:t>The Taskforce will also develop a mechanism for the ongoing review of the MBS after the current Review is concluded.</w:t>
      </w:r>
    </w:p>
    <w:p w14:paraId="43C3E9A1" w14:textId="77777777" w:rsidR="00AF5D75" w:rsidRDefault="00B97CDF" w:rsidP="008E09A2">
      <w:pPr>
        <w:spacing w:before="120" w:after="120"/>
        <w:rPr>
          <w:rFonts w:cs="Arial"/>
        </w:rPr>
      </w:pPr>
      <w:r w:rsidRPr="00720661">
        <w:t xml:space="preserve">As the MBS Review is to be clinician-led, the Taskforce decided that </w:t>
      </w:r>
      <w:r>
        <w:t>c</w:t>
      </w:r>
      <w:r w:rsidRPr="00720661">
        <w:t xml:space="preserve">linical </w:t>
      </w:r>
      <w:r>
        <w:t>c</w:t>
      </w:r>
      <w:r w:rsidRPr="00720661">
        <w:t>ommittees should conduct the detailed review of MBS items.</w:t>
      </w:r>
      <w:r w:rsidRPr="00B97CDF">
        <w:t xml:space="preserve"> </w:t>
      </w:r>
      <w:r w:rsidRPr="00720661">
        <w:t xml:space="preserve">The committees are broad-based in their membership, and members have been appointed in an individual capacity rather than as representatives of any organisation. </w:t>
      </w:r>
      <w:r w:rsidR="00AF5D75">
        <w:rPr>
          <w:rFonts w:cs="Arial"/>
        </w:rPr>
        <w:t xml:space="preserve"> </w:t>
      </w:r>
    </w:p>
    <w:p w14:paraId="4DE68D45" w14:textId="77777777" w:rsidR="00AF5D75" w:rsidRDefault="004A3188" w:rsidP="00AF5D75">
      <w:pPr>
        <w:spacing w:before="120" w:after="120"/>
        <w:rPr>
          <w:rFonts w:cs="Arial"/>
        </w:rPr>
      </w:pPr>
      <w:r>
        <w:rPr>
          <w:rFonts w:cs="Arial"/>
        </w:rPr>
        <w:t>The</w:t>
      </w:r>
      <w:r w:rsidR="003B67F1">
        <w:rPr>
          <w:rFonts w:cs="Arial"/>
        </w:rPr>
        <w:t xml:space="preserve"> Taskforce asked all committees to review MBS items using a framework based on Appropriate Use Criteria accepted by the Taskforce (Elshaug).</w:t>
      </w:r>
      <w:r w:rsidR="00257667">
        <w:rPr>
          <w:rFonts w:cs="Arial"/>
          <w:lang w:val="en-US" w:eastAsia="en-US"/>
        </w:rPr>
        <w:fldChar w:fldCharType="begin"/>
      </w:r>
      <w:r w:rsidR="00257667">
        <w:rPr>
          <w:rFonts w:cs="Arial"/>
          <w:lang w:val="en-US" w:eastAsia="en-US"/>
        </w:rPr>
        <w:instrText xml:space="preserve"> ADDIN EN.CITE &lt;EndNote&gt;&lt;Cite&gt;&lt;Author&gt;Elshaug&lt;/Author&gt;&lt;Year&gt;2012&lt;/Year&gt;&lt;RecNum&gt;54&lt;/RecNum&gt;&lt;DisplayText&gt; [1]&lt;/DisplayText&gt;&lt;record&gt;&lt;rec-number&gt;54&lt;/rec-number&gt;&lt;foreign-keys&gt;&lt;key app="EN" db-id="05trxwd9pxaf9oeezd6xrte0pftav5ade0ww" timestamp="1507605256"&gt;54&lt;/key&gt;&lt;/foreign-keys&gt;&lt;ref-type name="Journal Article"&gt;17&lt;/ref-type&gt;&lt;contributors&gt;&lt;authors&gt;&lt;author&gt;Elshaug, A. G.&lt;/author&gt;&lt;author&gt;Watt, A. M.&lt;/author&gt;&lt;author&gt;Mundy, L.&lt;/author&gt;&lt;author&gt;Willis, C. D.&lt;/author&gt;&lt;/authors&gt;&lt;/contributors&gt;&lt;auth-address&gt;Department of Health Care Policy, Harvard Medical School, Boston, MA, USA. elshaug@hcp.med.harvard.edu&lt;/auth-address&gt;&lt;titles&gt;&lt;title&gt;Over 150 potentially low-value health care practices: an Australian study&lt;/title&gt;&lt;secondary-title&gt;Med J Aust&lt;/secondary-title&gt;&lt;alt-title&gt;The Medical journal of Australia&lt;/alt-title&gt;&lt;/titles&gt;&lt;periodical&gt;&lt;full-title&gt;Med J Aust&lt;/full-title&gt;&lt;/periodical&gt;&lt;pages&gt;556-60&lt;/pages&gt;&lt;volume&gt;197&lt;/volume&gt;&lt;number&gt;10&lt;/number&gt;&lt;edition&gt;2012/11/21&lt;/edition&gt;&lt;keywords&gt;&lt;keyword&gt;Australia&lt;/keyword&gt;&lt;keyword&gt;Health Services/*standards&lt;/keyword&gt;&lt;keyword&gt;Humans&lt;/keyword&gt;&lt;keyword&gt;Insurance Benefits&lt;/keyword&gt;&lt;keyword&gt;National Health Programs&lt;/keyword&gt;&lt;keyword&gt;Patient Safety&lt;/keyword&gt;&lt;keyword&gt;*Quality of Health Care&lt;/keyword&gt;&lt;keyword&gt;*Unnecessary Procedures&lt;/keyword&gt;&lt;/keywords&gt;&lt;dates&gt;&lt;year&gt;2012&lt;/year&gt;&lt;pub-dates&gt;&lt;date&gt;Nov 19&lt;/date&gt;&lt;/pub-dates&gt;&lt;/dates&gt;&lt;isbn&gt;1326-5377 (Electronic)&amp;#xD;0025-729X (Linking)&lt;/isbn&gt;&lt;accession-num&gt;23163685&lt;/accession-num&gt;&lt;work-type&gt;Research Support, Non-U.S. Gov&amp;apos;t&lt;/work-type&gt;&lt;urls&gt;&lt;related-urls&gt;&lt;url&gt;https://www.ncbi.nlm.nih.gov/pubmed/23163685&lt;/url&gt;&lt;/related-urls&gt;&lt;/urls&gt;&lt;language&gt;eng&lt;/language&gt;&lt;/record&gt;&lt;/Cite&gt;&lt;/EndNote&gt;</w:instrText>
      </w:r>
      <w:r w:rsidR="00257667">
        <w:rPr>
          <w:rFonts w:cs="Arial"/>
          <w:lang w:val="en-US" w:eastAsia="en-US"/>
        </w:rPr>
        <w:fldChar w:fldCharType="separate"/>
      </w:r>
      <w:r w:rsidR="00257667">
        <w:rPr>
          <w:rFonts w:cs="Arial"/>
          <w:noProof/>
          <w:lang w:val="en-US" w:eastAsia="en-US"/>
        </w:rPr>
        <w:t xml:space="preserve"> [1]</w:t>
      </w:r>
      <w:r w:rsidR="00257667">
        <w:rPr>
          <w:rFonts w:cs="Arial"/>
          <w:lang w:val="en-US" w:eastAsia="en-US"/>
        </w:rPr>
        <w:fldChar w:fldCharType="end"/>
      </w:r>
    </w:p>
    <w:p w14:paraId="20C66A5B" w14:textId="77777777" w:rsidR="003B67F1" w:rsidRPr="003B67F1" w:rsidRDefault="003B67F1" w:rsidP="003B67F1">
      <w:pPr>
        <w:spacing w:before="120" w:after="120"/>
        <w:rPr>
          <w:rFonts w:cs="Arial"/>
          <w:lang w:val="en-US" w:eastAsia="en-US"/>
        </w:rPr>
      </w:pPr>
      <w:r w:rsidRPr="003B67F1">
        <w:rPr>
          <w:rFonts w:cs="Arial"/>
          <w:lang w:val="en-US" w:eastAsia="en-US"/>
        </w:rPr>
        <w:t>The framework consists of seven steps:</w:t>
      </w:r>
    </w:p>
    <w:p w14:paraId="76EAFA2D" w14:textId="77777777" w:rsidR="003B67F1" w:rsidRPr="00084AF3" w:rsidRDefault="003B67F1" w:rsidP="006A17D1">
      <w:pPr>
        <w:pStyle w:val="Numbered"/>
        <w:numPr>
          <w:ilvl w:val="0"/>
          <w:numId w:val="36"/>
        </w:numPr>
        <w:rPr>
          <w:lang w:eastAsia="en-US"/>
        </w:rPr>
      </w:pPr>
      <w:r w:rsidRPr="007B6365">
        <w:rPr>
          <w:lang w:eastAsia="en-US"/>
        </w:rPr>
        <w:t xml:space="preserve">Develop an initial fact base for all items under consideration, drawing on the relevant data and literature. </w:t>
      </w:r>
    </w:p>
    <w:p w14:paraId="2F8C7760" w14:textId="77777777" w:rsidR="003B67F1" w:rsidRPr="00084AF3" w:rsidRDefault="003B67F1" w:rsidP="006A17D1">
      <w:pPr>
        <w:pStyle w:val="Numbered"/>
        <w:rPr>
          <w:lang w:eastAsia="en-US"/>
        </w:rPr>
      </w:pPr>
      <w:r w:rsidRPr="007B6365">
        <w:rPr>
          <w:lang w:eastAsia="en-US"/>
        </w:rPr>
        <w:t>Identify items that are obsolete, are of questionable clinical value</w:t>
      </w:r>
      <w:r w:rsidR="00B97CDF">
        <w:rPr>
          <w:rStyle w:val="FootnoteReference"/>
          <w:lang w:eastAsia="en-US"/>
        </w:rPr>
        <w:footnoteReference w:id="1"/>
      </w:r>
      <w:r w:rsidRPr="007B6365">
        <w:rPr>
          <w:lang w:eastAsia="en-US"/>
        </w:rPr>
        <w:t>, are misused</w:t>
      </w:r>
      <w:r w:rsidR="00B97CDF">
        <w:rPr>
          <w:rStyle w:val="FootnoteReference"/>
          <w:lang w:eastAsia="en-US"/>
        </w:rPr>
        <w:footnoteReference w:id="2"/>
      </w:r>
      <w:r w:rsidRPr="007B6365">
        <w:rPr>
          <w:lang w:eastAsia="en-US"/>
        </w:rPr>
        <w:t xml:space="preserve"> and/or pose a risk to patient safety. This step includes prioritising items as ‘priority 1,’ ‘priority 2’ or ‘priority 3,’ using a prioritisation methodology (described in more detail below).</w:t>
      </w:r>
    </w:p>
    <w:p w14:paraId="3ACC6E6C" w14:textId="77777777" w:rsidR="003B67F1" w:rsidRPr="00084AF3" w:rsidRDefault="003B67F1" w:rsidP="006A17D1">
      <w:pPr>
        <w:pStyle w:val="Numbered"/>
        <w:rPr>
          <w:lang w:eastAsia="en-US"/>
        </w:rPr>
      </w:pPr>
      <w:r w:rsidRPr="007B6365">
        <w:rPr>
          <w:lang w:eastAsia="en-US"/>
        </w:rPr>
        <w:t xml:space="preserve">Identify any issues, develop hypotheses for recommendations and create a work plan (including establishing </w:t>
      </w:r>
      <w:r w:rsidR="009E2879">
        <w:rPr>
          <w:lang w:eastAsia="en-US"/>
        </w:rPr>
        <w:t>w</w:t>
      </w:r>
      <w:r w:rsidRPr="007B6365">
        <w:rPr>
          <w:lang w:eastAsia="en-US"/>
        </w:rPr>
        <w:t xml:space="preserve">orking </w:t>
      </w:r>
      <w:r w:rsidR="009E2879">
        <w:rPr>
          <w:lang w:eastAsia="en-US"/>
        </w:rPr>
        <w:t>g</w:t>
      </w:r>
      <w:r w:rsidRPr="007B6365">
        <w:rPr>
          <w:lang w:eastAsia="en-US"/>
        </w:rPr>
        <w:t>roups, when required) to arrive at recommendations for each item.</w:t>
      </w:r>
    </w:p>
    <w:p w14:paraId="4FB50930" w14:textId="77777777" w:rsidR="003B67F1" w:rsidRPr="00084AF3" w:rsidRDefault="003B67F1" w:rsidP="006A17D1">
      <w:pPr>
        <w:pStyle w:val="Numbered"/>
        <w:rPr>
          <w:lang w:eastAsia="en-US"/>
        </w:rPr>
      </w:pPr>
      <w:r w:rsidRPr="007B6365">
        <w:rPr>
          <w:lang w:eastAsia="en-US"/>
        </w:rPr>
        <w:t xml:space="preserve">Gather further data, clinical guidelines and relevant literature to make provisional recommendations and draft accompanying rationales, as per the work plan. This process begins with priority 1 items, continues with priority 2 items and concludes with priority 3 items. This step also involves consultation with relevant stakeholders within the </w:t>
      </w:r>
      <w:r w:rsidR="009E2879">
        <w:rPr>
          <w:lang w:eastAsia="en-US"/>
        </w:rPr>
        <w:t>c</w:t>
      </w:r>
      <w:r w:rsidRPr="007B6365">
        <w:rPr>
          <w:lang w:eastAsia="en-US"/>
        </w:rPr>
        <w:t xml:space="preserve">ommittee, </w:t>
      </w:r>
      <w:r w:rsidR="009E2879">
        <w:rPr>
          <w:lang w:eastAsia="en-US"/>
        </w:rPr>
        <w:t>w</w:t>
      </w:r>
      <w:r w:rsidRPr="007B6365">
        <w:rPr>
          <w:lang w:eastAsia="en-US"/>
        </w:rPr>
        <w:t xml:space="preserve">orking </w:t>
      </w:r>
      <w:r w:rsidR="009E2879">
        <w:rPr>
          <w:lang w:eastAsia="en-US"/>
        </w:rPr>
        <w:t>g</w:t>
      </w:r>
      <w:r w:rsidRPr="007B6365">
        <w:rPr>
          <w:lang w:eastAsia="en-US"/>
        </w:rPr>
        <w:t>roups, and relevant colleagues or colleges. For complex cases, full appropriate use criteria were developed for the item’s explanatory notes.</w:t>
      </w:r>
    </w:p>
    <w:p w14:paraId="6F2E5C1D" w14:textId="77777777" w:rsidR="003B67F1" w:rsidRPr="00084AF3" w:rsidRDefault="003B67F1" w:rsidP="006A17D1">
      <w:pPr>
        <w:pStyle w:val="Numbered"/>
        <w:rPr>
          <w:lang w:eastAsia="en-US"/>
        </w:rPr>
      </w:pPr>
      <w:r w:rsidRPr="007B6365">
        <w:rPr>
          <w:lang w:eastAsia="en-US"/>
        </w:rPr>
        <w:t>Review the provisional recommendations and the accompanying rationales, and gather further evidence as required.</w:t>
      </w:r>
    </w:p>
    <w:p w14:paraId="6090B108" w14:textId="77777777" w:rsidR="003B67F1" w:rsidRPr="00084AF3" w:rsidRDefault="003B67F1" w:rsidP="006A17D1">
      <w:pPr>
        <w:pStyle w:val="Numbered"/>
        <w:rPr>
          <w:lang w:eastAsia="en-US"/>
        </w:rPr>
      </w:pPr>
      <w:r w:rsidRPr="007B6365">
        <w:rPr>
          <w:lang w:eastAsia="en-US"/>
        </w:rPr>
        <w:t>Finalise the recommendations in preparation for broader stakeholder consultation.</w:t>
      </w:r>
    </w:p>
    <w:p w14:paraId="29E45A59" w14:textId="77777777" w:rsidR="003B67F1" w:rsidRPr="00084AF3" w:rsidRDefault="003B67F1" w:rsidP="006A17D1">
      <w:pPr>
        <w:pStyle w:val="Numbered"/>
        <w:rPr>
          <w:lang w:eastAsia="en-US"/>
        </w:rPr>
      </w:pPr>
      <w:r w:rsidRPr="007B6365">
        <w:rPr>
          <w:lang w:eastAsia="en-US"/>
        </w:rPr>
        <w:lastRenderedPageBreak/>
        <w:t xml:space="preserve">Incorporate feedback gathered during stakeholder consultation and finalise the Review </w:t>
      </w:r>
      <w:r w:rsidR="009E2879">
        <w:rPr>
          <w:lang w:eastAsia="en-US"/>
        </w:rPr>
        <w:t>R</w:t>
      </w:r>
      <w:r w:rsidRPr="007B6365">
        <w:rPr>
          <w:lang w:eastAsia="en-US"/>
        </w:rPr>
        <w:t>eport, which provides recommendations for the Taskforce.</w:t>
      </w:r>
    </w:p>
    <w:p w14:paraId="386AC506" w14:textId="77777777" w:rsidR="003B67F1" w:rsidRPr="003B67F1" w:rsidRDefault="003B67F1" w:rsidP="003B67F1">
      <w:pPr>
        <w:spacing w:before="120" w:after="120"/>
        <w:rPr>
          <w:rFonts w:cs="Arial"/>
          <w:lang w:val="en-US" w:eastAsia="en-US"/>
        </w:rPr>
      </w:pPr>
      <w:r w:rsidRPr="003B67F1">
        <w:rPr>
          <w:rFonts w:cs="Arial"/>
          <w:lang w:val="en-US" w:eastAsia="en-US"/>
        </w:rPr>
        <w:t>All MBS items will be reviewed during the course of the MBS Review. However, given the breadth of</w:t>
      </w:r>
      <w:r w:rsidR="00185875">
        <w:rPr>
          <w:rFonts w:cs="Arial"/>
          <w:lang w:val="en-US" w:eastAsia="en-US"/>
        </w:rPr>
        <w:t>,</w:t>
      </w:r>
      <w:r w:rsidRPr="003B67F1">
        <w:rPr>
          <w:rFonts w:cs="Arial"/>
          <w:lang w:val="en-US" w:eastAsia="en-US"/>
        </w:rPr>
        <w:t xml:space="preserve"> and timeframe for</w:t>
      </w:r>
      <w:r w:rsidR="00185875">
        <w:rPr>
          <w:rFonts w:cs="Arial"/>
          <w:lang w:val="en-US" w:eastAsia="en-US"/>
        </w:rPr>
        <w:t>,</w:t>
      </w:r>
      <w:r w:rsidRPr="003B67F1">
        <w:rPr>
          <w:rFonts w:cs="Arial"/>
          <w:lang w:val="en-US" w:eastAsia="en-US"/>
        </w:rPr>
        <w:t xml:space="preserve"> the Review, each </w:t>
      </w:r>
      <w:r w:rsidR="009E2879">
        <w:rPr>
          <w:rFonts w:cs="Arial"/>
          <w:lang w:val="en-US" w:eastAsia="en-US"/>
        </w:rPr>
        <w:t>c</w:t>
      </w:r>
      <w:r w:rsidRPr="003B67F1">
        <w:rPr>
          <w:rFonts w:cs="Arial"/>
          <w:lang w:val="en-US" w:eastAsia="en-US"/>
        </w:rPr>
        <w:t xml:space="preserve">linical </w:t>
      </w:r>
      <w:r w:rsidR="009E2879">
        <w:rPr>
          <w:rFonts w:cs="Arial"/>
          <w:lang w:val="en-US" w:eastAsia="en-US"/>
        </w:rPr>
        <w:t>c</w:t>
      </w:r>
      <w:r w:rsidRPr="003B67F1">
        <w:rPr>
          <w:rFonts w:cs="Arial"/>
          <w:lang w:val="en-US" w:eastAsia="en-US"/>
        </w:rPr>
        <w:t>ommittee had to develop a work plan and assign priorities, keeping in mind the objectives of the Review. Committees used a robust prioritisation methodology to focus their attention and resources on the most important items requiring review. This was determined based on a combination of two standard metrics, derived from the appropriate use criteria (Elshaug):</w:t>
      </w:r>
      <w:r w:rsidR="00F304E9">
        <w:rPr>
          <w:rFonts w:cs="Arial"/>
          <w:lang w:val="en-US" w:eastAsia="en-US"/>
        </w:rPr>
        <w:fldChar w:fldCharType="begin"/>
      </w:r>
      <w:r w:rsidR="00F304E9">
        <w:rPr>
          <w:rFonts w:cs="Arial"/>
          <w:lang w:val="en-US" w:eastAsia="en-US"/>
        </w:rPr>
        <w:instrText xml:space="preserve"> ADDIN EN.CITE &lt;EndNote&gt;&lt;Cite&gt;&lt;Author&gt;Elshaug&lt;/Author&gt;&lt;Year&gt;2012&lt;/Year&gt;&lt;RecNum&gt;54&lt;/RecNum&gt;&lt;DisplayText&gt; [1]&lt;/DisplayText&gt;&lt;record&gt;&lt;rec-number&gt;54&lt;/rec-number&gt;&lt;foreign-keys&gt;&lt;key app="EN" db-id="05trxwd9pxaf9oeezd6xrte0pftav5ade0ww" timestamp="1507605256"&gt;54&lt;/key&gt;&lt;/foreign-keys&gt;&lt;ref-type name="Journal Article"&gt;17&lt;/ref-type&gt;&lt;contributors&gt;&lt;authors&gt;&lt;author&gt;Elshaug, A. G.&lt;/author&gt;&lt;author&gt;Watt, A. M.&lt;/author&gt;&lt;author&gt;Mundy, L.&lt;/author&gt;&lt;author&gt;Willis, C. D.&lt;/author&gt;&lt;/authors&gt;&lt;/contributors&gt;&lt;auth-address&gt;Department of Health Care Policy, Harvard Medical School, Boston, MA, USA. elshaug@hcp.med.harvard.edu&lt;/auth-address&gt;&lt;titles&gt;&lt;title&gt;Over 150 potentially low-value health care practices: an Australian study&lt;/title&gt;&lt;secondary-title&gt;Med J Aust&lt;/secondary-title&gt;&lt;alt-title&gt;The Medical journal of Australia&lt;/alt-title&gt;&lt;/titles&gt;&lt;periodical&gt;&lt;full-title&gt;Med J Aust&lt;/full-title&gt;&lt;/periodical&gt;&lt;pages&gt;556-60&lt;/pages&gt;&lt;volume&gt;197&lt;/volume&gt;&lt;number&gt;10&lt;/number&gt;&lt;edition&gt;2012/11/21&lt;/edition&gt;&lt;keywords&gt;&lt;keyword&gt;Australia&lt;/keyword&gt;&lt;keyword&gt;Health Services/*standards&lt;/keyword&gt;&lt;keyword&gt;Humans&lt;/keyword&gt;&lt;keyword&gt;Insurance Benefits&lt;/keyword&gt;&lt;keyword&gt;National Health Programs&lt;/keyword&gt;&lt;keyword&gt;Patient Safety&lt;/keyword&gt;&lt;keyword&gt;*Quality of Health Care&lt;/keyword&gt;&lt;keyword&gt;*Unnecessary Procedures&lt;/keyword&gt;&lt;/keywords&gt;&lt;dates&gt;&lt;year&gt;2012&lt;/year&gt;&lt;pub-dates&gt;&lt;date&gt;Nov 19&lt;/date&gt;&lt;/pub-dates&gt;&lt;/dates&gt;&lt;isbn&gt;1326-5377 (Electronic)&amp;#xD;0025-729X (Linking)&lt;/isbn&gt;&lt;accession-num&gt;23163685&lt;/accession-num&gt;&lt;work-type&gt;Research Support, Non-U.S. Gov&amp;apos;t&lt;/work-type&gt;&lt;urls&gt;&lt;related-urls&gt;&lt;url&gt;https://www.ncbi.nlm.nih.gov/pubmed/23163685&lt;/url&gt;&lt;/related-urls&gt;&lt;/urls&gt;&lt;language&gt;eng&lt;/language&gt;&lt;/record&gt;&lt;/Cite&gt;&lt;/EndNote&gt;</w:instrText>
      </w:r>
      <w:r w:rsidR="00F304E9">
        <w:rPr>
          <w:rFonts w:cs="Arial"/>
          <w:lang w:val="en-US" w:eastAsia="en-US"/>
        </w:rPr>
        <w:fldChar w:fldCharType="separate"/>
      </w:r>
      <w:r w:rsidR="00F304E9">
        <w:rPr>
          <w:rFonts w:cs="Arial"/>
          <w:noProof/>
          <w:lang w:val="en-US" w:eastAsia="en-US"/>
        </w:rPr>
        <w:t xml:space="preserve"> [1]</w:t>
      </w:r>
      <w:r w:rsidR="00F304E9">
        <w:rPr>
          <w:rFonts w:cs="Arial"/>
          <w:lang w:val="en-US" w:eastAsia="en-US"/>
        </w:rPr>
        <w:fldChar w:fldCharType="end"/>
      </w:r>
    </w:p>
    <w:p w14:paraId="731555F6" w14:textId="77777777" w:rsidR="003B67F1" w:rsidRPr="003B67F1" w:rsidRDefault="003B67F1" w:rsidP="006A17D1">
      <w:pPr>
        <w:pStyle w:val="NormalBulleted"/>
        <w:rPr>
          <w:lang w:val="en-US" w:eastAsia="en-US"/>
        </w:rPr>
      </w:pPr>
      <w:r w:rsidRPr="003B67F1">
        <w:rPr>
          <w:lang w:val="en-US" w:eastAsia="en-US"/>
        </w:rPr>
        <w:t>Service volume.</w:t>
      </w:r>
    </w:p>
    <w:p w14:paraId="148FB5F5" w14:textId="77777777" w:rsidR="003B67F1" w:rsidRDefault="003B67F1" w:rsidP="006A17D1">
      <w:pPr>
        <w:pStyle w:val="NormalBulleted"/>
        <w:rPr>
          <w:lang w:val="en-US" w:eastAsia="en-US"/>
        </w:rPr>
      </w:pPr>
      <w:r w:rsidRPr="003B67F1">
        <w:rPr>
          <w:lang w:val="en-US" w:eastAsia="en-US"/>
        </w:rPr>
        <w:t>The likelihood that the item needed to be revised, determined by indicators such as identified safety concerns, geographic or temporal variation, delivery irregularity, the potential misuse of indications or other concerns raised by the Committee (such as inappropriate co-claiming).</w:t>
      </w:r>
    </w:p>
    <w:p w14:paraId="68442795" w14:textId="77777777" w:rsidR="008E09A2" w:rsidRPr="00FC1976" w:rsidRDefault="008E09A2" w:rsidP="008E09A2">
      <w:r w:rsidRPr="00FC1976">
        <w:t xml:space="preserve">For each item, these two metrics were ranked high, medium or low. These rankings were then combined to generate a priority ranking ranging from </w:t>
      </w:r>
      <w:r>
        <w:t>1</w:t>
      </w:r>
      <w:r w:rsidRPr="00FC1976">
        <w:t xml:space="preserve"> to </w:t>
      </w:r>
      <w:r>
        <w:t>3</w:t>
      </w:r>
      <w:r w:rsidRPr="00FC1976">
        <w:t xml:space="preserve"> (where priority 1 items are the highest priority and priority 3 items are the lowest priority for review), using a prioritisation matrix</w:t>
      </w:r>
      <w:r w:rsidR="00926F98">
        <w:t xml:space="preserve"> (</w:t>
      </w:r>
      <w:r w:rsidR="00285EB4">
        <w:t>Figure </w:t>
      </w:r>
      <w:r w:rsidR="00926F98">
        <w:t>1)</w:t>
      </w:r>
      <w:r w:rsidRPr="00FC1976">
        <w:rPr>
          <w:rFonts w:cs="Arial"/>
        </w:rPr>
        <w:t>.</w:t>
      </w:r>
      <w:r w:rsidRPr="00FC1976">
        <w:t xml:space="preserve"> The Committee used this priority ranking to organise its review of item numbers and apportion the amount of time spent on each item. </w:t>
      </w:r>
    </w:p>
    <w:p w14:paraId="19AF6615" w14:textId="77777777" w:rsidR="0086709D" w:rsidRDefault="0086709D">
      <w:pPr>
        <w:pStyle w:val="Caption"/>
      </w:pPr>
      <w:bookmarkStart w:id="11" w:name="_Toc499289237"/>
      <w:bookmarkStart w:id="12" w:name="_Toc477786657"/>
      <w:bookmarkStart w:id="13" w:name="_Toc478249927"/>
      <w:r>
        <w:t>Figure</w:t>
      </w:r>
      <w:r w:rsidR="00926F98">
        <w:t xml:space="preserve"> 1</w:t>
      </w:r>
      <w:r>
        <w:t>. Prioritisation matrix</w:t>
      </w:r>
      <w:bookmarkEnd w:id="11"/>
    </w:p>
    <w:p w14:paraId="78EBFD21" w14:textId="77777777" w:rsidR="0086709D" w:rsidRDefault="008E09A2" w:rsidP="001E4CAC">
      <w:pPr>
        <w:keepNext/>
        <w:spacing w:before="120" w:after="120"/>
      </w:pPr>
      <w:r w:rsidRPr="00337817">
        <w:rPr>
          <w:noProof/>
        </w:rPr>
        <w:drawing>
          <wp:inline distT="0" distB="0" distL="0" distR="0" wp14:anchorId="7766106D" wp14:editId="21912773">
            <wp:extent cx="4475480" cy="3368675"/>
            <wp:effectExtent l="0" t="0" r="1270" b="3175"/>
            <wp:docPr id="8" name="Picture 8" descr="Figure 1 shows the prioritisation matrix ranking item priority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title="Figure 1: Prioritisation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5480" cy="3368675"/>
                    </a:xfrm>
                    <a:prstGeom prst="rect">
                      <a:avLst/>
                    </a:prstGeom>
                    <a:noFill/>
                    <a:ln>
                      <a:noFill/>
                    </a:ln>
                  </pic:spPr>
                </pic:pic>
              </a:graphicData>
            </a:graphic>
          </wp:inline>
        </w:drawing>
      </w:r>
      <w:bookmarkEnd w:id="12"/>
      <w:bookmarkEnd w:id="13"/>
    </w:p>
    <w:p w14:paraId="105AE276" w14:textId="77777777" w:rsidR="00AF5D75" w:rsidRDefault="00AF5D75" w:rsidP="00534051">
      <w:pPr>
        <w:pStyle w:val="Heading1"/>
      </w:pPr>
      <w:bookmarkStart w:id="14" w:name="_Toc499293029"/>
      <w:r>
        <w:lastRenderedPageBreak/>
        <w:t>About the Pathology Clinical Committee</w:t>
      </w:r>
      <w:bookmarkEnd w:id="14"/>
    </w:p>
    <w:p w14:paraId="09AE8BEF" w14:textId="77777777" w:rsidR="00AF5D75" w:rsidRDefault="009E2879" w:rsidP="00AF5D75">
      <w:pPr>
        <w:rPr>
          <w:lang w:val="en-US" w:eastAsia="en-US"/>
        </w:rPr>
      </w:pPr>
      <w:bookmarkStart w:id="15" w:name="_Toc455669872"/>
      <w:r>
        <w:t xml:space="preserve">The Pathology Clinical Committee (the Committee) is part of the first tranche of clinical committees. </w:t>
      </w:r>
      <w:r>
        <w:rPr>
          <w:lang w:val="en-US" w:eastAsia="en-US"/>
        </w:rPr>
        <w:t>It</w:t>
      </w:r>
      <w:r w:rsidR="00AF5D75">
        <w:rPr>
          <w:lang w:val="en-US" w:eastAsia="en-US"/>
        </w:rPr>
        <w:t xml:space="preserve"> was established in 2016 to make recommendations to the Taskforce on the review of MBS items within its remit, based on rapid evidence review and clinical expertise. The Taskforce has asked the Committee to review pathology services as a priority review.</w:t>
      </w:r>
    </w:p>
    <w:p w14:paraId="083AF2BF" w14:textId="77777777" w:rsidR="00AF5D75" w:rsidRDefault="00AF5D75" w:rsidP="007B6365">
      <w:pPr>
        <w:pStyle w:val="Heading2"/>
      </w:pPr>
      <w:bookmarkStart w:id="16" w:name="_Toc499293030"/>
      <w:r w:rsidRPr="00084AF3">
        <w:t>Committee</w:t>
      </w:r>
      <w:r>
        <w:t xml:space="preserve"> members</w:t>
      </w:r>
      <w:bookmarkEnd w:id="15"/>
      <w:bookmarkEnd w:id="16"/>
    </w:p>
    <w:p w14:paraId="587F2F39" w14:textId="77777777" w:rsidR="006C0FE3" w:rsidRDefault="006C0FE3" w:rsidP="00AF5D75">
      <w:pPr>
        <w:rPr>
          <w:lang w:val="en-US" w:eastAsia="en-US"/>
        </w:rPr>
      </w:pPr>
      <w:r w:rsidRPr="00720661">
        <w:t>The Committee consists of 1</w:t>
      </w:r>
      <w:r w:rsidR="00AE1DCC">
        <w:t>8</w:t>
      </w:r>
      <w:r w:rsidRPr="00720661">
        <w:t xml:space="preserve"> members, whose names, positions/organisations and declared conflicts o</w:t>
      </w:r>
      <w:r>
        <w:t xml:space="preserve">f interest are listed in </w:t>
      </w:r>
      <w:r>
        <w:fldChar w:fldCharType="begin"/>
      </w:r>
      <w:r>
        <w:instrText xml:space="preserve"> REF _Ref499282755 \h </w:instrText>
      </w:r>
      <w:r>
        <w:fldChar w:fldCharType="separate"/>
      </w:r>
      <w:r w:rsidR="00E95F8E">
        <w:t xml:space="preserve">Table </w:t>
      </w:r>
      <w:r w:rsidR="00E95F8E">
        <w:rPr>
          <w:noProof/>
        </w:rPr>
        <w:t>1</w:t>
      </w:r>
      <w:r>
        <w:fldChar w:fldCharType="end"/>
      </w:r>
      <w:r w:rsidRPr="00720661">
        <w:t xml:space="preserve">. All members of the Taskforce, clinical committees and </w:t>
      </w:r>
      <w:r>
        <w:t>w</w:t>
      </w:r>
      <w:r w:rsidRPr="00720661">
        <w:t xml:space="preserve">orking </w:t>
      </w:r>
      <w:r>
        <w:t>g</w:t>
      </w:r>
      <w:r w:rsidRPr="00720661">
        <w:t>roups were asked to declare any conflicts of interest at the start of their involvement and are reminded to update their declarations periodically.</w:t>
      </w:r>
    </w:p>
    <w:p w14:paraId="2243937F" w14:textId="77777777" w:rsidR="00AF5D75" w:rsidRDefault="00AF5D75" w:rsidP="00AF5D75">
      <w:pPr>
        <w:rPr>
          <w:lang w:val="en-US" w:eastAsia="en-US"/>
        </w:rPr>
      </w:pPr>
    </w:p>
    <w:p w14:paraId="157E374C" w14:textId="77777777" w:rsidR="00AF5D75" w:rsidRPr="00E51703" w:rsidRDefault="00CE277C">
      <w:pPr>
        <w:pStyle w:val="Caption"/>
      </w:pPr>
      <w:bookmarkStart w:id="17" w:name="_Ref499282755"/>
      <w:bookmarkStart w:id="18" w:name="_Toc472940514"/>
      <w:bookmarkStart w:id="19" w:name="_Toc458355135"/>
      <w:bookmarkStart w:id="20" w:name="_Toc485132206"/>
      <w:bookmarkStart w:id="21" w:name="_Toc499289238"/>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1</w:t>
      </w:r>
      <w:r w:rsidR="0004721F">
        <w:rPr>
          <w:noProof/>
        </w:rPr>
        <w:fldChar w:fldCharType="end"/>
      </w:r>
      <w:bookmarkEnd w:id="17"/>
      <w:r>
        <w:t xml:space="preserve">. </w:t>
      </w:r>
      <w:r w:rsidR="00AF5D75" w:rsidRPr="00E51703">
        <w:t xml:space="preserve">Pathology Clinical Committee </w:t>
      </w:r>
      <w:bookmarkEnd w:id="18"/>
      <w:bookmarkEnd w:id="19"/>
      <w:bookmarkEnd w:id="20"/>
      <w:r w:rsidR="005E5484">
        <w:t>m</w:t>
      </w:r>
      <w:r w:rsidR="005E5484" w:rsidRPr="00E51703">
        <w:t>embers</w:t>
      </w:r>
      <w:bookmarkEnd w:id="21"/>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Caption w:val="Pathology Clinical Committee Members"/>
        <w:tblDescription w:val="This table contains the names, positions/organisations and declared conflicts of interest for the Pathology Clinical Committee members."/>
      </w:tblPr>
      <w:tblGrid>
        <w:gridCol w:w="2354"/>
        <w:gridCol w:w="3982"/>
        <w:gridCol w:w="2690"/>
      </w:tblGrid>
      <w:tr w:rsidR="00AF5D75" w14:paraId="6BC3EDB7" w14:textId="77777777" w:rsidTr="007B6365">
        <w:trPr>
          <w:tblHeader/>
        </w:trPr>
        <w:tc>
          <w:tcPr>
            <w:tcW w:w="1304" w:type="pct"/>
            <w:tcBorders>
              <w:top w:val="single" w:sz="4" w:space="0" w:color="B56012"/>
              <w:left w:val="nil"/>
              <w:bottom w:val="single" w:sz="4" w:space="0" w:color="B56012"/>
              <w:right w:val="nil"/>
            </w:tcBorders>
            <w:shd w:val="clear" w:color="auto" w:fill="F2F2F2" w:themeFill="background1" w:themeFillShade="F2"/>
            <w:vAlign w:val="bottom"/>
            <w:hideMark/>
          </w:tcPr>
          <w:p w14:paraId="261C0F04" w14:textId="77777777" w:rsidR="00AF5D75" w:rsidRDefault="00AF5D75" w:rsidP="007B6365">
            <w:pPr>
              <w:spacing w:before="40" w:after="40"/>
              <w:rPr>
                <w:b/>
              </w:rPr>
            </w:pPr>
            <w:r>
              <w:rPr>
                <w:b/>
              </w:rPr>
              <w:t>Name</w:t>
            </w:r>
          </w:p>
        </w:tc>
        <w:tc>
          <w:tcPr>
            <w:tcW w:w="2206" w:type="pct"/>
            <w:tcBorders>
              <w:top w:val="single" w:sz="4" w:space="0" w:color="B56012"/>
              <w:left w:val="nil"/>
              <w:bottom w:val="single" w:sz="4" w:space="0" w:color="B56012"/>
              <w:right w:val="nil"/>
            </w:tcBorders>
            <w:shd w:val="clear" w:color="auto" w:fill="F2F2F2" w:themeFill="background1" w:themeFillShade="F2"/>
            <w:vAlign w:val="bottom"/>
            <w:hideMark/>
          </w:tcPr>
          <w:p w14:paraId="1D78CCF8" w14:textId="77777777" w:rsidR="00AF5D75" w:rsidRDefault="00AF5D75" w:rsidP="007B6365">
            <w:pPr>
              <w:spacing w:before="40" w:after="40"/>
              <w:rPr>
                <w:b/>
              </w:rPr>
            </w:pPr>
            <w:r>
              <w:rPr>
                <w:b/>
              </w:rPr>
              <w:t>Position/organisation</w:t>
            </w:r>
          </w:p>
        </w:tc>
        <w:tc>
          <w:tcPr>
            <w:tcW w:w="1490" w:type="pct"/>
            <w:tcBorders>
              <w:top w:val="single" w:sz="4" w:space="0" w:color="B56012"/>
              <w:left w:val="nil"/>
              <w:bottom w:val="single" w:sz="4" w:space="0" w:color="B56012"/>
              <w:right w:val="nil"/>
            </w:tcBorders>
            <w:shd w:val="clear" w:color="auto" w:fill="F2F2F2" w:themeFill="background1" w:themeFillShade="F2"/>
            <w:vAlign w:val="bottom"/>
            <w:hideMark/>
          </w:tcPr>
          <w:p w14:paraId="3E5C08A1" w14:textId="77777777" w:rsidR="00AF5D75" w:rsidRDefault="00AF5D75" w:rsidP="007B6365">
            <w:pPr>
              <w:spacing w:before="40" w:after="40"/>
              <w:rPr>
                <w:b/>
              </w:rPr>
            </w:pPr>
            <w:r>
              <w:rPr>
                <w:b/>
              </w:rPr>
              <w:t xml:space="preserve">Declared conflict </w:t>
            </w:r>
            <w:r w:rsidR="007C2E44">
              <w:rPr>
                <w:b/>
              </w:rPr>
              <w:t>of </w:t>
            </w:r>
            <w:r>
              <w:rPr>
                <w:b/>
              </w:rPr>
              <w:t>interest</w:t>
            </w:r>
          </w:p>
        </w:tc>
      </w:tr>
      <w:tr w:rsidR="00AF5D75" w14:paraId="0BDC9526" w14:textId="77777777" w:rsidTr="00064B5B">
        <w:trPr>
          <w:trHeight w:val="549"/>
        </w:trPr>
        <w:tc>
          <w:tcPr>
            <w:tcW w:w="1304" w:type="pct"/>
            <w:tcBorders>
              <w:top w:val="single" w:sz="4" w:space="0" w:color="B56012"/>
              <w:left w:val="nil"/>
              <w:bottom w:val="single" w:sz="4" w:space="0" w:color="B56012"/>
              <w:right w:val="nil"/>
            </w:tcBorders>
            <w:hideMark/>
          </w:tcPr>
          <w:p w14:paraId="56836E87" w14:textId="77777777" w:rsidR="00AF5D75" w:rsidRDefault="00AF5D75" w:rsidP="007B6365">
            <w:pPr>
              <w:spacing w:before="40" w:after="40"/>
            </w:pPr>
            <w:r>
              <w:rPr>
                <w:bCs/>
                <w:color w:val="000000"/>
              </w:rPr>
              <w:t>Associate Professor Peter Stewart</w:t>
            </w:r>
          </w:p>
        </w:tc>
        <w:tc>
          <w:tcPr>
            <w:tcW w:w="2206" w:type="pct"/>
            <w:tcBorders>
              <w:top w:val="single" w:sz="4" w:space="0" w:color="B56012"/>
              <w:left w:val="nil"/>
              <w:bottom w:val="single" w:sz="4" w:space="0" w:color="B56012"/>
              <w:right w:val="nil"/>
            </w:tcBorders>
            <w:hideMark/>
          </w:tcPr>
          <w:p w14:paraId="0B34245C" w14:textId="77777777" w:rsidR="00AF5D75" w:rsidRDefault="00AF5D75" w:rsidP="007B6365">
            <w:pPr>
              <w:autoSpaceDE w:val="0"/>
              <w:autoSpaceDN w:val="0"/>
              <w:adjustRightInd w:val="0"/>
              <w:spacing w:before="40" w:after="40"/>
            </w:pPr>
            <w:r>
              <w:t>Royal Prince Alfred Hospital (Public)</w:t>
            </w:r>
          </w:p>
        </w:tc>
        <w:tc>
          <w:tcPr>
            <w:tcW w:w="1490" w:type="pct"/>
            <w:tcBorders>
              <w:top w:val="single" w:sz="4" w:space="0" w:color="B56012"/>
              <w:left w:val="nil"/>
              <w:bottom w:val="single" w:sz="4" w:space="0" w:color="B56012"/>
              <w:right w:val="nil"/>
            </w:tcBorders>
            <w:hideMark/>
          </w:tcPr>
          <w:p w14:paraId="6A63A5CD" w14:textId="77777777" w:rsidR="00AF5D75" w:rsidRDefault="00AF5D75" w:rsidP="007B6365">
            <w:pPr>
              <w:spacing w:before="40" w:after="40"/>
            </w:pPr>
            <w:r>
              <w:t>None</w:t>
            </w:r>
          </w:p>
        </w:tc>
      </w:tr>
      <w:tr w:rsidR="00AF5D75" w14:paraId="43B8ECD5" w14:textId="77777777" w:rsidTr="007B6365">
        <w:trPr>
          <w:trHeight w:val="624"/>
        </w:trPr>
        <w:tc>
          <w:tcPr>
            <w:tcW w:w="1304" w:type="pct"/>
            <w:tcBorders>
              <w:top w:val="single" w:sz="4" w:space="0" w:color="B56012"/>
              <w:left w:val="nil"/>
              <w:bottom w:val="single" w:sz="4" w:space="0" w:color="B56012"/>
              <w:right w:val="nil"/>
            </w:tcBorders>
            <w:hideMark/>
          </w:tcPr>
          <w:p w14:paraId="285286F5" w14:textId="77777777" w:rsidR="00AF5D75" w:rsidRDefault="00AF5D75" w:rsidP="007B6365">
            <w:pPr>
              <w:spacing w:before="40" w:after="40"/>
            </w:pPr>
            <w:r>
              <w:rPr>
                <w:bCs/>
                <w:color w:val="000000"/>
              </w:rPr>
              <w:t xml:space="preserve">Professor Rita Horvath </w:t>
            </w:r>
          </w:p>
        </w:tc>
        <w:tc>
          <w:tcPr>
            <w:tcW w:w="2206" w:type="pct"/>
            <w:tcBorders>
              <w:top w:val="single" w:sz="4" w:space="0" w:color="B56012"/>
              <w:left w:val="nil"/>
              <w:bottom w:val="single" w:sz="4" w:space="0" w:color="B56012"/>
              <w:right w:val="nil"/>
            </w:tcBorders>
            <w:hideMark/>
          </w:tcPr>
          <w:p w14:paraId="011028AB" w14:textId="77777777" w:rsidR="00AF5D75" w:rsidRDefault="00AF5D75" w:rsidP="007B6365">
            <w:pPr>
              <w:autoSpaceDE w:val="0"/>
              <w:autoSpaceDN w:val="0"/>
              <w:adjustRightInd w:val="0"/>
              <w:spacing w:before="40" w:after="40"/>
            </w:pPr>
            <w:r>
              <w:t>South Eastern Area Laboratory Services (Public)</w:t>
            </w:r>
          </w:p>
        </w:tc>
        <w:tc>
          <w:tcPr>
            <w:tcW w:w="1490" w:type="pct"/>
            <w:tcBorders>
              <w:top w:val="single" w:sz="4" w:space="0" w:color="B56012"/>
              <w:left w:val="nil"/>
              <w:bottom w:val="single" w:sz="4" w:space="0" w:color="B56012"/>
              <w:right w:val="nil"/>
            </w:tcBorders>
            <w:hideMark/>
          </w:tcPr>
          <w:p w14:paraId="63F4DC6B" w14:textId="77777777" w:rsidR="00AF5D75" w:rsidRDefault="00AF5D75" w:rsidP="007B6365">
            <w:pPr>
              <w:spacing w:before="40" w:after="40"/>
            </w:pPr>
            <w:r>
              <w:t>None</w:t>
            </w:r>
          </w:p>
        </w:tc>
      </w:tr>
      <w:tr w:rsidR="00AF5D75" w14:paraId="684E6CA4" w14:textId="77777777" w:rsidTr="007B6365">
        <w:trPr>
          <w:trHeight w:val="548"/>
        </w:trPr>
        <w:tc>
          <w:tcPr>
            <w:tcW w:w="1304" w:type="pct"/>
            <w:tcBorders>
              <w:top w:val="single" w:sz="4" w:space="0" w:color="B56012"/>
              <w:left w:val="nil"/>
              <w:bottom w:val="single" w:sz="4" w:space="0" w:color="B56012"/>
              <w:right w:val="nil"/>
            </w:tcBorders>
            <w:hideMark/>
          </w:tcPr>
          <w:p w14:paraId="28628544" w14:textId="77777777" w:rsidR="00AF5D75" w:rsidRDefault="00AF5D75" w:rsidP="007B6365">
            <w:pPr>
              <w:spacing w:before="40" w:after="40"/>
            </w:pPr>
            <w:r>
              <w:rPr>
                <w:bCs/>
                <w:color w:val="000000"/>
              </w:rPr>
              <w:t xml:space="preserve">Dr Debra Norris </w:t>
            </w:r>
          </w:p>
        </w:tc>
        <w:tc>
          <w:tcPr>
            <w:tcW w:w="2206" w:type="pct"/>
            <w:tcBorders>
              <w:top w:val="single" w:sz="4" w:space="0" w:color="B56012"/>
              <w:left w:val="nil"/>
              <w:bottom w:val="single" w:sz="4" w:space="0" w:color="B56012"/>
              <w:right w:val="nil"/>
            </w:tcBorders>
            <w:hideMark/>
          </w:tcPr>
          <w:p w14:paraId="669F4C08" w14:textId="77777777" w:rsidR="00AF5D75" w:rsidRDefault="00AF5D75" w:rsidP="007B6365">
            <w:pPr>
              <w:autoSpaceDE w:val="0"/>
              <w:autoSpaceDN w:val="0"/>
              <w:adjustRightInd w:val="0"/>
              <w:spacing w:before="40" w:after="40"/>
            </w:pPr>
            <w:r>
              <w:t>QML Pathology (Primary)</w:t>
            </w:r>
          </w:p>
        </w:tc>
        <w:tc>
          <w:tcPr>
            <w:tcW w:w="1490" w:type="pct"/>
            <w:tcBorders>
              <w:top w:val="single" w:sz="4" w:space="0" w:color="B56012"/>
              <w:left w:val="nil"/>
              <w:bottom w:val="single" w:sz="4" w:space="0" w:color="B56012"/>
              <w:right w:val="nil"/>
            </w:tcBorders>
            <w:hideMark/>
          </w:tcPr>
          <w:p w14:paraId="0834AFF1" w14:textId="77777777" w:rsidR="00AF5D75" w:rsidRDefault="00AF5D75" w:rsidP="007B6365">
            <w:pPr>
              <w:spacing w:before="40" w:after="40"/>
            </w:pPr>
            <w:r>
              <w:t>None</w:t>
            </w:r>
          </w:p>
        </w:tc>
      </w:tr>
      <w:tr w:rsidR="00AF5D75" w14:paraId="793388D8" w14:textId="77777777" w:rsidTr="00064B5B">
        <w:trPr>
          <w:trHeight w:val="450"/>
        </w:trPr>
        <w:tc>
          <w:tcPr>
            <w:tcW w:w="1304" w:type="pct"/>
            <w:tcBorders>
              <w:top w:val="single" w:sz="4" w:space="0" w:color="B56012"/>
              <w:left w:val="nil"/>
              <w:bottom w:val="single" w:sz="4" w:space="0" w:color="B56012"/>
              <w:right w:val="nil"/>
            </w:tcBorders>
            <w:hideMark/>
          </w:tcPr>
          <w:p w14:paraId="23AAC358" w14:textId="77777777" w:rsidR="00AF5D75" w:rsidRDefault="00AF5D75" w:rsidP="007B6365">
            <w:pPr>
              <w:spacing w:before="40" w:after="40"/>
            </w:pPr>
            <w:r>
              <w:rPr>
                <w:bCs/>
                <w:color w:val="000000"/>
              </w:rPr>
              <w:t xml:space="preserve">Dr Michael Harrison </w:t>
            </w:r>
          </w:p>
        </w:tc>
        <w:tc>
          <w:tcPr>
            <w:tcW w:w="2206" w:type="pct"/>
            <w:tcBorders>
              <w:top w:val="single" w:sz="4" w:space="0" w:color="B56012"/>
              <w:left w:val="nil"/>
              <w:bottom w:val="single" w:sz="4" w:space="0" w:color="B56012"/>
              <w:right w:val="nil"/>
            </w:tcBorders>
            <w:hideMark/>
          </w:tcPr>
          <w:p w14:paraId="6914D2CB" w14:textId="77777777" w:rsidR="00AF5D75" w:rsidRDefault="00AF5D75" w:rsidP="007B6365">
            <w:pPr>
              <w:spacing w:before="40" w:after="40"/>
            </w:pPr>
            <w:r>
              <w:t>Sullivan Nicolaides Pathology (Sonic)</w:t>
            </w:r>
          </w:p>
        </w:tc>
        <w:tc>
          <w:tcPr>
            <w:tcW w:w="1490" w:type="pct"/>
            <w:tcBorders>
              <w:top w:val="single" w:sz="4" w:space="0" w:color="B56012"/>
              <w:left w:val="nil"/>
              <w:bottom w:val="single" w:sz="4" w:space="0" w:color="B56012"/>
              <w:right w:val="nil"/>
            </w:tcBorders>
            <w:hideMark/>
          </w:tcPr>
          <w:p w14:paraId="5EE7AF0E" w14:textId="77777777" w:rsidR="00AF5D75" w:rsidRDefault="00AF5D75" w:rsidP="007B6365">
            <w:pPr>
              <w:spacing w:before="40" w:after="40"/>
            </w:pPr>
            <w:r>
              <w:t>None</w:t>
            </w:r>
          </w:p>
        </w:tc>
      </w:tr>
      <w:tr w:rsidR="00AF5D75" w14:paraId="2B2E3978" w14:textId="77777777" w:rsidTr="00064B5B">
        <w:trPr>
          <w:trHeight w:val="633"/>
        </w:trPr>
        <w:tc>
          <w:tcPr>
            <w:tcW w:w="1304" w:type="pct"/>
            <w:tcBorders>
              <w:top w:val="single" w:sz="4" w:space="0" w:color="B56012"/>
              <w:left w:val="nil"/>
              <w:bottom w:val="single" w:sz="4" w:space="0" w:color="B56012"/>
              <w:right w:val="nil"/>
            </w:tcBorders>
            <w:hideMark/>
          </w:tcPr>
          <w:p w14:paraId="4915C1BA" w14:textId="77777777" w:rsidR="00AF5D75" w:rsidRDefault="00AF5D75" w:rsidP="007B6365">
            <w:pPr>
              <w:spacing w:before="40" w:after="40"/>
            </w:pPr>
            <w:r>
              <w:rPr>
                <w:bCs/>
                <w:color w:val="000000"/>
              </w:rPr>
              <w:t xml:space="preserve">Associate Professor Ken Sikaris </w:t>
            </w:r>
          </w:p>
        </w:tc>
        <w:tc>
          <w:tcPr>
            <w:tcW w:w="2206" w:type="pct"/>
            <w:tcBorders>
              <w:top w:val="single" w:sz="4" w:space="0" w:color="B56012"/>
              <w:left w:val="nil"/>
              <w:bottom w:val="single" w:sz="4" w:space="0" w:color="B56012"/>
              <w:right w:val="nil"/>
            </w:tcBorders>
            <w:hideMark/>
          </w:tcPr>
          <w:p w14:paraId="62B5CEC4" w14:textId="77777777" w:rsidR="00AF5D75" w:rsidRDefault="00AF5D75" w:rsidP="007B6365">
            <w:pPr>
              <w:autoSpaceDE w:val="0"/>
              <w:autoSpaceDN w:val="0"/>
              <w:adjustRightInd w:val="0"/>
              <w:spacing w:before="40" w:after="40"/>
            </w:pPr>
            <w:r>
              <w:t>Melbourne Pathology (Sonic)</w:t>
            </w:r>
          </w:p>
        </w:tc>
        <w:tc>
          <w:tcPr>
            <w:tcW w:w="1490" w:type="pct"/>
            <w:tcBorders>
              <w:top w:val="single" w:sz="4" w:space="0" w:color="B56012"/>
              <w:left w:val="nil"/>
              <w:bottom w:val="single" w:sz="4" w:space="0" w:color="B56012"/>
              <w:right w:val="nil"/>
            </w:tcBorders>
            <w:hideMark/>
          </w:tcPr>
          <w:p w14:paraId="73CA1901" w14:textId="77777777" w:rsidR="00AF5D75" w:rsidRDefault="00AF5D75" w:rsidP="007B6365">
            <w:pPr>
              <w:spacing w:before="40" w:after="40"/>
            </w:pPr>
            <w:r>
              <w:t>None</w:t>
            </w:r>
          </w:p>
        </w:tc>
      </w:tr>
      <w:tr w:rsidR="00AF5D75" w14:paraId="175F08F3" w14:textId="77777777" w:rsidTr="007B6365">
        <w:trPr>
          <w:trHeight w:val="459"/>
        </w:trPr>
        <w:tc>
          <w:tcPr>
            <w:tcW w:w="1304" w:type="pct"/>
            <w:tcBorders>
              <w:top w:val="single" w:sz="4" w:space="0" w:color="B56012"/>
              <w:left w:val="nil"/>
              <w:bottom w:val="single" w:sz="4" w:space="0" w:color="B56012"/>
              <w:right w:val="nil"/>
            </w:tcBorders>
            <w:hideMark/>
          </w:tcPr>
          <w:p w14:paraId="275F7F0C" w14:textId="77777777" w:rsidR="00AF5D75" w:rsidRDefault="00AF5D75" w:rsidP="007B6365">
            <w:pPr>
              <w:spacing w:before="40" w:after="40"/>
            </w:pPr>
            <w:r>
              <w:rPr>
                <w:bCs/>
                <w:color w:val="000000"/>
              </w:rPr>
              <w:t xml:space="preserve">Dr Melody Caramins </w:t>
            </w:r>
          </w:p>
        </w:tc>
        <w:tc>
          <w:tcPr>
            <w:tcW w:w="2206" w:type="pct"/>
            <w:tcBorders>
              <w:top w:val="single" w:sz="4" w:space="0" w:color="B56012"/>
              <w:left w:val="nil"/>
              <w:bottom w:val="single" w:sz="4" w:space="0" w:color="B56012"/>
              <w:right w:val="nil"/>
            </w:tcBorders>
            <w:hideMark/>
          </w:tcPr>
          <w:p w14:paraId="1599A9A8" w14:textId="77777777" w:rsidR="00AF5D75" w:rsidRDefault="00AF5D75" w:rsidP="007B6365">
            <w:pPr>
              <w:spacing w:before="40" w:after="40"/>
            </w:pPr>
            <w:r>
              <w:t>Specialist Diagnostic Services (Primary)</w:t>
            </w:r>
          </w:p>
        </w:tc>
        <w:tc>
          <w:tcPr>
            <w:tcW w:w="1490" w:type="pct"/>
            <w:tcBorders>
              <w:top w:val="single" w:sz="4" w:space="0" w:color="B56012"/>
              <w:left w:val="nil"/>
              <w:bottom w:val="single" w:sz="4" w:space="0" w:color="B56012"/>
              <w:right w:val="nil"/>
            </w:tcBorders>
            <w:hideMark/>
          </w:tcPr>
          <w:p w14:paraId="430E51A5" w14:textId="77777777" w:rsidR="00AF5D75" w:rsidRDefault="00AF5D75" w:rsidP="007B6365">
            <w:pPr>
              <w:spacing w:before="40" w:after="40"/>
            </w:pPr>
            <w:r>
              <w:t>None</w:t>
            </w:r>
          </w:p>
        </w:tc>
      </w:tr>
      <w:tr w:rsidR="00AF5D75" w14:paraId="7DB01D32" w14:textId="77777777" w:rsidTr="007B6365">
        <w:trPr>
          <w:trHeight w:val="409"/>
        </w:trPr>
        <w:tc>
          <w:tcPr>
            <w:tcW w:w="1304" w:type="pct"/>
            <w:tcBorders>
              <w:top w:val="single" w:sz="4" w:space="0" w:color="B56012"/>
              <w:left w:val="nil"/>
              <w:bottom w:val="single" w:sz="4" w:space="0" w:color="B56012"/>
              <w:right w:val="nil"/>
            </w:tcBorders>
            <w:hideMark/>
          </w:tcPr>
          <w:p w14:paraId="33E71C3C" w14:textId="77777777" w:rsidR="00AF5D75" w:rsidRDefault="00AF5D75" w:rsidP="007B6365">
            <w:pPr>
              <w:spacing w:before="40" w:after="40"/>
            </w:pPr>
            <w:r>
              <w:rPr>
                <w:bCs/>
                <w:color w:val="000000"/>
              </w:rPr>
              <w:t xml:space="preserve">Dr John Rowell </w:t>
            </w:r>
          </w:p>
        </w:tc>
        <w:tc>
          <w:tcPr>
            <w:tcW w:w="2206" w:type="pct"/>
            <w:tcBorders>
              <w:top w:val="single" w:sz="4" w:space="0" w:color="B56012"/>
              <w:left w:val="nil"/>
              <w:bottom w:val="single" w:sz="4" w:space="0" w:color="B56012"/>
              <w:right w:val="nil"/>
            </w:tcBorders>
            <w:hideMark/>
          </w:tcPr>
          <w:p w14:paraId="4432E7FD" w14:textId="77777777" w:rsidR="00AF5D75" w:rsidRDefault="00AF5D75" w:rsidP="007B6365">
            <w:pPr>
              <w:autoSpaceDE w:val="0"/>
              <w:autoSpaceDN w:val="0"/>
              <w:adjustRightInd w:val="0"/>
              <w:spacing w:before="40" w:after="40"/>
            </w:pPr>
            <w:r>
              <w:t>Royal Brisbane &amp; Women's Hospital</w:t>
            </w:r>
          </w:p>
        </w:tc>
        <w:tc>
          <w:tcPr>
            <w:tcW w:w="1490" w:type="pct"/>
            <w:tcBorders>
              <w:top w:val="single" w:sz="4" w:space="0" w:color="B56012"/>
              <w:left w:val="nil"/>
              <w:bottom w:val="single" w:sz="4" w:space="0" w:color="B56012"/>
              <w:right w:val="nil"/>
            </w:tcBorders>
            <w:hideMark/>
          </w:tcPr>
          <w:p w14:paraId="6FFAA59B" w14:textId="77777777" w:rsidR="00AF5D75" w:rsidRDefault="00AF5D75" w:rsidP="007B6365">
            <w:pPr>
              <w:spacing w:before="40" w:after="40"/>
            </w:pPr>
            <w:r>
              <w:t>None</w:t>
            </w:r>
          </w:p>
        </w:tc>
      </w:tr>
      <w:tr w:rsidR="00AF5D75" w14:paraId="14CF4410" w14:textId="77777777" w:rsidTr="00064B5B">
        <w:trPr>
          <w:trHeight w:val="315"/>
        </w:trPr>
        <w:tc>
          <w:tcPr>
            <w:tcW w:w="1304" w:type="pct"/>
            <w:tcBorders>
              <w:top w:val="single" w:sz="4" w:space="0" w:color="B56012"/>
              <w:left w:val="nil"/>
              <w:bottom w:val="single" w:sz="4" w:space="0" w:color="B56012"/>
              <w:right w:val="nil"/>
            </w:tcBorders>
            <w:hideMark/>
          </w:tcPr>
          <w:p w14:paraId="685D0AF6" w14:textId="77777777" w:rsidR="00AF5D75" w:rsidRDefault="00AF5D75" w:rsidP="007B6365">
            <w:pPr>
              <w:spacing w:before="40" w:after="40"/>
            </w:pPr>
            <w:r>
              <w:rPr>
                <w:bCs/>
                <w:color w:val="000000"/>
              </w:rPr>
              <w:t>Professor Dominic Mallon</w:t>
            </w:r>
          </w:p>
        </w:tc>
        <w:tc>
          <w:tcPr>
            <w:tcW w:w="2206" w:type="pct"/>
            <w:tcBorders>
              <w:top w:val="single" w:sz="4" w:space="0" w:color="B56012"/>
              <w:left w:val="nil"/>
              <w:bottom w:val="single" w:sz="4" w:space="0" w:color="B56012"/>
              <w:right w:val="nil"/>
            </w:tcBorders>
            <w:hideMark/>
          </w:tcPr>
          <w:p w14:paraId="547A6CB0" w14:textId="77777777" w:rsidR="00AF5D75" w:rsidRDefault="00AF5D75" w:rsidP="007B6365">
            <w:pPr>
              <w:autoSpaceDE w:val="0"/>
              <w:autoSpaceDN w:val="0"/>
              <w:adjustRightInd w:val="0"/>
              <w:spacing w:before="40" w:after="40"/>
            </w:pPr>
            <w:r>
              <w:t>PathWest</w:t>
            </w:r>
          </w:p>
        </w:tc>
        <w:tc>
          <w:tcPr>
            <w:tcW w:w="1490" w:type="pct"/>
            <w:tcBorders>
              <w:top w:val="single" w:sz="4" w:space="0" w:color="B56012"/>
              <w:left w:val="nil"/>
              <w:bottom w:val="single" w:sz="4" w:space="0" w:color="B56012"/>
              <w:right w:val="nil"/>
            </w:tcBorders>
            <w:hideMark/>
          </w:tcPr>
          <w:p w14:paraId="77A8764C" w14:textId="77777777" w:rsidR="00AF5D75" w:rsidRDefault="00AF5D75" w:rsidP="007B6365">
            <w:pPr>
              <w:spacing w:before="40" w:after="40"/>
            </w:pPr>
            <w:r>
              <w:t>None</w:t>
            </w:r>
          </w:p>
        </w:tc>
      </w:tr>
      <w:tr w:rsidR="00AF5D75" w14:paraId="6D2946C8" w14:textId="77777777" w:rsidTr="007B6365">
        <w:trPr>
          <w:trHeight w:val="353"/>
        </w:trPr>
        <w:tc>
          <w:tcPr>
            <w:tcW w:w="1304" w:type="pct"/>
            <w:tcBorders>
              <w:top w:val="single" w:sz="4" w:space="0" w:color="B56012"/>
              <w:left w:val="nil"/>
              <w:bottom w:val="single" w:sz="4" w:space="0" w:color="B56012"/>
              <w:right w:val="nil"/>
            </w:tcBorders>
            <w:hideMark/>
          </w:tcPr>
          <w:p w14:paraId="6E72D66D" w14:textId="77777777" w:rsidR="00AF5D75" w:rsidRDefault="00AF5D75" w:rsidP="007B6365">
            <w:pPr>
              <w:spacing w:before="40" w:after="40"/>
            </w:pPr>
            <w:r>
              <w:rPr>
                <w:bCs/>
                <w:color w:val="000000"/>
              </w:rPr>
              <w:t>Dr Peter Roberts</w:t>
            </w:r>
          </w:p>
        </w:tc>
        <w:tc>
          <w:tcPr>
            <w:tcW w:w="2206" w:type="pct"/>
            <w:tcBorders>
              <w:top w:val="single" w:sz="4" w:space="0" w:color="B56012"/>
              <w:left w:val="nil"/>
              <w:bottom w:val="single" w:sz="4" w:space="0" w:color="B56012"/>
              <w:right w:val="nil"/>
            </w:tcBorders>
            <w:hideMark/>
          </w:tcPr>
          <w:p w14:paraId="469911C7" w14:textId="77777777" w:rsidR="00AF5D75" w:rsidRDefault="00AF5D75" w:rsidP="007B6365">
            <w:pPr>
              <w:autoSpaceDE w:val="0"/>
              <w:autoSpaceDN w:val="0"/>
              <w:adjustRightInd w:val="0"/>
              <w:spacing w:before="40" w:after="40"/>
            </w:pPr>
            <w:r>
              <w:t>Ryde Hospital (AESM)</w:t>
            </w:r>
          </w:p>
        </w:tc>
        <w:tc>
          <w:tcPr>
            <w:tcW w:w="1490" w:type="pct"/>
            <w:tcBorders>
              <w:top w:val="single" w:sz="4" w:space="0" w:color="B56012"/>
              <w:left w:val="nil"/>
              <w:bottom w:val="single" w:sz="4" w:space="0" w:color="B56012"/>
              <w:right w:val="nil"/>
            </w:tcBorders>
            <w:hideMark/>
          </w:tcPr>
          <w:p w14:paraId="794BD4A2" w14:textId="77777777" w:rsidR="00AF5D75" w:rsidRDefault="00AF5D75" w:rsidP="007B6365">
            <w:pPr>
              <w:spacing w:before="40" w:after="40"/>
            </w:pPr>
            <w:r>
              <w:t>None</w:t>
            </w:r>
          </w:p>
        </w:tc>
      </w:tr>
      <w:tr w:rsidR="00AF5D75" w14:paraId="100C4D65" w14:textId="77777777" w:rsidTr="00064B5B">
        <w:trPr>
          <w:trHeight w:val="437"/>
        </w:trPr>
        <w:tc>
          <w:tcPr>
            <w:tcW w:w="1304" w:type="pct"/>
            <w:tcBorders>
              <w:top w:val="single" w:sz="4" w:space="0" w:color="B56012"/>
              <w:left w:val="nil"/>
              <w:bottom w:val="single" w:sz="4" w:space="0" w:color="B56012"/>
              <w:right w:val="nil"/>
            </w:tcBorders>
            <w:hideMark/>
          </w:tcPr>
          <w:p w14:paraId="638D5147" w14:textId="77777777" w:rsidR="00AF5D75" w:rsidRDefault="00AF5D75" w:rsidP="007B6365">
            <w:pPr>
              <w:spacing w:before="40" w:after="40"/>
            </w:pPr>
            <w:r>
              <w:rPr>
                <w:bCs/>
                <w:color w:val="000000"/>
              </w:rPr>
              <w:t>Associate Professor Anthony Landgren</w:t>
            </w:r>
          </w:p>
        </w:tc>
        <w:tc>
          <w:tcPr>
            <w:tcW w:w="2206" w:type="pct"/>
            <w:tcBorders>
              <w:top w:val="single" w:sz="4" w:space="0" w:color="B56012"/>
              <w:left w:val="nil"/>
              <w:bottom w:val="single" w:sz="4" w:space="0" w:color="B56012"/>
              <w:right w:val="nil"/>
            </w:tcBorders>
            <w:hideMark/>
          </w:tcPr>
          <w:p w14:paraId="3F73FCEA" w14:textId="77777777" w:rsidR="00AF5D75" w:rsidRDefault="00AF5D75" w:rsidP="007B6365">
            <w:pPr>
              <w:autoSpaceDE w:val="0"/>
              <w:autoSpaceDN w:val="0"/>
              <w:adjustRightInd w:val="0"/>
              <w:spacing w:before="40" w:after="40"/>
            </w:pPr>
            <w:r>
              <w:t>Australian Clinical Labs</w:t>
            </w:r>
          </w:p>
        </w:tc>
        <w:tc>
          <w:tcPr>
            <w:tcW w:w="1490" w:type="pct"/>
            <w:tcBorders>
              <w:top w:val="single" w:sz="4" w:space="0" w:color="B56012"/>
              <w:left w:val="nil"/>
              <w:bottom w:val="single" w:sz="4" w:space="0" w:color="B56012"/>
              <w:right w:val="nil"/>
            </w:tcBorders>
            <w:hideMark/>
          </w:tcPr>
          <w:p w14:paraId="5FBA7AF7" w14:textId="77777777" w:rsidR="00AF5D75" w:rsidRDefault="00AF5D75" w:rsidP="007B6365">
            <w:pPr>
              <w:spacing w:before="40" w:after="40"/>
            </w:pPr>
            <w:r>
              <w:t>None</w:t>
            </w:r>
          </w:p>
        </w:tc>
      </w:tr>
      <w:tr w:rsidR="00AF5D75" w14:paraId="5AB9B7C1" w14:textId="77777777" w:rsidTr="00064B5B">
        <w:trPr>
          <w:trHeight w:val="630"/>
        </w:trPr>
        <w:tc>
          <w:tcPr>
            <w:tcW w:w="1304" w:type="pct"/>
            <w:tcBorders>
              <w:top w:val="single" w:sz="4" w:space="0" w:color="B56012"/>
              <w:left w:val="nil"/>
              <w:bottom w:val="single" w:sz="4" w:space="0" w:color="B56012"/>
              <w:right w:val="nil"/>
            </w:tcBorders>
            <w:hideMark/>
          </w:tcPr>
          <w:p w14:paraId="4301D23D" w14:textId="77777777" w:rsidR="00AF5D75" w:rsidRDefault="00AF5D75" w:rsidP="007B6365">
            <w:pPr>
              <w:spacing w:before="40" w:after="40"/>
            </w:pPr>
            <w:r>
              <w:rPr>
                <w:bCs/>
                <w:color w:val="000000"/>
              </w:rPr>
              <w:t xml:space="preserve">Associate Professor Mary-Jo Waters </w:t>
            </w:r>
          </w:p>
        </w:tc>
        <w:tc>
          <w:tcPr>
            <w:tcW w:w="2206" w:type="pct"/>
            <w:tcBorders>
              <w:top w:val="single" w:sz="4" w:space="0" w:color="B56012"/>
              <w:left w:val="nil"/>
              <w:bottom w:val="single" w:sz="4" w:space="0" w:color="B56012"/>
              <w:right w:val="nil"/>
            </w:tcBorders>
            <w:hideMark/>
          </w:tcPr>
          <w:p w14:paraId="37EB50FE" w14:textId="77777777" w:rsidR="00AF5D75" w:rsidRDefault="00AF5D75" w:rsidP="007B6365">
            <w:pPr>
              <w:autoSpaceDE w:val="0"/>
              <w:autoSpaceDN w:val="0"/>
              <w:adjustRightInd w:val="0"/>
              <w:spacing w:before="40" w:after="40"/>
            </w:pPr>
            <w:r>
              <w:t>St Vincent's Pathology (CHA)</w:t>
            </w:r>
          </w:p>
        </w:tc>
        <w:tc>
          <w:tcPr>
            <w:tcW w:w="1490" w:type="pct"/>
            <w:tcBorders>
              <w:top w:val="single" w:sz="4" w:space="0" w:color="B56012"/>
              <w:left w:val="nil"/>
              <w:bottom w:val="single" w:sz="4" w:space="0" w:color="B56012"/>
              <w:right w:val="nil"/>
            </w:tcBorders>
            <w:hideMark/>
          </w:tcPr>
          <w:p w14:paraId="598EEA27" w14:textId="77777777" w:rsidR="00AF5D75" w:rsidRDefault="00AF5D75" w:rsidP="007B6365">
            <w:pPr>
              <w:spacing w:before="40" w:after="40"/>
            </w:pPr>
            <w:r>
              <w:t>None</w:t>
            </w:r>
          </w:p>
        </w:tc>
      </w:tr>
      <w:tr w:rsidR="00AF5D75" w14:paraId="660722C7" w14:textId="77777777" w:rsidTr="00064B5B">
        <w:trPr>
          <w:trHeight w:val="630"/>
        </w:trPr>
        <w:tc>
          <w:tcPr>
            <w:tcW w:w="1304" w:type="pct"/>
            <w:tcBorders>
              <w:top w:val="single" w:sz="4" w:space="0" w:color="B56012"/>
              <w:left w:val="nil"/>
              <w:bottom w:val="single" w:sz="4" w:space="0" w:color="B56012"/>
              <w:right w:val="nil"/>
            </w:tcBorders>
            <w:hideMark/>
          </w:tcPr>
          <w:p w14:paraId="21CB3BEF" w14:textId="77777777" w:rsidR="00AF5D75" w:rsidRDefault="00AF5D75" w:rsidP="007B6365">
            <w:pPr>
              <w:spacing w:before="40" w:after="40"/>
              <w:rPr>
                <w:bCs/>
                <w:color w:val="000000"/>
              </w:rPr>
            </w:pPr>
            <w:r>
              <w:rPr>
                <w:bCs/>
                <w:color w:val="000000"/>
              </w:rPr>
              <w:t>Professor Richard Maclsaac</w:t>
            </w:r>
          </w:p>
        </w:tc>
        <w:tc>
          <w:tcPr>
            <w:tcW w:w="2206" w:type="pct"/>
            <w:tcBorders>
              <w:top w:val="single" w:sz="4" w:space="0" w:color="B56012"/>
              <w:left w:val="nil"/>
              <w:bottom w:val="single" w:sz="4" w:space="0" w:color="B56012"/>
              <w:right w:val="nil"/>
            </w:tcBorders>
            <w:hideMark/>
          </w:tcPr>
          <w:p w14:paraId="0CC70AFB" w14:textId="77777777" w:rsidR="00AF5D75" w:rsidRDefault="00AF5D75" w:rsidP="007B6365">
            <w:pPr>
              <w:autoSpaceDE w:val="0"/>
              <w:autoSpaceDN w:val="0"/>
              <w:adjustRightInd w:val="0"/>
              <w:spacing w:before="40" w:after="40"/>
              <w:rPr>
                <w:color w:val="000000"/>
              </w:rPr>
            </w:pPr>
            <w:r>
              <w:t>St Vincent's Hospital</w:t>
            </w:r>
          </w:p>
        </w:tc>
        <w:tc>
          <w:tcPr>
            <w:tcW w:w="1490" w:type="pct"/>
            <w:tcBorders>
              <w:top w:val="single" w:sz="4" w:space="0" w:color="B56012"/>
              <w:left w:val="nil"/>
              <w:bottom w:val="single" w:sz="4" w:space="0" w:color="B56012"/>
              <w:right w:val="nil"/>
            </w:tcBorders>
            <w:hideMark/>
          </w:tcPr>
          <w:p w14:paraId="4AFCF9C7" w14:textId="77777777" w:rsidR="00AF5D75" w:rsidRDefault="00AF5D75" w:rsidP="007B6365">
            <w:pPr>
              <w:spacing w:before="40" w:after="40"/>
            </w:pPr>
            <w:r>
              <w:t>None</w:t>
            </w:r>
          </w:p>
        </w:tc>
      </w:tr>
      <w:tr w:rsidR="00AF5D75" w14:paraId="418D8B93" w14:textId="77777777" w:rsidTr="007B6365">
        <w:trPr>
          <w:trHeight w:val="485"/>
        </w:trPr>
        <w:tc>
          <w:tcPr>
            <w:tcW w:w="1304" w:type="pct"/>
            <w:tcBorders>
              <w:top w:val="single" w:sz="4" w:space="0" w:color="B56012"/>
              <w:left w:val="nil"/>
              <w:bottom w:val="single" w:sz="4" w:space="0" w:color="B56012"/>
              <w:right w:val="nil"/>
            </w:tcBorders>
            <w:hideMark/>
          </w:tcPr>
          <w:p w14:paraId="3ACE242E" w14:textId="77777777" w:rsidR="00AF5D75" w:rsidRDefault="00AF5D75" w:rsidP="007B6365">
            <w:pPr>
              <w:spacing w:before="40" w:after="40"/>
              <w:rPr>
                <w:bCs/>
                <w:color w:val="000000"/>
              </w:rPr>
            </w:pPr>
            <w:r>
              <w:rPr>
                <w:bCs/>
                <w:color w:val="000000"/>
              </w:rPr>
              <w:t>Dr Emil Djakic</w:t>
            </w:r>
          </w:p>
        </w:tc>
        <w:tc>
          <w:tcPr>
            <w:tcW w:w="2206" w:type="pct"/>
            <w:tcBorders>
              <w:top w:val="single" w:sz="4" w:space="0" w:color="B56012"/>
              <w:left w:val="nil"/>
              <w:bottom w:val="single" w:sz="4" w:space="0" w:color="B56012"/>
              <w:right w:val="nil"/>
            </w:tcBorders>
            <w:hideMark/>
          </w:tcPr>
          <w:p w14:paraId="114EC42B" w14:textId="77777777" w:rsidR="00AF5D75" w:rsidRDefault="00AF5D75" w:rsidP="007B6365">
            <w:pPr>
              <w:autoSpaceDE w:val="0"/>
              <w:autoSpaceDN w:val="0"/>
              <w:adjustRightInd w:val="0"/>
              <w:spacing w:before="40" w:after="40"/>
              <w:rPr>
                <w:color w:val="000000"/>
              </w:rPr>
            </w:pPr>
            <w:r>
              <w:t>General practitioner</w:t>
            </w:r>
          </w:p>
        </w:tc>
        <w:tc>
          <w:tcPr>
            <w:tcW w:w="1490" w:type="pct"/>
            <w:tcBorders>
              <w:top w:val="single" w:sz="4" w:space="0" w:color="B56012"/>
              <w:left w:val="nil"/>
              <w:bottom w:val="single" w:sz="4" w:space="0" w:color="B56012"/>
              <w:right w:val="nil"/>
            </w:tcBorders>
            <w:hideMark/>
          </w:tcPr>
          <w:p w14:paraId="15C855BA" w14:textId="77777777" w:rsidR="00AF5D75" w:rsidRDefault="00AF5D75" w:rsidP="007B6365">
            <w:pPr>
              <w:spacing w:before="40" w:after="40"/>
            </w:pPr>
            <w:r>
              <w:t>None</w:t>
            </w:r>
          </w:p>
        </w:tc>
      </w:tr>
      <w:tr w:rsidR="00AF5D75" w14:paraId="574BEA3B" w14:textId="77777777" w:rsidTr="007B6365">
        <w:trPr>
          <w:trHeight w:val="421"/>
        </w:trPr>
        <w:tc>
          <w:tcPr>
            <w:tcW w:w="1304" w:type="pct"/>
            <w:tcBorders>
              <w:top w:val="single" w:sz="4" w:space="0" w:color="B56012"/>
              <w:left w:val="nil"/>
              <w:bottom w:val="single" w:sz="4" w:space="0" w:color="B56012"/>
              <w:right w:val="nil"/>
            </w:tcBorders>
            <w:hideMark/>
          </w:tcPr>
          <w:p w14:paraId="6E30596C" w14:textId="77777777" w:rsidR="00AF5D75" w:rsidRDefault="00AF5D75" w:rsidP="007B6365">
            <w:pPr>
              <w:spacing w:before="40" w:after="40"/>
              <w:rPr>
                <w:bCs/>
                <w:color w:val="000000"/>
              </w:rPr>
            </w:pPr>
            <w:r>
              <w:rPr>
                <w:bCs/>
                <w:color w:val="000000"/>
              </w:rPr>
              <w:t>Dr Bev Rowbotham</w:t>
            </w:r>
          </w:p>
        </w:tc>
        <w:tc>
          <w:tcPr>
            <w:tcW w:w="2206" w:type="pct"/>
            <w:tcBorders>
              <w:top w:val="single" w:sz="4" w:space="0" w:color="B56012"/>
              <w:left w:val="nil"/>
              <w:bottom w:val="single" w:sz="4" w:space="0" w:color="B56012"/>
              <w:right w:val="nil"/>
            </w:tcBorders>
            <w:hideMark/>
          </w:tcPr>
          <w:p w14:paraId="4FE367F7" w14:textId="77777777" w:rsidR="00AF5D75" w:rsidRDefault="00AF5D75" w:rsidP="007B6365">
            <w:pPr>
              <w:autoSpaceDE w:val="0"/>
              <w:autoSpaceDN w:val="0"/>
              <w:adjustRightInd w:val="0"/>
              <w:spacing w:before="40" w:after="40"/>
            </w:pPr>
            <w:r>
              <w:t>MBS</w:t>
            </w:r>
            <w:r w:rsidR="00893C0C">
              <w:t xml:space="preserve"> Review</w:t>
            </w:r>
            <w:r>
              <w:t xml:space="preserve"> Taskforce</w:t>
            </w:r>
          </w:p>
        </w:tc>
        <w:tc>
          <w:tcPr>
            <w:tcW w:w="1490" w:type="pct"/>
            <w:tcBorders>
              <w:top w:val="single" w:sz="4" w:space="0" w:color="B56012"/>
              <w:left w:val="nil"/>
              <w:bottom w:val="single" w:sz="4" w:space="0" w:color="B56012"/>
              <w:right w:val="nil"/>
            </w:tcBorders>
            <w:hideMark/>
          </w:tcPr>
          <w:p w14:paraId="62183F94" w14:textId="77777777" w:rsidR="00AF5D75" w:rsidRDefault="00AF5D75" w:rsidP="007B6365">
            <w:pPr>
              <w:spacing w:before="40" w:after="40"/>
            </w:pPr>
            <w:r>
              <w:t>None</w:t>
            </w:r>
          </w:p>
        </w:tc>
      </w:tr>
      <w:tr w:rsidR="00AF5D75" w14:paraId="786EFF65" w14:textId="77777777" w:rsidTr="007B6365">
        <w:trPr>
          <w:trHeight w:val="418"/>
        </w:trPr>
        <w:tc>
          <w:tcPr>
            <w:tcW w:w="1304" w:type="pct"/>
            <w:tcBorders>
              <w:top w:val="single" w:sz="4" w:space="0" w:color="B56012"/>
              <w:left w:val="nil"/>
              <w:bottom w:val="single" w:sz="4" w:space="0" w:color="B56012"/>
              <w:right w:val="nil"/>
            </w:tcBorders>
            <w:hideMark/>
          </w:tcPr>
          <w:p w14:paraId="1665AEA1" w14:textId="77777777" w:rsidR="00AF5D75" w:rsidRDefault="00AF5D75" w:rsidP="007B6365">
            <w:pPr>
              <w:spacing w:before="40" w:after="40"/>
              <w:rPr>
                <w:bCs/>
                <w:color w:val="000000"/>
              </w:rPr>
            </w:pPr>
            <w:r>
              <w:rPr>
                <w:bCs/>
                <w:color w:val="000000"/>
              </w:rPr>
              <w:t>Dr Jill Thistlethwaite</w:t>
            </w:r>
          </w:p>
        </w:tc>
        <w:tc>
          <w:tcPr>
            <w:tcW w:w="2206" w:type="pct"/>
            <w:tcBorders>
              <w:top w:val="single" w:sz="4" w:space="0" w:color="B56012"/>
              <w:left w:val="nil"/>
              <w:bottom w:val="single" w:sz="4" w:space="0" w:color="B56012"/>
              <w:right w:val="nil"/>
            </w:tcBorders>
            <w:hideMark/>
          </w:tcPr>
          <w:p w14:paraId="55E91E1E" w14:textId="77777777" w:rsidR="00AF5D75" w:rsidRDefault="00AF5D75" w:rsidP="007B6365">
            <w:pPr>
              <w:autoSpaceDE w:val="0"/>
              <w:autoSpaceDN w:val="0"/>
              <w:adjustRightInd w:val="0"/>
              <w:spacing w:before="40" w:after="40"/>
            </w:pPr>
            <w:r>
              <w:t>General practitioner</w:t>
            </w:r>
          </w:p>
        </w:tc>
        <w:tc>
          <w:tcPr>
            <w:tcW w:w="1490" w:type="pct"/>
            <w:tcBorders>
              <w:top w:val="single" w:sz="4" w:space="0" w:color="B56012"/>
              <w:left w:val="nil"/>
              <w:bottom w:val="single" w:sz="4" w:space="0" w:color="B56012"/>
              <w:right w:val="nil"/>
            </w:tcBorders>
            <w:hideMark/>
          </w:tcPr>
          <w:p w14:paraId="6B35579D" w14:textId="77777777" w:rsidR="00AF5D75" w:rsidRDefault="00AF5D75" w:rsidP="007B6365">
            <w:pPr>
              <w:spacing w:before="40" w:after="40"/>
            </w:pPr>
            <w:r>
              <w:t>None</w:t>
            </w:r>
          </w:p>
        </w:tc>
      </w:tr>
      <w:tr w:rsidR="00AF5D75" w14:paraId="32ADA537" w14:textId="77777777" w:rsidTr="007B6365">
        <w:trPr>
          <w:trHeight w:val="409"/>
        </w:trPr>
        <w:tc>
          <w:tcPr>
            <w:tcW w:w="1304" w:type="pct"/>
            <w:tcBorders>
              <w:top w:val="single" w:sz="4" w:space="0" w:color="B56012"/>
              <w:left w:val="nil"/>
              <w:bottom w:val="single" w:sz="4" w:space="0" w:color="B56012"/>
              <w:right w:val="nil"/>
            </w:tcBorders>
            <w:hideMark/>
          </w:tcPr>
          <w:p w14:paraId="5548AC1E" w14:textId="77777777" w:rsidR="00AF5D75" w:rsidRDefault="00AF5D75" w:rsidP="007B6365">
            <w:pPr>
              <w:spacing w:before="40" w:after="40"/>
              <w:rPr>
                <w:bCs/>
                <w:color w:val="000000"/>
              </w:rPr>
            </w:pPr>
            <w:r>
              <w:rPr>
                <w:bCs/>
                <w:color w:val="000000"/>
              </w:rPr>
              <w:t>Dr Gary Lum</w:t>
            </w:r>
          </w:p>
        </w:tc>
        <w:tc>
          <w:tcPr>
            <w:tcW w:w="2206" w:type="pct"/>
            <w:tcBorders>
              <w:top w:val="single" w:sz="4" w:space="0" w:color="B56012"/>
              <w:left w:val="nil"/>
              <w:bottom w:val="single" w:sz="4" w:space="0" w:color="B56012"/>
              <w:right w:val="nil"/>
            </w:tcBorders>
            <w:hideMark/>
          </w:tcPr>
          <w:p w14:paraId="5FFFE06D" w14:textId="77777777" w:rsidR="00AF5D75" w:rsidRDefault="00AF5D75" w:rsidP="007B6365">
            <w:pPr>
              <w:autoSpaceDE w:val="0"/>
              <w:autoSpaceDN w:val="0"/>
              <w:adjustRightInd w:val="0"/>
              <w:spacing w:before="40" w:after="40"/>
              <w:rPr>
                <w:color w:val="000000"/>
              </w:rPr>
            </w:pPr>
            <w:r>
              <w:t>Department of Health Medical Advisor</w:t>
            </w:r>
          </w:p>
        </w:tc>
        <w:tc>
          <w:tcPr>
            <w:tcW w:w="1490" w:type="pct"/>
            <w:tcBorders>
              <w:top w:val="single" w:sz="4" w:space="0" w:color="B56012"/>
              <w:left w:val="nil"/>
              <w:bottom w:val="single" w:sz="4" w:space="0" w:color="B56012"/>
              <w:right w:val="nil"/>
            </w:tcBorders>
            <w:hideMark/>
          </w:tcPr>
          <w:p w14:paraId="76519427" w14:textId="77777777" w:rsidR="00AF5D75" w:rsidRDefault="00AF5D75" w:rsidP="007B6365">
            <w:pPr>
              <w:spacing w:before="40" w:after="40"/>
            </w:pPr>
            <w:r>
              <w:t>None</w:t>
            </w:r>
          </w:p>
        </w:tc>
      </w:tr>
      <w:tr w:rsidR="00AF5D75" w14:paraId="0ECAC701" w14:textId="77777777" w:rsidTr="007B6365">
        <w:trPr>
          <w:trHeight w:val="414"/>
        </w:trPr>
        <w:tc>
          <w:tcPr>
            <w:tcW w:w="1304" w:type="pct"/>
            <w:tcBorders>
              <w:top w:val="single" w:sz="4" w:space="0" w:color="B56012"/>
              <w:left w:val="nil"/>
              <w:bottom w:val="single" w:sz="4" w:space="0" w:color="B56012"/>
              <w:right w:val="nil"/>
            </w:tcBorders>
            <w:hideMark/>
          </w:tcPr>
          <w:p w14:paraId="4AA7EAFF" w14:textId="77777777" w:rsidR="00AF5D75" w:rsidRDefault="00AF5D75" w:rsidP="007B6365">
            <w:pPr>
              <w:spacing w:before="40" w:after="40"/>
              <w:rPr>
                <w:bCs/>
                <w:color w:val="000000"/>
              </w:rPr>
            </w:pPr>
            <w:r>
              <w:rPr>
                <w:bCs/>
                <w:color w:val="000000"/>
              </w:rPr>
              <w:t>Ms Valerie Hanrahan</w:t>
            </w:r>
          </w:p>
        </w:tc>
        <w:tc>
          <w:tcPr>
            <w:tcW w:w="2206" w:type="pct"/>
            <w:tcBorders>
              <w:top w:val="single" w:sz="4" w:space="0" w:color="B56012"/>
              <w:left w:val="nil"/>
              <w:bottom w:val="single" w:sz="4" w:space="0" w:color="B56012"/>
              <w:right w:val="nil"/>
            </w:tcBorders>
            <w:hideMark/>
          </w:tcPr>
          <w:p w14:paraId="26EF256F" w14:textId="77777777" w:rsidR="00AF5D75" w:rsidRDefault="00AF5D75" w:rsidP="007B6365">
            <w:pPr>
              <w:autoSpaceDE w:val="0"/>
              <w:autoSpaceDN w:val="0"/>
              <w:adjustRightInd w:val="0"/>
              <w:spacing w:before="40" w:after="40"/>
              <w:rPr>
                <w:color w:val="000000"/>
              </w:rPr>
            </w:pPr>
            <w:r>
              <w:t>Consumers Health Forum</w:t>
            </w:r>
          </w:p>
        </w:tc>
        <w:tc>
          <w:tcPr>
            <w:tcW w:w="1490" w:type="pct"/>
            <w:tcBorders>
              <w:top w:val="single" w:sz="4" w:space="0" w:color="B56012"/>
              <w:left w:val="nil"/>
              <w:bottom w:val="single" w:sz="4" w:space="0" w:color="B56012"/>
              <w:right w:val="nil"/>
            </w:tcBorders>
            <w:hideMark/>
          </w:tcPr>
          <w:p w14:paraId="3F7BE346" w14:textId="77777777" w:rsidR="00AF5D75" w:rsidRDefault="00AF5D75" w:rsidP="007B6365">
            <w:pPr>
              <w:spacing w:before="40" w:after="40"/>
            </w:pPr>
            <w:r>
              <w:t>None</w:t>
            </w:r>
          </w:p>
        </w:tc>
      </w:tr>
      <w:tr w:rsidR="00AF5D75" w14:paraId="2D12DD3D" w14:textId="77777777" w:rsidTr="007B6365">
        <w:trPr>
          <w:trHeight w:val="421"/>
        </w:trPr>
        <w:tc>
          <w:tcPr>
            <w:tcW w:w="1304" w:type="pct"/>
            <w:tcBorders>
              <w:top w:val="single" w:sz="4" w:space="0" w:color="B56012"/>
              <w:left w:val="nil"/>
              <w:bottom w:val="single" w:sz="4" w:space="0" w:color="B56012"/>
              <w:right w:val="nil"/>
            </w:tcBorders>
            <w:hideMark/>
          </w:tcPr>
          <w:p w14:paraId="14412B49" w14:textId="77777777" w:rsidR="00AF5D75" w:rsidRDefault="00AF5D75" w:rsidP="007B6365">
            <w:pPr>
              <w:spacing w:before="40" w:after="40"/>
              <w:rPr>
                <w:bCs/>
                <w:color w:val="000000"/>
              </w:rPr>
            </w:pPr>
            <w:r>
              <w:rPr>
                <w:bCs/>
                <w:color w:val="000000"/>
              </w:rPr>
              <w:lastRenderedPageBreak/>
              <w:t>Dr Robyn Lind</w:t>
            </w:r>
            <w:r w:rsidR="00D30599">
              <w:rPr>
                <w:bCs/>
                <w:color w:val="000000"/>
              </w:rPr>
              <w:t>n</w:t>
            </w:r>
            <w:r>
              <w:rPr>
                <w:bCs/>
                <w:color w:val="000000"/>
              </w:rPr>
              <w:t>er</w:t>
            </w:r>
          </w:p>
        </w:tc>
        <w:tc>
          <w:tcPr>
            <w:tcW w:w="2206" w:type="pct"/>
            <w:tcBorders>
              <w:top w:val="single" w:sz="4" w:space="0" w:color="B56012"/>
              <w:left w:val="nil"/>
              <w:bottom w:val="single" w:sz="4" w:space="0" w:color="B56012"/>
              <w:right w:val="nil"/>
            </w:tcBorders>
            <w:hideMark/>
          </w:tcPr>
          <w:p w14:paraId="232652A8" w14:textId="77777777" w:rsidR="00AF5D75" w:rsidRDefault="00AF5D75" w:rsidP="007B6365">
            <w:pPr>
              <w:autoSpaceDE w:val="0"/>
              <w:autoSpaceDN w:val="0"/>
              <w:adjustRightInd w:val="0"/>
              <w:spacing w:before="40" w:after="40"/>
              <w:rPr>
                <w:color w:val="000000"/>
              </w:rPr>
            </w:pPr>
            <w:r>
              <w:t>National Prescribing Service</w:t>
            </w:r>
          </w:p>
        </w:tc>
        <w:tc>
          <w:tcPr>
            <w:tcW w:w="1490" w:type="pct"/>
            <w:tcBorders>
              <w:top w:val="single" w:sz="4" w:space="0" w:color="B56012"/>
              <w:left w:val="nil"/>
              <w:bottom w:val="single" w:sz="4" w:space="0" w:color="B56012"/>
              <w:right w:val="nil"/>
            </w:tcBorders>
            <w:hideMark/>
          </w:tcPr>
          <w:p w14:paraId="103DC748" w14:textId="77777777" w:rsidR="00AF5D75" w:rsidRDefault="00AF5D75" w:rsidP="007B6365">
            <w:pPr>
              <w:spacing w:before="40" w:after="40"/>
            </w:pPr>
            <w:r>
              <w:t>None</w:t>
            </w:r>
          </w:p>
        </w:tc>
      </w:tr>
    </w:tbl>
    <w:p w14:paraId="47BE3CF5" w14:textId="77777777" w:rsidR="00AF5D75" w:rsidRDefault="00AF5D75" w:rsidP="007B6365">
      <w:pPr>
        <w:pStyle w:val="Heading2"/>
      </w:pPr>
      <w:bookmarkStart w:id="22" w:name="_Toc499293031"/>
      <w:r>
        <w:t>Immunology Working Group</w:t>
      </w:r>
      <w:bookmarkEnd w:id="22"/>
    </w:p>
    <w:p w14:paraId="68356E00" w14:textId="77777777" w:rsidR="006C0FE3" w:rsidRDefault="00AF5D75" w:rsidP="006C0FE3">
      <w:r>
        <w:t xml:space="preserve">The IWG is one of six clinical working groups that have been established to support the work of the Committee. It was established to review immunology pathology items, and make recommendations to the Committee based on rapid evidence review and clinical expertise. </w:t>
      </w:r>
    </w:p>
    <w:p w14:paraId="64C9DE86" w14:textId="77777777" w:rsidR="00285EB4" w:rsidRDefault="00AF5D75" w:rsidP="006C0FE3">
      <w:r>
        <w:t xml:space="preserve">The IWG consists of </w:t>
      </w:r>
      <w:r w:rsidR="002B1A60">
        <w:t xml:space="preserve">six </w:t>
      </w:r>
      <w:r>
        <w:t xml:space="preserve">members, whose names, positions/organisations and declared conflicts of interest are listed in </w:t>
      </w:r>
      <w:r w:rsidR="004D3FCE">
        <w:fldChar w:fldCharType="begin"/>
      </w:r>
      <w:r w:rsidR="004D3FCE">
        <w:instrText xml:space="preserve"> REF _Ref499283228 \h </w:instrText>
      </w:r>
      <w:r w:rsidR="004D3FCE">
        <w:fldChar w:fldCharType="separate"/>
      </w:r>
      <w:r w:rsidR="00E95F8E">
        <w:t xml:space="preserve">Table </w:t>
      </w:r>
      <w:r w:rsidR="00E95F8E">
        <w:rPr>
          <w:noProof/>
        </w:rPr>
        <w:t>2</w:t>
      </w:r>
      <w:r w:rsidR="004D3FCE">
        <w:fldChar w:fldCharType="end"/>
      </w:r>
      <w:r w:rsidR="004D3FCE">
        <w:t xml:space="preserve"> </w:t>
      </w:r>
      <w:r>
        <w:t>below.</w:t>
      </w:r>
    </w:p>
    <w:p w14:paraId="2F6AA36E" w14:textId="77777777" w:rsidR="00AF5D75" w:rsidRDefault="00CE277C">
      <w:pPr>
        <w:pStyle w:val="Caption"/>
      </w:pPr>
      <w:bookmarkStart w:id="23" w:name="_Ref499283228"/>
      <w:bookmarkStart w:id="24" w:name="_Toc499289239"/>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2</w:t>
      </w:r>
      <w:r w:rsidR="0004721F">
        <w:rPr>
          <w:noProof/>
        </w:rPr>
        <w:fldChar w:fldCharType="end"/>
      </w:r>
      <w:bookmarkEnd w:id="23"/>
      <w:r>
        <w:t xml:space="preserve">. </w:t>
      </w:r>
      <w:r w:rsidR="00F71203">
        <w:t xml:space="preserve">Immunology </w:t>
      </w:r>
      <w:r w:rsidR="00AF5D75" w:rsidRPr="00285EB4">
        <w:t>Working</w:t>
      </w:r>
      <w:r w:rsidR="00AF5D75">
        <w:t xml:space="preserve"> Group </w:t>
      </w:r>
      <w:r w:rsidR="005E5484">
        <w:t>members</w:t>
      </w:r>
      <w:bookmarkEnd w:id="24"/>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Caption w:val="Immunology Working Group members"/>
        <w:tblDescription w:val="This table contains the names, positions/organisations and declared conflicts of interest for the Immunololgy Working Group members."/>
      </w:tblPr>
      <w:tblGrid>
        <w:gridCol w:w="2693"/>
        <w:gridCol w:w="3643"/>
        <w:gridCol w:w="2690"/>
      </w:tblGrid>
      <w:tr w:rsidR="00AF5D75" w14:paraId="2A407CB6" w14:textId="77777777" w:rsidTr="00534051">
        <w:trPr>
          <w:tblHeader/>
        </w:trPr>
        <w:tc>
          <w:tcPr>
            <w:tcW w:w="1492" w:type="pct"/>
            <w:tcBorders>
              <w:top w:val="single" w:sz="4" w:space="0" w:color="B56012"/>
              <w:left w:val="nil"/>
              <w:bottom w:val="single" w:sz="4" w:space="0" w:color="B56012"/>
              <w:right w:val="nil"/>
            </w:tcBorders>
            <w:shd w:val="clear" w:color="auto" w:fill="F2F2F2" w:themeFill="background1" w:themeFillShade="F2"/>
            <w:vAlign w:val="bottom"/>
            <w:hideMark/>
          </w:tcPr>
          <w:p w14:paraId="290C8A41" w14:textId="77777777" w:rsidR="00AF5D75" w:rsidRDefault="00AF5D75">
            <w:pPr>
              <w:rPr>
                <w:b/>
              </w:rPr>
            </w:pPr>
            <w:r>
              <w:rPr>
                <w:b/>
              </w:rPr>
              <w:t>Name</w:t>
            </w:r>
          </w:p>
        </w:tc>
        <w:tc>
          <w:tcPr>
            <w:tcW w:w="2018" w:type="pct"/>
            <w:tcBorders>
              <w:top w:val="single" w:sz="4" w:space="0" w:color="B56012"/>
              <w:left w:val="nil"/>
              <w:bottom w:val="single" w:sz="4" w:space="0" w:color="B56012"/>
              <w:right w:val="nil"/>
            </w:tcBorders>
            <w:shd w:val="clear" w:color="auto" w:fill="F2F2F2" w:themeFill="background1" w:themeFillShade="F2"/>
            <w:vAlign w:val="bottom"/>
            <w:hideMark/>
          </w:tcPr>
          <w:p w14:paraId="6120AA8A" w14:textId="77777777" w:rsidR="00AF5D75" w:rsidRDefault="00AF5D75">
            <w:pPr>
              <w:rPr>
                <w:b/>
              </w:rPr>
            </w:pPr>
            <w:r>
              <w:rPr>
                <w:b/>
              </w:rPr>
              <w:t>Position/organisation</w:t>
            </w:r>
          </w:p>
        </w:tc>
        <w:tc>
          <w:tcPr>
            <w:tcW w:w="1490" w:type="pct"/>
            <w:tcBorders>
              <w:top w:val="single" w:sz="4" w:space="0" w:color="B56012"/>
              <w:left w:val="nil"/>
              <w:bottom w:val="single" w:sz="4" w:space="0" w:color="B56012"/>
              <w:right w:val="nil"/>
            </w:tcBorders>
            <w:shd w:val="clear" w:color="auto" w:fill="F2F2F2" w:themeFill="background1" w:themeFillShade="F2"/>
            <w:vAlign w:val="bottom"/>
            <w:hideMark/>
          </w:tcPr>
          <w:p w14:paraId="3D3B628C" w14:textId="77777777" w:rsidR="00AF5D75" w:rsidRDefault="00AF5D75">
            <w:pPr>
              <w:rPr>
                <w:b/>
              </w:rPr>
            </w:pPr>
            <w:r>
              <w:rPr>
                <w:b/>
              </w:rPr>
              <w:t xml:space="preserve">Declared conflict </w:t>
            </w:r>
            <w:r w:rsidR="007C2E44">
              <w:rPr>
                <w:b/>
              </w:rPr>
              <w:t>of </w:t>
            </w:r>
            <w:r>
              <w:rPr>
                <w:b/>
              </w:rPr>
              <w:t>interest</w:t>
            </w:r>
          </w:p>
        </w:tc>
      </w:tr>
      <w:tr w:rsidR="00AF5D75" w14:paraId="5AD605D6" w14:textId="77777777" w:rsidTr="00534051">
        <w:trPr>
          <w:trHeight w:val="412"/>
        </w:trPr>
        <w:tc>
          <w:tcPr>
            <w:tcW w:w="1492" w:type="pct"/>
            <w:tcBorders>
              <w:top w:val="single" w:sz="4" w:space="0" w:color="B56012"/>
              <w:left w:val="nil"/>
              <w:bottom w:val="single" w:sz="4" w:space="0" w:color="B56012"/>
              <w:right w:val="nil"/>
            </w:tcBorders>
            <w:hideMark/>
          </w:tcPr>
          <w:p w14:paraId="06FD2285" w14:textId="77777777" w:rsidR="00AF5D75" w:rsidRDefault="00AF5D75" w:rsidP="00064B5B">
            <w:pPr>
              <w:spacing w:before="40"/>
            </w:pPr>
            <w:r>
              <w:t>Dr Daman Langguth</w:t>
            </w:r>
          </w:p>
        </w:tc>
        <w:tc>
          <w:tcPr>
            <w:tcW w:w="2018" w:type="pct"/>
            <w:tcBorders>
              <w:top w:val="single" w:sz="4" w:space="0" w:color="B56012"/>
              <w:left w:val="nil"/>
              <w:bottom w:val="single" w:sz="4" w:space="0" w:color="B56012"/>
              <w:right w:val="nil"/>
            </w:tcBorders>
            <w:hideMark/>
          </w:tcPr>
          <w:p w14:paraId="3821F7F9" w14:textId="77777777" w:rsidR="00AF5D75" w:rsidRDefault="00AF5D75" w:rsidP="00064B5B">
            <w:pPr>
              <w:autoSpaceDE w:val="0"/>
              <w:autoSpaceDN w:val="0"/>
              <w:adjustRightInd w:val="0"/>
              <w:spacing w:before="60" w:line="276" w:lineRule="auto"/>
            </w:pPr>
            <w:r>
              <w:t>Sullivan Nicolaides Pathology</w:t>
            </w:r>
          </w:p>
        </w:tc>
        <w:tc>
          <w:tcPr>
            <w:tcW w:w="1490" w:type="pct"/>
            <w:tcBorders>
              <w:top w:val="single" w:sz="4" w:space="0" w:color="B56012"/>
              <w:left w:val="nil"/>
              <w:bottom w:val="single" w:sz="4" w:space="0" w:color="B56012"/>
              <w:right w:val="nil"/>
            </w:tcBorders>
          </w:tcPr>
          <w:p w14:paraId="0A32D304" w14:textId="77777777" w:rsidR="00AF5D75" w:rsidRDefault="0078040F" w:rsidP="00064B5B">
            <w:pPr>
              <w:spacing w:before="40"/>
            </w:pPr>
            <w:r>
              <w:t>None</w:t>
            </w:r>
          </w:p>
        </w:tc>
      </w:tr>
      <w:tr w:rsidR="00AF5D75" w14:paraId="530E4731" w14:textId="77777777" w:rsidTr="00534051">
        <w:trPr>
          <w:trHeight w:val="420"/>
        </w:trPr>
        <w:tc>
          <w:tcPr>
            <w:tcW w:w="1492" w:type="pct"/>
            <w:tcBorders>
              <w:top w:val="single" w:sz="4" w:space="0" w:color="B56012"/>
              <w:left w:val="nil"/>
              <w:bottom w:val="single" w:sz="4" w:space="0" w:color="B56012"/>
              <w:right w:val="nil"/>
            </w:tcBorders>
            <w:hideMark/>
          </w:tcPr>
          <w:p w14:paraId="5FAAC439" w14:textId="77777777" w:rsidR="00AF5D75" w:rsidRDefault="00AF5D75" w:rsidP="00064B5B">
            <w:pPr>
              <w:spacing w:before="40"/>
            </w:pPr>
            <w:r>
              <w:t>Dr Theo de Malmanche</w:t>
            </w:r>
          </w:p>
        </w:tc>
        <w:tc>
          <w:tcPr>
            <w:tcW w:w="2018" w:type="pct"/>
            <w:tcBorders>
              <w:top w:val="single" w:sz="4" w:space="0" w:color="B56012"/>
              <w:left w:val="nil"/>
              <w:bottom w:val="single" w:sz="4" w:space="0" w:color="B56012"/>
              <w:right w:val="nil"/>
            </w:tcBorders>
            <w:hideMark/>
          </w:tcPr>
          <w:p w14:paraId="3536A49C" w14:textId="77777777" w:rsidR="00AF5D75" w:rsidRDefault="00D30599" w:rsidP="00064B5B">
            <w:pPr>
              <w:autoSpaceDE w:val="0"/>
              <w:autoSpaceDN w:val="0"/>
              <w:adjustRightInd w:val="0"/>
              <w:spacing w:before="60" w:line="276" w:lineRule="auto"/>
            </w:pPr>
            <w:r>
              <w:t>NSW Health Pathology</w:t>
            </w:r>
          </w:p>
        </w:tc>
        <w:tc>
          <w:tcPr>
            <w:tcW w:w="1490" w:type="pct"/>
            <w:tcBorders>
              <w:top w:val="single" w:sz="4" w:space="0" w:color="B56012"/>
              <w:left w:val="nil"/>
              <w:bottom w:val="single" w:sz="4" w:space="0" w:color="B56012"/>
              <w:right w:val="nil"/>
            </w:tcBorders>
          </w:tcPr>
          <w:p w14:paraId="0C55CFB7" w14:textId="77777777" w:rsidR="00AF5D75" w:rsidRDefault="0078040F" w:rsidP="00064B5B">
            <w:pPr>
              <w:spacing w:before="40"/>
            </w:pPr>
            <w:r>
              <w:t>None</w:t>
            </w:r>
          </w:p>
        </w:tc>
      </w:tr>
      <w:tr w:rsidR="00AF5D75" w14:paraId="72E286C8" w14:textId="77777777" w:rsidTr="00534051">
        <w:trPr>
          <w:trHeight w:val="412"/>
        </w:trPr>
        <w:tc>
          <w:tcPr>
            <w:tcW w:w="1492" w:type="pct"/>
            <w:tcBorders>
              <w:top w:val="single" w:sz="4" w:space="0" w:color="B56012"/>
              <w:left w:val="nil"/>
              <w:bottom w:val="single" w:sz="4" w:space="0" w:color="B56012"/>
              <w:right w:val="nil"/>
            </w:tcBorders>
            <w:hideMark/>
          </w:tcPr>
          <w:p w14:paraId="65CE06FA" w14:textId="77777777" w:rsidR="00AF5D75" w:rsidRDefault="00AF5D75" w:rsidP="00064B5B">
            <w:pPr>
              <w:spacing w:before="40"/>
            </w:pPr>
            <w:r>
              <w:t>Dr Pravin Hissaria</w:t>
            </w:r>
          </w:p>
        </w:tc>
        <w:tc>
          <w:tcPr>
            <w:tcW w:w="2018" w:type="pct"/>
            <w:tcBorders>
              <w:top w:val="single" w:sz="4" w:space="0" w:color="B56012"/>
              <w:left w:val="nil"/>
              <w:bottom w:val="single" w:sz="4" w:space="0" w:color="B56012"/>
              <w:right w:val="nil"/>
            </w:tcBorders>
            <w:hideMark/>
          </w:tcPr>
          <w:p w14:paraId="2BEE9F68" w14:textId="77777777" w:rsidR="00AF5D75" w:rsidRDefault="00AF5D75" w:rsidP="00064B5B">
            <w:pPr>
              <w:autoSpaceDE w:val="0"/>
              <w:autoSpaceDN w:val="0"/>
              <w:adjustRightInd w:val="0"/>
              <w:spacing w:before="60" w:line="276" w:lineRule="auto"/>
            </w:pPr>
            <w:r>
              <w:t>SA Pathology/Royal Adelaide</w:t>
            </w:r>
          </w:p>
        </w:tc>
        <w:tc>
          <w:tcPr>
            <w:tcW w:w="1490" w:type="pct"/>
            <w:tcBorders>
              <w:top w:val="single" w:sz="4" w:space="0" w:color="B56012"/>
              <w:left w:val="nil"/>
              <w:bottom w:val="single" w:sz="4" w:space="0" w:color="B56012"/>
              <w:right w:val="nil"/>
            </w:tcBorders>
          </w:tcPr>
          <w:p w14:paraId="7C66128C" w14:textId="77777777" w:rsidR="00AF5D75" w:rsidRDefault="0078040F" w:rsidP="00064B5B">
            <w:pPr>
              <w:spacing w:before="40"/>
            </w:pPr>
            <w:r>
              <w:t>None</w:t>
            </w:r>
          </w:p>
        </w:tc>
      </w:tr>
      <w:tr w:rsidR="00AF5D75" w14:paraId="4621A46A" w14:textId="77777777" w:rsidTr="00534051">
        <w:trPr>
          <w:trHeight w:val="450"/>
        </w:trPr>
        <w:tc>
          <w:tcPr>
            <w:tcW w:w="1492" w:type="pct"/>
            <w:tcBorders>
              <w:top w:val="single" w:sz="4" w:space="0" w:color="B56012"/>
              <w:left w:val="nil"/>
              <w:bottom w:val="single" w:sz="4" w:space="0" w:color="B56012"/>
              <w:right w:val="nil"/>
            </w:tcBorders>
            <w:hideMark/>
          </w:tcPr>
          <w:p w14:paraId="7759A5A8" w14:textId="77777777" w:rsidR="00AF5D75" w:rsidRDefault="00AF5D75" w:rsidP="00064B5B">
            <w:pPr>
              <w:spacing w:before="40"/>
            </w:pPr>
            <w:r>
              <w:t>Dr Lucinda Wallman</w:t>
            </w:r>
          </w:p>
        </w:tc>
        <w:tc>
          <w:tcPr>
            <w:tcW w:w="2018" w:type="pct"/>
            <w:tcBorders>
              <w:top w:val="single" w:sz="4" w:space="0" w:color="B56012"/>
              <w:left w:val="nil"/>
              <w:bottom w:val="single" w:sz="4" w:space="0" w:color="B56012"/>
              <w:right w:val="nil"/>
            </w:tcBorders>
            <w:hideMark/>
          </w:tcPr>
          <w:p w14:paraId="453519BD" w14:textId="77777777" w:rsidR="00AF5D75" w:rsidRDefault="00AF5D75" w:rsidP="00064B5B">
            <w:pPr>
              <w:spacing w:before="60"/>
            </w:pPr>
            <w:r>
              <w:t>Laverty Pathology</w:t>
            </w:r>
          </w:p>
        </w:tc>
        <w:tc>
          <w:tcPr>
            <w:tcW w:w="1490" w:type="pct"/>
            <w:tcBorders>
              <w:top w:val="single" w:sz="4" w:space="0" w:color="B56012"/>
              <w:left w:val="nil"/>
              <w:bottom w:val="single" w:sz="4" w:space="0" w:color="B56012"/>
              <w:right w:val="nil"/>
            </w:tcBorders>
          </w:tcPr>
          <w:p w14:paraId="21293D4E" w14:textId="77777777" w:rsidR="00AF5D75" w:rsidRDefault="0078040F" w:rsidP="00064B5B">
            <w:pPr>
              <w:spacing w:before="40"/>
            </w:pPr>
            <w:r>
              <w:t>None</w:t>
            </w:r>
          </w:p>
        </w:tc>
      </w:tr>
      <w:tr w:rsidR="00E40780" w14:paraId="0B48F5D3" w14:textId="77777777" w:rsidTr="00534051">
        <w:trPr>
          <w:trHeight w:val="497"/>
        </w:trPr>
        <w:tc>
          <w:tcPr>
            <w:tcW w:w="1492" w:type="pct"/>
            <w:tcBorders>
              <w:top w:val="single" w:sz="4" w:space="0" w:color="B56012"/>
              <w:left w:val="nil"/>
              <w:bottom w:val="single" w:sz="4" w:space="0" w:color="B56012"/>
              <w:right w:val="nil"/>
            </w:tcBorders>
          </w:tcPr>
          <w:p w14:paraId="13AD5080" w14:textId="77777777" w:rsidR="00E40780" w:rsidRDefault="00E40780" w:rsidP="00064B5B">
            <w:pPr>
              <w:spacing w:before="40"/>
            </w:pPr>
            <w:r>
              <w:t>Dr Aniello Iannuzzi</w:t>
            </w:r>
          </w:p>
        </w:tc>
        <w:tc>
          <w:tcPr>
            <w:tcW w:w="2018" w:type="pct"/>
            <w:tcBorders>
              <w:top w:val="single" w:sz="4" w:space="0" w:color="B56012"/>
              <w:left w:val="nil"/>
              <w:bottom w:val="single" w:sz="4" w:space="0" w:color="B56012"/>
              <w:right w:val="nil"/>
            </w:tcBorders>
          </w:tcPr>
          <w:p w14:paraId="7AF5F7BE" w14:textId="77777777" w:rsidR="00E40780" w:rsidRDefault="00E40780" w:rsidP="00064B5B">
            <w:pPr>
              <w:autoSpaceDE w:val="0"/>
              <w:autoSpaceDN w:val="0"/>
              <w:adjustRightInd w:val="0"/>
              <w:spacing w:before="60" w:line="276" w:lineRule="auto"/>
            </w:pPr>
            <w:r>
              <w:t>General Practitioner</w:t>
            </w:r>
          </w:p>
        </w:tc>
        <w:tc>
          <w:tcPr>
            <w:tcW w:w="1490" w:type="pct"/>
            <w:tcBorders>
              <w:top w:val="single" w:sz="4" w:space="0" w:color="B56012"/>
              <w:left w:val="nil"/>
              <w:bottom w:val="single" w:sz="4" w:space="0" w:color="B56012"/>
              <w:right w:val="nil"/>
            </w:tcBorders>
          </w:tcPr>
          <w:p w14:paraId="492E2B89" w14:textId="77777777" w:rsidR="00E40780" w:rsidRDefault="0078040F" w:rsidP="00064B5B">
            <w:pPr>
              <w:spacing w:before="40"/>
            </w:pPr>
            <w:r>
              <w:t>None</w:t>
            </w:r>
          </w:p>
        </w:tc>
      </w:tr>
      <w:tr w:rsidR="00AF5D75" w14:paraId="7D336CEB" w14:textId="77777777" w:rsidTr="00534051">
        <w:trPr>
          <w:trHeight w:val="419"/>
        </w:trPr>
        <w:tc>
          <w:tcPr>
            <w:tcW w:w="1492" w:type="pct"/>
            <w:tcBorders>
              <w:top w:val="single" w:sz="4" w:space="0" w:color="B56012"/>
              <w:left w:val="nil"/>
              <w:bottom w:val="single" w:sz="4" w:space="0" w:color="B56012"/>
              <w:right w:val="nil"/>
            </w:tcBorders>
            <w:hideMark/>
          </w:tcPr>
          <w:p w14:paraId="090B44F8" w14:textId="77777777" w:rsidR="00AF5D75" w:rsidRDefault="00AF5D75" w:rsidP="00064B5B">
            <w:pPr>
              <w:spacing w:before="40"/>
            </w:pPr>
            <w:r>
              <w:t>Mr Adam Friederich</w:t>
            </w:r>
          </w:p>
        </w:tc>
        <w:tc>
          <w:tcPr>
            <w:tcW w:w="2018" w:type="pct"/>
            <w:tcBorders>
              <w:top w:val="single" w:sz="4" w:space="0" w:color="B56012"/>
              <w:left w:val="nil"/>
              <w:bottom w:val="single" w:sz="4" w:space="0" w:color="B56012"/>
              <w:right w:val="nil"/>
            </w:tcBorders>
          </w:tcPr>
          <w:p w14:paraId="1061A31B" w14:textId="77777777" w:rsidR="00AF5D75" w:rsidRDefault="00E40780" w:rsidP="00064B5B">
            <w:pPr>
              <w:autoSpaceDE w:val="0"/>
              <w:autoSpaceDN w:val="0"/>
              <w:adjustRightInd w:val="0"/>
              <w:spacing w:before="60" w:line="276" w:lineRule="auto"/>
            </w:pPr>
            <w:r>
              <w:t>Consumer</w:t>
            </w:r>
            <w:r w:rsidR="00FE586B">
              <w:t xml:space="preserve"> representative</w:t>
            </w:r>
          </w:p>
        </w:tc>
        <w:tc>
          <w:tcPr>
            <w:tcW w:w="1490" w:type="pct"/>
            <w:tcBorders>
              <w:top w:val="single" w:sz="4" w:space="0" w:color="B56012"/>
              <w:left w:val="nil"/>
              <w:bottom w:val="single" w:sz="4" w:space="0" w:color="B56012"/>
              <w:right w:val="nil"/>
            </w:tcBorders>
          </w:tcPr>
          <w:p w14:paraId="0CBB0174" w14:textId="77777777" w:rsidR="00AF5D75" w:rsidRDefault="0078040F" w:rsidP="00064B5B">
            <w:pPr>
              <w:spacing w:before="40"/>
            </w:pPr>
            <w:r>
              <w:t>None</w:t>
            </w:r>
          </w:p>
        </w:tc>
      </w:tr>
    </w:tbl>
    <w:p w14:paraId="38E672E6" w14:textId="77777777" w:rsidR="00AF5D75" w:rsidRDefault="00AF5D75" w:rsidP="00534051">
      <w:pPr>
        <w:pStyle w:val="Heading2"/>
      </w:pPr>
      <w:bookmarkStart w:id="25" w:name="_Toc499293032"/>
      <w:r>
        <w:t>Conflicts of interest</w:t>
      </w:r>
      <w:bookmarkEnd w:id="25"/>
    </w:p>
    <w:p w14:paraId="7BD2C162" w14:textId="77777777" w:rsidR="00AF5D75" w:rsidRDefault="00AF5D75" w:rsidP="00AF5D75">
      <w:pPr>
        <w:spacing w:before="120" w:after="120"/>
        <w:rPr>
          <w:rFonts w:cs="Arial"/>
          <w:lang w:val="en-US" w:eastAsia="en-US"/>
        </w:rPr>
      </w:pPr>
      <w:r>
        <w:rPr>
          <w:rFonts w:cs="Arial"/>
          <w:lang w:val="en-US" w:eastAsia="en-US"/>
        </w:rPr>
        <w:t>All members of the Taskforce, clinical committees and working groups are asked to declare any conflicts of interest at the start of their involvement and reminded to update their declarations periodically.</w:t>
      </w:r>
    </w:p>
    <w:p w14:paraId="5F51D904" w14:textId="77777777" w:rsidR="006C0FE3" w:rsidRDefault="006C0FE3" w:rsidP="00AF5D75">
      <w:pPr>
        <w:spacing w:before="120" w:after="120"/>
        <w:rPr>
          <w:rFonts w:eastAsiaTheme="minorHAnsi"/>
        </w:rPr>
      </w:pPr>
      <w:r>
        <w:rPr>
          <w:lang w:val="en-US" w:eastAsia="en-US"/>
        </w:rPr>
        <w:t>It is noted that most Committee members share a common conflict of interest in reviewing items that are a source of revenue for them (i.e. Committee members provide the services under review). This conflict is inherent in a clinician-led process, and having been acknowledged by the Committee and the Taskforce, it was agreed that this should not prevent a clinician from participating in the review.</w:t>
      </w:r>
    </w:p>
    <w:p w14:paraId="61FF5793" w14:textId="77777777" w:rsidR="00AF5D75" w:rsidRDefault="00AF5D75" w:rsidP="00534051">
      <w:pPr>
        <w:pStyle w:val="Heading2"/>
      </w:pPr>
      <w:bookmarkStart w:id="26" w:name="_Toc499293033"/>
      <w:r>
        <w:t xml:space="preserve">Areas of responsibility of the </w:t>
      </w:r>
      <w:r w:rsidR="00F41B36">
        <w:t>Committee</w:t>
      </w:r>
      <w:bookmarkEnd w:id="26"/>
    </w:p>
    <w:p w14:paraId="1BCF9C8A" w14:textId="77777777" w:rsidR="00861128" w:rsidRDefault="009112F9" w:rsidP="00AF5D75">
      <w:pPr>
        <w:rPr>
          <w:lang w:val="en-US"/>
        </w:rPr>
      </w:pPr>
      <w:r w:rsidRPr="00FC1976">
        <w:t xml:space="preserve">The Committee was assigned </w:t>
      </w:r>
      <w:r w:rsidR="00DF4D1F">
        <w:t>69</w:t>
      </w:r>
      <w:r w:rsidR="00DF4D1F" w:rsidRPr="00FC1976">
        <w:t xml:space="preserve"> </w:t>
      </w:r>
      <w:r w:rsidRPr="00FC1976">
        <w:t xml:space="preserve">MBS </w:t>
      </w:r>
      <w:r w:rsidR="005472DF">
        <w:t>immunology</w:t>
      </w:r>
      <w:r>
        <w:t xml:space="preserve"> </w:t>
      </w:r>
      <w:r w:rsidRPr="00FC1976">
        <w:t>items</w:t>
      </w:r>
      <w:r>
        <w:t xml:space="preserve"> </w:t>
      </w:r>
      <w:r w:rsidRPr="00FC1976">
        <w:t>to review</w:t>
      </w:r>
      <w:r w:rsidR="00861128">
        <w:rPr>
          <w:lang w:val="en-US"/>
        </w:rPr>
        <w:t xml:space="preserve">. In the financial year 2014–15 these items accounted for 3,904,839 services </w:t>
      </w:r>
      <w:r w:rsidR="00285EB4">
        <w:rPr>
          <w:lang w:val="en-US"/>
        </w:rPr>
        <w:t xml:space="preserve">(out of a total of 128,786,630 pathology services) </w:t>
      </w:r>
      <w:r w:rsidR="00861128">
        <w:rPr>
          <w:lang w:val="en-US"/>
        </w:rPr>
        <w:t>and $137,281,885 in benefits</w:t>
      </w:r>
      <w:r w:rsidR="00285EB4">
        <w:rPr>
          <w:lang w:val="en-US"/>
        </w:rPr>
        <w:t xml:space="preserve"> (out of a total of $2,652,998,768)</w:t>
      </w:r>
      <w:r w:rsidR="00861128">
        <w:rPr>
          <w:lang w:val="en-US"/>
        </w:rPr>
        <w:t>.</w:t>
      </w:r>
    </w:p>
    <w:p w14:paraId="06B51076" w14:textId="77777777" w:rsidR="00AF5D75" w:rsidRDefault="00AF5D75" w:rsidP="00AF5D75">
      <w:pPr>
        <w:rPr>
          <w:lang w:val="en-US"/>
        </w:rPr>
      </w:pPr>
      <w:r>
        <w:rPr>
          <w:lang w:val="en-US"/>
        </w:rPr>
        <w:t xml:space="preserve">A complete list of these items can be found in Appendix </w:t>
      </w:r>
      <w:r w:rsidRPr="00C90E2D">
        <w:rPr>
          <w:lang w:val="en-US"/>
        </w:rPr>
        <w:t>A</w:t>
      </w:r>
      <w:r>
        <w:rPr>
          <w:lang w:val="en-US"/>
        </w:rPr>
        <w:t xml:space="preserve"> of this report</w:t>
      </w:r>
      <w:r w:rsidR="00893C0C">
        <w:rPr>
          <w:lang w:val="en-US"/>
        </w:rPr>
        <w:t>.</w:t>
      </w:r>
    </w:p>
    <w:p w14:paraId="6B45266D" w14:textId="77777777" w:rsidR="009112F9" w:rsidRPr="00DF7757" w:rsidRDefault="009112F9" w:rsidP="00534051">
      <w:pPr>
        <w:pStyle w:val="Heading2"/>
      </w:pPr>
      <w:bookmarkStart w:id="27" w:name="_Toc457463621"/>
      <w:bookmarkStart w:id="28" w:name="_Toc459996811"/>
      <w:bookmarkStart w:id="29" w:name="_Toc458166999"/>
      <w:bookmarkStart w:id="30" w:name="_Toc478554104"/>
      <w:bookmarkStart w:id="31" w:name="_Toc499293034"/>
      <w:r w:rsidRPr="00FC1976">
        <w:t>S</w:t>
      </w:r>
      <w:r>
        <w:t>ummary of the Com</w:t>
      </w:r>
      <w:r w:rsidRPr="00FC1976">
        <w:t>mittee’s review approach</w:t>
      </w:r>
      <w:bookmarkEnd w:id="27"/>
      <w:bookmarkEnd w:id="28"/>
      <w:bookmarkEnd w:id="29"/>
      <w:bookmarkEnd w:id="30"/>
      <w:bookmarkEnd w:id="31"/>
    </w:p>
    <w:p w14:paraId="56E02034" w14:textId="77777777" w:rsidR="009112F9" w:rsidRPr="00FC1976" w:rsidRDefault="009112F9" w:rsidP="009112F9">
      <w:r w:rsidRPr="00FC1976">
        <w:t>The Com</w:t>
      </w:r>
      <w:r>
        <w:t>mittee completed a review of</w:t>
      </w:r>
      <w:r w:rsidRPr="00FC1976">
        <w:t xml:space="preserve"> </w:t>
      </w:r>
      <w:r>
        <w:t>the 75 items</w:t>
      </w:r>
      <w:r w:rsidRPr="00FC1976">
        <w:t xml:space="preserve"> across </w:t>
      </w:r>
      <w:r w:rsidR="008E09A2">
        <w:t>six</w:t>
      </w:r>
      <w:r w:rsidRPr="00FC1976">
        <w:t xml:space="preserve"> meetings, during which it developed the recommendations and rationales outlined in Section </w:t>
      </w:r>
      <w:r w:rsidR="008E09A2">
        <w:t>4</w:t>
      </w:r>
      <w:r w:rsidRPr="00FC1976">
        <w:t xml:space="preserve">. </w:t>
      </w:r>
    </w:p>
    <w:p w14:paraId="6F40476D" w14:textId="77777777" w:rsidR="009112F9" w:rsidRDefault="009112F9" w:rsidP="009112F9">
      <w:r w:rsidRPr="00FC1976">
        <w:t xml:space="preserve">The </w:t>
      </w:r>
      <w:r>
        <w:t>Review</w:t>
      </w:r>
      <w:r w:rsidRPr="00FC1976">
        <w:t xml:space="preserve"> drew on various types of MBS data, including data on</w:t>
      </w:r>
      <w:r>
        <w:t>:</w:t>
      </w:r>
      <w:r w:rsidRPr="00FC1976">
        <w:t xml:space="preserve"> </w:t>
      </w:r>
    </w:p>
    <w:p w14:paraId="100106F4" w14:textId="77777777" w:rsidR="009112F9" w:rsidRPr="003B3BA4" w:rsidRDefault="009112F9">
      <w:pPr>
        <w:pStyle w:val="NormalBulleted"/>
      </w:pPr>
      <w:r w:rsidRPr="003B3BA4">
        <w:lastRenderedPageBreak/>
        <w:t>utilisation of items (services, benefits, patients, providers and growth rates)</w:t>
      </w:r>
    </w:p>
    <w:p w14:paraId="127476EA" w14:textId="77777777" w:rsidR="009112F9" w:rsidRPr="003B3BA4" w:rsidRDefault="009112F9">
      <w:pPr>
        <w:pStyle w:val="NormalBulleted"/>
      </w:pPr>
      <w:r w:rsidRPr="003B3BA4">
        <w:t>service provision (type of provider, geography of service provision)</w:t>
      </w:r>
    </w:p>
    <w:p w14:paraId="1902B24C" w14:textId="77777777" w:rsidR="009112F9" w:rsidRPr="003B3BA4" w:rsidRDefault="009112F9">
      <w:pPr>
        <w:pStyle w:val="NormalBulleted"/>
      </w:pPr>
      <w:r w:rsidRPr="003B3BA4">
        <w:t>patients (demographics and services per patient)</w:t>
      </w:r>
    </w:p>
    <w:p w14:paraId="177EC56F" w14:textId="77777777" w:rsidR="009112F9" w:rsidRPr="003B3BA4" w:rsidRDefault="009112F9">
      <w:pPr>
        <w:pStyle w:val="NormalBulleted"/>
      </w:pPr>
      <w:r w:rsidRPr="003B3BA4">
        <w:t>co-claiming or episodes of services (same-day claiming and claiming with specific items over time)</w:t>
      </w:r>
    </w:p>
    <w:p w14:paraId="7568F329" w14:textId="77777777" w:rsidR="009112F9" w:rsidRPr="003B3BA4" w:rsidRDefault="009112F9">
      <w:pPr>
        <w:pStyle w:val="NormalBulleted"/>
      </w:pPr>
      <w:r w:rsidRPr="003B3BA4">
        <w:t>additional provider and patient-level data, when required.</w:t>
      </w:r>
    </w:p>
    <w:p w14:paraId="564562CE" w14:textId="77777777" w:rsidR="009112F9" w:rsidRPr="00FC1976" w:rsidRDefault="009112F9" w:rsidP="009112F9">
      <w:r w:rsidRPr="00FC1976">
        <w:t xml:space="preserve">The review also drew on data presented in the relevant literature and clinical guidelines, all of which are referenced in the report. </w:t>
      </w:r>
    </w:p>
    <w:p w14:paraId="3EEC5CDE" w14:textId="77777777" w:rsidR="00AF5D75" w:rsidRDefault="003B3BA4" w:rsidP="00AF5D75">
      <w:pPr>
        <w:rPr>
          <w:lang w:val="en-US"/>
        </w:rPr>
      </w:pPr>
      <w:r>
        <w:t>The</w:t>
      </w:r>
      <w:r w:rsidR="00AF5D75">
        <w:t xml:space="preserve"> Committee will consider stakeholder feedback before finalising the recommendations and presenting them to the Taskforce. The Taskforce will consider the report and stakeholder feedback before making recommendations to the Minister for Health for consideration by the Government.</w:t>
      </w:r>
    </w:p>
    <w:p w14:paraId="0CB376EF" w14:textId="77777777" w:rsidR="00AF5D75" w:rsidRPr="00621EE6" w:rsidRDefault="00AF5D75" w:rsidP="007B6365">
      <w:pPr>
        <w:pStyle w:val="Heading1"/>
      </w:pPr>
      <w:bookmarkStart w:id="32" w:name="_Toc499293035"/>
      <w:r w:rsidRPr="0058785A">
        <w:lastRenderedPageBreak/>
        <w:t>Recommendations</w:t>
      </w:r>
      <w:r w:rsidRPr="00621EE6">
        <w:t xml:space="preserve"> for </w:t>
      </w:r>
      <w:r w:rsidR="00656CDF" w:rsidRPr="00621EE6">
        <w:t>imm</w:t>
      </w:r>
      <w:r w:rsidR="003178AC" w:rsidRPr="00621EE6">
        <w:t>u</w:t>
      </w:r>
      <w:r w:rsidR="00656CDF" w:rsidRPr="00621EE6">
        <w:t>nology</w:t>
      </w:r>
      <w:r w:rsidRPr="00621EE6">
        <w:t>-related pathology tests</w:t>
      </w:r>
      <w:bookmarkEnd w:id="32"/>
    </w:p>
    <w:p w14:paraId="5BE670D6" w14:textId="77777777" w:rsidR="009112F9" w:rsidRDefault="009112F9" w:rsidP="007B6365">
      <w:pPr>
        <w:pStyle w:val="BodyText"/>
      </w:pPr>
      <w:r w:rsidRPr="00FC1976">
        <w:rPr>
          <w:lang w:eastAsia="en-US"/>
        </w:rPr>
        <w:t xml:space="preserve">The Committee reviewed </w:t>
      </w:r>
      <w:r w:rsidR="00DF4D1F">
        <w:rPr>
          <w:lang w:eastAsia="en-US"/>
        </w:rPr>
        <w:t>69</w:t>
      </w:r>
      <w:r w:rsidR="00DF4D1F" w:rsidRPr="00FC1976">
        <w:rPr>
          <w:lang w:eastAsia="en-US"/>
        </w:rPr>
        <w:t xml:space="preserve"> </w:t>
      </w:r>
      <w:r w:rsidRPr="00FC1976">
        <w:rPr>
          <w:lang w:eastAsia="en-US"/>
        </w:rPr>
        <w:t>assigned</w:t>
      </w:r>
      <w:r w:rsidR="005472DF">
        <w:rPr>
          <w:lang w:eastAsia="en-US"/>
        </w:rPr>
        <w:t xml:space="preserve"> immunology</w:t>
      </w:r>
      <w:r w:rsidRPr="00FC1976">
        <w:rPr>
          <w:lang w:eastAsia="en-US"/>
        </w:rPr>
        <w:t xml:space="preserve"> items and made recommendations based on evidence and clinical expertise. </w:t>
      </w:r>
      <w:r>
        <w:t>The item-level recommendations are described below. A summary list of recommendations can be found in Appendi</w:t>
      </w:r>
      <w:r w:rsidR="00E9534F">
        <w:t>x</w:t>
      </w:r>
      <w:r>
        <w:t xml:space="preserve"> </w:t>
      </w:r>
      <w:r w:rsidR="003B3BA4">
        <w:t>A</w:t>
      </w:r>
      <w:r>
        <w:t xml:space="preserve"> and in the </w:t>
      </w:r>
      <w:r w:rsidR="00E9534F">
        <w:t>summary for consumers</w:t>
      </w:r>
      <w:r>
        <w:t xml:space="preserve"> in Appendix </w:t>
      </w:r>
      <w:r w:rsidR="003B3BA4">
        <w:t>B</w:t>
      </w:r>
      <w:r>
        <w:t>.</w:t>
      </w:r>
    </w:p>
    <w:p w14:paraId="32839C8E" w14:textId="77777777" w:rsidR="00E20AA1" w:rsidRDefault="009112F9" w:rsidP="007B6365">
      <w:pPr>
        <w:pStyle w:val="BodyText"/>
      </w:pPr>
      <w:r>
        <w:t xml:space="preserve">The Committee’s </w:t>
      </w:r>
      <w:r w:rsidR="00621EE6">
        <w:t>recommendatio</w:t>
      </w:r>
      <w:r>
        <w:t>ns for stakeholder consultation are</w:t>
      </w:r>
      <w:r w:rsidR="00621EE6">
        <w:t xml:space="preserve"> that</w:t>
      </w:r>
      <w:r w:rsidR="00E20AA1">
        <w:t>:</w:t>
      </w:r>
    </w:p>
    <w:p w14:paraId="7E19D31E" w14:textId="77777777" w:rsidR="00E20AA1" w:rsidRDefault="00E20AA1" w:rsidP="007B6365">
      <w:pPr>
        <w:pStyle w:val="NormalBulleted"/>
      </w:pPr>
      <w:r>
        <w:t xml:space="preserve">six </w:t>
      </w:r>
      <w:r w:rsidR="009112F9">
        <w:t>items be deleted from the MBS</w:t>
      </w:r>
    </w:p>
    <w:p w14:paraId="3FC51671" w14:textId="77777777" w:rsidR="00E20AA1" w:rsidRDefault="002F358D" w:rsidP="007B6365">
      <w:pPr>
        <w:pStyle w:val="NormalBulleted"/>
      </w:pPr>
      <w:r>
        <w:t xml:space="preserve">five new items </w:t>
      </w:r>
      <w:r w:rsidR="00621EE6">
        <w:t xml:space="preserve">be </w:t>
      </w:r>
      <w:r>
        <w:t>added</w:t>
      </w:r>
    </w:p>
    <w:p w14:paraId="06FAC04D" w14:textId="77777777" w:rsidR="00E20AA1" w:rsidRDefault="00E20AA1" w:rsidP="007B6365">
      <w:pPr>
        <w:pStyle w:val="NormalBulleted"/>
      </w:pPr>
      <w:r>
        <w:t xml:space="preserve">21 </w:t>
      </w:r>
      <w:r w:rsidR="009112F9">
        <w:t>items should be changed</w:t>
      </w:r>
    </w:p>
    <w:p w14:paraId="5CAFF5E1" w14:textId="77777777" w:rsidR="009112F9" w:rsidRDefault="00E20AA1" w:rsidP="007B6365">
      <w:pPr>
        <w:pStyle w:val="NormalBulleted"/>
      </w:pPr>
      <w:r>
        <w:t xml:space="preserve">37 </w:t>
      </w:r>
      <w:r w:rsidR="009112F9">
        <w:t xml:space="preserve">items </w:t>
      </w:r>
      <w:r w:rsidR="00621EE6">
        <w:t xml:space="preserve">should </w:t>
      </w:r>
      <w:r w:rsidR="009112F9">
        <w:t>remain unchanged.</w:t>
      </w:r>
    </w:p>
    <w:p w14:paraId="6578A382" w14:textId="77777777" w:rsidR="009112F9" w:rsidRDefault="009112F9" w:rsidP="007B6365">
      <w:pPr>
        <w:pStyle w:val="BodyText"/>
      </w:pPr>
      <w:r>
        <w:t>The changes focus on encouraging best practice, modernising the MBS to reflect contemporary practice, and ensuring that MBS services provide value for the patient and the healthcare system. Some of this can be achieved by:</w:t>
      </w:r>
    </w:p>
    <w:p w14:paraId="6025AC35" w14:textId="77777777" w:rsidR="009112F9" w:rsidRDefault="009112F9">
      <w:pPr>
        <w:pStyle w:val="NormalBulleted"/>
      </w:pPr>
      <w:r>
        <w:t>deleting items that are obsolete</w:t>
      </w:r>
    </w:p>
    <w:p w14:paraId="204C625E" w14:textId="77777777" w:rsidR="009112F9" w:rsidRDefault="009112F9">
      <w:pPr>
        <w:pStyle w:val="NormalBulleted"/>
      </w:pPr>
      <w:r>
        <w:t>consolidating or splitting items to reflect contemporary practice</w:t>
      </w:r>
    </w:p>
    <w:p w14:paraId="2D668651" w14:textId="77777777" w:rsidR="009112F9" w:rsidRDefault="009112F9">
      <w:pPr>
        <w:pStyle w:val="NormalBulleted"/>
      </w:pPr>
      <w:r>
        <w:t>modernising item descriptors to reflect best practice</w:t>
      </w:r>
    </w:p>
    <w:p w14:paraId="513BA6EB" w14:textId="77777777" w:rsidR="009112F9" w:rsidRPr="00DF7757" w:rsidRDefault="009112F9">
      <w:pPr>
        <w:pStyle w:val="NormalBulleted"/>
      </w:pPr>
      <w:r>
        <w:t>providing clinical guidance for appropriate use through explanatory notes.</w:t>
      </w:r>
    </w:p>
    <w:p w14:paraId="787F68DF" w14:textId="77777777" w:rsidR="003D56B4" w:rsidRDefault="003D56B4" w:rsidP="00E2562E">
      <w:pPr>
        <w:pStyle w:val="Heading2"/>
      </w:pPr>
      <w:bookmarkStart w:id="33" w:name="_Toc499293036"/>
      <w:r w:rsidRPr="00E617BC">
        <w:t>Coeliac disease panel</w:t>
      </w:r>
      <w:r>
        <w:t>:</w:t>
      </w:r>
      <w:r w:rsidR="004910DA">
        <w:t xml:space="preserve"> items</w:t>
      </w:r>
      <w:r>
        <w:t xml:space="preserve"> </w:t>
      </w:r>
      <w:r w:rsidRPr="00E617BC">
        <w:t>71163, 71164</w:t>
      </w:r>
      <w:bookmarkEnd w:id="33"/>
    </w:p>
    <w:p w14:paraId="4AE73B9B" w14:textId="77777777" w:rsidR="006E146C" w:rsidRPr="007B6365" w:rsidRDefault="006E146C">
      <w:pPr>
        <w:pStyle w:val="Caption"/>
      </w:pPr>
      <w:bookmarkStart w:id="34" w:name="_Toc499289240"/>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3</w:t>
      </w:r>
      <w:r w:rsidR="0004721F">
        <w:rPr>
          <w:noProof/>
        </w:rPr>
        <w:fldChar w:fldCharType="end"/>
      </w:r>
      <w:r>
        <w:t xml:space="preserve">. </w:t>
      </w:r>
      <w:r w:rsidRPr="00E8051A">
        <w:t>Item introduction table for item</w:t>
      </w:r>
      <w:r>
        <w:t>s 71163, 71164</w:t>
      </w:r>
      <w:bookmarkEnd w:id="34"/>
    </w:p>
    <w:tbl>
      <w:tblPr>
        <w:tblStyle w:val="TableGrid4"/>
        <w:tblW w:w="9132" w:type="dxa"/>
        <w:tblLook w:val="04A0" w:firstRow="1" w:lastRow="0" w:firstColumn="1" w:lastColumn="0" w:noHBand="0" w:noVBand="1"/>
        <w:tblCaption w:val="Table 3: Item introduction table for items 71163 and 71164"/>
        <w:tblDescription w:val="Table 3 contains MBS data for items 71163, and 71164 for the finanical year 2014–2015. The data includes item numbers, long item descriptors, schedule fee, total volume of services, benefits paid, patient count and services annual average growth."/>
      </w:tblPr>
      <w:tblGrid>
        <w:gridCol w:w="846"/>
        <w:gridCol w:w="2977"/>
        <w:gridCol w:w="992"/>
        <w:gridCol w:w="1196"/>
        <w:gridCol w:w="1229"/>
        <w:gridCol w:w="1001"/>
        <w:gridCol w:w="891"/>
      </w:tblGrid>
      <w:tr w:rsidR="00515D4F" w:rsidRPr="003D4772" w14:paraId="0781580A" w14:textId="77777777" w:rsidTr="006A17D1">
        <w:trPr>
          <w:trHeight w:val="1410"/>
          <w:tblHeader/>
        </w:trPr>
        <w:tc>
          <w:tcPr>
            <w:tcW w:w="846" w:type="dxa"/>
            <w:shd w:val="clear" w:color="auto" w:fill="EEECE1" w:themeFill="background2"/>
            <w:vAlign w:val="bottom"/>
            <w:hideMark/>
          </w:tcPr>
          <w:p w14:paraId="23E6883F" w14:textId="77777777" w:rsidR="00515D4F" w:rsidRPr="003D4772" w:rsidRDefault="00515D4F" w:rsidP="00515D4F">
            <w:pPr>
              <w:keepNext/>
              <w:spacing w:before="0" w:after="200" w:line="240" w:lineRule="auto"/>
              <w:rPr>
                <w:i/>
                <w:iCs/>
                <w:sz w:val="20"/>
                <w:szCs w:val="20"/>
              </w:rPr>
            </w:pPr>
            <w:r w:rsidRPr="00C70F36">
              <w:rPr>
                <w:b/>
                <w:sz w:val="20"/>
                <w:szCs w:val="20"/>
                <w:lang w:val="en-GB" w:eastAsia="en-US"/>
              </w:rPr>
              <w:t>Item</w:t>
            </w:r>
          </w:p>
        </w:tc>
        <w:tc>
          <w:tcPr>
            <w:tcW w:w="2977" w:type="dxa"/>
            <w:shd w:val="clear" w:color="auto" w:fill="EEECE1" w:themeFill="background2"/>
            <w:vAlign w:val="bottom"/>
            <w:hideMark/>
          </w:tcPr>
          <w:p w14:paraId="5E0591AE" w14:textId="77777777" w:rsidR="00515D4F" w:rsidRPr="003D4772" w:rsidRDefault="00515D4F" w:rsidP="00515D4F">
            <w:pPr>
              <w:keepNext/>
              <w:spacing w:before="0" w:after="200" w:line="240" w:lineRule="auto"/>
              <w:rPr>
                <w:i/>
                <w:iCs/>
                <w:sz w:val="20"/>
                <w:szCs w:val="20"/>
              </w:rPr>
            </w:pPr>
            <w:r w:rsidRPr="00C70F36">
              <w:rPr>
                <w:b/>
                <w:sz w:val="20"/>
                <w:szCs w:val="20"/>
                <w:lang w:val="en-GB" w:eastAsia="en-US"/>
              </w:rPr>
              <w:t xml:space="preserve">Long </w:t>
            </w:r>
            <w:r>
              <w:rPr>
                <w:b/>
                <w:sz w:val="20"/>
                <w:szCs w:val="20"/>
                <w:lang w:val="en-GB" w:eastAsia="en-US"/>
              </w:rPr>
              <w:t xml:space="preserve">item </w:t>
            </w:r>
            <w:r w:rsidRPr="00C70F36">
              <w:rPr>
                <w:b/>
                <w:sz w:val="20"/>
                <w:szCs w:val="20"/>
                <w:lang w:val="en-GB" w:eastAsia="en-US"/>
              </w:rPr>
              <w:t>descriptor</w:t>
            </w:r>
          </w:p>
        </w:tc>
        <w:tc>
          <w:tcPr>
            <w:tcW w:w="992" w:type="dxa"/>
            <w:shd w:val="clear" w:color="auto" w:fill="EEECE1" w:themeFill="background2"/>
            <w:vAlign w:val="bottom"/>
            <w:hideMark/>
          </w:tcPr>
          <w:p w14:paraId="16B2B447" w14:textId="77777777" w:rsidR="00515D4F" w:rsidRPr="003D4772" w:rsidRDefault="00515D4F" w:rsidP="00515D4F">
            <w:pPr>
              <w:keepNext/>
              <w:spacing w:before="0" w:after="200" w:line="240" w:lineRule="auto"/>
              <w:rPr>
                <w:i/>
                <w:iCs/>
                <w:sz w:val="20"/>
                <w:szCs w:val="20"/>
              </w:rPr>
            </w:pPr>
            <w:r w:rsidRPr="00C70F36">
              <w:rPr>
                <w:b/>
                <w:sz w:val="20"/>
                <w:szCs w:val="20"/>
                <w:lang w:val="en-GB" w:eastAsia="en-US"/>
              </w:rPr>
              <w:t>Schedule fee</w:t>
            </w:r>
          </w:p>
        </w:tc>
        <w:tc>
          <w:tcPr>
            <w:tcW w:w="1196" w:type="dxa"/>
            <w:shd w:val="clear" w:color="auto" w:fill="EEECE1" w:themeFill="background2"/>
            <w:vAlign w:val="bottom"/>
          </w:tcPr>
          <w:p w14:paraId="60BAC921" w14:textId="77777777" w:rsidR="00515D4F" w:rsidRPr="00C70F36" w:rsidRDefault="00515D4F" w:rsidP="00515D4F">
            <w:pPr>
              <w:keepNext/>
              <w:spacing w:before="0" w:after="200" w:line="240" w:lineRule="auto"/>
              <w:rPr>
                <w:b/>
                <w:sz w:val="20"/>
                <w:szCs w:val="20"/>
                <w:lang w:val="en-GB" w:eastAsia="en-US"/>
              </w:rPr>
            </w:pPr>
            <w:r w:rsidRPr="00C70F36">
              <w:rPr>
                <w:b/>
                <w:sz w:val="20"/>
                <w:szCs w:val="20"/>
                <w:lang w:val="en-GB" w:eastAsia="en-US"/>
              </w:rPr>
              <w:t>Services FY2014</w:t>
            </w:r>
            <w:r w:rsidR="003D7147">
              <w:rPr>
                <w:b/>
                <w:sz w:val="20"/>
                <w:szCs w:val="20"/>
                <w:lang w:val="en-GB" w:eastAsia="en-US"/>
              </w:rPr>
              <w:t>–</w:t>
            </w:r>
            <w:r w:rsidRPr="00C70F36">
              <w:rPr>
                <w:b/>
                <w:sz w:val="20"/>
                <w:szCs w:val="20"/>
                <w:lang w:val="en-GB" w:eastAsia="en-US"/>
              </w:rPr>
              <w:t>15</w:t>
            </w:r>
          </w:p>
        </w:tc>
        <w:tc>
          <w:tcPr>
            <w:tcW w:w="1229" w:type="dxa"/>
            <w:shd w:val="clear" w:color="auto" w:fill="EEECE1" w:themeFill="background2"/>
            <w:vAlign w:val="bottom"/>
          </w:tcPr>
          <w:p w14:paraId="78C2DFCF" w14:textId="77777777" w:rsidR="00515D4F" w:rsidRPr="00C70F36" w:rsidRDefault="00515D4F" w:rsidP="00515D4F">
            <w:pPr>
              <w:keepNext/>
              <w:spacing w:before="0" w:after="200" w:line="240" w:lineRule="auto"/>
              <w:rPr>
                <w:b/>
                <w:sz w:val="20"/>
                <w:szCs w:val="20"/>
                <w:lang w:val="en-GB" w:eastAsia="en-US"/>
              </w:rPr>
            </w:pPr>
            <w:r w:rsidRPr="00C70F36">
              <w:rPr>
                <w:b/>
                <w:sz w:val="20"/>
                <w:szCs w:val="20"/>
                <w:lang w:val="en-GB" w:eastAsia="en-US"/>
              </w:rPr>
              <w:t>Benefits FY2014</w:t>
            </w:r>
            <w:r w:rsidR="003D7147">
              <w:rPr>
                <w:b/>
                <w:sz w:val="20"/>
                <w:szCs w:val="20"/>
                <w:lang w:val="en-GB" w:eastAsia="en-US"/>
              </w:rPr>
              <w:t>–</w:t>
            </w:r>
            <w:r w:rsidRPr="00C70F36">
              <w:rPr>
                <w:b/>
                <w:sz w:val="20"/>
                <w:szCs w:val="20"/>
                <w:lang w:val="en-GB" w:eastAsia="en-US"/>
              </w:rPr>
              <w:t>15</w:t>
            </w:r>
            <w:r>
              <w:rPr>
                <w:b/>
                <w:sz w:val="20"/>
                <w:szCs w:val="20"/>
                <w:lang w:val="en-GB" w:eastAsia="en-US"/>
              </w:rPr>
              <w:t xml:space="preserve"> </w:t>
            </w:r>
          </w:p>
        </w:tc>
        <w:tc>
          <w:tcPr>
            <w:tcW w:w="1001" w:type="dxa"/>
            <w:shd w:val="clear" w:color="auto" w:fill="EEECE1" w:themeFill="background2"/>
            <w:vAlign w:val="bottom"/>
            <w:hideMark/>
          </w:tcPr>
          <w:p w14:paraId="67110CD2" w14:textId="77777777" w:rsidR="00515D4F" w:rsidRPr="003D4772" w:rsidRDefault="00515D4F" w:rsidP="00515D4F">
            <w:pPr>
              <w:keepNext/>
              <w:spacing w:before="0" w:after="200" w:line="240" w:lineRule="auto"/>
              <w:rPr>
                <w:i/>
                <w:iCs/>
                <w:sz w:val="20"/>
                <w:szCs w:val="20"/>
              </w:rPr>
            </w:pPr>
            <w:r w:rsidRPr="00C70F36">
              <w:rPr>
                <w:b/>
                <w:sz w:val="20"/>
                <w:szCs w:val="20"/>
                <w:lang w:val="en-GB" w:eastAsia="en-US"/>
              </w:rPr>
              <w:t>Patient count</w:t>
            </w:r>
          </w:p>
        </w:tc>
        <w:tc>
          <w:tcPr>
            <w:tcW w:w="891" w:type="dxa"/>
            <w:shd w:val="clear" w:color="auto" w:fill="EEECE1" w:themeFill="background2"/>
            <w:vAlign w:val="bottom"/>
          </w:tcPr>
          <w:p w14:paraId="1425C19D" w14:textId="77777777" w:rsidR="00515D4F" w:rsidRPr="003D4772" w:rsidRDefault="00515D4F" w:rsidP="00515D4F">
            <w:pPr>
              <w:keepNext/>
              <w:spacing w:before="0" w:after="200" w:line="240" w:lineRule="auto"/>
              <w:rPr>
                <w:i/>
                <w:iCs/>
                <w:sz w:val="20"/>
                <w:szCs w:val="20"/>
              </w:rPr>
            </w:pPr>
            <w:r w:rsidRPr="00C70F36">
              <w:rPr>
                <w:b/>
                <w:sz w:val="20"/>
                <w:szCs w:val="20"/>
                <w:lang w:val="en-GB" w:eastAsia="en-US"/>
              </w:rPr>
              <w:t>Services 5-year annual av</w:t>
            </w:r>
            <w:r w:rsidR="003D7147">
              <w:rPr>
                <w:b/>
                <w:sz w:val="20"/>
                <w:szCs w:val="20"/>
                <w:lang w:val="en-GB" w:eastAsia="en-US"/>
              </w:rPr>
              <w:t>era</w:t>
            </w:r>
            <w:r w:rsidRPr="00C70F36">
              <w:rPr>
                <w:b/>
                <w:sz w:val="20"/>
                <w:szCs w:val="20"/>
                <w:lang w:val="en-GB" w:eastAsia="en-US"/>
              </w:rPr>
              <w:t>g</w:t>
            </w:r>
            <w:r w:rsidR="003D7147">
              <w:rPr>
                <w:b/>
                <w:sz w:val="20"/>
                <w:szCs w:val="20"/>
                <w:lang w:val="en-GB" w:eastAsia="en-US"/>
              </w:rPr>
              <w:t>e</w:t>
            </w:r>
            <w:r w:rsidR="003D7147" w:rsidRPr="00DD5A29">
              <w:rPr>
                <w:b/>
                <w:sz w:val="20"/>
                <w:szCs w:val="20"/>
                <w:lang w:val="en-GB" w:eastAsia="en-US"/>
              </w:rPr>
              <w:t xml:space="preserve"> </w:t>
            </w:r>
            <w:r w:rsidRPr="00C70F36">
              <w:rPr>
                <w:b/>
                <w:sz w:val="20"/>
                <w:szCs w:val="20"/>
                <w:lang w:val="en-GB" w:eastAsia="en-US"/>
              </w:rPr>
              <w:t>growth</w:t>
            </w:r>
          </w:p>
        </w:tc>
      </w:tr>
      <w:tr w:rsidR="00515D4F" w:rsidRPr="003D4772" w14:paraId="2A95084A" w14:textId="77777777" w:rsidTr="006A17D1">
        <w:trPr>
          <w:trHeight w:val="288"/>
        </w:trPr>
        <w:tc>
          <w:tcPr>
            <w:tcW w:w="846" w:type="dxa"/>
            <w:noWrap/>
          </w:tcPr>
          <w:p w14:paraId="081B2D5C" w14:textId="77777777" w:rsidR="00515D4F" w:rsidRPr="003D4772" w:rsidRDefault="00515D4F" w:rsidP="007B6365">
            <w:pPr>
              <w:pStyle w:val="02Tabletext"/>
            </w:pPr>
            <w:r w:rsidRPr="003D4772">
              <w:t>71163</w:t>
            </w:r>
          </w:p>
        </w:tc>
        <w:tc>
          <w:tcPr>
            <w:tcW w:w="2977" w:type="dxa"/>
            <w:noWrap/>
          </w:tcPr>
          <w:p w14:paraId="15A7DEF8" w14:textId="77777777" w:rsidR="00515D4F" w:rsidRPr="003D4772" w:rsidRDefault="00515D4F" w:rsidP="007B6365">
            <w:pPr>
              <w:pStyle w:val="02Tabletext"/>
            </w:pPr>
            <w:r w:rsidRPr="003D4772">
              <w:t>Detection of one of the following antibodies (of 1 or more class or isotype) in the assessment or diagnosis of coeliac disease or other gluten hypersensitivity syndromes and including a service described in item 71066 (if performed): a) Antibodies to gliadin; or b) Antibodies to endomysium; or c) Antibodies to tissue transglutaminase; - 1 test</w:t>
            </w:r>
            <w:r w:rsidRPr="003D4772" w:rsidDel="004D4D82">
              <w:t xml:space="preserve"> </w:t>
            </w:r>
          </w:p>
        </w:tc>
        <w:tc>
          <w:tcPr>
            <w:tcW w:w="992" w:type="dxa"/>
            <w:noWrap/>
          </w:tcPr>
          <w:p w14:paraId="64217A94" w14:textId="77777777" w:rsidR="00515D4F" w:rsidRPr="003D4772" w:rsidRDefault="00515D4F" w:rsidP="007B6365">
            <w:pPr>
              <w:pStyle w:val="02Tabletext"/>
              <w:jc w:val="right"/>
            </w:pPr>
            <w:r w:rsidRPr="003D4772">
              <w:t>24.75</w:t>
            </w:r>
          </w:p>
        </w:tc>
        <w:tc>
          <w:tcPr>
            <w:tcW w:w="1196" w:type="dxa"/>
          </w:tcPr>
          <w:p w14:paraId="7368593A" w14:textId="77777777" w:rsidR="00515D4F" w:rsidRPr="003D4772" w:rsidRDefault="00515D4F" w:rsidP="007B6365">
            <w:pPr>
              <w:pStyle w:val="02Tabletext"/>
              <w:jc w:val="right"/>
            </w:pPr>
            <w:r w:rsidRPr="003D4772">
              <w:t>45,768</w:t>
            </w:r>
          </w:p>
        </w:tc>
        <w:tc>
          <w:tcPr>
            <w:tcW w:w="1229" w:type="dxa"/>
          </w:tcPr>
          <w:p w14:paraId="053401A2" w14:textId="77777777" w:rsidR="00515D4F" w:rsidRPr="003D4772" w:rsidRDefault="00515D4F" w:rsidP="007B6365">
            <w:pPr>
              <w:pStyle w:val="02Tabletext"/>
              <w:jc w:val="right"/>
            </w:pPr>
            <w:r w:rsidRPr="003D4772">
              <w:t>$970,209</w:t>
            </w:r>
          </w:p>
        </w:tc>
        <w:tc>
          <w:tcPr>
            <w:tcW w:w="1001" w:type="dxa"/>
            <w:noWrap/>
          </w:tcPr>
          <w:p w14:paraId="372F4532" w14:textId="77777777" w:rsidR="00515D4F" w:rsidRPr="003D4772" w:rsidRDefault="00515D4F" w:rsidP="007B6365">
            <w:pPr>
              <w:pStyle w:val="02Tabletext"/>
              <w:jc w:val="right"/>
            </w:pPr>
            <w:r w:rsidRPr="003D4772">
              <w:t>44,542</w:t>
            </w:r>
          </w:p>
        </w:tc>
        <w:tc>
          <w:tcPr>
            <w:tcW w:w="891" w:type="dxa"/>
          </w:tcPr>
          <w:p w14:paraId="2B7E627C" w14:textId="77777777" w:rsidR="00515D4F" w:rsidRPr="003D4772" w:rsidRDefault="003D7147" w:rsidP="007B6365">
            <w:pPr>
              <w:pStyle w:val="02Tabletext"/>
              <w:jc w:val="right"/>
            </w:pPr>
            <w:r>
              <w:t>–</w:t>
            </w:r>
            <w:r w:rsidR="00515D4F" w:rsidRPr="003D4772">
              <w:t>13.0%</w:t>
            </w:r>
          </w:p>
        </w:tc>
      </w:tr>
      <w:tr w:rsidR="00515D4F" w:rsidRPr="003D4772" w14:paraId="37DB6EE6" w14:textId="77777777" w:rsidTr="006A17D1">
        <w:trPr>
          <w:trHeight w:val="288"/>
        </w:trPr>
        <w:tc>
          <w:tcPr>
            <w:tcW w:w="846" w:type="dxa"/>
            <w:noWrap/>
          </w:tcPr>
          <w:p w14:paraId="326BBF2C" w14:textId="77777777" w:rsidR="00515D4F" w:rsidRPr="003D4772" w:rsidRDefault="00515D4F" w:rsidP="007B6365">
            <w:pPr>
              <w:pStyle w:val="02Tabletext"/>
            </w:pPr>
            <w:r w:rsidRPr="003D4772">
              <w:t>71164</w:t>
            </w:r>
          </w:p>
        </w:tc>
        <w:tc>
          <w:tcPr>
            <w:tcW w:w="2977" w:type="dxa"/>
            <w:noWrap/>
          </w:tcPr>
          <w:p w14:paraId="6A91CEFA" w14:textId="77777777" w:rsidR="00515D4F" w:rsidRPr="003D4772" w:rsidRDefault="00515D4F" w:rsidP="007B6365">
            <w:pPr>
              <w:pStyle w:val="02Tabletext"/>
            </w:pPr>
            <w:r w:rsidRPr="003D4772">
              <w:t>Two or more tests described in 71163 and including a service described in 71066 (if performed)</w:t>
            </w:r>
          </w:p>
        </w:tc>
        <w:tc>
          <w:tcPr>
            <w:tcW w:w="992" w:type="dxa"/>
            <w:noWrap/>
          </w:tcPr>
          <w:p w14:paraId="76BE3E69" w14:textId="77777777" w:rsidR="00515D4F" w:rsidRPr="003D4772" w:rsidRDefault="00515D4F" w:rsidP="007B6365">
            <w:pPr>
              <w:pStyle w:val="02Tabletext"/>
              <w:jc w:val="right"/>
            </w:pPr>
            <w:r w:rsidRPr="003D4772">
              <w:t>39.90</w:t>
            </w:r>
          </w:p>
        </w:tc>
        <w:tc>
          <w:tcPr>
            <w:tcW w:w="1196" w:type="dxa"/>
          </w:tcPr>
          <w:p w14:paraId="7B6D2A11" w14:textId="77777777" w:rsidR="00515D4F" w:rsidRPr="003D4772" w:rsidRDefault="00515D4F" w:rsidP="007B6365">
            <w:pPr>
              <w:pStyle w:val="02Tabletext"/>
              <w:jc w:val="right"/>
            </w:pPr>
            <w:r w:rsidRPr="003D4772">
              <w:t>398,442</w:t>
            </w:r>
          </w:p>
        </w:tc>
        <w:tc>
          <w:tcPr>
            <w:tcW w:w="1229" w:type="dxa"/>
          </w:tcPr>
          <w:p w14:paraId="25F3CBFB" w14:textId="77777777" w:rsidR="00515D4F" w:rsidRPr="003D4772" w:rsidRDefault="00515D4F" w:rsidP="007B6365">
            <w:pPr>
              <w:pStyle w:val="02Tabletext"/>
              <w:jc w:val="right"/>
            </w:pPr>
            <w:r w:rsidRPr="003D4772">
              <w:t>$13,627,707</w:t>
            </w:r>
          </w:p>
        </w:tc>
        <w:tc>
          <w:tcPr>
            <w:tcW w:w="1001" w:type="dxa"/>
            <w:noWrap/>
          </w:tcPr>
          <w:p w14:paraId="14E53520" w14:textId="77777777" w:rsidR="00515D4F" w:rsidRPr="003D4772" w:rsidRDefault="00515D4F" w:rsidP="007B6365">
            <w:pPr>
              <w:pStyle w:val="02Tabletext"/>
              <w:jc w:val="right"/>
            </w:pPr>
            <w:r w:rsidRPr="003D4772">
              <w:t>382,971</w:t>
            </w:r>
          </w:p>
        </w:tc>
        <w:tc>
          <w:tcPr>
            <w:tcW w:w="891" w:type="dxa"/>
          </w:tcPr>
          <w:p w14:paraId="3833D767" w14:textId="77777777" w:rsidR="00515D4F" w:rsidRPr="003D4772" w:rsidRDefault="00515D4F" w:rsidP="007B6365">
            <w:pPr>
              <w:pStyle w:val="02Tabletext"/>
              <w:jc w:val="right"/>
            </w:pPr>
            <w:r w:rsidRPr="003D4772">
              <w:t>13.4%</w:t>
            </w:r>
          </w:p>
        </w:tc>
      </w:tr>
    </w:tbl>
    <w:p w14:paraId="783A3748" w14:textId="77777777" w:rsidR="003D56B4" w:rsidRDefault="003D56B4" w:rsidP="006A17D1">
      <w:pPr>
        <w:pStyle w:val="Heading3Numbered"/>
      </w:pPr>
      <w:r>
        <w:t>Recommendation</w:t>
      </w:r>
      <w:r w:rsidR="0068228A">
        <w:t xml:space="preserve"> 1</w:t>
      </w:r>
    </w:p>
    <w:p w14:paraId="6C67BB2A" w14:textId="77777777" w:rsidR="003D56B4" w:rsidRPr="00C21FDF" w:rsidRDefault="00694596">
      <w:pPr>
        <w:pStyle w:val="NormalBulleted"/>
        <w:rPr>
          <w:lang w:val="en-US" w:eastAsia="en-US"/>
        </w:rPr>
      </w:pPr>
      <w:r>
        <w:rPr>
          <w:lang w:val="en-US" w:eastAsia="en-US"/>
        </w:rPr>
        <w:t>Add explanatory notes to</w:t>
      </w:r>
      <w:r w:rsidR="00FD52F5">
        <w:rPr>
          <w:lang w:val="en-US" w:eastAsia="en-US"/>
        </w:rPr>
        <w:t xml:space="preserve"> the item descriptor for</w:t>
      </w:r>
      <w:r w:rsidR="003D56B4">
        <w:rPr>
          <w:lang w:val="en-US" w:eastAsia="en-US"/>
        </w:rPr>
        <w:t xml:space="preserve"> 71163. The following wording is to be added: </w:t>
      </w:r>
      <w:r w:rsidR="003D56B4" w:rsidRPr="00C21FDF">
        <w:rPr>
          <w:lang w:val="en-US" w:eastAsia="en-US"/>
        </w:rPr>
        <w:t>‘Serology is not useful in pat</w:t>
      </w:r>
      <w:r w:rsidR="0066661B">
        <w:rPr>
          <w:lang w:val="en-US" w:eastAsia="en-US"/>
        </w:rPr>
        <w:t>ients shown not to carry the at-</w:t>
      </w:r>
      <w:r w:rsidR="003D56B4" w:rsidRPr="00C21FDF">
        <w:rPr>
          <w:lang w:val="en-US" w:eastAsia="en-US"/>
        </w:rPr>
        <w:t>risk alleles</w:t>
      </w:r>
      <w:r w:rsidR="002F358D">
        <w:rPr>
          <w:lang w:val="en-US" w:eastAsia="en-US"/>
        </w:rPr>
        <w:t>'</w:t>
      </w:r>
      <w:r w:rsidR="003D56B4" w:rsidRPr="00C21FDF">
        <w:rPr>
          <w:lang w:val="en-US" w:eastAsia="en-US"/>
        </w:rPr>
        <w:t xml:space="preserve">. </w:t>
      </w:r>
      <w:r w:rsidR="00304B53">
        <w:rPr>
          <w:lang w:val="en-US" w:eastAsia="en-US"/>
        </w:rPr>
        <w:t>Repeat testing in patients for who antibodies have not been detected is not recommended unless a change in clinical situation has occurred</w:t>
      </w:r>
      <w:r w:rsidR="003D56B4" w:rsidRPr="00C21FDF">
        <w:rPr>
          <w:lang w:val="en-US" w:eastAsia="en-US"/>
        </w:rPr>
        <w:t>.’</w:t>
      </w:r>
      <w:r>
        <w:rPr>
          <w:lang w:val="en-US" w:eastAsia="en-US"/>
        </w:rPr>
        <w:t xml:space="preserve"> </w:t>
      </w:r>
    </w:p>
    <w:p w14:paraId="62843DC1" w14:textId="77777777" w:rsidR="003D56B4" w:rsidRPr="00C21FDF" w:rsidRDefault="003D56B4">
      <w:pPr>
        <w:pStyle w:val="NormalBulleted"/>
        <w:rPr>
          <w:lang w:val="en-US" w:eastAsia="en-US"/>
        </w:rPr>
      </w:pPr>
      <w:r w:rsidRPr="00C21FDF">
        <w:rPr>
          <w:lang w:val="en-US" w:eastAsia="en-US"/>
        </w:rPr>
        <w:t>The Department monitor the</w:t>
      </w:r>
      <w:r>
        <w:rPr>
          <w:lang w:val="en-US" w:eastAsia="en-US"/>
        </w:rPr>
        <w:t xml:space="preserve"> repeat testing for these tests</w:t>
      </w:r>
      <w:r w:rsidR="00DF7757">
        <w:rPr>
          <w:lang w:val="en-US" w:eastAsia="en-US"/>
        </w:rPr>
        <w:t>.</w:t>
      </w:r>
    </w:p>
    <w:p w14:paraId="06420CED" w14:textId="77777777" w:rsidR="003D56B4" w:rsidRDefault="003D56B4">
      <w:pPr>
        <w:pStyle w:val="NormalBulleted"/>
        <w:rPr>
          <w:lang w:val="en-US" w:eastAsia="en-US"/>
        </w:rPr>
      </w:pPr>
      <w:r w:rsidRPr="00C21FDF">
        <w:rPr>
          <w:lang w:val="en-US" w:eastAsia="en-US"/>
        </w:rPr>
        <w:lastRenderedPageBreak/>
        <w:t xml:space="preserve">The Department to </w:t>
      </w:r>
      <w:r w:rsidR="00FD52F5">
        <w:rPr>
          <w:lang w:val="en-US" w:eastAsia="en-US"/>
        </w:rPr>
        <w:t xml:space="preserve">commission </w:t>
      </w:r>
      <w:r w:rsidRPr="00C21FDF">
        <w:rPr>
          <w:lang w:val="en-US" w:eastAsia="en-US"/>
        </w:rPr>
        <w:t>a health technology assessment</w:t>
      </w:r>
      <w:r>
        <w:rPr>
          <w:lang w:val="en-US" w:eastAsia="en-US"/>
        </w:rPr>
        <w:t xml:space="preserve"> and</w:t>
      </w:r>
      <w:r w:rsidR="00FD52F5">
        <w:rPr>
          <w:lang w:val="en-US" w:eastAsia="en-US"/>
        </w:rPr>
        <w:t>/or</w:t>
      </w:r>
      <w:r>
        <w:rPr>
          <w:lang w:val="en-US" w:eastAsia="en-US"/>
        </w:rPr>
        <w:t xml:space="preserve"> costing</w:t>
      </w:r>
      <w:r w:rsidRPr="00C21FDF">
        <w:rPr>
          <w:lang w:val="en-US" w:eastAsia="en-US"/>
        </w:rPr>
        <w:t xml:space="preserve"> analysis on diagnosing and treating coeliac disease that includes diagnosis of coeliac disease</w:t>
      </w:r>
      <w:r w:rsidR="0066661B">
        <w:rPr>
          <w:lang w:val="en-US" w:eastAsia="en-US"/>
        </w:rPr>
        <w:t xml:space="preserve"> and</w:t>
      </w:r>
      <w:r w:rsidRPr="00C21FDF">
        <w:rPr>
          <w:lang w:val="en-US" w:eastAsia="en-US"/>
        </w:rPr>
        <w:t xml:space="preserve"> endoscopy combined with other pathology tests and genetic testing of coeliac disease.</w:t>
      </w:r>
    </w:p>
    <w:p w14:paraId="2EF6A495" w14:textId="77777777" w:rsidR="006E146C" w:rsidRPr="006E146C" w:rsidRDefault="006E146C">
      <w:pPr>
        <w:pStyle w:val="Caption"/>
      </w:pPr>
      <w:bookmarkStart w:id="35" w:name="_Toc499289241"/>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4</w:t>
      </w:r>
      <w:r w:rsidR="0004721F">
        <w:rPr>
          <w:noProof/>
        </w:rPr>
        <w:fldChar w:fldCharType="end"/>
      </w:r>
      <w:r>
        <w:t>. Current and proposed item descriptor</w:t>
      </w:r>
      <w:r w:rsidR="000B7015">
        <w:t>s for item</w:t>
      </w:r>
      <w:r w:rsidR="005B0FCA">
        <w:t>s</w:t>
      </w:r>
      <w:r w:rsidR="000B7015">
        <w:t xml:space="preserve"> 71163</w:t>
      </w:r>
      <w:r w:rsidR="005B0FCA">
        <w:t xml:space="preserve"> and 71164</w:t>
      </w:r>
      <w:bookmarkEnd w:id="35"/>
    </w:p>
    <w:tbl>
      <w:tblPr>
        <w:tblStyle w:val="TableGrid"/>
        <w:tblW w:w="0" w:type="auto"/>
        <w:tblInd w:w="-5" w:type="dxa"/>
        <w:tblLook w:val="04A0" w:firstRow="1" w:lastRow="0" w:firstColumn="1" w:lastColumn="0" w:noHBand="0" w:noVBand="1"/>
        <w:tblCaption w:val="Table 4: Current and proposed item descriptors for items 71163 and 71164"/>
        <w:tblDescription w:val="Table 4 lists the current and proposed item descriptors for items 71163 and 71164 "/>
      </w:tblPr>
      <w:tblGrid>
        <w:gridCol w:w="1701"/>
        <w:gridCol w:w="3374"/>
        <w:gridCol w:w="3946"/>
      </w:tblGrid>
      <w:tr w:rsidR="00781F2B" w:rsidRPr="00820F69" w14:paraId="1181E77A" w14:textId="77777777" w:rsidTr="006A17D1">
        <w:trPr>
          <w:tblHeader/>
        </w:trPr>
        <w:tc>
          <w:tcPr>
            <w:tcW w:w="1701" w:type="dxa"/>
            <w:shd w:val="clear" w:color="auto" w:fill="EEECE1" w:themeFill="background2"/>
            <w:vAlign w:val="bottom"/>
          </w:tcPr>
          <w:p w14:paraId="4714C2B8" w14:textId="77777777" w:rsidR="009746F9" w:rsidRPr="00084AF3" w:rsidRDefault="009746F9" w:rsidP="007B6365">
            <w:pPr>
              <w:pStyle w:val="01Tableheaderrow"/>
            </w:pPr>
            <w:r w:rsidRPr="00084AF3">
              <w:t>Item</w:t>
            </w:r>
          </w:p>
        </w:tc>
        <w:tc>
          <w:tcPr>
            <w:tcW w:w="3374" w:type="dxa"/>
            <w:shd w:val="clear" w:color="auto" w:fill="EEECE1" w:themeFill="background2"/>
            <w:vAlign w:val="bottom"/>
          </w:tcPr>
          <w:p w14:paraId="027ED77A" w14:textId="77777777" w:rsidR="009746F9" w:rsidRPr="0066661B" w:rsidRDefault="009746F9" w:rsidP="007B6365">
            <w:pPr>
              <w:pStyle w:val="01Tableheaderrow"/>
            </w:pPr>
            <w:r w:rsidRPr="0066661B">
              <w:t>Current item descriptor</w:t>
            </w:r>
          </w:p>
        </w:tc>
        <w:tc>
          <w:tcPr>
            <w:tcW w:w="3946" w:type="dxa"/>
            <w:shd w:val="clear" w:color="auto" w:fill="EEECE1" w:themeFill="background2"/>
            <w:vAlign w:val="bottom"/>
          </w:tcPr>
          <w:p w14:paraId="571D1380" w14:textId="77777777" w:rsidR="009746F9" w:rsidRPr="0053532B" w:rsidRDefault="009746F9" w:rsidP="007B6365">
            <w:pPr>
              <w:pStyle w:val="01Tableheaderrow"/>
            </w:pPr>
            <w:r w:rsidRPr="0053532B">
              <w:t>Proposed item descriptor</w:t>
            </w:r>
          </w:p>
        </w:tc>
      </w:tr>
      <w:tr w:rsidR="00781F2B" w:rsidRPr="00820F69" w14:paraId="3BAF94ED" w14:textId="77777777" w:rsidTr="007B6365">
        <w:tc>
          <w:tcPr>
            <w:tcW w:w="1701" w:type="dxa"/>
          </w:tcPr>
          <w:p w14:paraId="3F99F2DC" w14:textId="77777777" w:rsidR="009746F9" w:rsidRPr="00084AF3" w:rsidRDefault="009746F9" w:rsidP="007B6365">
            <w:pPr>
              <w:pStyle w:val="02Tabletext"/>
            </w:pPr>
            <w:r w:rsidRPr="00084AF3">
              <w:t>71163</w:t>
            </w:r>
          </w:p>
        </w:tc>
        <w:tc>
          <w:tcPr>
            <w:tcW w:w="3374" w:type="dxa"/>
          </w:tcPr>
          <w:p w14:paraId="1006BCF7" w14:textId="77777777" w:rsidR="009746F9" w:rsidRPr="0066661B" w:rsidRDefault="009746F9" w:rsidP="007B6365">
            <w:pPr>
              <w:pStyle w:val="02Tabletext"/>
            </w:pPr>
            <w:r w:rsidRPr="0066661B">
              <w:t>Detection of one of the following antibodies (of 1 or more class or isotype) in the assessment or diagnosis of coeliac disease or other gluten hypersensitivity syndromes and including a service described in item 71066 (if performed): a) Antibodies to gliadin; or b) Antibodies to endomysium; or c) Antibodies to tissue transglutaminase; - 1 test</w:t>
            </w:r>
          </w:p>
        </w:tc>
        <w:tc>
          <w:tcPr>
            <w:tcW w:w="3946" w:type="dxa"/>
          </w:tcPr>
          <w:p w14:paraId="6D8BF771" w14:textId="77777777" w:rsidR="009746F9" w:rsidRPr="0053532B" w:rsidRDefault="009746F9" w:rsidP="007B6365">
            <w:pPr>
              <w:pStyle w:val="02Tabletext"/>
            </w:pPr>
            <w:r w:rsidRPr="0053532B">
              <w:t xml:space="preserve">Detection of one of the following antibodies (of 1 or more class or isotype) in the assessment or diagnosis of coeliac disease or other gluten hypersensitivity syndromes and including a service described in item 71066 (if performed): a) Antibodies to </w:t>
            </w:r>
            <w:r w:rsidR="00A204CC">
              <w:t xml:space="preserve">deamidated </w:t>
            </w:r>
            <w:r w:rsidRPr="0053532B">
              <w:t>gliadin; or b) Antibodies to endomysium; or c) Antibodies to tissue transglutaminase.</w:t>
            </w:r>
          </w:p>
          <w:p w14:paraId="2DA08E3B" w14:textId="77777777" w:rsidR="009746F9" w:rsidRPr="0053532B" w:rsidRDefault="009746F9" w:rsidP="007B6365">
            <w:pPr>
              <w:pStyle w:val="02Tabletext"/>
            </w:pPr>
          </w:p>
          <w:p w14:paraId="037D41BB" w14:textId="77777777" w:rsidR="00694596" w:rsidRPr="0053532B" w:rsidRDefault="00694596" w:rsidP="007B6365">
            <w:pPr>
              <w:pStyle w:val="02Tabletext"/>
            </w:pPr>
            <w:r w:rsidRPr="0053532B">
              <w:t>Explanatory notes:</w:t>
            </w:r>
          </w:p>
          <w:p w14:paraId="774F63AB" w14:textId="77777777" w:rsidR="00694596" w:rsidRPr="007B6365" w:rsidRDefault="00694596" w:rsidP="007B6365">
            <w:pPr>
              <w:pStyle w:val="02Tabletext"/>
            </w:pPr>
            <w:r w:rsidRPr="007B6365">
              <w:t>Serology is not useful in pat</w:t>
            </w:r>
            <w:r w:rsidR="0066661B">
              <w:t>ients shown not to carry the at-</w:t>
            </w:r>
            <w:r w:rsidRPr="007B6365">
              <w:t>risk alleles. Repeat testing in patients for who antibodies have not been detected is not recommended unless a change in clinical situation has occurred</w:t>
            </w:r>
            <w:r w:rsidR="00F04257" w:rsidRPr="007B6365">
              <w:t>.</w:t>
            </w:r>
          </w:p>
        </w:tc>
      </w:tr>
      <w:tr w:rsidR="00781F2B" w:rsidRPr="00820F69" w14:paraId="0BA2A2DC" w14:textId="77777777" w:rsidTr="007B6365">
        <w:tc>
          <w:tcPr>
            <w:tcW w:w="1701" w:type="dxa"/>
          </w:tcPr>
          <w:p w14:paraId="59F12109" w14:textId="77777777" w:rsidR="009746F9" w:rsidRPr="00084AF3" w:rsidRDefault="009746F9" w:rsidP="007B6365">
            <w:pPr>
              <w:pStyle w:val="02Tabletext"/>
            </w:pPr>
            <w:r w:rsidRPr="00084AF3">
              <w:t>71164</w:t>
            </w:r>
          </w:p>
        </w:tc>
        <w:tc>
          <w:tcPr>
            <w:tcW w:w="3374" w:type="dxa"/>
          </w:tcPr>
          <w:p w14:paraId="128D476A" w14:textId="77777777" w:rsidR="009746F9" w:rsidRPr="0066661B" w:rsidRDefault="009746F9" w:rsidP="007B6365">
            <w:pPr>
              <w:pStyle w:val="02Tabletext"/>
            </w:pPr>
            <w:r w:rsidRPr="00084AF3">
              <w:t xml:space="preserve">Two or more tests described in 71163 and including a service </w:t>
            </w:r>
            <w:r w:rsidRPr="0066661B">
              <w:t>described in 71066 (if performed)</w:t>
            </w:r>
          </w:p>
        </w:tc>
        <w:tc>
          <w:tcPr>
            <w:tcW w:w="3946" w:type="dxa"/>
          </w:tcPr>
          <w:p w14:paraId="50F96B9F" w14:textId="77777777" w:rsidR="009746F9" w:rsidRPr="00084AF3" w:rsidRDefault="009746F9" w:rsidP="007B6365">
            <w:pPr>
              <w:pStyle w:val="02Tabletext"/>
            </w:pPr>
            <w:r w:rsidRPr="0053532B">
              <w:t xml:space="preserve">Two or more tests described in 71163 and including a service described in 71066 (if performed) </w:t>
            </w:r>
            <w:r w:rsidRPr="007B6365">
              <w:t>(item is subject to rule 25)</w:t>
            </w:r>
          </w:p>
        </w:tc>
      </w:tr>
    </w:tbl>
    <w:p w14:paraId="794E7B34" w14:textId="77777777" w:rsidR="00781F2B" w:rsidRDefault="003D56B4" w:rsidP="006A17D1">
      <w:pPr>
        <w:pStyle w:val="Heading3Numbered"/>
      </w:pPr>
      <w:r>
        <w:t>Rationale</w:t>
      </w:r>
      <w:r w:rsidR="0068228A">
        <w:t xml:space="preserve"> 1</w:t>
      </w:r>
    </w:p>
    <w:p w14:paraId="52D97D50" w14:textId="77777777" w:rsidR="0066661B" w:rsidRDefault="001129E2">
      <w:pPr>
        <w:pStyle w:val="NormalBulleted"/>
      </w:pPr>
      <w:r>
        <w:t>During the financial year 2010–2011, the total benefits paid for 71163 and 71164 was $1.7</w:t>
      </w:r>
      <w:r w:rsidR="0066661B">
        <w:t> </w:t>
      </w:r>
      <w:r>
        <w:t>million and $8.4 million, respectively; in 2014–2015, the total benefits were $970</w:t>
      </w:r>
      <w:r w:rsidRPr="007B6365">
        <w:t>,209 and $13.6 million.</w:t>
      </w:r>
      <w:r>
        <w:t xml:space="preserve"> </w:t>
      </w:r>
      <w:r w:rsidR="003D56B4">
        <w:t>The Committee recognises that there has been significant growth in the utilisation of item 71164 for two or more antibodies</w:t>
      </w:r>
      <w:r w:rsidR="00B371C6">
        <w:t xml:space="preserve"> over the last 5 years, while utilisation of item 71163 has declined</w:t>
      </w:r>
      <w:r w:rsidR="003D56B4">
        <w:t>.</w:t>
      </w:r>
    </w:p>
    <w:p w14:paraId="7CA956FA" w14:textId="77777777" w:rsidR="00B371C6" w:rsidRDefault="003D56B4">
      <w:pPr>
        <w:pStyle w:val="NormalBulleted"/>
      </w:pPr>
      <w:r>
        <w:t>This increase in utilisation could be due to the increased number of awareness campaigns by certain organisations that may be overstating the prevalence of coeliac disease within the Australian population. The maximum estimated rate of 0.5% of coeliac disease within the Australian population yields 105</w:t>
      </w:r>
      <w:r w:rsidR="0066661B">
        <w:t>,</w:t>
      </w:r>
      <w:r>
        <w:t>000 people and there are approximately 400</w:t>
      </w:r>
      <w:r w:rsidR="0066661B">
        <w:t>,</w:t>
      </w:r>
      <w:r>
        <w:t>000 people being tested per year.</w:t>
      </w:r>
      <w:r w:rsidR="00DA4D33">
        <w:t xml:space="preserve"> </w:t>
      </w:r>
      <w:r w:rsidR="00415049">
        <w:t>An Australian study estimates the prevalence of coeliac disease to be 1.2% in men and 1.9%</w:t>
      </w:r>
      <w:r w:rsidR="004E56E2">
        <w:t xml:space="preserve"> in women</w:t>
      </w:r>
      <w:r w:rsidR="00415049">
        <w:t>.</w:t>
      </w:r>
      <w:r w:rsidR="00C710B8">
        <w:fldChar w:fldCharType="begin">
          <w:fldData xml:space="preserve">PEVuZE5vdGU+PENpdGU+PEF1dGhvcj5BbmRlcnNvbjwvQXV0aG9yPjxZZWFyPjIwMTM8L1llYXI+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</w:fldData>
        </w:fldChar>
      </w:r>
      <w:r w:rsidR="00F304E9">
        <w:instrText xml:space="preserve"> ADDIN EN.CITE </w:instrText>
      </w:r>
      <w:r w:rsidR="00F304E9">
        <w:fldChar w:fldCharType="begin">
          <w:fldData xml:space="preserve">PEVuZE5vdGU+PENpdGU+PEF1dGhvcj5BbmRlcnNvbjwvQXV0aG9yPjxZZWFyPjIwMTM8L1llYXI+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</w:fldData>
        </w:fldChar>
      </w:r>
      <w:r w:rsidR="00F304E9">
        <w:instrText xml:space="preserve"> ADDIN EN.CITE.DATA </w:instrText>
      </w:r>
      <w:r w:rsidR="00F304E9">
        <w:fldChar w:fldCharType="end"/>
      </w:r>
      <w:r w:rsidR="00C710B8">
        <w:fldChar w:fldCharType="separate"/>
      </w:r>
      <w:r w:rsidR="00F304E9">
        <w:rPr>
          <w:noProof/>
        </w:rPr>
        <w:t xml:space="preserve"> [2]</w:t>
      </w:r>
      <w:r w:rsidR="00C710B8">
        <w:fldChar w:fldCharType="end"/>
      </w:r>
    </w:p>
    <w:p w14:paraId="077AAAC3" w14:textId="77777777" w:rsidR="00E11BE4" w:rsidRDefault="00102B44">
      <w:pPr>
        <w:pStyle w:val="NormalBulleted"/>
      </w:pPr>
      <w:r>
        <w:t xml:space="preserve">During </w:t>
      </w:r>
      <w:r w:rsidRPr="00102B44">
        <w:t xml:space="preserve">the financial year </w:t>
      </w:r>
      <w:r>
        <w:t xml:space="preserve">2014–2015, women aged 25–34 years </w:t>
      </w:r>
      <w:r w:rsidR="0066661B">
        <w:t xml:space="preserve">were </w:t>
      </w:r>
      <w:r>
        <w:t>the main users of item 71163 and accounted for 5</w:t>
      </w:r>
      <w:r w:rsidR="00E9534F">
        <w:t>,</w:t>
      </w:r>
      <w:r>
        <w:t>155 services compared with 1</w:t>
      </w:r>
      <w:r w:rsidR="00E9534F">
        <w:t>,</w:t>
      </w:r>
      <w:r>
        <w:t xml:space="preserve">825 services for men in the same group. </w:t>
      </w:r>
      <w:r w:rsidR="00E11BE4">
        <w:t xml:space="preserve">Women aged 25–34 years </w:t>
      </w:r>
      <w:r>
        <w:t>were</w:t>
      </w:r>
      <w:r w:rsidR="00E11BE4">
        <w:t xml:space="preserve"> the main users of </w:t>
      </w:r>
      <w:r>
        <w:t>item 71164</w:t>
      </w:r>
      <w:r w:rsidR="007D6844">
        <w:t xml:space="preserve">. This </w:t>
      </w:r>
      <w:r>
        <w:t xml:space="preserve">demographic </w:t>
      </w:r>
      <w:r w:rsidR="00E11BE4">
        <w:t xml:space="preserve">group accounted for 50,000 services compared </w:t>
      </w:r>
      <w:r w:rsidR="007D6844">
        <w:t xml:space="preserve">with </w:t>
      </w:r>
      <w:r w:rsidR="00E11BE4">
        <w:t>men in this age group</w:t>
      </w:r>
      <w:r w:rsidR="007D6844">
        <w:t>,</w:t>
      </w:r>
      <w:r w:rsidR="00E11BE4">
        <w:t xml:space="preserve"> </w:t>
      </w:r>
      <w:r w:rsidR="007D6844">
        <w:t xml:space="preserve">who </w:t>
      </w:r>
      <w:r w:rsidR="00E11BE4">
        <w:t>accounted for 20,</w:t>
      </w:r>
      <w:r w:rsidR="007D6844">
        <w:t>000 </w:t>
      </w:r>
      <w:r w:rsidR="00E11BE4">
        <w:t>services</w:t>
      </w:r>
      <w:r>
        <w:t xml:space="preserve">. </w:t>
      </w:r>
    </w:p>
    <w:p w14:paraId="07F5AAB9" w14:textId="77777777" w:rsidR="00A967FB" w:rsidRDefault="00A967FB">
      <w:pPr>
        <w:pStyle w:val="NormalBulleted"/>
      </w:pPr>
      <w:r>
        <w:t xml:space="preserve">The US Preventive Services Task Force Recommendation Statement </w:t>
      </w:r>
      <w:r w:rsidR="004E56E2">
        <w:t xml:space="preserve">says </w:t>
      </w:r>
      <w:r w:rsidR="00A011FE">
        <w:t>the current evidence is insufficient on the effectiveness of screening for coeliac disease in asymptomatic patients and patients at increased risk for coeliac disease.</w:t>
      </w:r>
      <w:r w:rsidR="00C710B8">
        <w:fldChar w:fldCharType="begin">
          <w:fldData xml:space="preserve">PEVuZE5vdGU+PENpdGU+PEF1dGhvcj5CaWJiaW5zLURvbWluZ288L0F1dGhvcj48WWVhcj4yMDE3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</w:fldData>
        </w:fldChar>
      </w:r>
      <w:r w:rsidR="00F304E9">
        <w:instrText xml:space="preserve"> ADDIN EN.CITE </w:instrText>
      </w:r>
      <w:r w:rsidR="00F304E9">
        <w:fldChar w:fldCharType="begin">
          <w:fldData xml:space="preserve">PEVuZE5vdGU+PENpdGU+PEF1dGhvcj5CaWJiaW5zLURvbWluZ288L0F1dGhvcj48WWVhcj4yMDE3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</w:fldData>
        </w:fldChar>
      </w:r>
      <w:r w:rsidR="00F304E9">
        <w:instrText xml:space="preserve"> ADDIN EN.CITE.DATA </w:instrText>
      </w:r>
      <w:r w:rsidR="00F304E9">
        <w:fldChar w:fldCharType="end"/>
      </w:r>
      <w:r w:rsidR="00C710B8">
        <w:fldChar w:fldCharType="separate"/>
      </w:r>
      <w:r w:rsidR="00F304E9">
        <w:rPr>
          <w:noProof/>
        </w:rPr>
        <w:t xml:space="preserve"> [3]</w:t>
      </w:r>
      <w:r w:rsidR="00C710B8">
        <w:fldChar w:fldCharType="end"/>
      </w:r>
      <w:r w:rsidR="00A011FE">
        <w:t xml:space="preserve"> Diagnosing coeliac disease in symptomatic patients (older than 2 years) </w:t>
      </w:r>
      <w:r w:rsidR="007D6844">
        <w:t xml:space="preserve">comprises </w:t>
      </w:r>
      <w:r w:rsidR="004E56E2">
        <w:t>test</w:t>
      </w:r>
      <w:r w:rsidR="00A011FE">
        <w:t xml:space="preserve"> tissue transglutaminase IgA, followed by intestinal biopsy.</w:t>
      </w:r>
      <w:r w:rsidR="00C710B8">
        <w:fldChar w:fldCharType="begin">
          <w:fldData xml:space="preserve">PEVuZE5vdGU+PENpdGU+PEF1dGhvcj5BbmRlcnNvbjwvQXV0aG9yPjxZZWFyPjIwMTM8L1llYXI+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</w:fldData>
        </w:fldChar>
      </w:r>
      <w:r w:rsidR="00F304E9">
        <w:instrText xml:space="preserve"> ADDIN EN.CITE </w:instrText>
      </w:r>
      <w:r w:rsidR="00F304E9">
        <w:fldChar w:fldCharType="begin">
          <w:fldData xml:space="preserve">PEVuZE5vdGU+PENpdGU+PEF1dGhvcj5BbmRlcnNvbjwvQXV0aG9yPjxZZWFyPjIwMTM8L1llYXI+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</w:fldData>
        </w:fldChar>
      </w:r>
      <w:r w:rsidR="00F304E9">
        <w:instrText xml:space="preserve"> ADDIN EN.CITE.DATA </w:instrText>
      </w:r>
      <w:r w:rsidR="00F304E9">
        <w:fldChar w:fldCharType="end"/>
      </w:r>
      <w:r w:rsidR="00C710B8">
        <w:fldChar w:fldCharType="separate"/>
      </w:r>
      <w:r w:rsidR="00F304E9">
        <w:rPr>
          <w:noProof/>
        </w:rPr>
        <w:t xml:space="preserve"> [2]</w:t>
      </w:r>
      <w:r w:rsidR="00C710B8">
        <w:fldChar w:fldCharType="end"/>
      </w:r>
    </w:p>
    <w:p w14:paraId="76A3314D" w14:textId="77777777" w:rsidR="003D56B4" w:rsidRDefault="00B371C6" w:rsidP="007B6365">
      <w:pPr>
        <w:pStyle w:val="NormalBulleted"/>
        <w:spacing w:after="60"/>
        <w:ind w:left="425"/>
      </w:pPr>
      <w:r>
        <w:t xml:space="preserve">The main </w:t>
      </w:r>
      <w:r w:rsidR="007D6844">
        <w:t xml:space="preserve">requesters </w:t>
      </w:r>
      <w:r>
        <w:t xml:space="preserve">of items 71163 and 71164 are GPs and </w:t>
      </w:r>
      <w:r w:rsidR="00EE20F6">
        <w:t>gastroenterologists;</w:t>
      </w:r>
      <w:r>
        <w:t xml:space="preserve"> </w:t>
      </w:r>
      <w:r w:rsidR="007D6844">
        <w:t xml:space="preserve">about </w:t>
      </w:r>
      <w:r>
        <w:t>50% of requests from are GPs for item 71163 and 18%</w:t>
      </w:r>
      <w:r w:rsidR="00694596">
        <w:t xml:space="preserve"> </w:t>
      </w:r>
      <w:r w:rsidR="00262050">
        <w:t xml:space="preserve">from </w:t>
      </w:r>
      <w:r w:rsidR="00694596">
        <w:t>gastroenterologists</w:t>
      </w:r>
      <w:r w:rsidR="007D6844">
        <w:t>,</w:t>
      </w:r>
      <w:r>
        <w:t xml:space="preserve"> </w:t>
      </w:r>
      <w:r w:rsidR="00694596">
        <w:t xml:space="preserve">while </w:t>
      </w:r>
      <w:r>
        <w:t>72% of requests are GPs for item 71164</w:t>
      </w:r>
      <w:r w:rsidR="00694596">
        <w:t xml:space="preserve"> and 9% are from gastroenterologists</w:t>
      </w:r>
      <w:r>
        <w:t xml:space="preserve">. </w:t>
      </w:r>
      <w:r w:rsidR="00DA4D33">
        <w:t>There is a state variation in the utilisation of item 71163</w:t>
      </w:r>
      <w:r w:rsidR="001129E2">
        <w:t xml:space="preserve">, </w:t>
      </w:r>
      <w:r w:rsidR="007D6844">
        <w:t xml:space="preserve">with </w:t>
      </w:r>
      <w:r w:rsidR="00694596">
        <w:t>49 requests per 100,000 people</w:t>
      </w:r>
      <w:r w:rsidR="009C3FDA">
        <w:t xml:space="preserve"> in SA for the FY 2014</w:t>
      </w:r>
      <w:r w:rsidR="007D6844">
        <w:t>–</w:t>
      </w:r>
      <w:r w:rsidR="009C3FDA">
        <w:t>15</w:t>
      </w:r>
      <w:r w:rsidR="001129E2">
        <w:t xml:space="preserve"> </w:t>
      </w:r>
      <w:r w:rsidR="009C3FDA">
        <w:t>compared with 421 and 486 requests per 100,000 people in WA and ACT, respectively</w:t>
      </w:r>
      <w:r>
        <w:t>.</w:t>
      </w:r>
    </w:p>
    <w:p w14:paraId="6DA75CB8" w14:textId="77777777" w:rsidR="002652BD" w:rsidRDefault="002652BD">
      <w:pPr>
        <w:pStyle w:val="NormalBulleted"/>
      </w:pPr>
      <w:r>
        <w:rPr>
          <w:lang w:val="en-US" w:eastAsia="en-US"/>
        </w:rPr>
        <w:lastRenderedPageBreak/>
        <w:t>During the financial year 2014–2015, the number of services received by patients for item 71163 were as follows: 43,009</w:t>
      </w:r>
      <w:r w:rsidRPr="00B043E1">
        <w:rPr>
          <w:lang w:val="en-US" w:eastAsia="en-US"/>
        </w:rPr>
        <w:t xml:space="preserve"> patients received the service once, </w:t>
      </w:r>
      <w:r>
        <w:rPr>
          <w:lang w:val="en-US" w:eastAsia="en-US"/>
        </w:rPr>
        <w:t>1040</w:t>
      </w:r>
      <w:r w:rsidRPr="00B043E1">
        <w:rPr>
          <w:lang w:val="en-US" w:eastAsia="en-US"/>
        </w:rPr>
        <w:t xml:space="preserve"> patients received the service </w:t>
      </w:r>
      <w:r>
        <w:rPr>
          <w:lang w:val="en-US" w:eastAsia="en-US"/>
        </w:rPr>
        <w:t>twice,</w:t>
      </w:r>
      <w:r w:rsidRPr="00B043E1">
        <w:rPr>
          <w:lang w:val="en-US" w:eastAsia="en-US"/>
        </w:rPr>
        <w:t xml:space="preserve"> </w:t>
      </w:r>
      <w:r>
        <w:rPr>
          <w:lang w:val="en-US" w:eastAsia="en-US"/>
        </w:rPr>
        <w:t>58</w:t>
      </w:r>
      <w:r w:rsidRPr="00B043E1">
        <w:rPr>
          <w:lang w:val="en-US" w:eastAsia="en-US"/>
        </w:rPr>
        <w:t xml:space="preserve"> patients received the service </w:t>
      </w:r>
      <w:r w:rsidR="007D6844">
        <w:rPr>
          <w:lang w:val="en-US" w:eastAsia="en-US"/>
        </w:rPr>
        <w:t>three</w:t>
      </w:r>
      <w:r w:rsidR="007D6844" w:rsidRPr="00B043E1">
        <w:rPr>
          <w:lang w:val="en-US" w:eastAsia="en-US"/>
        </w:rPr>
        <w:t xml:space="preserve"> </w:t>
      </w:r>
      <w:r w:rsidRPr="00B043E1">
        <w:rPr>
          <w:lang w:val="en-US" w:eastAsia="en-US"/>
        </w:rPr>
        <w:t>time</w:t>
      </w:r>
      <w:r>
        <w:rPr>
          <w:lang w:val="en-US" w:eastAsia="en-US"/>
        </w:rPr>
        <w:t>s and 11 pa</w:t>
      </w:r>
      <w:r w:rsidR="00071E49">
        <w:rPr>
          <w:lang w:val="en-US" w:eastAsia="en-US"/>
        </w:rPr>
        <w:t>tient</w:t>
      </w:r>
      <w:r w:rsidR="0077486A">
        <w:rPr>
          <w:lang w:val="en-US" w:eastAsia="en-US"/>
        </w:rPr>
        <w:t xml:space="preserve">s received the service </w:t>
      </w:r>
      <w:r w:rsidR="007D6844">
        <w:rPr>
          <w:lang w:val="en-US" w:eastAsia="en-US"/>
        </w:rPr>
        <w:t xml:space="preserve">four </w:t>
      </w:r>
      <w:r w:rsidR="0077486A">
        <w:rPr>
          <w:lang w:val="en-US" w:eastAsia="en-US"/>
        </w:rPr>
        <w:t>times</w:t>
      </w:r>
      <w:r>
        <w:rPr>
          <w:lang w:val="en-US" w:eastAsia="en-US"/>
        </w:rPr>
        <w:t xml:space="preserve">. The number of </w:t>
      </w:r>
      <w:r w:rsidR="0077486A">
        <w:rPr>
          <w:lang w:val="en-US" w:eastAsia="en-US"/>
        </w:rPr>
        <w:t xml:space="preserve">services received by patients for item 71164 were: 370,767 patients received the service once, </w:t>
      </w:r>
      <w:r w:rsidR="00EE20F6">
        <w:rPr>
          <w:lang w:val="en-US" w:eastAsia="en-US"/>
        </w:rPr>
        <w:t xml:space="preserve">13,337 patients received the service twice, 970 patients received the service </w:t>
      </w:r>
      <w:r w:rsidR="007D6844">
        <w:rPr>
          <w:lang w:val="en-US" w:eastAsia="en-US"/>
        </w:rPr>
        <w:t xml:space="preserve">three </w:t>
      </w:r>
      <w:r w:rsidR="00EE20F6">
        <w:rPr>
          <w:lang w:val="en-US" w:eastAsia="en-US"/>
        </w:rPr>
        <w:t xml:space="preserve">times and 126 patients received the service </w:t>
      </w:r>
      <w:r w:rsidR="007D6844">
        <w:rPr>
          <w:lang w:val="en-US" w:eastAsia="en-US"/>
        </w:rPr>
        <w:t xml:space="preserve">four </w:t>
      </w:r>
      <w:r w:rsidR="00EE20F6">
        <w:rPr>
          <w:lang w:val="en-US" w:eastAsia="en-US"/>
        </w:rPr>
        <w:t>times.</w:t>
      </w:r>
    </w:p>
    <w:p w14:paraId="489CE186" w14:textId="77777777" w:rsidR="007D6844" w:rsidRDefault="003D56B4">
      <w:pPr>
        <w:pStyle w:val="NormalBulleted"/>
      </w:pPr>
      <w:r>
        <w:t>The Committee recognises that coeliac disease is commonly asymptomatic</w:t>
      </w:r>
      <w:r w:rsidR="00781F2B">
        <w:t>.</w:t>
      </w:r>
      <w:r>
        <w:t xml:space="preserve"> </w:t>
      </w:r>
      <w:r w:rsidR="00781F2B">
        <w:t>However,</w:t>
      </w:r>
      <w:r>
        <w:t xml:space="preserve"> </w:t>
      </w:r>
      <w:r w:rsidR="00781F2B">
        <w:t xml:space="preserve">unrecognised </w:t>
      </w:r>
      <w:r>
        <w:t xml:space="preserve">coeliac disease can lead to significant health problems such as iron deficiency and osteoporosis. </w:t>
      </w:r>
      <w:r w:rsidR="006774B0">
        <w:t>Coeliac disease can develop at any age and does not have a detectable preclinical state.</w:t>
      </w:r>
    </w:p>
    <w:p w14:paraId="4584B40F" w14:textId="77777777" w:rsidR="003D56B4" w:rsidRDefault="003D56B4">
      <w:pPr>
        <w:pStyle w:val="NormalBulleted"/>
      </w:pPr>
      <w:r>
        <w:t xml:space="preserve">The Committee also recognises that two antibody tests increase sensitivity for the diagnosis, especially in patients with low IgA levels (low IgA levels </w:t>
      </w:r>
      <w:r w:rsidR="0068228A">
        <w:t xml:space="preserve">are </w:t>
      </w:r>
      <w:r>
        <w:t>also associated with a higher rate of coeliac disease). The uncertainties include whether the increased yield in detection justifies the increased cost of testing</w:t>
      </w:r>
      <w:r w:rsidR="007D6844">
        <w:t>,</w:t>
      </w:r>
      <w:r>
        <w:t xml:space="preserve"> increased </w:t>
      </w:r>
      <w:r w:rsidR="007D6844">
        <w:t>because:</w:t>
      </w:r>
    </w:p>
    <w:p w14:paraId="0EFC9040" w14:textId="77777777" w:rsidR="003D56B4" w:rsidRDefault="003D56B4" w:rsidP="007B6365">
      <w:pPr>
        <w:pStyle w:val="Bullet2"/>
      </w:pPr>
      <w:r>
        <w:t xml:space="preserve">two tests now often done instead of one, and </w:t>
      </w:r>
    </w:p>
    <w:p w14:paraId="0A3690D7" w14:textId="77777777" w:rsidR="003D56B4" w:rsidRDefault="003D56B4" w:rsidP="007B6365">
      <w:pPr>
        <w:pStyle w:val="Bullet2"/>
      </w:pPr>
      <w:r>
        <w:t xml:space="preserve">such testing is no longer restricted to patients with symptoms or signs of malabsorption </w:t>
      </w:r>
      <w:r w:rsidR="00781F2B">
        <w:t>alone (associated iron deficiency and osteoporosis</w:t>
      </w:r>
      <w:r w:rsidR="007D6844">
        <w:t>,</w:t>
      </w:r>
      <w:r w:rsidR="00781F2B">
        <w:t xml:space="preserve"> for example</w:t>
      </w:r>
      <w:r>
        <w:t xml:space="preserve">). </w:t>
      </w:r>
    </w:p>
    <w:p w14:paraId="6A5F3450" w14:textId="77777777" w:rsidR="003D56B4" w:rsidRDefault="003D56B4">
      <w:pPr>
        <w:pStyle w:val="NormalBulleted"/>
      </w:pPr>
      <w:r>
        <w:t>A health technology assessment or a review of the literature will be required to provide the prevalence and natural history data for the cost</w:t>
      </w:r>
      <w:r w:rsidR="007D6844">
        <w:t>–</w:t>
      </w:r>
      <w:r>
        <w:t>benefit analysis.</w:t>
      </w:r>
    </w:p>
    <w:p w14:paraId="6166C158" w14:textId="77777777" w:rsidR="001E4CAC" w:rsidRDefault="001E4CAC">
      <w:pPr>
        <w:pStyle w:val="NormalBulleted"/>
        <w:rPr>
          <w:lang w:val="en-US" w:eastAsia="en-US"/>
        </w:rPr>
      </w:pPr>
      <w:r>
        <w:rPr>
          <w:lang w:val="en-US" w:eastAsia="en-US"/>
        </w:rPr>
        <w:t>The proposed changes will have no direct effect on patients.</w:t>
      </w:r>
    </w:p>
    <w:p w14:paraId="3E143678" w14:textId="77777777" w:rsidR="00FE454C" w:rsidRDefault="00FE454C" w:rsidP="00E2562E">
      <w:pPr>
        <w:pStyle w:val="Heading2"/>
      </w:pPr>
      <w:bookmarkStart w:id="36" w:name="_Toc499293037"/>
      <w:r>
        <w:t>Genotyping for coeliac disease risk</w:t>
      </w:r>
      <w:r w:rsidRPr="004E7905">
        <w:t xml:space="preserve"> for DQ2 and DQ8</w:t>
      </w:r>
      <w:r>
        <w:t>: item 71151</w:t>
      </w:r>
      <w:bookmarkEnd w:id="36"/>
    </w:p>
    <w:p w14:paraId="287A69D8" w14:textId="77777777" w:rsidR="00C63AD2" w:rsidRPr="00C63AD2" w:rsidRDefault="00C63AD2">
      <w:pPr>
        <w:pStyle w:val="Caption"/>
      </w:pPr>
      <w:bookmarkStart w:id="37" w:name="_Toc499289242"/>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5</w:t>
      </w:r>
      <w:r w:rsidR="0004721F">
        <w:rPr>
          <w:noProof/>
        </w:rPr>
        <w:fldChar w:fldCharType="end"/>
      </w:r>
      <w:r>
        <w:t xml:space="preserve">. </w:t>
      </w:r>
      <w:r w:rsidRPr="00E8051A">
        <w:t xml:space="preserve">Item introduction table for item </w:t>
      </w:r>
      <w:r>
        <w:t>71151</w:t>
      </w:r>
      <w:bookmarkEnd w:id="37"/>
    </w:p>
    <w:tbl>
      <w:tblPr>
        <w:tblStyle w:val="TableGrid1"/>
        <w:tblW w:w="9039" w:type="dxa"/>
        <w:tblLayout w:type="fixed"/>
        <w:tblLook w:val="04A0" w:firstRow="1" w:lastRow="0" w:firstColumn="1" w:lastColumn="0" w:noHBand="0" w:noVBand="1"/>
        <w:tblCaption w:val="Table 5: Item introduction table for item 71151"/>
        <w:tblDescription w:val="Table 5 lists current MBS Schedule information for item 71151. The data includes item numbers, long item descriptors, schedule fee, total volume of services, benefits paid, patient count and services annual average growth as a pecentage over a 5 year period"/>
      </w:tblPr>
      <w:tblGrid>
        <w:gridCol w:w="776"/>
        <w:gridCol w:w="2593"/>
        <w:gridCol w:w="1021"/>
        <w:gridCol w:w="1275"/>
        <w:gridCol w:w="1276"/>
        <w:gridCol w:w="992"/>
        <w:gridCol w:w="1106"/>
      </w:tblGrid>
      <w:tr w:rsidR="00FE454C" w:rsidRPr="00DD5A29" w14:paraId="60FD6205" w14:textId="77777777" w:rsidTr="007B6365">
        <w:trPr>
          <w:trHeight w:val="729"/>
          <w:tblHeader/>
        </w:trPr>
        <w:tc>
          <w:tcPr>
            <w:tcW w:w="776" w:type="dxa"/>
            <w:shd w:val="clear" w:color="auto" w:fill="EEECE1" w:themeFill="background2"/>
            <w:vAlign w:val="bottom"/>
            <w:hideMark/>
          </w:tcPr>
          <w:p w14:paraId="7B3B4B8C" w14:textId="77777777" w:rsidR="00FE454C" w:rsidRPr="00DD5A29" w:rsidRDefault="00FE454C" w:rsidP="007B6365">
            <w:pPr>
              <w:pStyle w:val="01Tableheaderrow"/>
              <w:rPr>
                <w:lang w:val="en-GB"/>
              </w:rPr>
            </w:pPr>
            <w:r w:rsidRPr="00C70F36">
              <w:rPr>
                <w:lang w:val="en-GB"/>
              </w:rPr>
              <w:t>Item</w:t>
            </w:r>
          </w:p>
        </w:tc>
        <w:tc>
          <w:tcPr>
            <w:tcW w:w="2593" w:type="dxa"/>
            <w:shd w:val="clear" w:color="auto" w:fill="EEECE1" w:themeFill="background2"/>
            <w:vAlign w:val="bottom"/>
            <w:hideMark/>
          </w:tcPr>
          <w:p w14:paraId="2CCE3006" w14:textId="77777777" w:rsidR="00FE454C" w:rsidRPr="00DD5A29" w:rsidRDefault="00FE454C" w:rsidP="007B6365">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021" w:type="dxa"/>
            <w:shd w:val="clear" w:color="auto" w:fill="EEECE1" w:themeFill="background2"/>
            <w:vAlign w:val="bottom"/>
            <w:hideMark/>
          </w:tcPr>
          <w:p w14:paraId="7D151AE3" w14:textId="77777777" w:rsidR="00FE454C" w:rsidRPr="00256B04" w:rsidRDefault="00FE454C" w:rsidP="007B6365">
            <w:pPr>
              <w:pStyle w:val="01Tableheaderrow"/>
              <w:rPr>
                <w:lang w:val="en-GB"/>
              </w:rPr>
            </w:pPr>
            <w:r w:rsidRPr="00C70F36">
              <w:rPr>
                <w:lang w:val="en-GB"/>
              </w:rPr>
              <w:t>Schedule fee</w:t>
            </w:r>
          </w:p>
        </w:tc>
        <w:tc>
          <w:tcPr>
            <w:tcW w:w="1275" w:type="dxa"/>
            <w:shd w:val="clear" w:color="auto" w:fill="EEECE1" w:themeFill="background2"/>
            <w:vAlign w:val="bottom"/>
            <w:hideMark/>
          </w:tcPr>
          <w:p w14:paraId="2DB565F6" w14:textId="77777777" w:rsidR="00FE454C" w:rsidRPr="00DD5A29" w:rsidRDefault="00FE454C" w:rsidP="007B6365">
            <w:pPr>
              <w:pStyle w:val="01Tableheaderrow"/>
              <w:rPr>
                <w:lang w:val="en-GB"/>
              </w:rPr>
            </w:pPr>
            <w:r w:rsidRPr="00C70F36">
              <w:rPr>
                <w:lang w:val="en-GB"/>
              </w:rPr>
              <w:t xml:space="preserve">Services </w:t>
            </w:r>
            <w:r w:rsidR="007D6844">
              <w:rPr>
                <w:lang w:val="en-GB"/>
              </w:rPr>
              <w:t>FY 2014–15</w:t>
            </w:r>
          </w:p>
        </w:tc>
        <w:tc>
          <w:tcPr>
            <w:tcW w:w="1276" w:type="dxa"/>
            <w:shd w:val="clear" w:color="auto" w:fill="EEECE1" w:themeFill="background2"/>
            <w:vAlign w:val="bottom"/>
          </w:tcPr>
          <w:p w14:paraId="23154CA2" w14:textId="77777777" w:rsidR="00FE454C" w:rsidRPr="00DD5A29" w:rsidRDefault="00FE454C" w:rsidP="007B6365">
            <w:pPr>
              <w:pStyle w:val="01Tableheaderrow"/>
              <w:rPr>
                <w:lang w:val="en-GB"/>
              </w:rPr>
            </w:pPr>
            <w:r w:rsidRPr="00C70F36">
              <w:rPr>
                <w:lang w:val="en-GB"/>
              </w:rPr>
              <w:t xml:space="preserve">Benefits </w:t>
            </w:r>
            <w:r w:rsidR="007D6844">
              <w:rPr>
                <w:lang w:val="en-GB"/>
              </w:rPr>
              <w:t>FY 2014–15</w:t>
            </w:r>
          </w:p>
        </w:tc>
        <w:tc>
          <w:tcPr>
            <w:tcW w:w="992" w:type="dxa"/>
            <w:shd w:val="clear" w:color="auto" w:fill="EEECE1" w:themeFill="background2"/>
            <w:vAlign w:val="bottom"/>
            <w:hideMark/>
          </w:tcPr>
          <w:p w14:paraId="0329BA86" w14:textId="77777777" w:rsidR="00FE454C" w:rsidRPr="00DD5A29" w:rsidRDefault="00FE454C" w:rsidP="007B6365">
            <w:pPr>
              <w:pStyle w:val="01Tableheaderrow"/>
              <w:rPr>
                <w:lang w:val="en-GB"/>
              </w:rPr>
            </w:pPr>
            <w:r w:rsidRPr="00C70F36">
              <w:rPr>
                <w:lang w:val="en-GB"/>
              </w:rPr>
              <w:t>Patient count</w:t>
            </w:r>
          </w:p>
        </w:tc>
        <w:tc>
          <w:tcPr>
            <w:tcW w:w="1106" w:type="dxa"/>
            <w:shd w:val="clear" w:color="auto" w:fill="EEECE1" w:themeFill="background2"/>
            <w:vAlign w:val="bottom"/>
            <w:hideMark/>
          </w:tcPr>
          <w:p w14:paraId="72E547B8" w14:textId="77777777" w:rsidR="00FE454C" w:rsidRPr="00DD5A29" w:rsidRDefault="00FE454C" w:rsidP="007B6365">
            <w:pPr>
              <w:pStyle w:val="01Tableheaderrow"/>
              <w:rPr>
                <w:lang w:val="en-GB"/>
              </w:rPr>
            </w:pPr>
            <w:r w:rsidRPr="00C70F36">
              <w:rPr>
                <w:lang w:val="en-GB"/>
              </w:rPr>
              <w:t xml:space="preserve">Services 5-year </w:t>
            </w:r>
            <w:r w:rsidR="007D6844">
              <w:rPr>
                <w:lang w:val="en-GB"/>
              </w:rPr>
              <w:t>annual average growth</w:t>
            </w:r>
          </w:p>
        </w:tc>
      </w:tr>
      <w:tr w:rsidR="00FE454C" w:rsidRPr="00DD5A29" w14:paraId="34139947" w14:textId="77777777" w:rsidTr="007B6365">
        <w:trPr>
          <w:trHeight w:val="300"/>
        </w:trPr>
        <w:tc>
          <w:tcPr>
            <w:tcW w:w="776" w:type="dxa"/>
            <w:noWrap/>
            <w:hideMark/>
          </w:tcPr>
          <w:p w14:paraId="73A63441" w14:textId="77777777" w:rsidR="00FE454C" w:rsidRPr="00DD5A29" w:rsidRDefault="00FE454C" w:rsidP="007B6365">
            <w:pPr>
              <w:pStyle w:val="02Tabletext"/>
              <w:rPr>
                <w:lang w:val="en-GB"/>
              </w:rPr>
            </w:pPr>
            <w:r>
              <w:rPr>
                <w:lang w:val="en-GB"/>
              </w:rPr>
              <w:t>71151</w:t>
            </w:r>
          </w:p>
        </w:tc>
        <w:tc>
          <w:tcPr>
            <w:tcW w:w="2593" w:type="dxa"/>
            <w:noWrap/>
            <w:hideMark/>
          </w:tcPr>
          <w:p w14:paraId="4A2F84AB" w14:textId="77777777" w:rsidR="00FE454C" w:rsidRPr="009C6383" w:rsidRDefault="00FE454C" w:rsidP="007B6365">
            <w:pPr>
              <w:pStyle w:val="02Tabletext"/>
              <w:rPr>
                <w:lang w:val="en-GB"/>
              </w:rPr>
            </w:pPr>
            <w:r w:rsidRPr="009C6383">
              <w:rPr>
                <w:lang w:val="en-GB"/>
              </w:rPr>
              <w:t>Tissue typing for HLA-DR, HLA-DP and HLA-DQ Class II antigens (including any separation of leucocytes) - phenotyping or genotyping of 2 or more antigens</w:t>
            </w:r>
          </w:p>
        </w:tc>
        <w:tc>
          <w:tcPr>
            <w:tcW w:w="1021" w:type="dxa"/>
            <w:noWrap/>
            <w:hideMark/>
          </w:tcPr>
          <w:p w14:paraId="1C01730F" w14:textId="77777777" w:rsidR="00FE454C" w:rsidRPr="009C6383" w:rsidRDefault="00FE454C" w:rsidP="007B6365">
            <w:pPr>
              <w:pStyle w:val="02Tabletext"/>
              <w:jc w:val="right"/>
              <w:rPr>
                <w:lang w:val="en-GB"/>
              </w:rPr>
            </w:pPr>
            <w:r>
              <w:rPr>
                <w:lang w:val="en-GB"/>
              </w:rPr>
              <w:t>$</w:t>
            </w:r>
            <w:r w:rsidRPr="009C6383">
              <w:rPr>
                <w:lang w:val="en-GB"/>
              </w:rPr>
              <w:t>118.85</w:t>
            </w:r>
          </w:p>
        </w:tc>
        <w:tc>
          <w:tcPr>
            <w:tcW w:w="1275" w:type="dxa"/>
            <w:noWrap/>
            <w:hideMark/>
          </w:tcPr>
          <w:p w14:paraId="7EA7BF3E" w14:textId="77777777" w:rsidR="00FE454C" w:rsidRPr="009C6383" w:rsidRDefault="00FE454C" w:rsidP="007B6365">
            <w:pPr>
              <w:pStyle w:val="02Tabletext"/>
              <w:jc w:val="right"/>
              <w:rPr>
                <w:lang w:val="en-GB"/>
              </w:rPr>
            </w:pPr>
            <w:r w:rsidRPr="009C6383">
              <w:rPr>
                <w:lang w:val="en-GB"/>
              </w:rPr>
              <w:t>34,208</w:t>
            </w:r>
          </w:p>
        </w:tc>
        <w:tc>
          <w:tcPr>
            <w:tcW w:w="1276" w:type="dxa"/>
          </w:tcPr>
          <w:p w14:paraId="0460A197" w14:textId="77777777" w:rsidR="00FE454C" w:rsidRPr="009C6383" w:rsidRDefault="00FE454C" w:rsidP="007B6365">
            <w:pPr>
              <w:pStyle w:val="02Tabletext"/>
              <w:jc w:val="right"/>
              <w:rPr>
                <w:lang w:val="en-GB"/>
              </w:rPr>
            </w:pPr>
            <w:r w:rsidRPr="009C6383">
              <w:rPr>
                <w:lang w:val="en-GB"/>
              </w:rPr>
              <w:t>$3,589,477</w:t>
            </w:r>
          </w:p>
        </w:tc>
        <w:tc>
          <w:tcPr>
            <w:tcW w:w="992" w:type="dxa"/>
            <w:noWrap/>
            <w:hideMark/>
          </w:tcPr>
          <w:p w14:paraId="0A23DF45" w14:textId="77777777" w:rsidR="00FE454C" w:rsidRPr="009C6383" w:rsidRDefault="00FE454C" w:rsidP="007B6365">
            <w:pPr>
              <w:pStyle w:val="02Tabletext"/>
              <w:jc w:val="right"/>
              <w:rPr>
                <w:lang w:val="en-GB"/>
              </w:rPr>
            </w:pPr>
            <w:r w:rsidRPr="009C6383">
              <w:rPr>
                <w:lang w:val="en-GB"/>
              </w:rPr>
              <w:t>33,365</w:t>
            </w:r>
          </w:p>
        </w:tc>
        <w:tc>
          <w:tcPr>
            <w:tcW w:w="1106" w:type="dxa"/>
            <w:noWrap/>
            <w:hideMark/>
          </w:tcPr>
          <w:p w14:paraId="1D392380" w14:textId="77777777" w:rsidR="00FE454C" w:rsidRPr="009C6383" w:rsidRDefault="00FE454C" w:rsidP="007B6365">
            <w:pPr>
              <w:pStyle w:val="02Tabletext"/>
              <w:jc w:val="right"/>
              <w:rPr>
                <w:lang w:val="en-GB"/>
              </w:rPr>
            </w:pPr>
            <w:r w:rsidRPr="009C6383">
              <w:rPr>
                <w:lang w:val="en-GB"/>
              </w:rPr>
              <w:t>14.1%</w:t>
            </w:r>
          </w:p>
        </w:tc>
      </w:tr>
    </w:tbl>
    <w:p w14:paraId="6EEBFFF9" w14:textId="77777777" w:rsidR="00FE454C" w:rsidRDefault="00FE454C" w:rsidP="006A17D1">
      <w:pPr>
        <w:pStyle w:val="Heading3Numbered"/>
      </w:pPr>
      <w:r>
        <w:t xml:space="preserve">Recommendation </w:t>
      </w:r>
      <w:r w:rsidR="0068228A">
        <w:t>2</w:t>
      </w:r>
    </w:p>
    <w:p w14:paraId="6EC7E2B9" w14:textId="77777777" w:rsidR="00FE454C" w:rsidRDefault="00FE454C">
      <w:pPr>
        <w:pStyle w:val="NormalBulleted"/>
        <w:rPr>
          <w:lang w:val="en-US"/>
        </w:rPr>
      </w:pPr>
      <w:r>
        <w:rPr>
          <w:lang w:val="en-US"/>
        </w:rPr>
        <w:t>Add the following extra wording to the item descriptor for 71151: ‘this item is not to be used for investigation of possible coeliac disease.’</w:t>
      </w:r>
    </w:p>
    <w:p w14:paraId="0551C95F" w14:textId="77777777" w:rsidR="00FE454C" w:rsidRDefault="00FE454C">
      <w:pPr>
        <w:pStyle w:val="NormalBulleted"/>
        <w:rPr>
          <w:lang w:val="en-US"/>
        </w:rPr>
      </w:pPr>
      <w:r>
        <w:rPr>
          <w:lang w:val="en-US"/>
        </w:rPr>
        <w:t>Create a new item with the following item descriptor:</w:t>
      </w:r>
    </w:p>
    <w:p w14:paraId="2DA70639" w14:textId="77777777" w:rsidR="00FE454C" w:rsidRDefault="00FE454C" w:rsidP="007B6365">
      <w:pPr>
        <w:pStyle w:val="Bullet2"/>
        <w:rPr>
          <w:lang w:val="en-US"/>
        </w:rPr>
      </w:pPr>
      <w:r w:rsidRPr="00EE32B9">
        <w:rPr>
          <w:lang w:val="en-US"/>
        </w:rPr>
        <w:t>Tissue typing in c</w:t>
      </w:r>
      <w:r>
        <w:rPr>
          <w:lang w:val="en-US"/>
        </w:rPr>
        <w:t>o</w:t>
      </w:r>
      <w:r w:rsidRPr="00EE32B9">
        <w:rPr>
          <w:lang w:val="en-US"/>
        </w:rPr>
        <w:t>eliac disease: Determination of tissue types (DQ2/DQ8) associated with c</w:t>
      </w:r>
      <w:r>
        <w:rPr>
          <w:lang w:val="en-US"/>
        </w:rPr>
        <w:t>o</w:t>
      </w:r>
      <w:r w:rsidRPr="00EE32B9">
        <w:rPr>
          <w:lang w:val="en-US"/>
        </w:rPr>
        <w:t>eliac disease. The method used needs to be able to resolve both the DQA1* and DQB1* alleles to the four</w:t>
      </w:r>
      <w:r w:rsidR="00355B54">
        <w:rPr>
          <w:lang w:val="en-US"/>
        </w:rPr>
        <w:t>-</w:t>
      </w:r>
      <w:r w:rsidRPr="00EE32B9">
        <w:rPr>
          <w:lang w:val="en-US"/>
        </w:rPr>
        <w:t>digit level of resolution, for all the known at-risk alleles of DQ2 and DQ* and exclude common alternative alleles</w:t>
      </w:r>
      <w:r w:rsidR="00355B54">
        <w:rPr>
          <w:lang w:val="en-US"/>
        </w:rPr>
        <w:t>.</w:t>
      </w:r>
    </w:p>
    <w:p w14:paraId="7BA681D5" w14:textId="77777777" w:rsidR="00650CD1" w:rsidRPr="00650CD1" w:rsidRDefault="00650CD1">
      <w:pPr>
        <w:pStyle w:val="Caption"/>
        <w:rPr>
          <w:lang w:val="en-US"/>
        </w:rPr>
      </w:pPr>
      <w:bookmarkStart w:id="38" w:name="_Toc499289243"/>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6</w:t>
      </w:r>
      <w:r w:rsidR="0004721F">
        <w:rPr>
          <w:noProof/>
        </w:rPr>
        <w:fldChar w:fldCharType="end"/>
      </w:r>
      <w:r>
        <w:t xml:space="preserve">. </w:t>
      </w:r>
      <w:r w:rsidR="009F489F">
        <w:rPr>
          <w:lang w:val="en-US"/>
        </w:rPr>
        <w:t>Current and proposed item descriptors for item</w:t>
      </w:r>
      <w:r>
        <w:rPr>
          <w:lang w:val="en-US"/>
        </w:rPr>
        <w:t xml:space="preserve"> 71151 and new item</w:t>
      </w:r>
      <w:bookmarkEnd w:id="38"/>
    </w:p>
    <w:tbl>
      <w:tblPr>
        <w:tblStyle w:val="TableGrid"/>
        <w:tblW w:w="0" w:type="auto"/>
        <w:tblInd w:w="-5" w:type="dxa"/>
        <w:tblLook w:val="04A0" w:firstRow="1" w:lastRow="0" w:firstColumn="1" w:lastColumn="0" w:noHBand="0" w:noVBand="1"/>
        <w:tblCaption w:val="Table 6: Current and proposed item descriptor for item 71151 and new item"/>
        <w:tblDescription w:val="Table 6 lists the current item descriptor for item 71151 and proposed new descriptors for this item. It also lists a new item for tissue typing in coeliac disease. "/>
      </w:tblPr>
      <w:tblGrid>
        <w:gridCol w:w="1701"/>
        <w:gridCol w:w="3402"/>
        <w:gridCol w:w="3918"/>
      </w:tblGrid>
      <w:tr w:rsidR="00FE454C" w14:paraId="77F31599" w14:textId="77777777" w:rsidTr="006A17D1">
        <w:trPr>
          <w:tblHeader/>
        </w:trPr>
        <w:tc>
          <w:tcPr>
            <w:tcW w:w="1701" w:type="dxa"/>
            <w:shd w:val="clear" w:color="auto" w:fill="EEECE1" w:themeFill="background2"/>
          </w:tcPr>
          <w:p w14:paraId="3DCFD35F" w14:textId="77777777" w:rsidR="00FE454C" w:rsidRPr="00D53BB1" w:rsidRDefault="00FE454C" w:rsidP="007B6365">
            <w:pPr>
              <w:pStyle w:val="01Tableheaderrow"/>
              <w:rPr>
                <w:lang w:val="en-US"/>
              </w:rPr>
            </w:pPr>
            <w:r w:rsidRPr="00D53BB1">
              <w:rPr>
                <w:lang w:val="en-US"/>
              </w:rPr>
              <w:t>Item</w:t>
            </w:r>
          </w:p>
        </w:tc>
        <w:tc>
          <w:tcPr>
            <w:tcW w:w="3402" w:type="dxa"/>
            <w:shd w:val="clear" w:color="auto" w:fill="EEECE1" w:themeFill="background2"/>
          </w:tcPr>
          <w:p w14:paraId="68ECBB40" w14:textId="77777777" w:rsidR="00FE454C" w:rsidRPr="00D53BB1" w:rsidRDefault="00FE454C" w:rsidP="007B6365">
            <w:pPr>
              <w:pStyle w:val="01Tableheaderrow"/>
              <w:rPr>
                <w:lang w:val="en-US"/>
              </w:rPr>
            </w:pPr>
            <w:r w:rsidRPr="00D53BB1">
              <w:rPr>
                <w:lang w:val="en-US"/>
              </w:rPr>
              <w:t>Current item descriptor</w:t>
            </w:r>
          </w:p>
        </w:tc>
        <w:tc>
          <w:tcPr>
            <w:tcW w:w="3918" w:type="dxa"/>
            <w:shd w:val="clear" w:color="auto" w:fill="EEECE1" w:themeFill="background2"/>
          </w:tcPr>
          <w:p w14:paraId="5CD87AFD" w14:textId="77777777" w:rsidR="00FE454C" w:rsidRPr="00D53BB1" w:rsidRDefault="00FE454C" w:rsidP="007B6365">
            <w:pPr>
              <w:pStyle w:val="01Tableheaderrow"/>
              <w:rPr>
                <w:lang w:val="en-US"/>
              </w:rPr>
            </w:pPr>
            <w:r w:rsidRPr="00D53BB1">
              <w:rPr>
                <w:lang w:val="en-US"/>
              </w:rPr>
              <w:t>Proposed item descriptor</w:t>
            </w:r>
          </w:p>
        </w:tc>
      </w:tr>
      <w:tr w:rsidR="00FE454C" w14:paraId="6647A1B5" w14:textId="77777777" w:rsidTr="007B6365">
        <w:tc>
          <w:tcPr>
            <w:tcW w:w="1701" w:type="dxa"/>
          </w:tcPr>
          <w:p w14:paraId="439078AE" w14:textId="77777777" w:rsidR="00FE454C" w:rsidRDefault="00FE454C" w:rsidP="007B6365">
            <w:pPr>
              <w:pStyle w:val="02Tabletext"/>
              <w:rPr>
                <w:lang w:val="en-US"/>
              </w:rPr>
            </w:pPr>
            <w:r w:rsidRPr="00301C3D">
              <w:t>71151</w:t>
            </w:r>
          </w:p>
        </w:tc>
        <w:tc>
          <w:tcPr>
            <w:tcW w:w="3402" w:type="dxa"/>
          </w:tcPr>
          <w:p w14:paraId="18728CD8" w14:textId="77777777" w:rsidR="00FE454C" w:rsidRDefault="00FE454C" w:rsidP="007B6365">
            <w:pPr>
              <w:pStyle w:val="02Tabletext"/>
              <w:rPr>
                <w:lang w:val="en-US"/>
              </w:rPr>
            </w:pPr>
            <w:r w:rsidRPr="00301C3D">
              <w:t xml:space="preserve">Tissue typing for HLA-DR, HLA-DP and HLA-DQ Class II antigens (including any separation of leucocytes) - </w:t>
            </w:r>
            <w:r w:rsidRPr="00301C3D">
              <w:lastRenderedPageBreak/>
              <w:t>phenotyping or genotyping of 2 or more antigens</w:t>
            </w:r>
          </w:p>
        </w:tc>
        <w:tc>
          <w:tcPr>
            <w:tcW w:w="3918" w:type="dxa"/>
          </w:tcPr>
          <w:p w14:paraId="7D9207F1" w14:textId="77777777" w:rsidR="00FE454C" w:rsidRPr="00AF4170" w:rsidRDefault="00FE454C" w:rsidP="007B6365">
            <w:pPr>
              <w:pStyle w:val="02Tabletext"/>
              <w:rPr>
                <w:i/>
                <w:lang w:val="en-US"/>
              </w:rPr>
            </w:pPr>
            <w:r w:rsidRPr="00AF4170">
              <w:rPr>
                <w:lang w:val="en-US"/>
              </w:rPr>
              <w:lastRenderedPageBreak/>
              <w:t xml:space="preserve">Tissue typing for HLA-DR, HLA-DP and HLA-DQ Class II antigens (including any separation of leucocytes) - phenotyping or genotyping of </w:t>
            </w:r>
            <w:r w:rsidRPr="00AF4170">
              <w:rPr>
                <w:lang w:val="en-US"/>
              </w:rPr>
              <w:lastRenderedPageBreak/>
              <w:t>2 or more antigens</w:t>
            </w:r>
            <w:r>
              <w:rPr>
                <w:lang w:val="en-US"/>
              </w:rPr>
              <w:t>.</w:t>
            </w:r>
            <w:r w:rsidR="00AB6550">
              <w:rPr>
                <w:lang w:val="en-US"/>
              </w:rPr>
              <w:t xml:space="preserve"> </w:t>
            </w:r>
            <w:r>
              <w:rPr>
                <w:i/>
                <w:lang w:val="en-US"/>
              </w:rPr>
              <w:t>This item is not to be used for investigation of possible coeliac disease.</w:t>
            </w:r>
          </w:p>
        </w:tc>
      </w:tr>
      <w:tr w:rsidR="00FE454C" w14:paraId="1A97F6C9" w14:textId="77777777" w:rsidTr="007B6365">
        <w:tc>
          <w:tcPr>
            <w:tcW w:w="1701" w:type="dxa"/>
          </w:tcPr>
          <w:p w14:paraId="65139204" w14:textId="77777777" w:rsidR="00FE454C" w:rsidRDefault="00FE454C" w:rsidP="007B6365">
            <w:pPr>
              <w:pStyle w:val="02Tabletext"/>
              <w:rPr>
                <w:lang w:val="en-US"/>
              </w:rPr>
            </w:pPr>
            <w:r>
              <w:rPr>
                <w:lang w:val="en-US"/>
              </w:rPr>
              <w:lastRenderedPageBreak/>
              <w:t>New item</w:t>
            </w:r>
          </w:p>
        </w:tc>
        <w:tc>
          <w:tcPr>
            <w:tcW w:w="3402" w:type="dxa"/>
          </w:tcPr>
          <w:p w14:paraId="3AD5878F" w14:textId="77777777" w:rsidR="00FE454C" w:rsidRDefault="005B0FCA" w:rsidP="007B6365">
            <w:pPr>
              <w:pStyle w:val="02Tabletext"/>
              <w:jc w:val="center"/>
              <w:rPr>
                <w:lang w:val="en-US"/>
              </w:rPr>
            </w:pPr>
            <w:r>
              <w:rPr>
                <w:lang w:val="en-US"/>
              </w:rPr>
              <w:t>—</w:t>
            </w:r>
          </w:p>
        </w:tc>
        <w:tc>
          <w:tcPr>
            <w:tcW w:w="3918" w:type="dxa"/>
          </w:tcPr>
          <w:p w14:paraId="2CBE4634" w14:textId="77777777" w:rsidR="00FE454C" w:rsidRDefault="00FE454C" w:rsidP="007B6365">
            <w:pPr>
              <w:pStyle w:val="02Tabletext"/>
              <w:rPr>
                <w:lang w:val="en-US"/>
              </w:rPr>
            </w:pPr>
            <w:r w:rsidRPr="00AF4170">
              <w:rPr>
                <w:lang w:val="en-US"/>
              </w:rPr>
              <w:t xml:space="preserve">Tissue typing in coeliac disease: Determination of tissue types (DQ2/DQ8) associated with coeliac disease. The method used </w:t>
            </w:r>
            <w:r w:rsidR="00781F2B">
              <w:rPr>
                <w:lang w:val="en-US"/>
              </w:rPr>
              <w:t>must</w:t>
            </w:r>
            <w:r w:rsidR="00781F2B" w:rsidRPr="00AF4170">
              <w:rPr>
                <w:lang w:val="en-US"/>
              </w:rPr>
              <w:t xml:space="preserve"> </w:t>
            </w:r>
            <w:r w:rsidRPr="00AF4170">
              <w:rPr>
                <w:lang w:val="en-US"/>
              </w:rPr>
              <w:t>be able to resolve both the DQA1* and DQB1* alleles to the four</w:t>
            </w:r>
            <w:r w:rsidR="00A8488B">
              <w:rPr>
                <w:lang w:val="en-US"/>
              </w:rPr>
              <w:t>-</w:t>
            </w:r>
            <w:r w:rsidRPr="00AF4170">
              <w:rPr>
                <w:lang w:val="en-US"/>
              </w:rPr>
              <w:t>digit level of resolution, for all the known at-risk alleles of DQ2 and DQ* and exclude common alternative alleles</w:t>
            </w:r>
          </w:p>
        </w:tc>
      </w:tr>
    </w:tbl>
    <w:p w14:paraId="52E331D8" w14:textId="77777777" w:rsidR="00FE454C" w:rsidRDefault="00FE454C" w:rsidP="006A17D1">
      <w:pPr>
        <w:pStyle w:val="Heading3Numbered"/>
      </w:pPr>
      <w:r>
        <w:t xml:space="preserve">Rationale </w:t>
      </w:r>
      <w:r w:rsidR="0068228A">
        <w:t>2</w:t>
      </w:r>
    </w:p>
    <w:p w14:paraId="70FC077A" w14:textId="77777777" w:rsidR="00A8488B" w:rsidRDefault="00274C34">
      <w:pPr>
        <w:pStyle w:val="NormalBulleted"/>
        <w:rPr>
          <w:lang w:val="en-US"/>
        </w:rPr>
      </w:pPr>
      <w:r>
        <w:rPr>
          <w:lang w:val="en-US"/>
        </w:rPr>
        <w:t>Item 71151 is used to detect leu</w:t>
      </w:r>
      <w:r w:rsidR="00A8488B">
        <w:rPr>
          <w:lang w:val="en-US"/>
        </w:rPr>
        <w:t>c</w:t>
      </w:r>
      <w:r>
        <w:rPr>
          <w:lang w:val="en-US"/>
        </w:rPr>
        <w:t>ocyte antigen</w:t>
      </w:r>
      <w:r w:rsidR="000845FF">
        <w:rPr>
          <w:lang w:val="en-US"/>
        </w:rPr>
        <w:t xml:space="preserve">s and this testing is important in transplanting organs or </w:t>
      </w:r>
      <w:r w:rsidR="00804FE5">
        <w:rPr>
          <w:lang w:val="en-US"/>
        </w:rPr>
        <w:t>tissue</w:t>
      </w:r>
      <w:r w:rsidR="000845FF">
        <w:rPr>
          <w:lang w:val="en-US"/>
        </w:rPr>
        <w:t>.</w:t>
      </w:r>
      <w:r w:rsidR="00804FE5">
        <w:rPr>
          <w:lang w:val="en-US"/>
        </w:rPr>
        <w:t xml:space="preserve"> </w:t>
      </w:r>
      <w:r w:rsidR="00B32FD5">
        <w:rPr>
          <w:lang w:val="en-US"/>
        </w:rPr>
        <w:t>The</w:t>
      </w:r>
      <w:r w:rsidR="00804FE5">
        <w:rPr>
          <w:lang w:val="en-US"/>
        </w:rPr>
        <w:t xml:space="preserve"> Committee noted that during 2014–15 there</w:t>
      </w:r>
      <w:r w:rsidR="00B32FD5">
        <w:rPr>
          <w:lang w:val="en-US"/>
        </w:rPr>
        <w:t xml:space="preserve"> </w:t>
      </w:r>
      <w:r w:rsidR="00A8488B">
        <w:rPr>
          <w:lang w:val="en-US"/>
        </w:rPr>
        <w:t xml:space="preserve">was </w:t>
      </w:r>
      <w:r w:rsidR="00B32FD5">
        <w:rPr>
          <w:lang w:val="en-US"/>
        </w:rPr>
        <w:t xml:space="preserve">variation in the utilisation of item 71151 across the </w:t>
      </w:r>
      <w:r w:rsidR="00A8488B">
        <w:rPr>
          <w:lang w:val="en-US"/>
        </w:rPr>
        <w:t xml:space="preserve">states </w:t>
      </w:r>
      <w:r w:rsidR="00B32FD5">
        <w:rPr>
          <w:lang w:val="en-US"/>
        </w:rPr>
        <w:t xml:space="preserve">and </w:t>
      </w:r>
      <w:r w:rsidR="00A8488B">
        <w:rPr>
          <w:lang w:val="en-US"/>
        </w:rPr>
        <w:t>territories,</w:t>
      </w:r>
      <w:r w:rsidR="00B32FD5">
        <w:rPr>
          <w:lang w:val="en-US"/>
        </w:rPr>
        <w:t xml:space="preserve"> </w:t>
      </w:r>
      <w:r w:rsidR="00A8488B">
        <w:rPr>
          <w:lang w:val="en-US"/>
        </w:rPr>
        <w:t xml:space="preserve">which </w:t>
      </w:r>
      <w:r w:rsidR="00B32FD5">
        <w:rPr>
          <w:lang w:val="en-US"/>
        </w:rPr>
        <w:t xml:space="preserve">can possibly be accounted for </w:t>
      </w:r>
      <w:r w:rsidR="00A8488B">
        <w:rPr>
          <w:lang w:val="en-US"/>
        </w:rPr>
        <w:t xml:space="preserve">by </w:t>
      </w:r>
      <w:r w:rsidR="00B32FD5">
        <w:rPr>
          <w:lang w:val="en-US"/>
        </w:rPr>
        <w:t xml:space="preserve">public hospital laboratories in </w:t>
      </w:r>
      <w:r w:rsidR="00A8488B">
        <w:rPr>
          <w:lang w:val="en-US"/>
        </w:rPr>
        <w:t xml:space="preserve">Qld </w:t>
      </w:r>
      <w:r w:rsidR="00B32FD5">
        <w:rPr>
          <w:lang w:val="en-US"/>
        </w:rPr>
        <w:t xml:space="preserve">and WA </w:t>
      </w:r>
      <w:r w:rsidR="0068228A">
        <w:rPr>
          <w:lang w:val="en-US"/>
        </w:rPr>
        <w:t>performing</w:t>
      </w:r>
      <w:r w:rsidR="00B32FD5">
        <w:rPr>
          <w:lang w:val="en-US"/>
        </w:rPr>
        <w:t xml:space="preserve"> tissue typing onsite.</w:t>
      </w:r>
    </w:p>
    <w:p w14:paraId="0FB7D5A0" w14:textId="77777777" w:rsidR="00A8488B" w:rsidRDefault="00415049">
      <w:pPr>
        <w:pStyle w:val="NormalBulleted"/>
        <w:rPr>
          <w:lang w:val="en-US"/>
        </w:rPr>
      </w:pPr>
      <w:r>
        <w:rPr>
          <w:lang w:val="en-US"/>
        </w:rPr>
        <w:t>Genetic testing with HLA DQ2/DQ8 is useful in certain circumstances</w:t>
      </w:r>
      <w:r w:rsidR="00A8488B">
        <w:rPr>
          <w:lang w:val="en-US"/>
        </w:rPr>
        <w:t>:</w:t>
      </w:r>
    </w:p>
    <w:p w14:paraId="1A8B09CF" w14:textId="77777777" w:rsidR="00A8488B" w:rsidRDefault="002B63AA" w:rsidP="00A236C2">
      <w:pPr>
        <w:pStyle w:val="Bullet2"/>
        <w:rPr>
          <w:lang w:val="en-US"/>
        </w:rPr>
      </w:pPr>
      <w:r>
        <w:rPr>
          <w:lang w:val="en-US"/>
        </w:rPr>
        <w:t xml:space="preserve">A </w:t>
      </w:r>
      <w:r w:rsidR="00415049">
        <w:rPr>
          <w:lang w:val="en-US"/>
        </w:rPr>
        <w:t>negative test result excludes coeliac disease</w:t>
      </w:r>
      <w:r w:rsidR="00A8488B">
        <w:rPr>
          <w:lang w:val="en-US"/>
        </w:rPr>
        <w:t>,</w:t>
      </w:r>
      <w:r w:rsidR="00415049">
        <w:rPr>
          <w:lang w:val="en-US"/>
        </w:rPr>
        <w:t xml:space="preserve"> as more than 99% of patients with coeliac disease carry one or other of the markers</w:t>
      </w:r>
      <w:r>
        <w:rPr>
          <w:lang w:val="en-US"/>
        </w:rPr>
        <w:t>.</w:t>
      </w:r>
    </w:p>
    <w:p w14:paraId="630403E4" w14:textId="77777777" w:rsidR="00415049" w:rsidRDefault="002B63AA" w:rsidP="007B6365">
      <w:pPr>
        <w:pStyle w:val="Bullet2"/>
        <w:rPr>
          <w:lang w:val="en-US"/>
        </w:rPr>
      </w:pPr>
      <w:r>
        <w:rPr>
          <w:lang w:val="en-US"/>
        </w:rPr>
        <w:t>A</w:t>
      </w:r>
      <w:r w:rsidR="00415049">
        <w:rPr>
          <w:lang w:val="en-US"/>
        </w:rPr>
        <w:t xml:space="preserve"> positive test is not useful to diagnose coeliac disease because HLA DQ2/DQ8 is present in about 50% of the population.</w:t>
      </w:r>
      <w:r w:rsidR="00C710B8">
        <w:rPr>
          <w:lang w:val="en-US"/>
        </w:rPr>
        <w:fldChar w:fldCharType="begin">
          <w:fldData xml:space="preserve">PEVuZE5vdGU+PENpdGU+PEF1dGhvcj5BbmRlcnNvbjwvQXV0aG9yPjxZZWFyPjIwMTM8L1llYXI+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</w:fldData>
        </w:fldChar>
      </w:r>
      <w:r w:rsidR="00F304E9">
        <w:rPr>
          <w:lang w:val="en-US"/>
        </w:rPr>
        <w:instrText xml:space="preserve"> ADDIN EN.CITE </w:instrText>
      </w:r>
      <w:r w:rsidR="00F304E9">
        <w:rPr>
          <w:lang w:val="en-US"/>
        </w:rPr>
        <w:fldChar w:fldCharType="begin">
          <w:fldData xml:space="preserve">PEVuZE5vdGU+PENpdGU+PEF1dGhvcj5BbmRlcnNvbjwvQXV0aG9yPjxZZWFyPjIwMTM8L1llYXI+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</w:fldData>
        </w:fldChar>
      </w:r>
      <w:r w:rsidR="00F304E9">
        <w:rPr>
          <w:lang w:val="en-US"/>
        </w:rPr>
        <w:instrText xml:space="preserve"> ADDIN EN.CITE.DATA </w:instrText>
      </w:r>
      <w:r w:rsidR="00F304E9">
        <w:rPr>
          <w:lang w:val="en-US"/>
        </w:rPr>
      </w:r>
      <w:r w:rsidR="00F304E9">
        <w:rPr>
          <w:lang w:val="en-US"/>
        </w:rPr>
        <w:fldChar w:fldCharType="end"/>
      </w:r>
      <w:r w:rsidR="00C710B8">
        <w:rPr>
          <w:lang w:val="en-US"/>
        </w:rPr>
      </w:r>
      <w:r w:rsidR="00C710B8">
        <w:rPr>
          <w:lang w:val="en-US"/>
        </w:rPr>
        <w:fldChar w:fldCharType="separate"/>
      </w:r>
      <w:r w:rsidR="00F304E9">
        <w:rPr>
          <w:noProof/>
          <w:lang w:val="en-US"/>
        </w:rPr>
        <w:t xml:space="preserve"> [2]</w:t>
      </w:r>
      <w:r w:rsidR="00C710B8">
        <w:rPr>
          <w:lang w:val="en-US"/>
        </w:rPr>
        <w:fldChar w:fldCharType="end"/>
      </w:r>
    </w:p>
    <w:p w14:paraId="2C163CC9" w14:textId="77777777" w:rsidR="00FE454C" w:rsidRDefault="00FE454C">
      <w:pPr>
        <w:pStyle w:val="NormalBulleted"/>
        <w:rPr>
          <w:lang w:val="en-US"/>
        </w:rPr>
      </w:pPr>
      <w:r>
        <w:rPr>
          <w:lang w:val="en-US"/>
        </w:rPr>
        <w:t>The Committee recognises that t</w:t>
      </w:r>
      <w:r w:rsidRPr="009E3730">
        <w:rPr>
          <w:lang w:val="en-US"/>
        </w:rPr>
        <w:t>esting for coeliac di</w:t>
      </w:r>
      <w:r>
        <w:rPr>
          <w:lang w:val="en-US"/>
        </w:rPr>
        <w:t>sease</w:t>
      </w:r>
      <w:r w:rsidR="00A8488B">
        <w:rPr>
          <w:lang w:val="en-US"/>
        </w:rPr>
        <w:t>-</w:t>
      </w:r>
      <w:r>
        <w:rPr>
          <w:lang w:val="en-US"/>
        </w:rPr>
        <w:t>related HLA-DQ typing (</w:t>
      </w:r>
      <w:r w:rsidR="00A8488B">
        <w:rPr>
          <w:lang w:val="en-US"/>
        </w:rPr>
        <w:t>i.e.</w:t>
      </w:r>
      <w:r>
        <w:rPr>
          <w:lang w:val="en-US"/>
        </w:rPr>
        <w:t xml:space="preserve"> </w:t>
      </w:r>
      <w:r w:rsidRPr="009E3730">
        <w:rPr>
          <w:lang w:val="en-US"/>
        </w:rPr>
        <w:t xml:space="preserve">for DQ2 and DQ8) is likely to be included in requests for </w:t>
      </w:r>
      <w:r>
        <w:rPr>
          <w:lang w:val="en-US"/>
        </w:rPr>
        <w:t xml:space="preserve">item </w:t>
      </w:r>
      <w:r w:rsidRPr="009E3730">
        <w:rPr>
          <w:lang w:val="en-US"/>
        </w:rPr>
        <w:t>71151</w:t>
      </w:r>
      <w:r>
        <w:rPr>
          <w:lang w:val="en-US"/>
        </w:rPr>
        <w:t xml:space="preserve"> and therefore recommended that a new item be created for this indication.</w:t>
      </w:r>
      <w:r w:rsidRPr="00EE32B9">
        <w:rPr>
          <w:lang w:val="en-US"/>
        </w:rPr>
        <w:t xml:space="preserve"> </w:t>
      </w:r>
    </w:p>
    <w:p w14:paraId="6C26C7A1" w14:textId="77777777" w:rsidR="00FE454C" w:rsidRDefault="00FE454C">
      <w:pPr>
        <w:pStyle w:val="NormalBulleted"/>
        <w:rPr>
          <w:lang w:val="en-US"/>
        </w:rPr>
      </w:pPr>
      <w:r>
        <w:rPr>
          <w:lang w:val="en-US"/>
        </w:rPr>
        <w:t>This</w:t>
      </w:r>
      <w:r w:rsidRPr="003331C9">
        <w:rPr>
          <w:lang w:val="en-US"/>
        </w:rPr>
        <w:t xml:space="preserve"> has been</w:t>
      </w:r>
      <w:r>
        <w:rPr>
          <w:lang w:val="en-US"/>
        </w:rPr>
        <w:t xml:space="preserve"> considered before </w:t>
      </w:r>
      <w:r w:rsidR="00A8488B">
        <w:rPr>
          <w:lang w:val="en-US"/>
        </w:rPr>
        <w:t xml:space="preserve">by </w:t>
      </w:r>
      <w:r>
        <w:rPr>
          <w:lang w:val="en-US"/>
        </w:rPr>
        <w:t>the Pathology Service Advisory Committee (PSAC). PSAC advised that item 71151</w:t>
      </w:r>
      <w:r w:rsidRPr="003331C9">
        <w:rPr>
          <w:lang w:val="en-US"/>
        </w:rPr>
        <w:t xml:space="preserve"> is </w:t>
      </w:r>
      <w:r>
        <w:rPr>
          <w:lang w:val="en-US"/>
        </w:rPr>
        <w:t>at risk</w:t>
      </w:r>
      <w:r w:rsidRPr="003331C9">
        <w:rPr>
          <w:lang w:val="en-US"/>
        </w:rPr>
        <w:t xml:space="preserve"> </w:t>
      </w:r>
      <w:r>
        <w:rPr>
          <w:lang w:val="en-US"/>
        </w:rPr>
        <w:t>of</w:t>
      </w:r>
      <w:r w:rsidRPr="003331C9">
        <w:rPr>
          <w:lang w:val="en-US"/>
        </w:rPr>
        <w:t xml:space="preserve"> </w:t>
      </w:r>
      <w:r w:rsidR="00BE53AF">
        <w:rPr>
          <w:lang w:val="en-US"/>
        </w:rPr>
        <w:t>inappropriate</w:t>
      </w:r>
      <w:r w:rsidR="00BE53AF" w:rsidRPr="003331C9">
        <w:rPr>
          <w:lang w:val="en-US"/>
        </w:rPr>
        <w:t xml:space="preserve"> </w:t>
      </w:r>
      <w:r w:rsidR="00A8488B">
        <w:rPr>
          <w:lang w:val="en-US"/>
        </w:rPr>
        <w:t xml:space="preserve">use </w:t>
      </w:r>
      <w:r w:rsidRPr="003331C9">
        <w:rPr>
          <w:lang w:val="en-US"/>
        </w:rPr>
        <w:t>by referrers</w:t>
      </w:r>
      <w:r>
        <w:rPr>
          <w:lang w:val="en-US"/>
        </w:rPr>
        <w:t>,</w:t>
      </w:r>
      <w:r w:rsidR="00BE53AF">
        <w:rPr>
          <w:lang w:val="en-US"/>
        </w:rPr>
        <w:t xml:space="preserve"> by possibly using a positive test result for HLA to imply the presence of possible coeliac disease; PSAC</w:t>
      </w:r>
      <w:r>
        <w:rPr>
          <w:lang w:val="en-US"/>
        </w:rPr>
        <w:t xml:space="preserve"> suggested restricting this item to promote appropriate use</w:t>
      </w:r>
      <w:r w:rsidRPr="003331C9">
        <w:rPr>
          <w:lang w:val="en-US"/>
        </w:rPr>
        <w:t>.</w:t>
      </w:r>
      <w:r>
        <w:rPr>
          <w:lang w:val="en-US"/>
        </w:rPr>
        <w:t xml:space="preserve"> </w:t>
      </w:r>
    </w:p>
    <w:p w14:paraId="26C558CF" w14:textId="77777777" w:rsidR="00FE454C" w:rsidRDefault="00FE454C">
      <w:pPr>
        <w:pStyle w:val="NormalBulleted"/>
        <w:rPr>
          <w:lang w:val="en-US"/>
        </w:rPr>
      </w:pPr>
      <w:r>
        <w:rPr>
          <w:lang w:val="en-US"/>
        </w:rPr>
        <w:t xml:space="preserve">The Committee recognises there </w:t>
      </w:r>
      <w:r w:rsidRPr="00B64C8D">
        <w:rPr>
          <w:lang w:val="en-US"/>
        </w:rPr>
        <w:t>may be changes in clinical guidelines</w:t>
      </w:r>
      <w:r>
        <w:rPr>
          <w:lang w:val="en-US"/>
        </w:rPr>
        <w:t xml:space="preserve"> that may influence the requesting of this test, which could lead to increased testing.</w:t>
      </w:r>
    </w:p>
    <w:p w14:paraId="7BECD7A2" w14:textId="77777777" w:rsidR="00FE454C" w:rsidRDefault="00FE454C">
      <w:pPr>
        <w:pStyle w:val="NormalBulleted"/>
        <w:rPr>
          <w:lang w:val="en-US"/>
        </w:rPr>
      </w:pPr>
      <w:r>
        <w:rPr>
          <w:lang w:val="en-US"/>
        </w:rPr>
        <w:t>As these are tests of a person’s DNA, the results should not change during their lifetime.</w:t>
      </w:r>
      <w:r w:rsidR="00AB6550">
        <w:rPr>
          <w:lang w:val="en-US"/>
        </w:rPr>
        <w:t xml:space="preserve"> </w:t>
      </w:r>
      <w:r w:rsidR="00A8488B">
        <w:rPr>
          <w:lang w:val="en-US"/>
        </w:rPr>
        <w:t>However, t</w:t>
      </w:r>
      <w:r>
        <w:rPr>
          <w:lang w:val="en-US"/>
        </w:rPr>
        <w:t xml:space="preserve">esting a second time to confirm unexpected results may occasionally be required, or if results from previous testing </w:t>
      </w:r>
      <w:r w:rsidR="00A8488B">
        <w:rPr>
          <w:lang w:val="en-US"/>
        </w:rPr>
        <w:t xml:space="preserve">are </w:t>
      </w:r>
      <w:r>
        <w:rPr>
          <w:lang w:val="en-US"/>
        </w:rPr>
        <w:t>not available.</w:t>
      </w:r>
    </w:p>
    <w:p w14:paraId="48196B45" w14:textId="77777777" w:rsidR="00FE454C" w:rsidRPr="00D53BB1" w:rsidRDefault="00FE454C">
      <w:pPr>
        <w:pStyle w:val="NormalBulleted"/>
        <w:rPr>
          <w:lang w:val="en-US"/>
        </w:rPr>
      </w:pPr>
      <w:r w:rsidRPr="00982A76">
        <w:rPr>
          <w:rStyle w:val="NormalBulletedChar"/>
        </w:rPr>
        <w:t xml:space="preserve">The Committee recognises that the current </w:t>
      </w:r>
      <w:r w:rsidR="00A8488B">
        <w:rPr>
          <w:rStyle w:val="NormalBulletedChar"/>
        </w:rPr>
        <w:t>S</w:t>
      </w:r>
      <w:r w:rsidR="00A8488B" w:rsidRPr="00982A76">
        <w:rPr>
          <w:rStyle w:val="NormalBulletedChar"/>
        </w:rPr>
        <w:t xml:space="preserve">chedule </w:t>
      </w:r>
      <w:r w:rsidRPr="00982A76">
        <w:rPr>
          <w:rStyle w:val="NormalBulletedChar"/>
        </w:rPr>
        <w:t>does not reflect current clinical practice and proposes that a new item be created for this test to be remunerated within the MBS</w:t>
      </w:r>
      <w:r w:rsidR="00BE53AF">
        <w:rPr>
          <w:rStyle w:val="NormalBulletedChar"/>
        </w:rPr>
        <w:t xml:space="preserve"> (at the same fee for item 71151)</w:t>
      </w:r>
      <w:r w:rsidRPr="00982A76">
        <w:rPr>
          <w:rStyle w:val="NormalBulletedChar"/>
        </w:rPr>
        <w:t>.</w:t>
      </w:r>
    </w:p>
    <w:p w14:paraId="12351501" w14:textId="77777777" w:rsidR="003D56B4" w:rsidRPr="00F33251" w:rsidRDefault="003D56B4" w:rsidP="00E2562E">
      <w:pPr>
        <w:pStyle w:val="Heading2"/>
      </w:pPr>
      <w:bookmarkStart w:id="39" w:name="_Toc499293038"/>
      <w:r>
        <w:t>S</w:t>
      </w:r>
      <w:r w:rsidRPr="00F33251">
        <w:t>pecific immunoglobulin E antibodies</w:t>
      </w:r>
      <w:r>
        <w:t>: item 71079</w:t>
      </w:r>
      <w:bookmarkEnd w:id="39"/>
    </w:p>
    <w:p w14:paraId="19738029" w14:textId="77777777" w:rsidR="00650CD1" w:rsidRPr="00650CD1" w:rsidRDefault="00650CD1">
      <w:pPr>
        <w:pStyle w:val="Caption"/>
      </w:pPr>
      <w:bookmarkStart w:id="40" w:name="_Toc499289244"/>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7</w:t>
      </w:r>
      <w:r w:rsidR="0004721F">
        <w:rPr>
          <w:noProof/>
        </w:rPr>
        <w:fldChar w:fldCharType="end"/>
      </w:r>
      <w:r>
        <w:t xml:space="preserve">. </w:t>
      </w:r>
      <w:r w:rsidRPr="00E8051A">
        <w:t xml:space="preserve">Item introduction table for item </w:t>
      </w:r>
      <w:r>
        <w:t>71079</w:t>
      </w:r>
      <w:bookmarkEnd w:id="40"/>
    </w:p>
    <w:tbl>
      <w:tblPr>
        <w:tblStyle w:val="TableGrid1"/>
        <w:tblW w:w="9039" w:type="dxa"/>
        <w:tblLayout w:type="fixed"/>
        <w:tblLook w:val="04A0" w:firstRow="1" w:lastRow="0" w:firstColumn="1" w:lastColumn="0" w:noHBand="0" w:noVBand="1"/>
        <w:tblCaption w:val="Table 7: Item introduction table for item 71079"/>
        <w:tblDescription w:val="Table 7 contains MBS data for item 71079 for the finanical year 2014–2015. The data includes item number, long item descriptor, schedule fee, total volume of services, benefits paid, patient count and services annual average growth as a pecentage over a 5 year period"/>
      </w:tblPr>
      <w:tblGrid>
        <w:gridCol w:w="776"/>
        <w:gridCol w:w="2593"/>
        <w:gridCol w:w="1021"/>
        <w:gridCol w:w="1275"/>
        <w:gridCol w:w="1276"/>
        <w:gridCol w:w="992"/>
        <w:gridCol w:w="1106"/>
      </w:tblGrid>
      <w:tr w:rsidR="003D56B4" w:rsidRPr="00DD5A29" w14:paraId="53575789" w14:textId="77777777" w:rsidTr="007B6365">
        <w:trPr>
          <w:trHeight w:val="729"/>
          <w:tblHeader/>
        </w:trPr>
        <w:tc>
          <w:tcPr>
            <w:tcW w:w="776" w:type="dxa"/>
            <w:shd w:val="clear" w:color="auto" w:fill="EEECE1" w:themeFill="background2"/>
            <w:vAlign w:val="bottom"/>
            <w:hideMark/>
          </w:tcPr>
          <w:p w14:paraId="7F087297" w14:textId="77777777" w:rsidR="003D56B4" w:rsidRPr="00DD5A29" w:rsidRDefault="003D56B4" w:rsidP="007B6365">
            <w:pPr>
              <w:pStyle w:val="01Tableheaderrow"/>
              <w:rPr>
                <w:lang w:val="en-GB"/>
              </w:rPr>
            </w:pPr>
            <w:r w:rsidRPr="00C70F36">
              <w:rPr>
                <w:lang w:val="en-GB"/>
              </w:rPr>
              <w:t>Item</w:t>
            </w:r>
          </w:p>
        </w:tc>
        <w:tc>
          <w:tcPr>
            <w:tcW w:w="2593" w:type="dxa"/>
            <w:shd w:val="clear" w:color="auto" w:fill="EEECE1" w:themeFill="background2"/>
            <w:vAlign w:val="bottom"/>
            <w:hideMark/>
          </w:tcPr>
          <w:p w14:paraId="022118EC" w14:textId="77777777" w:rsidR="003D56B4" w:rsidRPr="00DD5A29" w:rsidRDefault="003D56B4" w:rsidP="007B6365">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021" w:type="dxa"/>
            <w:shd w:val="clear" w:color="auto" w:fill="EEECE1" w:themeFill="background2"/>
            <w:vAlign w:val="bottom"/>
            <w:hideMark/>
          </w:tcPr>
          <w:p w14:paraId="4AC5D832" w14:textId="77777777" w:rsidR="003D56B4" w:rsidRPr="00256B04" w:rsidRDefault="003D56B4" w:rsidP="007B6365">
            <w:pPr>
              <w:pStyle w:val="01Tableheaderrow"/>
              <w:rPr>
                <w:lang w:val="en-GB"/>
              </w:rPr>
            </w:pPr>
            <w:r w:rsidRPr="00C70F36">
              <w:rPr>
                <w:lang w:val="en-GB"/>
              </w:rPr>
              <w:t>Schedule fee</w:t>
            </w:r>
          </w:p>
        </w:tc>
        <w:tc>
          <w:tcPr>
            <w:tcW w:w="1275" w:type="dxa"/>
            <w:shd w:val="clear" w:color="auto" w:fill="EEECE1" w:themeFill="background2"/>
            <w:vAlign w:val="bottom"/>
            <w:hideMark/>
          </w:tcPr>
          <w:p w14:paraId="2303D46E" w14:textId="77777777" w:rsidR="003D56B4" w:rsidRPr="00DD5A29" w:rsidRDefault="003D56B4" w:rsidP="007B6365">
            <w:pPr>
              <w:pStyle w:val="01Tableheaderrow"/>
              <w:rPr>
                <w:lang w:val="en-GB"/>
              </w:rPr>
            </w:pPr>
            <w:r w:rsidRPr="00C70F36">
              <w:rPr>
                <w:lang w:val="en-GB"/>
              </w:rPr>
              <w:t xml:space="preserve">Services </w:t>
            </w:r>
            <w:r w:rsidR="007D6844">
              <w:rPr>
                <w:lang w:val="en-GB"/>
              </w:rPr>
              <w:t>FY 2014–15</w:t>
            </w:r>
          </w:p>
        </w:tc>
        <w:tc>
          <w:tcPr>
            <w:tcW w:w="1276" w:type="dxa"/>
            <w:shd w:val="clear" w:color="auto" w:fill="EEECE1" w:themeFill="background2"/>
            <w:vAlign w:val="bottom"/>
          </w:tcPr>
          <w:p w14:paraId="64F93768" w14:textId="77777777" w:rsidR="003D56B4" w:rsidRPr="00DD5A29" w:rsidRDefault="003D56B4" w:rsidP="007B6365">
            <w:pPr>
              <w:pStyle w:val="01Tableheaderrow"/>
              <w:rPr>
                <w:lang w:val="en-GB"/>
              </w:rPr>
            </w:pPr>
            <w:r w:rsidRPr="00C70F36">
              <w:rPr>
                <w:lang w:val="en-GB"/>
              </w:rPr>
              <w:t xml:space="preserve">Benefits </w:t>
            </w:r>
            <w:r w:rsidR="007D6844">
              <w:rPr>
                <w:lang w:val="en-GB"/>
              </w:rPr>
              <w:t>FY 2014–15</w:t>
            </w:r>
          </w:p>
        </w:tc>
        <w:tc>
          <w:tcPr>
            <w:tcW w:w="992" w:type="dxa"/>
            <w:shd w:val="clear" w:color="auto" w:fill="EEECE1" w:themeFill="background2"/>
            <w:vAlign w:val="bottom"/>
            <w:hideMark/>
          </w:tcPr>
          <w:p w14:paraId="47CF7A81" w14:textId="77777777" w:rsidR="003D56B4" w:rsidRPr="00DD5A29" w:rsidRDefault="003D56B4" w:rsidP="007B6365">
            <w:pPr>
              <w:pStyle w:val="01Tableheaderrow"/>
              <w:rPr>
                <w:lang w:val="en-GB"/>
              </w:rPr>
            </w:pPr>
            <w:r w:rsidRPr="00C70F36">
              <w:rPr>
                <w:lang w:val="en-GB"/>
              </w:rPr>
              <w:t>Patient count</w:t>
            </w:r>
          </w:p>
        </w:tc>
        <w:tc>
          <w:tcPr>
            <w:tcW w:w="1106" w:type="dxa"/>
            <w:shd w:val="clear" w:color="auto" w:fill="EEECE1" w:themeFill="background2"/>
            <w:vAlign w:val="bottom"/>
            <w:hideMark/>
          </w:tcPr>
          <w:p w14:paraId="7D9B8C03" w14:textId="77777777" w:rsidR="003D56B4" w:rsidRPr="00DD5A29" w:rsidRDefault="003D56B4" w:rsidP="007B6365">
            <w:pPr>
              <w:pStyle w:val="01Tableheaderrow"/>
              <w:rPr>
                <w:lang w:val="en-GB"/>
              </w:rPr>
            </w:pPr>
            <w:r w:rsidRPr="00C70F36">
              <w:rPr>
                <w:lang w:val="en-GB"/>
              </w:rPr>
              <w:t xml:space="preserve">Services 5-year </w:t>
            </w:r>
            <w:r w:rsidR="007D6844">
              <w:rPr>
                <w:lang w:val="en-GB"/>
              </w:rPr>
              <w:t>annual average growth</w:t>
            </w:r>
          </w:p>
        </w:tc>
      </w:tr>
      <w:tr w:rsidR="003D56B4" w:rsidRPr="00DD5A29" w14:paraId="6BE85546" w14:textId="77777777" w:rsidTr="007B6365">
        <w:trPr>
          <w:trHeight w:val="300"/>
        </w:trPr>
        <w:tc>
          <w:tcPr>
            <w:tcW w:w="776" w:type="dxa"/>
            <w:noWrap/>
            <w:hideMark/>
          </w:tcPr>
          <w:p w14:paraId="58C5F3C4" w14:textId="77777777" w:rsidR="003D56B4" w:rsidRPr="00DD5A29" w:rsidRDefault="003D56B4" w:rsidP="007B6365">
            <w:pPr>
              <w:pStyle w:val="02Tabletext"/>
              <w:rPr>
                <w:color w:val="000000"/>
                <w:lang w:val="en-GB"/>
              </w:rPr>
            </w:pPr>
            <w:r>
              <w:rPr>
                <w:color w:val="000000"/>
                <w:lang w:val="en-GB"/>
              </w:rPr>
              <w:t>71079</w:t>
            </w:r>
          </w:p>
        </w:tc>
        <w:tc>
          <w:tcPr>
            <w:tcW w:w="2593" w:type="dxa"/>
            <w:noWrap/>
            <w:hideMark/>
          </w:tcPr>
          <w:p w14:paraId="3D258D9B" w14:textId="77777777" w:rsidR="003D56B4" w:rsidRPr="00F33251" w:rsidRDefault="003D56B4" w:rsidP="007B6365">
            <w:pPr>
              <w:pStyle w:val="02Tabletext"/>
              <w:rPr>
                <w:color w:val="000000"/>
                <w:lang w:val="en-GB"/>
              </w:rPr>
            </w:pPr>
            <w:r w:rsidRPr="00F33251">
              <w:rPr>
                <w:color w:val="000000"/>
                <w:lang w:val="en-GB"/>
              </w:rPr>
              <w:t xml:space="preserve">Detection of specific immunoglobulin </w:t>
            </w:r>
            <w:r w:rsidR="0033483A">
              <w:rPr>
                <w:color w:val="000000"/>
                <w:lang w:val="en-GB"/>
              </w:rPr>
              <w:t>E (IgE)</w:t>
            </w:r>
            <w:r w:rsidRPr="00F33251">
              <w:rPr>
                <w:color w:val="000000"/>
                <w:lang w:val="en-GB"/>
              </w:rPr>
              <w:t xml:space="preserve"> antibodies to single or multiple potential allergens, 1 </w:t>
            </w:r>
            <w:r w:rsidRPr="00F33251">
              <w:rPr>
                <w:color w:val="000000"/>
                <w:lang w:val="en-GB"/>
              </w:rPr>
              <w:lastRenderedPageBreak/>
              <w:t>test (Item is subject to rule 25)</w:t>
            </w:r>
          </w:p>
        </w:tc>
        <w:tc>
          <w:tcPr>
            <w:tcW w:w="1021" w:type="dxa"/>
            <w:noWrap/>
            <w:hideMark/>
          </w:tcPr>
          <w:p w14:paraId="64B64042" w14:textId="77777777" w:rsidR="003D56B4" w:rsidRPr="00F33251" w:rsidRDefault="003D56B4" w:rsidP="007B6365">
            <w:pPr>
              <w:pStyle w:val="02Tabletext"/>
              <w:jc w:val="right"/>
              <w:rPr>
                <w:color w:val="000000"/>
                <w:lang w:val="en-GB"/>
              </w:rPr>
            </w:pPr>
            <w:r w:rsidRPr="00F33251">
              <w:rPr>
                <w:color w:val="000000"/>
                <w:lang w:val="en-GB"/>
              </w:rPr>
              <w:lastRenderedPageBreak/>
              <w:t>$26.80</w:t>
            </w:r>
          </w:p>
        </w:tc>
        <w:tc>
          <w:tcPr>
            <w:tcW w:w="1275" w:type="dxa"/>
            <w:noWrap/>
            <w:hideMark/>
          </w:tcPr>
          <w:p w14:paraId="3ECC12B9" w14:textId="77777777" w:rsidR="003D56B4" w:rsidRPr="00F33251" w:rsidRDefault="003D56B4" w:rsidP="007B6365">
            <w:pPr>
              <w:pStyle w:val="02Tabletext"/>
              <w:jc w:val="right"/>
              <w:rPr>
                <w:color w:val="000000"/>
                <w:lang w:val="en-GB"/>
              </w:rPr>
            </w:pPr>
            <w:r w:rsidRPr="00F33251">
              <w:rPr>
                <w:color w:val="000000"/>
                <w:lang w:val="en-GB"/>
              </w:rPr>
              <w:t>201,567</w:t>
            </w:r>
          </w:p>
        </w:tc>
        <w:tc>
          <w:tcPr>
            <w:tcW w:w="1276" w:type="dxa"/>
          </w:tcPr>
          <w:p w14:paraId="35F70884" w14:textId="77777777" w:rsidR="003D56B4" w:rsidRPr="00F33251" w:rsidRDefault="003D56B4" w:rsidP="007B6365">
            <w:pPr>
              <w:pStyle w:val="02Tabletext"/>
              <w:jc w:val="right"/>
              <w:rPr>
                <w:color w:val="000000"/>
                <w:lang w:val="en-GB"/>
              </w:rPr>
            </w:pPr>
            <w:r w:rsidRPr="00F33251">
              <w:rPr>
                <w:color w:val="000000"/>
                <w:lang w:val="en-GB"/>
              </w:rPr>
              <w:t>$4,615,660</w:t>
            </w:r>
          </w:p>
        </w:tc>
        <w:tc>
          <w:tcPr>
            <w:tcW w:w="992" w:type="dxa"/>
            <w:noWrap/>
            <w:hideMark/>
          </w:tcPr>
          <w:p w14:paraId="610E8A77" w14:textId="77777777" w:rsidR="003D56B4" w:rsidRPr="00F33251" w:rsidRDefault="003D56B4" w:rsidP="007B6365">
            <w:pPr>
              <w:pStyle w:val="02Tabletext"/>
              <w:jc w:val="right"/>
              <w:rPr>
                <w:color w:val="000000"/>
                <w:lang w:val="en-GB"/>
              </w:rPr>
            </w:pPr>
            <w:r w:rsidRPr="00F33251">
              <w:rPr>
                <w:color w:val="000000"/>
                <w:lang w:val="en-GB"/>
              </w:rPr>
              <w:t>191,701</w:t>
            </w:r>
          </w:p>
        </w:tc>
        <w:tc>
          <w:tcPr>
            <w:tcW w:w="1106" w:type="dxa"/>
            <w:noWrap/>
            <w:hideMark/>
          </w:tcPr>
          <w:p w14:paraId="05E2E142" w14:textId="77777777" w:rsidR="003D56B4" w:rsidRPr="00F33251" w:rsidRDefault="003D56B4" w:rsidP="007B6365">
            <w:pPr>
              <w:pStyle w:val="02Tabletext"/>
              <w:jc w:val="right"/>
              <w:rPr>
                <w:color w:val="000000"/>
                <w:lang w:val="en-GB"/>
              </w:rPr>
            </w:pPr>
            <w:r w:rsidRPr="00F33251">
              <w:rPr>
                <w:color w:val="000000"/>
                <w:lang w:val="en-GB"/>
              </w:rPr>
              <w:t>7.3%</w:t>
            </w:r>
          </w:p>
        </w:tc>
      </w:tr>
    </w:tbl>
    <w:p w14:paraId="4B1C5664" w14:textId="77777777" w:rsidR="003D56B4" w:rsidRDefault="003D56B4" w:rsidP="006A17D1">
      <w:pPr>
        <w:pStyle w:val="Heading3Numbered"/>
      </w:pPr>
      <w:r>
        <w:t>Recommendation</w:t>
      </w:r>
      <w:r w:rsidR="004910DA">
        <w:t xml:space="preserve"> 3</w:t>
      </w:r>
    </w:p>
    <w:p w14:paraId="192B0CD4" w14:textId="77777777" w:rsidR="003D56B4" w:rsidRDefault="00F14305">
      <w:pPr>
        <w:pStyle w:val="NormalBulleted"/>
      </w:pPr>
      <w:r>
        <w:t xml:space="preserve">Create </w:t>
      </w:r>
      <w:r w:rsidR="003D56B4">
        <w:t>a new item to capture multiple recombinant and purified component allergens</w:t>
      </w:r>
      <w:r w:rsidR="002B63AA">
        <w:t>.</w:t>
      </w:r>
    </w:p>
    <w:p w14:paraId="2397D3F8" w14:textId="77777777" w:rsidR="003D56B4" w:rsidRDefault="00FD52F5">
      <w:pPr>
        <w:pStyle w:val="NormalBulleted"/>
      </w:pPr>
      <w:r>
        <w:t>A</w:t>
      </w:r>
      <w:r w:rsidR="00F14305">
        <w:t xml:space="preserve">mend </w:t>
      </w:r>
      <w:r w:rsidR="003D56B4">
        <w:t>the</w:t>
      </w:r>
      <w:r w:rsidR="009746F9">
        <w:t xml:space="preserve"> item descriptor</w:t>
      </w:r>
      <w:r w:rsidR="003D56B4">
        <w:t xml:space="preserve"> of item 71079 to add the word ‘extracted’</w:t>
      </w:r>
      <w:r w:rsidR="002B63AA">
        <w:t>.</w:t>
      </w:r>
    </w:p>
    <w:p w14:paraId="12AB985B" w14:textId="77777777" w:rsidR="003D56B4" w:rsidRDefault="003B3BA4">
      <w:pPr>
        <w:pStyle w:val="NormalBulleted"/>
      </w:pPr>
      <w:r>
        <w:t>The</w:t>
      </w:r>
      <w:r w:rsidR="003D56B4">
        <w:t xml:space="preserve"> utilisation of the new item</w:t>
      </w:r>
      <w:r>
        <w:t xml:space="preserve"> is to be monitored by the Department</w:t>
      </w:r>
      <w:r w:rsidR="002B63AA">
        <w:t>.</w:t>
      </w:r>
    </w:p>
    <w:p w14:paraId="5C008491" w14:textId="77777777" w:rsidR="003D56B4" w:rsidRDefault="003D56B4" w:rsidP="003D56B4">
      <w:r>
        <w:t>The Committee’s proposed changes to item 71079 are presented in the table below.</w:t>
      </w:r>
    </w:p>
    <w:p w14:paraId="1AEAA0A5" w14:textId="77777777" w:rsidR="003D56B4" w:rsidRDefault="00562D70">
      <w:pPr>
        <w:pStyle w:val="Caption"/>
      </w:pPr>
      <w:bookmarkStart w:id="41" w:name="up_to_here"/>
      <w:bookmarkStart w:id="42" w:name="_Toc499289245"/>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8</w:t>
      </w:r>
      <w:r w:rsidR="0004721F">
        <w:rPr>
          <w:noProof/>
        </w:rPr>
        <w:fldChar w:fldCharType="end"/>
      </w:r>
      <w:r>
        <w:t xml:space="preserve">. </w:t>
      </w:r>
      <w:r w:rsidR="009F489F">
        <w:t>Current and proposed item descriptors for item</w:t>
      </w:r>
      <w:r w:rsidR="003D56B4" w:rsidRPr="00562D70">
        <w:t xml:space="preserve"> 71079</w:t>
      </w:r>
      <w:bookmarkEnd w:id="41"/>
      <w:r w:rsidR="00E2362E">
        <w:t xml:space="preserve"> and new item</w:t>
      </w:r>
      <w:bookmarkEnd w:id="42"/>
    </w:p>
    <w:tbl>
      <w:tblPr>
        <w:tblStyle w:val="TableGrid"/>
        <w:tblW w:w="0" w:type="auto"/>
        <w:tblLook w:val="04A0" w:firstRow="1" w:lastRow="0" w:firstColumn="1" w:lastColumn="0" w:noHBand="0" w:noVBand="1"/>
        <w:tblCaption w:val="Table 8: Current and proposed item descriptor for item 71079 and new item"/>
        <w:tblDescription w:val="Table 8 lists the current item descriptor for item 71079 and the proposed new descriptors for this item. It also lists the new item for multiple recombinant and purified component allergens."/>
      </w:tblPr>
      <w:tblGrid>
        <w:gridCol w:w="1838"/>
        <w:gridCol w:w="3660"/>
        <w:gridCol w:w="3518"/>
      </w:tblGrid>
      <w:tr w:rsidR="003D56B4" w14:paraId="7F89C347" w14:textId="77777777" w:rsidTr="007B6365">
        <w:trPr>
          <w:tblHeader/>
        </w:trPr>
        <w:tc>
          <w:tcPr>
            <w:tcW w:w="1838" w:type="dxa"/>
            <w:shd w:val="clear" w:color="auto" w:fill="EEECE1" w:themeFill="background2"/>
          </w:tcPr>
          <w:p w14:paraId="362197FC" w14:textId="77777777" w:rsidR="003D56B4" w:rsidRPr="00625433" w:rsidRDefault="003D56B4" w:rsidP="007B6365">
            <w:pPr>
              <w:pStyle w:val="01Tableheaderrow"/>
            </w:pPr>
            <w:r w:rsidRPr="00625433">
              <w:t>Item</w:t>
            </w:r>
          </w:p>
        </w:tc>
        <w:tc>
          <w:tcPr>
            <w:tcW w:w="3660" w:type="dxa"/>
            <w:shd w:val="clear" w:color="auto" w:fill="EEECE1" w:themeFill="background2"/>
          </w:tcPr>
          <w:p w14:paraId="41D0614F" w14:textId="77777777" w:rsidR="003D56B4" w:rsidRPr="00625433" w:rsidRDefault="003D56B4" w:rsidP="007B6365">
            <w:pPr>
              <w:pStyle w:val="01Tableheaderrow"/>
            </w:pPr>
            <w:r w:rsidRPr="00625433">
              <w:t>Current item descriptor</w:t>
            </w:r>
          </w:p>
        </w:tc>
        <w:tc>
          <w:tcPr>
            <w:tcW w:w="3518" w:type="dxa"/>
            <w:shd w:val="clear" w:color="auto" w:fill="EEECE1" w:themeFill="background2"/>
          </w:tcPr>
          <w:p w14:paraId="7231E777" w14:textId="77777777" w:rsidR="003D56B4" w:rsidRPr="00625433" w:rsidRDefault="003D56B4" w:rsidP="007B6365">
            <w:pPr>
              <w:pStyle w:val="01Tableheaderrow"/>
            </w:pPr>
            <w:r w:rsidRPr="00625433">
              <w:t>Proposed item descriptor</w:t>
            </w:r>
          </w:p>
        </w:tc>
      </w:tr>
      <w:tr w:rsidR="003D56B4" w14:paraId="4709C46F" w14:textId="77777777" w:rsidTr="00C41594">
        <w:tc>
          <w:tcPr>
            <w:tcW w:w="1838" w:type="dxa"/>
          </w:tcPr>
          <w:p w14:paraId="63156F28" w14:textId="77777777" w:rsidR="003D56B4" w:rsidRDefault="003D56B4" w:rsidP="007B6365">
            <w:pPr>
              <w:pStyle w:val="02Tabletext"/>
            </w:pPr>
            <w:r w:rsidRPr="00A84C45">
              <w:t>71079</w:t>
            </w:r>
          </w:p>
        </w:tc>
        <w:tc>
          <w:tcPr>
            <w:tcW w:w="3660" w:type="dxa"/>
          </w:tcPr>
          <w:p w14:paraId="48562ED1" w14:textId="77777777" w:rsidR="003D56B4" w:rsidRDefault="003D56B4" w:rsidP="007B6365">
            <w:pPr>
              <w:pStyle w:val="02Tabletext"/>
            </w:pPr>
            <w:r w:rsidRPr="00A84C45">
              <w:t xml:space="preserve">Detection of specific immunoglobulin </w:t>
            </w:r>
            <w:r w:rsidR="00304B53">
              <w:t>E</w:t>
            </w:r>
            <w:r w:rsidRPr="00A84C45">
              <w:t xml:space="preserve"> antibodies to single or multiple potential allergens, 1 test (Item is subject to rule 25)</w:t>
            </w:r>
          </w:p>
        </w:tc>
        <w:tc>
          <w:tcPr>
            <w:tcW w:w="3518" w:type="dxa"/>
          </w:tcPr>
          <w:p w14:paraId="2D4EE73C" w14:textId="77777777" w:rsidR="003D56B4" w:rsidRDefault="003D56B4" w:rsidP="007B6365">
            <w:pPr>
              <w:pStyle w:val="02Tabletext"/>
            </w:pPr>
            <w:r w:rsidRPr="00844ADA">
              <w:t xml:space="preserve">Detection of specific immunoglobulin E </w:t>
            </w:r>
            <w:r w:rsidR="002A582C">
              <w:t xml:space="preserve">(IgE) </w:t>
            </w:r>
            <w:r w:rsidRPr="00844ADA">
              <w:t>antibodies to single or multipl</w:t>
            </w:r>
            <w:r>
              <w:t xml:space="preserve">e potential </w:t>
            </w:r>
            <w:r w:rsidRPr="00844ADA">
              <w:t xml:space="preserve">extracted </w:t>
            </w:r>
            <w:r>
              <w:t>allergens.</w:t>
            </w:r>
          </w:p>
        </w:tc>
      </w:tr>
      <w:tr w:rsidR="003D56B4" w14:paraId="168C7DE0" w14:textId="77777777" w:rsidTr="00C41594">
        <w:tc>
          <w:tcPr>
            <w:tcW w:w="1838" w:type="dxa"/>
          </w:tcPr>
          <w:p w14:paraId="5CC1B5C8" w14:textId="77777777" w:rsidR="003D56B4" w:rsidRDefault="003D56B4" w:rsidP="007B6365">
            <w:pPr>
              <w:pStyle w:val="02Tabletext"/>
            </w:pPr>
            <w:r>
              <w:t>New item</w:t>
            </w:r>
          </w:p>
        </w:tc>
        <w:tc>
          <w:tcPr>
            <w:tcW w:w="3660" w:type="dxa"/>
          </w:tcPr>
          <w:p w14:paraId="0E67A33C" w14:textId="77777777" w:rsidR="003D56B4" w:rsidRDefault="00E2362E" w:rsidP="007B6365">
            <w:pPr>
              <w:pStyle w:val="02Tabletext"/>
              <w:jc w:val="center"/>
            </w:pPr>
            <w:r>
              <w:t>—</w:t>
            </w:r>
          </w:p>
        </w:tc>
        <w:tc>
          <w:tcPr>
            <w:tcW w:w="3518" w:type="dxa"/>
          </w:tcPr>
          <w:p w14:paraId="38EDE5A7" w14:textId="77777777" w:rsidR="003D56B4" w:rsidRDefault="003D56B4" w:rsidP="007B6365">
            <w:pPr>
              <w:pStyle w:val="02Tabletext"/>
            </w:pPr>
            <w:r w:rsidRPr="00844ADA">
              <w:t xml:space="preserve">Detection of specific immunoglobulin E </w:t>
            </w:r>
            <w:r w:rsidR="002A582C">
              <w:t xml:space="preserve">(IgE) </w:t>
            </w:r>
            <w:r w:rsidRPr="00844ADA">
              <w:t xml:space="preserve">antibodies to single or multiple recombinant and purified component allergens for </w:t>
            </w:r>
            <w:r w:rsidR="006F3A63" w:rsidRPr="00844ADA">
              <w:t>allergens</w:t>
            </w:r>
            <w:r w:rsidR="006F3A63">
              <w:t>.</w:t>
            </w:r>
          </w:p>
          <w:p w14:paraId="198FFBA1" w14:textId="77777777" w:rsidR="006F3A63" w:rsidRDefault="006F3A63" w:rsidP="007B6365">
            <w:pPr>
              <w:pStyle w:val="02Tabletext"/>
            </w:pPr>
            <w:r>
              <w:t>Explanatory note:</w:t>
            </w:r>
          </w:p>
          <w:p w14:paraId="43B51FA9" w14:textId="77777777" w:rsidR="006F3A63" w:rsidRPr="00252C7D" w:rsidRDefault="001568A5" w:rsidP="007B6365">
            <w:pPr>
              <w:pStyle w:val="02Tabletext"/>
            </w:pPr>
            <w:r w:rsidRPr="00262050">
              <w:t xml:space="preserve">This test is to be used in </w:t>
            </w:r>
            <w:r w:rsidR="00252C7D" w:rsidRPr="00262050">
              <w:t xml:space="preserve">specific </w:t>
            </w:r>
            <w:r w:rsidRPr="00262050">
              <w:t>patient</w:t>
            </w:r>
            <w:r w:rsidR="00252C7D" w:rsidRPr="00262050">
              <w:t xml:space="preserve"> populations such as those</w:t>
            </w:r>
            <w:r w:rsidR="00252C7D" w:rsidRPr="00252C7D">
              <w:rPr>
                <w:lang w:val="en-US"/>
              </w:rPr>
              <w:t xml:space="preserve"> who have food allergies, insect venom allergies and aeroallergies</w:t>
            </w:r>
            <w:r w:rsidR="00252C7D" w:rsidRPr="00262050">
              <w:rPr>
                <w:lang w:val="en-US"/>
              </w:rPr>
              <w:t>.</w:t>
            </w:r>
          </w:p>
        </w:tc>
      </w:tr>
    </w:tbl>
    <w:p w14:paraId="26C5A7EF" w14:textId="77777777" w:rsidR="003D56B4" w:rsidRPr="008665AD" w:rsidRDefault="003D56B4" w:rsidP="006A17D1">
      <w:pPr>
        <w:pStyle w:val="Heading3Numbered"/>
      </w:pPr>
      <w:r>
        <w:t>Rationale</w:t>
      </w:r>
      <w:r w:rsidR="004910DA">
        <w:t xml:space="preserve"> 3</w:t>
      </w:r>
    </w:p>
    <w:p w14:paraId="07C84016" w14:textId="77777777" w:rsidR="002B63AA" w:rsidRDefault="00263D85">
      <w:pPr>
        <w:pStyle w:val="NormalBulleted"/>
        <w:rPr>
          <w:lang w:val="en-US"/>
        </w:rPr>
      </w:pPr>
      <w:r>
        <w:rPr>
          <w:lang w:val="en-US"/>
        </w:rPr>
        <w:t>Item 7</w:t>
      </w:r>
      <w:r w:rsidR="006A5342">
        <w:rPr>
          <w:lang w:val="en-US"/>
        </w:rPr>
        <w:t>1079 is an allergen-specific IgE antibody test used to screen for an allergy to a specific allergen, for example, the subcomponents of peanut such as Ara h</w:t>
      </w:r>
      <w:r w:rsidR="004910DA">
        <w:rPr>
          <w:lang w:val="en-US"/>
        </w:rPr>
        <w:t> </w:t>
      </w:r>
      <w:r w:rsidR="006A5342">
        <w:rPr>
          <w:lang w:val="en-US"/>
        </w:rPr>
        <w:t>2</w:t>
      </w:r>
      <w:r w:rsidR="00D5262A">
        <w:rPr>
          <w:lang w:val="en-US"/>
        </w:rPr>
        <w:t xml:space="preserve">. </w:t>
      </w:r>
      <w:r w:rsidR="003D56B4" w:rsidRPr="0026111E">
        <w:rPr>
          <w:lang w:val="en-US"/>
        </w:rPr>
        <w:t>The</w:t>
      </w:r>
      <w:r w:rsidR="003D56B4">
        <w:rPr>
          <w:lang w:val="en-US"/>
        </w:rPr>
        <w:t xml:space="preserve"> Committee recognises the importance of allergen testing and considered the literature when making its recommendation for this item.</w:t>
      </w:r>
    </w:p>
    <w:p w14:paraId="284F51AD" w14:textId="77777777" w:rsidR="003D56B4" w:rsidRDefault="003D56B4">
      <w:pPr>
        <w:pStyle w:val="NormalBulleted"/>
        <w:rPr>
          <w:lang w:val="en-US"/>
        </w:rPr>
      </w:pPr>
      <w:r>
        <w:rPr>
          <w:lang w:val="en-US"/>
        </w:rPr>
        <w:t>The</w:t>
      </w:r>
      <w:r w:rsidRPr="0026111E">
        <w:rPr>
          <w:lang w:val="en-US"/>
        </w:rPr>
        <w:t xml:space="preserve"> clinical utility of recombinant and purified allergen testing </w:t>
      </w:r>
      <w:r>
        <w:rPr>
          <w:lang w:val="en-US"/>
        </w:rPr>
        <w:t xml:space="preserve">was considered when the Committee was proposing recommendations for this item. Recombinant and purified allergen </w:t>
      </w:r>
      <w:r w:rsidRPr="0026111E">
        <w:rPr>
          <w:lang w:val="en-US"/>
        </w:rPr>
        <w:t>markers are considered to be more predictive of disease than previousl</w:t>
      </w:r>
      <w:r>
        <w:rPr>
          <w:lang w:val="en-US"/>
        </w:rPr>
        <w:t>y available allergen extracts</w:t>
      </w:r>
      <w:r w:rsidR="00DD53B2">
        <w:rPr>
          <w:lang w:val="en-US"/>
        </w:rPr>
        <w:t>,</w:t>
      </w:r>
      <w:r w:rsidR="002B63AA">
        <w:rPr>
          <w:lang w:val="en-US"/>
        </w:rPr>
        <w:t xml:space="preserve"> </w:t>
      </w:r>
      <w:r w:rsidR="00DE482B">
        <w:rPr>
          <w:lang w:val="en-US"/>
        </w:rPr>
        <w:t xml:space="preserve">hence the recommendation for introduction of the new </w:t>
      </w:r>
      <w:r w:rsidR="00EE20F6">
        <w:rPr>
          <w:lang w:val="en-US"/>
        </w:rPr>
        <w:t>item.</w:t>
      </w:r>
    </w:p>
    <w:p w14:paraId="05FD30D8" w14:textId="77777777" w:rsidR="003D56B4" w:rsidRPr="0026111E" w:rsidRDefault="003D56B4">
      <w:pPr>
        <w:pStyle w:val="NormalBulleted"/>
        <w:rPr>
          <w:lang w:val="en-US"/>
        </w:rPr>
      </w:pPr>
      <w:r>
        <w:rPr>
          <w:lang w:val="en-US"/>
        </w:rPr>
        <w:t xml:space="preserve">The issues </w:t>
      </w:r>
      <w:r w:rsidR="00DD53B2">
        <w:rPr>
          <w:lang w:val="en-US"/>
        </w:rPr>
        <w:t xml:space="preserve">regarding </w:t>
      </w:r>
      <w:r>
        <w:rPr>
          <w:lang w:val="en-US"/>
        </w:rPr>
        <w:t>purified and recombinant allergens (sometimes referred to as component resolved diagnostics) are as follows:</w:t>
      </w:r>
    </w:p>
    <w:p w14:paraId="5D477D86" w14:textId="77777777" w:rsidR="003D56B4" w:rsidRDefault="003D56B4" w:rsidP="00BB0F7C">
      <w:pPr>
        <w:pStyle w:val="Bullet2"/>
      </w:pPr>
      <w:r w:rsidRPr="00E168D5">
        <w:rPr>
          <w:rStyle w:val="NormalBulletedChar"/>
        </w:rPr>
        <w:t xml:space="preserve">In </w:t>
      </w:r>
      <w:r w:rsidR="00DD53B2">
        <w:rPr>
          <w:rStyle w:val="NormalBulletedChar"/>
        </w:rPr>
        <w:t xml:space="preserve">about </w:t>
      </w:r>
      <w:r w:rsidRPr="00E168D5">
        <w:rPr>
          <w:rStyle w:val="NormalBulletedChar"/>
        </w:rPr>
        <w:t xml:space="preserve">the last 5 years a number of purified or recombinant allergens have been identified </w:t>
      </w:r>
      <w:r>
        <w:rPr>
          <w:rStyle w:val="NormalBulletedChar"/>
        </w:rPr>
        <w:t>that</w:t>
      </w:r>
      <w:r w:rsidRPr="00E168D5">
        <w:rPr>
          <w:rStyle w:val="NormalBulletedChar"/>
        </w:rPr>
        <w:t xml:space="preserve"> can improve the performanc</w:t>
      </w:r>
      <w:r>
        <w:rPr>
          <w:rStyle w:val="NormalBulletedChar"/>
        </w:rPr>
        <w:t xml:space="preserve">e of testing. </w:t>
      </w:r>
      <w:r w:rsidRPr="00E168D5">
        <w:rPr>
          <w:rStyle w:val="NormalBulletedChar"/>
        </w:rPr>
        <w:t>Examples include Ara</w:t>
      </w:r>
      <w:r w:rsidR="006A17D1">
        <w:rPr>
          <w:rStyle w:val="NormalBulletedChar"/>
        </w:rPr>
        <w:t xml:space="preserve"> </w:t>
      </w:r>
      <w:r w:rsidRPr="00E168D5">
        <w:rPr>
          <w:rStyle w:val="NormalBulletedChar"/>
        </w:rPr>
        <w:t>h</w:t>
      </w:r>
      <w:r w:rsidR="0023110D">
        <w:rPr>
          <w:rStyle w:val="NormalBulletedChar"/>
        </w:rPr>
        <w:t xml:space="preserve"> </w:t>
      </w:r>
      <w:r w:rsidRPr="00E168D5">
        <w:rPr>
          <w:rStyle w:val="NormalBulletedChar"/>
        </w:rPr>
        <w:t>2, Ara</w:t>
      </w:r>
      <w:r w:rsidR="006A17D1">
        <w:rPr>
          <w:rStyle w:val="NormalBulletedChar"/>
        </w:rPr>
        <w:t xml:space="preserve"> </w:t>
      </w:r>
      <w:r w:rsidRPr="00E168D5">
        <w:rPr>
          <w:rStyle w:val="NormalBulletedChar"/>
        </w:rPr>
        <w:t>h</w:t>
      </w:r>
      <w:r w:rsidR="0023110D">
        <w:rPr>
          <w:rStyle w:val="NormalBulletedChar"/>
        </w:rPr>
        <w:t xml:space="preserve"> </w:t>
      </w:r>
      <w:r w:rsidRPr="00E168D5">
        <w:rPr>
          <w:rStyle w:val="NormalBulletedChar"/>
        </w:rPr>
        <w:t>8, Ara</w:t>
      </w:r>
      <w:r w:rsidR="006A17D1">
        <w:rPr>
          <w:rStyle w:val="NormalBulletedChar"/>
        </w:rPr>
        <w:t xml:space="preserve"> </w:t>
      </w:r>
      <w:r w:rsidRPr="00E168D5">
        <w:rPr>
          <w:rStyle w:val="NormalBulletedChar"/>
        </w:rPr>
        <w:t>h</w:t>
      </w:r>
      <w:r w:rsidR="0023110D">
        <w:rPr>
          <w:rStyle w:val="NormalBulletedChar"/>
        </w:rPr>
        <w:t xml:space="preserve"> </w:t>
      </w:r>
      <w:r w:rsidRPr="00E168D5">
        <w:rPr>
          <w:rStyle w:val="NormalBulletedChar"/>
        </w:rPr>
        <w:t xml:space="preserve">9 (these three for peanut), </w:t>
      </w:r>
      <w:r w:rsidR="00DD53B2">
        <w:rPr>
          <w:rStyle w:val="NormalBulletedChar"/>
        </w:rPr>
        <w:t>‘</w:t>
      </w:r>
      <w:r w:rsidRPr="00E168D5">
        <w:rPr>
          <w:rStyle w:val="NormalBulletedChar"/>
        </w:rPr>
        <w:t>alpha-gal</w:t>
      </w:r>
      <w:r w:rsidR="00DD53B2">
        <w:rPr>
          <w:rStyle w:val="NormalBulletedChar"/>
        </w:rPr>
        <w:t>’</w:t>
      </w:r>
      <w:r w:rsidR="00DD53B2" w:rsidRPr="00E168D5">
        <w:rPr>
          <w:rStyle w:val="NormalBulletedChar"/>
        </w:rPr>
        <w:t xml:space="preserve"> </w:t>
      </w:r>
      <w:r w:rsidRPr="00E168D5">
        <w:rPr>
          <w:rStyle w:val="NormalBulletedChar"/>
        </w:rPr>
        <w:t>(for meat allergy), and omega-gliadin (for exercise</w:t>
      </w:r>
      <w:r w:rsidR="00DD53B2">
        <w:rPr>
          <w:rStyle w:val="NormalBulletedChar"/>
        </w:rPr>
        <w:t>-</w:t>
      </w:r>
      <w:r w:rsidRPr="00E168D5">
        <w:rPr>
          <w:rStyle w:val="NormalBulletedChar"/>
        </w:rPr>
        <w:t>induced wheat allergy)</w:t>
      </w:r>
      <w:r w:rsidR="00DD53B2">
        <w:rPr>
          <w:rStyle w:val="NormalBulletedChar"/>
        </w:rPr>
        <w:t>—</w:t>
      </w:r>
      <w:r w:rsidRPr="00E168D5">
        <w:rPr>
          <w:rStyle w:val="NormalBulletedChar"/>
        </w:rPr>
        <w:t>the latter two are often used in workup of idiopathic anaphylaxis, a rare but serious consideration</w:t>
      </w:r>
      <w:r w:rsidRPr="0026111E">
        <w:t>.</w:t>
      </w:r>
    </w:p>
    <w:p w14:paraId="1AA75A38" w14:textId="77777777" w:rsidR="003D56B4" w:rsidRPr="0026111E" w:rsidRDefault="003D56B4" w:rsidP="00BB0F7C">
      <w:pPr>
        <w:pStyle w:val="Bullet2"/>
      </w:pPr>
      <w:r>
        <w:t>Recombinant allergen testing</w:t>
      </w:r>
      <w:r w:rsidRPr="0026111E">
        <w:t xml:space="preserve"> </w:t>
      </w:r>
      <w:r>
        <w:t>has greater clinical utility</w:t>
      </w:r>
      <w:r w:rsidRPr="0026111E">
        <w:t xml:space="preserve"> than routine allergy testing, </w:t>
      </w:r>
      <w:r>
        <w:t xml:space="preserve">in a small number of patients. </w:t>
      </w:r>
      <w:r w:rsidRPr="0026111E">
        <w:t xml:space="preserve">The current </w:t>
      </w:r>
      <w:r w:rsidR="00DD53B2">
        <w:t xml:space="preserve">item </w:t>
      </w:r>
      <w:r w:rsidRPr="0026111E">
        <w:t>71079 is used for both these newer allergen tests and the older less predictive allergen testing.</w:t>
      </w:r>
    </w:p>
    <w:p w14:paraId="213CD656" w14:textId="77777777" w:rsidR="003D56B4" w:rsidRPr="00E168D5" w:rsidRDefault="003D56B4">
      <w:pPr>
        <w:pStyle w:val="NormalBulleted"/>
        <w:rPr>
          <w:lang w:val="en-US"/>
        </w:rPr>
      </w:pPr>
      <w:r>
        <w:rPr>
          <w:lang w:val="en-US"/>
        </w:rPr>
        <w:t xml:space="preserve">There are </w:t>
      </w:r>
      <w:r w:rsidRPr="00E168D5">
        <w:rPr>
          <w:lang w:val="en-US"/>
        </w:rPr>
        <w:t xml:space="preserve">issues </w:t>
      </w:r>
      <w:r w:rsidR="00DD53B2">
        <w:rPr>
          <w:lang w:val="en-US"/>
        </w:rPr>
        <w:t xml:space="preserve">regarding </w:t>
      </w:r>
      <w:r w:rsidRPr="00E168D5">
        <w:rPr>
          <w:lang w:val="en-US"/>
        </w:rPr>
        <w:t>the overuse of allergy testing (including allergen extracts</w:t>
      </w:r>
      <w:r>
        <w:rPr>
          <w:lang w:val="en-US"/>
        </w:rPr>
        <w:t>), including</w:t>
      </w:r>
      <w:r w:rsidRPr="00E168D5">
        <w:rPr>
          <w:lang w:val="en-US"/>
        </w:rPr>
        <w:t>:</w:t>
      </w:r>
    </w:p>
    <w:p w14:paraId="35F7595D" w14:textId="77777777" w:rsidR="003D56B4" w:rsidRDefault="003D56B4" w:rsidP="00BB0F7C">
      <w:pPr>
        <w:pStyle w:val="Bullet2"/>
      </w:pPr>
      <w:r w:rsidRPr="00E168D5">
        <w:rPr>
          <w:rStyle w:val="NormalBulletedChar"/>
        </w:rPr>
        <w:lastRenderedPageBreak/>
        <w:t>The older / more established testing to allergen extracts are noted to be imperfect and inferior to skin prick testing when performed by a specialist allergist</w:t>
      </w:r>
      <w:r w:rsidRPr="00707952">
        <w:t>.</w:t>
      </w:r>
      <w:r w:rsidR="00AB6550">
        <w:t xml:space="preserve"> </w:t>
      </w:r>
    </w:p>
    <w:p w14:paraId="6D2C207F" w14:textId="77777777" w:rsidR="003D56B4" w:rsidRPr="00707952" w:rsidRDefault="003D56B4" w:rsidP="00BB0F7C">
      <w:pPr>
        <w:pStyle w:val="Bullet2"/>
      </w:pPr>
      <w:r w:rsidRPr="00707952">
        <w:t>Access to allergist review is limited to metropolitan areas. Blood tests to allergen extracts can therefore be helpful for patients in regional and rural areas</w:t>
      </w:r>
      <w:r>
        <w:t>, and addresses the access gap</w:t>
      </w:r>
      <w:r w:rsidRPr="00707952">
        <w:t>.</w:t>
      </w:r>
    </w:p>
    <w:p w14:paraId="50E78E90" w14:textId="77777777" w:rsidR="003D56B4" w:rsidRDefault="003D56B4" w:rsidP="00BB0F7C">
      <w:pPr>
        <w:pStyle w:val="Bullet2"/>
      </w:pPr>
      <w:r>
        <w:rPr>
          <w:rStyle w:val="NormalBulletedChar"/>
        </w:rPr>
        <w:t>The</w:t>
      </w:r>
      <w:r w:rsidRPr="00E168D5">
        <w:rPr>
          <w:rStyle w:val="NormalBulletedChar"/>
        </w:rPr>
        <w:t xml:space="preserve"> potential for overuse of blood tests for allergies is high</w:t>
      </w:r>
      <w:r w:rsidR="00DE482B">
        <w:rPr>
          <w:rStyle w:val="NormalBulletedChar"/>
        </w:rPr>
        <w:t>.</w:t>
      </w:r>
      <w:r w:rsidRPr="00E168D5">
        <w:rPr>
          <w:rStyle w:val="NormalBulletedChar"/>
        </w:rPr>
        <w:t xml:space="preserve"> </w:t>
      </w:r>
      <w:r w:rsidR="00DE482B">
        <w:rPr>
          <w:rStyle w:val="NormalBulletedChar"/>
        </w:rPr>
        <w:t xml:space="preserve">One </w:t>
      </w:r>
      <w:r w:rsidR="00EE20F6">
        <w:rPr>
          <w:rStyle w:val="NormalBulletedChar"/>
        </w:rPr>
        <w:t xml:space="preserve">solution </w:t>
      </w:r>
      <w:r w:rsidR="00EE20F6" w:rsidRPr="00E168D5">
        <w:rPr>
          <w:rStyle w:val="NormalBulletedChar"/>
        </w:rPr>
        <w:t>would</w:t>
      </w:r>
      <w:r w:rsidRPr="00E168D5">
        <w:rPr>
          <w:rStyle w:val="NormalBulletedChar"/>
        </w:rPr>
        <w:t xml:space="preserve"> be to restrict to specialists. However, there are not enough allergists to review all these patients.</w:t>
      </w:r>
      <w:r w:rsidR="00AB6550">
        <w:t xml:space="preserve"> </w:t>
      </w:r>
    </w:p>
    <w:p w14:paraId="5E550FD7" w14:textId="77777777" w:rsidR="003D56B4" w:rsidRDefault="003D56B4" w:rsidP="00BB0F7C">
      <w:pPr>
        <w:pStyle w:val="Bullet2"/>
      </w:pPr>
      <w:r w:rsidRPr="00707952">
        <w:t xml:space="preserve">Many requests include an excessive number of allergens, with a diminishing </w:t>
      </w:r>
      <w:r>
        <w:t>yield from such ‘fishing trips’.</w:t>
      </w:r>
    </w:p>
    <w:p w14:paraId="004D89AB" w14:textId="77777777" w:rsidR="003D56B4" w:rsidRDefault="003D56B4">
      <w:pPr>
        <w:pStyle w:val="NormalBulleted"/>
        <w:rPr>
          <w:lang w:val="en-US"/>
        </w:rPr>
      </w:pPr>
      <w:r>
        <w:rPr>
          <w:lang w:val="en-US"/>
        </w:rPr>
        <w:t xml:space="preserve">The </w:t>
      </w:r>
      <w:r w:rsidRPr="00707952">
        <w:rPr>
          <w:lang w:val="en-US"/>
        </w:rPr>
        <w:t xml:space="preserve">test is difficult to restrict and there would be some patients, including some children, who would benefit from having multiple allergens tested on the one sample, </w:t>
      </w:r>
      <w:r w:rsidR="00DD53B2">
        <w:rPr>
          <w:lang w:val="en-US"/>
        </w:rPr>
        <w:t>al</w:t>
      </w:r>
      <w:r w:rsidRPr="00707952">
        <w:rPr>
          <w:lang w:val="en-US"/>
        </w:rPr>
        <w:t>though this is a very small group. This item could be restricted to a specialist only MBS number; nonetheless this would be a great challenge for the laboratory and not a solution for this item.</w:t>
      </w:r>
      <w:r>
        <w:rPr>
          <w:lang w:val="en-US"/>
        </w:rPr>
        <w:t xml:space="preserve"> Hence, the proposal to create a new item to capture the population</w:t>
      </w:r>
      <w:r w:rsidR="00DD53B2">
        <w:rPr>
          <w:lang w:val="en-US"/>
        </w:rPr>
        <w:t>—</w:t>
      </w:r>
      <w:r w:rsidR="00123662">
        <w:rPr>
          <w:lang w:val="en-US"/>
        </w:rPr>
        <w:t>including patient populations who have food allergies, insect venom allergies and aeroallergies</w:t>
      </w:r>
      <w:r w:rsidR="00DD53B2">
        <w:rPr>
          <w:lang w:val="en-US"/>
        </w:rPr>
        <w:t>—</w:t>
      </w:r>
      <w:r>
        <w:rPr>
          <w:lang w:val="en-US"/>
        </w:rPr>
        <w:t>that would require this test</w:t>
      </w:r>
      <w:r w:rsidR="00DE482B">
        <w:rPr>
          <w:lang w:val="en-US"/>
        </w:rPr>
        <w:t xml:space="preserve"> and </w:t>
      </w:r>
      <w:r w:rsidR="00DD53B2">
        <w:rPr>
          <w:lang w:val="en-US"/>
        </w:rPr>
        <w:t xml:space="preserve">that </w:t>
      </w:r>
      <w:r>
        <w:rPr>
          <w:lang w:val="en-US"/>
        </w:rPr>
        <w:t xml:space="preserve">this new item be monitored to see </w:t>
      </w:r>
      <w:r w:rsidR="00DE482B">
        <w:rPr>
          <w:lang w:val="en-US"/>
        </w:rPr>
        <w:t>requesting patterns.</w:t>
      </w:r>
    </w:p>
    <w:p w14:paraId="39A72170" w14:textId="77777777" w:rsidR="00AF5D75" w:rsidRDefault="00F4446E" w:rsidP="00E2562E">
      <w:pPr>
        <w:pStyle w:val="Heading2"/>
      </w:pPr>
      <w:bookmarkStart w:id="43" w:name="_Toc499293039"/>
      <w:r w:rsidRPr="00F4446E">
        <w:t>Antinuclear antibodies tests: item 71097</w:t>
      </w:r>
      <w:bookmarkEnd w:id="43"/>
    </w:p>
    <w:p w14:paraId="5BBAA7FE" w14:textId="77777777" w:rsidR="00656CDF" w:rsidRPr="003744BA" w:rsidRDefault="00562D70">
      <w:pPr>
        <w:pStyle w:val="Caption"/>
      </w:pPr>
      <w:bookmarkStart w:id="44" w:name="_Toc499289246"/>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9</w:t>
      </w:r>
      <w:r w:rsidR="0004721F">
        <w:rPr>
          <w:noProof/>
        </w:rPr>
        <w:fldChar w:fldCharType="end"/>
      </w:r>
      <w:r>
        <w:t xml:space="preserve">. </w:t>
      </w:r>
      <w:r w:rsidR="00656CDF" w:rsidRPr="003744BA">
        <w:t>Item introduction table for item</w:t>
      </w:r>
      <w:r w:rsidR="00656CDF">
        <w:t xml:space="preserve"> 71097</w:t>
      </w:r>
      <w:bookmarkEnd w:id="44"/>
    </w:p>
    <w:tbl>
      <w:tblPr>
        <w:tblStyle w:val="TableGrid1"/>
        <w:tblW w:w="0" w:type="auto"/>
        <w:tblLayout w:type="fixed"/>
        <w:tblLook w:val="04A0" w:firstRow="1" w:lastRow="0" w:firstColumn="1" w:lastColumn="0" w:noHBand="0" w:noVBand="1"/>
        <w:tblCaption w:val="Table 9: Item introduction for item 71097"/>
        <w:tblDescription w:val="Table 9 contains MBS data for item 71097 for the finanical year 2014–2015. The data includes item number, long item descriptor, schedule fee, total volume of services, benefits paid, patient count and services annual average growth as a pecentage over a 5 year period."/>
      </w:tblPr>
      <w:tblGrid>
        <w:gridCol w:w="846"/>
        <w:gridCol w:w="2410"/>
        <w:gridCol w:w="1134"/>
        <w:gridCol w:w="1275"/>
        <w:gridCol w:w="1276"/>
        <w:gridCol w:w="992"/>
        <w:gridCol w:w="1083"/>
      </w:tblGrid>
      <w:tr w:rsidR="00DD53B2" w:rsidRPr="0005642B" w14:paraId="7758D7F4" w14:textId="77777777" w:rsidTr="007B6365">
        <w:trPr>
          <w:trHeight w:val="729"/>
          <w:tblHeader/>
        </w:trPr>
        <w:tc>
          <w:tcPr>
            <w:tcW w:w="846" w:type="dxa"/>
            <w:shd w:val="clear" w:color="auto" w:fill="EEECE1" w:themeFill="background2"/>
            <w:vAlign w:val="bottom"/>
            <w:hideMark/>
          </w:tcPr>
          <w:p w14:paraId="22CBAF7D" w14:textId="77777777" w:rsidR="00C1306E" w:rsidRDefault="00E8051A" w:rsidP="007B6365">
            <w:pPr>
              <w:pStyle w:val="01Tableheaderrow"/>
              <w:rPr>
                <w:lang w:val="en-GB"/>
              </w:rPr>
            </w:pPr>
            <w:r w:rsidRPr="00E8051A">
              <w:rPr>
                <w:lang w:val="en-GB"/>
              </w:rPr>
              <w:t>Item</w:t>
            </w:r>
          </w:p>
        </w:tc>
        <w:tc>
          <w:tcPr>
            <w:tcW w:w="2410" w:type="dxa"/>
            <w:shd w:val="clear" w:color="auto" w:fill="EEECE1" w:themeFill="background2"/>
            <w:vAlign w:val="bottom"/>
            <w:hideMark/>
          </w:tcPr>
          <w:p w14:paraId="7B181DAE" w14:textId="77777777" w:rsidR="00C1306E" w:rsidRDefault="00E8051A" w:rsidP="007B6365">
            <w:pPr>
              <w:pStyle w:val="01Tableheaderrow"/>
              <w:rPr>
                <w:lang w:val="en-GB"/>
              </w:rPr>
            </w:pPr>
            <w:r w:rsidRPr="00E8051A">
              <w:rPr>
                <w:lang w:val="en-GB"/>
              </w:rPr>
              <w:t>Long descriptor</w:t>
            </w:r>
          </w:p>
        </w:tc>
        <w:tc>
          <w:tcPr>
            <w:tcW w:w="1134" w:type="dxa"/>
            <w:shd w:val="clear" w:color="auto" w:fill="EEECE1" w:themeFill="background2"/>
            <w:vAlign w:val="bottom"/>
            <w:hideMark/>
          </w:tcPr>
          <w:p w14:paraId="6737A328" w14:textId="77777777" w:rsidR="00C1306E" w:rsidRDefault="00E8051A" w:rsidP="007B6365">
            <w:pPr>
              <w:pStyle w:val="01Tableheaderrow"/>
              <w:rPr>
                <w:lang w:val="en-GB"/>
              </w:rPr>
            </w:pPr>
            <w:r w:rsidRPr="00E8051A">
              <w:rPr>
                <w:lang w:val="en-GB"/>
              </w:rPr>
              <w:t>Schedule fee</w:t>
            </w:r>
          </w:p>
        </w:tc>
        <w:tc>
          <w:tcPr>
            <w:tcW w:w="1275" w:type="dxa"/>
            <w:shd w:val="clear" w:color="auto" w:fill="EEECE1" w:themeFill="background2"/>
            <w:vAlign w:val="bottom"/>
            <w:hideMark/>
          </w:tcPr>
          <w:p w14:paraId="5C7B149D" w14:textId="77777777" w:rsidR="00C1306E" w:rsidRDefault="00E8051A" w:rsidP="007B6365">
            <w:pPr>
              <w:pStyle w:val="01Tableheaderrow"/>
              <w:rPr>
                <w:lang w:val="en-GB"/>
              </w:rPr>
            </w:pPr>
            <w:r w:rsidRPr="00E8051A">
              <w:rPr>
                <w:lang w:val="en-GB"/>
              </w:rPr>
              <w:t xml:space="preserve">Services </w:t>
            </w:r>
            <w:r w:rsidR="007D6844">
              <w:rPr>
                <w:lang w:val="en-GB"/>
              </w:rPr>
              <w:t>FY 2014–15</w:t>
            </w:r>
          </w:p>
        </w:tc>
        <w:tc>
          <w:tcPr>
            <w:tcW w:w="1276" w:type="dxa"/>
            <w:shd w:val="clear" w:color="auto" w:fill="EEECE1" w:themeFill="background2"/>
            <w:vAlign w:val="bottom"/>
          </w:tcPr>
          <w:p w14:paraId="78D2B821" w14:textId="77777777" w:rsidR="00C1306E" w:rsidRDefault="00E8051A" w:rsidP="007B6365">
            <w:pPr>
              <w:pStyle w:val="01Tableheaderrow"/>
              <w:rPr>
                <w:lang w:val="en-GB"/>
              </w:rPr>
            </w:pPr>
            <w:r w:rsidRPr="00E8051A">
              <w:rPr>
                <w:lang w:val="en-GB"/>
              </w:rPr>
              <w:t xml:space="preserve">Benefits </w:t>
            </w:r>
            <w:r w:rsidR="007D6844">
              <w:rPr>
                <w:lang w:val="en-GB"/>
              </w:rPr>
              <w:t>FY 2014–15</w:t>
            </w:r>
          </w:p>
        </w:tc>
        <w:tc>
          <w:tcPr>
            <w:tcW w:w="992" w:type="dxa"/>
            <w:shd w:val="clear" w:color="auto" w:fill="EEECE1" w:themeFill="background2"/>
            <w:vAlign w:val="bottom"/>
            <w:hideMark/>
          </w:tcPr>
          <w:p w14:paraId="46EEB5CF" w14:textId="77777777" w:rsidR="00C1306E" w:rsidRDefault="00E8051A" w:rsidP="007B6365">
            <w:pPr>
              <w:pStyle w:val="01Tableheaderrow"/>
              <w:rPr>
                <w:lang w:val="en-GB"/>
              </w:rPr>
            </w:pPr>
            <w:r w:rsidRPr="00E8051A">
              <w:rPr>
                <w:lang w:val="en-GB"/>
              </w:rPr>
              <w:t>Patient count</w:t>
            </w:r>
          </w:p>
        </w:tc>
        <w:tc>
          <w:tcPr>
            <w:tcW w:w="1083" w:type="dxa"/>
            <w:shd w:val="clear" w:color="auto" w:fill="EEECE1" w:themeFill="background2"/>
            <w:vAlign w:val="bottom"/>
            <w:hideMark/>
          </w:tcPr>
          <w:p w14:paraId="4EC1AEB9" w14:textId="77777777" w:rsidR="00C1306E" w:rsidRDefault="00E8051A" w:rsidP="007B6365">
            <w:pPr>
              <w:pStyle w:val="01Tableheaderrow"/>
              <w:rPr>
                <w:lang w:val="en-GB"/>
              </w:rPr>
            </w:pPr>
            <w:r w:rsidRPr="00E8051A">
              <w:rPr>
                <w:lang w:val="en-GB"/>
              </w:rPr>
              <w:t xml:space="preserve">Services 5-year </w:t>
            </w:r>
            <w:r w:rsidR="007D6844">
              <w:rPr>
                <w:lang w:val="en-GB"/>
              </w:rPr>
              <w:t>annual average growth</w:t>
            </w:r>
          </w:p>
        </w:tc>
      </w:tr>
      <w:tr w:rsidR="00DD53B2" w:rsidRPr="0005642B" w14:paraId="2AFAB6E5" w14:textId="77777777" w:rsidTr="007B6365">
        <w:trPr>
          <w:trHeight w:val="300"/>
        </w:trPr>
        <w:tc>
          <w:tcPr>
            <w:tcW w:w="846" w:type="dxa"/>
            <w:noWrap/>
            <w:hideMark/>
          </w:tcPr>
          <w:p w14:paraId="2661A94C" w14:textId="77777777" w:rsidR="00656CDF" w:rsidRPr="00DD5A29" w:rsidRDefault="00E8051A" w:rsidP="007B6365">
            <w:pPr>
              <w:pStyle w:val="02Tabletext"/>
              <w:rPr>
                <w:color w:val="000000"/>
                <w:szCs w:val="22"/>
                <w:lang w:val="en-GB"/>
              </w:rPr>
            </w:pPr>
            <w:r w:rsidRPr="00E8051A">
              <w:rPr>
                <w:szCs w:val="22"/>
              </w:rPr>
              <w:t>71097</w:t>
            </w:r>
          </w:p>
        </w:tc>
        <w:tc>
          <w:tcPr>
            <w:tcW w:w="2410" w:type="dxa"/>
            <w:noWrap/>
            <w:hideMark/>
          </w:tcPr>
          <w:p w14:paraId="0BA8939E" w14:textId="77777777" w:rsidR="00656CDF" w:rsidRPr="00DD5A29" w:rsidRDefault="00E8051A" w:rsidP="007B6365">
            <w:pPr>
              <w:pStyle w:val="02Tabletext"/>
              <w:rPr>
                <w:color w:val="000000"/>
                <w:szCs w:val="22"/>
                <w:lang w:val="en-GB"/>
              </w:rPr>
            </w:pPr>
            <w:r w:rsidRPr="00E8051A">
              <w:rPr>
                <w:szCs w:val="22"/>
              </w:rPr>
              <w:t>Antinuclear antibodies - detection in serum or other body fluids, including quantitation if required</w:t>
            </w:r>
          </w:p>
        </w:tc>
        <w:tc>
          <w:tcPr>
            <w:tcW w:w="1134" w:type="dxa"/>
            <w:noWrap/>
            <w:hideMark/>
          </w:tcPr>
          <w:p w14:paraId="5D33C10E" w14:textId="77777777" w:rsidR="00656CDF" w:rsidRPr="00DD5A29" w:rsidRDefault="00B37575" w:rsidP="007B6365">
            <w:pPr>
              <w:pStyle w:val="02Tabletext"/>
              <w:jc w:val="right"/>
              <w:rPr>
                <w:color w:val="000000"/>
                <w:szCs w:val="22"/>
                <w:lang w:val="en-GB"/>
              </w:rPr>
            </w:pPr>
            <w:r>
              <w:rPr>
                <w:szCs w:val="22"/>
              </w:rPr>
              <w:t>$</w:t>
            </w:r>
            <w:r w:rsidR="00E8051A" w:rsidRPr="00E8051A">
              <w:rPr>
                <w:szCs w:val="22"/>
              </w:rPr>
              <w:t>24.45</w:t>
            </w:r>
          </w:p>
        </w:tc>
        <w:tc>
          <w:tcPr>
            <w:tcW w:w="1275" w:type="dxa"/>
            <w:noWrap/>
            <w:hideMark/>
          </w:tcPr>
          <w:p w14:paraId="258219D1" w14:textId="77777777" w:rsidR="00656CDF" w:rsidRPr="00DD5A29" w:rsidRDefault="00E8051A" w:rsidP="007B6365">
            <w:pPr>
              <w:pStyle w:val="02Tabletext"/>
              <w:jc w:val="right"/>
              <w:rPr>
                <w:szCs w:val="22"/>
              </w:rPr>
            </w:pPr>
            <w:r w:rsidRPr="00E8051A">
              <w:rPr>
                <w:szCs w:val="22"/>
              </w:rPr>
              <w:t>525,936</w:t>
            </w:r>
          </w:p>
        </w:tc>
        <w:tc>
          <w:tcPr>
            <w:tcW w:w="1276" w:type="dxa"/>
          </w:tcPr>
          <w:p w14:paraId="0B2537B4" w14:textId="77777777" w:rsidR="00656CDF" w:rsidRPr="00DD5A29" w:rsidRDefault="00E8051A" w:rsidP="007B6365">
            <w:pPr>
              <w:pStyle w:val="02Tabletext"/>
              <w:jc w:val="right"/>
              <w:rPr>
                <w:color w:val="000000"/>
                <w:szCs w:val="22"/>
                <w:lang w:val="en-GB"/>
              </w:rPr>
            </w:pPr>
            <w:r w:rsidRPr="00E8051A">
              <w:rPr>
                <w:szCs w:val="22"/>
              </w:rPr>
              <w:t>$10,964,607</w:t>
            </w:r>
          </w:p>
        </w:tc>
        <w:tc>
          <w:tcPr>
            <w:tcW w:w="992" w:type="dxa"/>
            <w:noWrap/>
            <w:hideMark/>
          </w:tcPr>
          <w:p w14:paraId="2DD6A086" w14:textId="77777777" w:rsidR="00656CDF" w:rsidRPr="00DD5A29" w:rsidRDefault="00E8051A" w:rsidP="007B6365">
            <w:pPr>
              <w:pStyle w:val="02Tabletext"/>
              <w:jc w:val="right"/>
              <w:rPr>
                <w:color w:val="000000"/>
                <w:szCs w:val="22"/>
                <w:lang w:val="en-GB"/>
              </w:rPr>
            </w:pPr>
            <w:r w:rsidRPr="00E8051A">
              <w:rPr>
                <w:szCs w:val="22"/>
              </w:rPr>
              <w:t>469,294</w:t>
            </w:r>
          </w:p>
        </w:tc>
        <w:tc>
          <w:tcPr>
            <w:tcW w:w="1083" w:type="dxa"/>
            <w:noWrap/>
            <w:hideMark/>
          </w:tcPr>
          <w:p w14:paraId="1DD90DFF" w14:textId="77777777" w:rsidR="00656CDF" w:rsidRPr="00DD5A29" w:rsidRDefault="00E8051A" w:rsidP="007B6365">
            <w:pPr>
              <w:pStyle w:val="02Tabletext"/>
              <w:jc w:val="right"/>
              <w:rPr>
                <w:color w:val="000000"/>
                <w:szCs w:val="22"/>
                <w:lang w:val="en-GB"/>
              </w:rPr>
            </w:pPr>
            <w:r w:rsidRPr="00E8051A">
              <w:rPr>
                <w:color w:val="000000"/>
                <w:szCs w:val="22"/>
                <w:lang w:val="en-GB"/>
              </w:rPr>
              <w:t>4.4%</w:t>
            </w:r>
          </w:p>
        </w:tc>
      </w:tr>
    </w:tbl>
    <w:p w14:paraId="6F473F10" w14:textId="77777777" w:rsidR="008D758A" w:rsidRDefault="008D758A" w:rsidP="0023110D">
      <w:pPr>
        <w:pStyle w:val="Heading3Numbered"/>
      </w:pPr>
      <w:r>
        <w:t xml:space="preserve">Recommendation </w:t>
      </w:r>
      <w:r w:rsidR="004910DA">
        <w:t>4</w:t>
      </w:r>
    </w:p>
    <w:p w14:paraId="1B4B3AC8" w14:textId="77777777" w:rsidR="00656CDF" w:rsidRDefault="00656CDF" w:rsidP="00656CDF">
      <w:pPr>
        <w:rPr>
          <w:lang w:val="en-US" w:eastAsia="en-US"/>
        </w:rPr>
      </w:pPr>
      <w:r>
        <w:rPr>
          <w:lang w:val="en-US" w:eastAsia="en-US"/>
        </w:rPr>
        <w:t>The Committee proposes the following:</w:t>
      </w:r>
    </w:p>
    <w:p w14:paraId="301AC8C6" w14:textId="77777777" w:rsidR="00656CDF" w:rsidRDefault="00656CDF">
      <w:pPr>
        <w:pStyle w:val="NormalBulleted"/>
        <w:rPr>
          <w:lang w:val="en-US" w:eastAsia="en-US"/>
        </w:rPr>
      </w:pPr>
      <w:r>
        <w:rPr>
          <w:lang w:val="en-US" w:eastAsia="en-US"/>
        </w:rPr>
        <w:t>Change the item descriptor to remove the wording ‘</w:t>
      </w:r>
      <w:r w:rsidR="006B12F0">
        <w:rPr>
          <w:lang w:val="en-US" w:eastAsia="en-US"/>
        </w:rPr>
        <w:t xml:space="preserve">or other </w:t>
      </w:r>
      <w:r>
        <w:rPr>
          <w:lang w:val="en-US" w:eastAsia="en-US"/>
        </w:rPr>
        <w:t>body fluids’ from the current item descriptor</w:t>
      </w:r>
    </w:p>
    <w:p w14:paraId="0E951DAA" w14:textId="77777777" w:rsidR="00656CDF" w:rsidRDefault="00656CDF">
      <w:pPr>
        <w:pStyle w:val="NormalBulleted"/>
        <w:rPr>
          <w:lang w:val="en-US" w:eastAsia="en-US"/>
        </w:rPr>
      </w:pPr>
      <w:r>
        <w:rPr>
          <w:lang w:val="en-US" w:eastAsia="en-US"/>
        </w:rPr>
        <w:t>Develop a targeted education program on the clinical appropriateness of antinuclear antibodies for GPs and rheumatologists. This education program should inform requesters of the changes and the appropriate guidelines for testing. This recommendation aligns with a separate proposal f</w:t>
      </w:r>
      <w:r w:rsidRPr="00AC07B3">
        <w:rPr>
          <w:lang w:val="en-US" w:eastAsia="en-US"/>
        </w:rPr>
        <w:t>or antinuclear antibody training to be a requirement for rheumatologists and the as-yet unpublished guidelines on use of antinuclear antibodies.</w:t>
      </w:r>
    </w:p>
    <w:p w14:paraId="099FAC0C" w14:textId="77777777" w:rsidR="00DE533B" w:rsidRDefault="00562D70">
      <w:pPr>
        <w:pStyle w:val="Caption"/>
        <w:rPr>
          <w:lang w:val="en-US"/>
        </w:rPr>
      </w:pPr>
      <w:bookmarkStart w:id="45" w:name="_Toc499289247"/>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10</w:t>
      </w:r>
      <w:r w:rsidR="0004721F">
        <w:rPr>
          <w:noProof/>
        </w:rPr>
        <w:fldChar w:fldCharType="end"/>
      </w:r>
      <w:r>
        <w:t xml:space="preserve">. </w:t>
      </w:r>
      <w:r w:rsidR="00DE533B">
        <w:rPr>
          <w:lang w:val="en-US"/>
        </w:rPr>
        <w:t>Current and proposed item descriptor</w:t>
      </w:r>
      <w:r w:rsidR="009F489F">
        <w:rPr>
          <w:lang w:val="en-US"/>
        </w:rPr>
        <w:t>s for item 71097</w:t>
      </w:r>
      <w:bookmarkEnd w:id="45"/>
    </w:p>
    <w:tbl>
      <w:tblPr>
        <w:tblStyle w:val="TableGrid"/>
        <w:tblW w:w="0" w:type="auto"/>
        <w:tblLook w:val="04A0" w:firstRow="1" w:lastRow="0" w:firstColumn="1" w:lastColumn="0" w:noHBand="0" w:noVBand="1"/>
        <w:tblCaption w:val="Table 10: Current and proposed item descriptor for item 71097"/>
        <w:tblDescription w:val="Table 10 lists the current and proposed item descriptors for item 71097."/>
      </w:tblPr>
      <w:tblGrid>
        <w:gridCol w:w="1696"/>
        <w:gridCol w:w="3544"/>
        <w:gridCol w:w="3776"/>
      </w:tblGrid>
      <w:tr w:rsidR="006B12F0" w14:paraId="3E17CF80" w14:textId="77777777" w:rsidTr="00097175">
        <w:trPr>
          <w:tblHeader/>
        </w:trPr>
        <w:tc>
          <w:tcPr>
            <w:tcW w:w="1696" w:type="dxa"/>
            <w:shd w:val="clear" w:color="auto" w:fill="EEECE1" w:themeFill="background2"/>
          </w:tcPr>
          <w:p w14:paraId="4D97FF0E" w14:textId="77777777" w:rsidR="006B12F0" w:rsidRPr="00DE533B" w:rsidRDefault="006B12F0" w:rsidP="007B6365">
            <w:pPr>
              <w:pStyle w:val="01Tableheaderrow"/>
              <w:rPr>
                <w:lang w:val="en-US"/>
              </w:rPr>
            </w:pPr>
            <w:r w:rsidRPr="00DE533B">
              <w:rPr>
                <w:lang w:val="en-US"/>
              </w:rPr>
              <w:t>Item</w:t>
            </w:r>
          </w:p>
        </w:tc>
        <w:tc>
          <w:tcPr>
            <w:tcW w:w="3544" w:type="dxa"/>
            <w:shd w:val="clear" w:color="auto" w:fill="EEECE1" w:themeFill="background2"/>
          </w:tcPr>
          <w:p w14:paraId="5B20ACDA" w14:textId="77777777" w:rsidR="006B12F0" w:rsidRPr="00DE533B" w:rsidRDefault="006B12F0" w:rsidP="007B6365">
            <w:pPr>
              <w:pStyle w:val="01Tableheaderrow"/>
              <w:rPr>
                <w:lang w:val="en-US"/>
              </w:rPr>
            </w:pPr>
            <w:r w:rsidRPr="00DE533B">
              <w:rPr>
                <w:lang w:val="en-US"/>
              </w:rPr>
              <w:t>Current item descriptor</w:t>
            </w:r>
          </w:p>
        </w:tc>
        <w:tc>
          <w:tcPr>
            <w:tcW w:w="3776" w:type="dxa"/>
            <w:shd w:val="clear" w:color="auto" w:fill="EEECE1" w:themeFill="background2"/>
          </w:tcPr>
          <w:p w14:paraId="0F940F33" w14:textId="77777777" w:rsidR="006B12F0" w:rsidRPr="00DE533B" w:rsidRDefault="006B12F0" w:rsidP="007B6365">
            <w:pPr>
              <w:pStyle w:val="01Tableheaderrow"/>
              <w:rPr>
                <w:lang w:val="en-US"/>
              </w:rPr>
            </w:pPr>
            <w:r w:rsidRPr="00DE533B">
              <w:rPr>
                <w:lang w:val="en-US"/>
              </w:rPr>
              <w:t>Proposed item descriptor</w:t>
            </w:r>
          </w:p>
        </w:tc>
      </w:tr>
      <w:tr w:rsidR="006B12F0" w14:paraId="6AC0EBA7" w14:textId="77777777" w:rsidTr="00E66E6B">
        <w:tc>
          <w:tcPr>
            <w:tcW w:w="1696" w:type="dxa"/>
          </w:tcPr>
          <w:p w14:paraId="32802F47" w14:textId="77777777" w:rsidR="006B12F0" w:rsidRDefault="006B12F0" w:rsidP="007B6365">
            <w:pPr>
              <w:pStyle w:val="02Tabletext"/>
              <w:rPr>
                <w:lang w:val="en-US"/>
              </w:rPr>
            </w:pPr>
            <w:r w:rsidRPr="00F6389B">
              <w:t>71097</w:t>
            </w:r>
          </w:p>
        </w:tc>
        <w:tc>
          <w:tcPr>
            <w:tcW w:w="3544" w:type="dxa"/>
          </w:tcPr>
          <w:p w14:paraId="7AA27F18" w14:textId="77777777" w:rsidR="006B12F0" w:rsidRDefault="006B12F0" w:rsidP="007B6365">
            <w:pPr>
              <w:pStyle w:val="02Tabletext"/>
              <w:rPr>
                <w:lang w:val="en-US"/>
              </w:rPr>
            </w:pPr>
            <w:r w:rsidRPr="00F6389B">
              <w:t>Antinuclear antibodies - detection in serum or other body fluids, including quantitation if required</w:t>
            </w:r>
          </w:p>
        </w:tc>
        <w:tc>
          <w:tcPr>
            <w:tcW w:w="3776" w:type="dxa"/>
          </w:tcPr>
          <w:p w14:paraId="46F2C6C9" w14:textId="77777777" w:rsidR="006B12F0" w:rsidRDefault="006B12F0" w:rsidP="007B6365">
            <w:pPr>
              <w:pStyle w:val="02Tabletext"/>
              <w:rPr>
                <w:lang w:val="en-US"/>
              </w:rPr>
            </w:pPr>
            <w:r w:rsidRPr="006B12F0">
              <w:rPr>
                <w:lang w:val="en-US"/>
              </w:rPr>
              <w:t>Antinuclear antibodies - detection in serum</w:t>
            </w:r>
            <w:r>
              <w:rPr>
                <w:lang w:val="en-US"/>
              </w:rPr>
              <w:t>,</w:t>
            </w:r>
            <w:r w:rsidRPr="006B12F0">
              <w:rPr>
                <w:lang w:val="en-US"/>
              </w:rPr>
              <w:t xml:space="preserve"> including quantitation if required</w:t>
            </w:r>
            <w:r>
              <w:rPr>
                <w:lang w:val="en-US"/>
              </w:rPr>
              <w:t xml:space="preserve"> </w:t>
            </w:r>
          </w:p>
        </w:tc>
      </w:tr>
    </w:tbl>
    <w:p w14:paraId="061D4F52" w14:textId="77777777" w:rsidR="00C1306E" w:rsidRDefault="00F4446E" w:rsidP="00097175">
      <w:pPr>
        <w:pStyle w:val="Heading3Numbered"/>
      </w:pPr>
      <w:r>
        <w:t>Rationale</w:t>
      </w:r>
      <w:r w:rsidR="00AC050E">
        <w:t xml:space="preserve"> </w:t>
      </w:r>
      <w:r w:rsidR="004910DA">
        <w:t>4</w:t>
      </w:r>
    </w:p>
    <w:p w14:paraId="2D78B49D" w14:textId="77777777" w:rsidR="00E72354" w:rsidRDefault="009E57DE">
      <w:pPr>
        <w:pStyle w:val="NormalBulleted"/>
        <w:rPr>
          <w:lang w:val="en-US" w:eastAsia="en-US"/>
        </w:rPr>
      </w:pPr>
      <w:r>
        <w:rPr>
          <w:lang w:val="en-US" w:eastAsia="en-US"/>
        </w:rPr>
        <w:t>Item 71097 is the antinuclear antibody test used to help confirm or exclude the diagnosis of systemic rheumatic disease.</w:t>
      </w:r>
      <w:r w:rsidR="00E72354">
        <w:rPr>
          <w:lang w:val="en-US" w:eastAsia="en-US"/>
        </w:rPr>
        <w:t xml:space="preserve"> Antinuclear antibodies are associated with a number of autoimmune diseases but are used specifically to diagnose and classify disease in patients </w:t>
      </w:r>
      <w:r w:rsidR="00E72354">
        <w:rPr>
          <w:lang w:val="en-US" w:eastAsia="en-US"/>
        </w:rPr>
        <w:lastRenderedPageBreak/>
        <w:t>presenting with clinical symptoms or other laboratory results suggesting rheumatic disease.</w:t>
      </w:r>
      <w:r w:rsidR="00084C50">
        <w:rPr>
          <w:lang w:val="en-US" w:eastAsia="en-US"/>
        </w:rPr>
        <w:t xml:space="preserve"> Antinuclear antibody tests are rarely used in isolation and often used early in the evaluation of patients to better direct investigations.</w:t>
      </w:r>
      <w:r w:rsidR="00C710B8">
        <w:rPr>
          <w:lang w:val="en-US" w:eastAsia="en-US"/>
        </w:rPr>
        <w:fldChar w:fldCharType="begin"/>
      </w:r>
      <w:r w:rsidR="00F304E9">
        <w:rPr>
          <w:lang w:val="en-US" w:eastAsia="en-US"/>
        </w:rPr>
        <w:instrText xml:space="preserve"> ADDIN EN.CITE &lt;EndNote&gt;&lt;Cite&gt;&lt;Author&gt;O’Sullivan&lt;/Author&gt;&lt;Year&gt;2013&lt;/Year&gt;&lt;RecNum&gt;5&lt;/RecNum&gt;&lt;DisplayText&gt; [4]&lt;/DisplayText&gt;&lt;record&gt;&lt;rec-number&gt;5&lt;/rec-number&gt;&lt;foreign-keys&gt;&lt;key app="EN" db-id="05trxwd9pxaf9oeezd6xrte0pftav5ade0ww" timestamp="1496122873"&gt;5&lt;/key&gt;&lt;/foreign-keys&gt;&lt;ref-type name="Journal Article"&gt;17&lt;/ref-type&gt;&lt;contributors&gt;&lt;authors&gt;&lt;author&gt;O’Sullivan, M.&lt;/author&gt;&lt;author&gt;McLean-Tooke, A.&lt;/author&gt;&lt;author&gt;Loh, R.&lt;/author&gt;&lt;/authors&gt;&lt;/contributors&gt;&lt;titles&gt;&lt;title&gt;Antinuclear antibody test&lt;/title&gt;&lt;secondary-title&gt;Australian Family Physician&lt;/secondary-title&gt;&lt;/titles&gt;&lt;periodical&gt;&lt;full-title&gt;Australian Family Physician&lt;/full-title&gt;&lt;/periodical&gt;&lt;pages&gt;718-721&lt;/pages&gt;&lt;volume&gt;42&lt;/volume&gt;&lt;keywords&gt;&lt;keyword&gt;australian, family, physician, afp, 2013, october, antinuclear antibodies, immune system diseases, autoimmune disease&lt;/keyword&gt;&lt;/keywords&gt;&lt;dates&gt;&lt;year&gt;2013&lt;/year&gt;&lt;/dates&gt;&lt;publisher&gt;The Royal Australian College of General Practitioners (RACGP)&lt;/publisher&gt;&lt;urls&gt;&lt;related-urls&gt;&lt;url&gt;http://www.racgp.org.au/afp/2013/october/antinuclear-antibody-test/&lt;/url&gt;&lt;/related-urls&gt;&lt;/urls&gt;&lt;access-date&gt;4 October 2017&lt;/access-date&gt;&lt;/record&gt;&lt;/Cite&gt;&lt;/EndNote&gt;</w:instrText>
      </w:r>
      <w:r w:rsidR="00C710B8">
        <w:rPr>
          <w:lang w:val="en-US" w:eastAsia="en-US"/>
        </w:rPr>
        <w:fldChar w:fldCharType="separate"/>
      </w:r>
      <w:r w:rsidR="00F304E9">
        <w:rPr>
          <w:noProof/>
          <w:lang w:val="en-US" w:eastAsia="en-US"/>
        </w:rPr>
        <w:t xml:space="preserve"> [4]</w:t>
      </w:r>
      <w:r w:rsidR="00C710B8">
        <w:rPr>
          <w:lang w:val="en-US" w:eastAsia="en-US"/>
        </w:rPr>
        <w:fldChar w:fldCharType="end"/>
      </w:r>
      <w:r w:rsidR="00E72354">
        <w:rPr>
          <w:lang w:val="en-US" w:eastAsia="en-US"/>
        </w:rPr>
        <w:t xml:space="preserve"> </w:t>
      </w:r>
    </w:p>
    <w:p w14:paraId="0AB5AAE1" w14:textId="77777777" w:rsidR="00E72354" w:rsidRPr="00B043E1" w:rsidRDefault="00E72354">
      <w:pPr>
        <w:pStyle w:val="NormalBulleted"/>
        <w:rPr>
          <w:lang w:val="en-US" w:eastAsia="en-US"/>
        </w:rPr>
      </w:pPr>
      <w:r>
        <w:rPr>
          <w:lang w:val="en-US" w:eastAsia="en-US"/>
        </w:rPr>
        <w:t xml:space="preserve">During the financial year 2014–2015, </w:t>
      </w:r>
      <w:r w:rsidR="00B043E1">
        <w:rPr>
          <w:lang w:val="en-US" w:eastAsia="en-US"/>
        </w:rPr>
        <w:t xml:space="preserve">the number of services received by patients were as follows: </w:t>
      </w:r>
      <w:r w:rsidRPr="00B043E1">
        <w:rPr>
          <w:lang w:val="en-US" w:eastAsia="en-US"/>
        </w:rPr>
        <w:t>42</w:t>
      </w:r>
      <w:r w:rsidR="00B043E1" w:rsidRPr="00B043E1">
        <w:rPr>
          <w:lang w:val="en-US" w:eastAsia="en-US"/>
        </w:rPr>
        <w:t xml:space="preserve">4,153 </w:t>
      </w:r>
      <w:r w:rsidRPr="00B043E1">
        <w:rPr>
          <w:lang w:val="en-US" w:eastAsia="en-US"/>
        </w:rPr>
        <w:t xml:space="preserve">patients received </w:t>
      </w:r>
      <w:r w:rsidR="00084C50" w:rsidRPr="00B043E1">
        <w:rPr>
          <w:lang w:val="en-US" w:eastAsia="en-US"/>
        </w:rPr>
        <w:t>the service once</w:t>
      </w:r>
      <w:r w:rsidRPr="00B043E1">
        <w:rPr>
          <w:lang w:val="en-US" w:eastAsia="en-US"/>
        </w:rPr>
        <w:t>, 38,890</w:t>
      </w:r>
      <w:r w:rsidR="00491279" w:rsidRPr="00B043E1">
        <w:rPr>
          <w:lang w:val="en-US" w:eastAsia="en-US"/>
        </w:rPr>
        <w:t xml:space="preserve"> </w:t>
      </w:r>
      <w:r w:rsidR="00B043E1" w:rsidRPr="00B043E1">
        <w:rPr>
          <w:lang w:val="en-US" w:eastAsia="en-US"/>
        </w:rPr>
        <w:t>patients received the service</w:t>
      </w:r>
      <w:r w:rsidR="00CF70AB" w:rsidRPr="00B043E1">
        <w:rPr>
          <w:lang w:val="en-US" w:eastAsia="en-US"/>
        </w:rPr>
        <w:t xml:space="preserve"> </w:t>
      </w:r>
      <w:r w:rsidR="00BD5D26">
        <w:rPr>
          <w:lang w:val="en-US" w:eastAsia="en-US"/>
        </w:rPr>
        <w:t>twice</w:t>
      </w:r>
      <w:r w:rsidR="00B043E1">
        <w:rPr>
          <w:lang w:val="en-US" w:eastAsia="en-US"/>
        </w:rPr>
        <w:t xml:space="preserve">, </w:t>
      </w:r>
      <w:r w:rsidR="00432E17">
        <w:rPr>
          <w:lang w:val="en-US" w:eastAsia="en-US"/>
        </w:rPr>
        <w:t>and</w:t>
      </w:r>
      <w:r w:rsidR="00432E17" w:rsidRPr="00B043E1">
        <w:rPr>
          <w:lang w:val="en-US" w:eastAsia="en-US"/>
        </w:rPr>
        <w:t xml:space="preserve"> </w:t>
      </w:r>
      <w:r w:rsidR="00491279" w:rsidRPr="00B043E1">
        <w:rPr>
          <w:lang w:val="en-US" w:eastAsia="en-US"/>
        </w:rPr>
        <w:t xml:space="preserve">5763 </w:t>
      </w:r>
      <w:r w:rsidR="00B043E1" w:rsidRPr="00B043E1">
        <w:rPr>
          <w:lang w:val="en-US" w:eastAsia="en-US"/>
        </w:rPr>
        <w:t xml:space="preserve">patients received the service </w:t>
      </w:r>
      <w:r w:rsidR="006A4A7A">
        <w:rPr>
          <w:lang w:val="en-US" w:eastAsia="en-US"/>
        </w:rPr>
        <w:t>three</w:t>
      </w:r>
      <w:r w:rsidR="006A4A7A" w:rsidRPr="00B043E1">
        <w:rPr>
          <w:lang w:val="en-US" w:eastAsia="en-US"/>
        </w:rPr>
        <w:t xml:space="preserve"> </w:t>
      </w:r>
      <w:r w:rsidR="00491279" w:rsidRPr="00B043E1">
        <w:rPr>
          <w:lang w:val="en-US" w:eastAsia="en-US"/>
        </w:rPr>
        <w:t>t</w:t>
      </w:r>
      <w:r w:rsidR="00CF70AB" w:rsidRPr="00B043E1">
        <w:rPr>
          <w:lang w:val="en-US" w:eastAsia="en-US"/>
        </w:rPr>
        <w:t>ime</w:t>
      </w:r>
      <w:r w:rsidR="00432E17">
        <w:rPr>
          <w:lang w:val="en-US" w:eastAsia="en-US"/>
        </w:rPr>
        <w:t>s</w:t>
      </w:r>
      <w:r w:rsidR="00BD5D26">
        <w:rPr>
          <w:lang w:val="en-US" w:eastAsia="en-US"/>
        </w:rPr>
        <w:t>. The number o</w:t>
      </w:r>
      <w:r w:rsidR="000434D8">
        <w:rPr>
          <w:lang w:val="en-US" w:eastAsia="en-US"/>
        </w:rPr>
        <w:t xml:space="preserve">f patients receiving the service more than </w:t>
      </w:r>
      <w:r w:rsidR="006A4A7A">
        <w:rPr>
          <w:lang w:val="en-US" w:eastAsia="en-US"/>
        </w:rPr>
        <w:t xml:space="preserve">three </w:t>
      </w:r>
      <w:r w:rsidR="00432E17">
        <w:rPr>
          <w:lang w:val="en-US" w:eastAsia="en-US"/>
        </w:rPr>
        <w:t xml:space="preserve">times during </w:t>
      </w:r>
      <w:r w:rsidR="006A5342">
        <w:rPr>
          <w:lang w:val="en-US" w:eastAsia="en-US"/>
        </w:rPr>
        <w:t xml:space="preserve">2014–15 </w:t>
      </w:r>
      <w:r w:rsidR="00432E17">
        <w:rPr>
          <w:lang w:val="en-US" w:eastAsia="en-US"/>
        </w:rPr>
        <w:t>was 1881.</w:t>
      </w:r>
    </w:p>
    <w:p w14:paraId="766923EB" w14:textId="77777777" w:rsidR="00C1306E" w:rsidRPr="00E72354" w:rsidRDefault="002A582C">
      <w:pPr>
        <w:pStyle w:val="NormalBulleted"/>
        <w:rPr>
          <w:lang w:val="en-US" w:eastAsia="en-US"/>
        </w:rPr>
      </w:pPr>
      <w:r>
        <w:rPr>
          <w:lang w:val="en-US" w:eastAsia="en-US"/>
        </w:rPr>
        <w:t>When present and associated with disease, these antibodies remain stable for many years.</w:t>
      </w:r>
      <w:r w:rsidR="00AB6550">
        <w:rPr>
          <w:lang w:val="en-US" w:eastAsia="en-US"/>
        </w:rPr>
        <w:t xml:space="preserve"> </w:t>
      </w:r>
      <w:r>
        <w:rPr>
          <w:lang w:val="en-US" w:eastAsia="en-US"/>
        </w:rPr>
        <w:t>Repeat testing to confirm unexpected results is appropriate, but these antibodies are not validated for monitoring disease activity.</w:t>
      </w:r>
      <w:r w:rsidR="00E72354" w:rsidRPr="00E72354">
        <w:rPr>
          <w:lang w:val="en-US" w:eastAsia="en-US"/>
        </w:rPr>
        <w:t xml:space="preserve"> </w:t>
      </w:r>
    </w:p>
    <w:p w14:paraId="3A93F8B0" w14:textId="77777777" w:rsidR="00C1306E" w:rsidRPr="00A67C78" w:rsidRDefault="00432E17">
      <w:pPr>
        <w:pStyle w:val="NormalBulleted"/>
        <w:rPr>
          <w:lang w:val="en-US" w:eastAsia="en-US"/>
        </w:rPr>
      </w:pPr>
      <w:r>
        <w:rPr>
          <w:lang w:val="en-US" w:eastAsia="en-US"/>
        </w:rPr>
        <w:t>The Committee decided to remove body fluids from the item descriptor because t</w:t>
      </w:r>
      <w:r w:rsidRPr="00E8051A">
        <w:rPr>
          <w:lang w:val="en-US" w:eastAsia="en-US"/>
        </w:rPr>
        <w:t xml:space="preserve">here </w:t>
      </w:r>
      <w:r w:rsidR="00E8051A" w:rsidRPr="00E8051A">
        <w:rPr>
          <w:lang w:val="en-US" w:eastAsia="en-US"/>
        </w:rPr>
        <w:t>is no clinical reason to perform an antinuclear antibody test on body fluids.</w:t>
      </w:r>
      <w:r w:rsidR="00F71203">
        <w:rPr>
          <w:lang w:val="en-US" w:eastAsia="en-US"/>
        </w:rPr>
        <w:t xml:space="preserve"> </w:t>
      </w:r>
      <w:r w:rsidR="007D7B23">
        <w:rPr>
          <w:lang w:val="en-US" w:eastAsia="en-US"/>
        </w:rPr>
        <w:t>Testing for the presence of antinuclear antibodies in samples other than peripheral blood is not recommended because</w:t>
      </w:r>
      <w:r w:rsidR="008C26B3">
        <w:rPr>
          <w:lang w:val="en-US" w:eastAsia="en-US"/>
        </w:rPr>
        <w:t xml:space="preserve"> </w:t>
      </w:r>
      <w:r w:rsidR="007D7B23" w:rsidRPr="008C26B3">
        <w:rPr>
          <w:lang w:val="en-US" w:eastAsia="en-US"/>
        </w:rPr>
        <w:t>there are no clinically validate indications for such testing</w:t>
      </w:r>
      <w:r w:rsidR="00C52727">
        <w:rPr>
          <w:lang w:val="en-US" w:eastAsia="en-US"/>
        </w:rPr>
        <w:t>,</w:t>
      </w:r>
      <w:r w:rsidR="00C52727" w:rsidRPr="008C26B3">
        <w:rPr>
          <w:lang w:val="en-US" w:eastAsia="en-US"/>
        </w:rPr>
        <w:t xml:space="preserve"> </w:t>
      </w:r>
      <w:r w:rsidR="007D7B23" w:rsidRPr="008C26B3">
        <w:rPr>
          <w:lang w:val="en-US" w:eastAsia="en-US"/>
        </w:rPr>
        <w:t>and reference</w:t>
      </w:r>
      <w:r w:rsidR="008C26B3" w:rsidRPr="008C26B3">
        <w:rPr>
          <w:lang w:val="en-US" w:eastAsia="en-US"/>
        </w:rPr>
        <w:t xml:space="preserve"> intervals cannot be established for such samples, which precludes useful interpretation of such results.</w:t>
      </w:r>
    </w:p>
    <w:p w14:paraId="59B85DC4" w14:textId="77777777" w:rsidR="00C1306E" w:rsidRDefault="002A582C">
      <w:pPr>
        <w:pStyle w:val="NormalBulleted"/>
        <w:rPr>
          <w:lang w:val="en-US" w:eastAsia="en-US"/>
        </w:rPr>
      </w:pPr>
      <w:r>
        <w:rPr>
          <w:lang w:val="en-US" w:eastAsia="en-US"/>
        </w:rPr>
        <w:t>When diseases for which these antibodies are associated are present, the antibodies normally precede the disease presentation by months to years. Repeating testing in early stages of a patient’s presentation to see if there are progression of such antibodies therefore is almost always unnecessary.</w:t>
      </w:r>
    </w:p>
    <w:p w14:paraId="10F1FC47" w14:textId="77777777" w:rsidR="00F3620E" w:rsidRDefault="00F3620E">
      <w:pPr>
        <w:pStyle w:val="NormalBulleted"/>
        <w:rPr>
          <w:lang w:val="en-US" w:eastAsia="en-US"/>
        </w:rPr>
      </w:pPr>
      <w:r>
        <w:rPr>
          <w:lang w:val="en-US" w:eastAsia="en-US"/>
        </w:rPr>
        <w:t>The proposed changes will have no direct effect on patients.</w:t>
      </w:r>
    </w:p>
    <w:p w14:paraId="2E67DBA1" w14:textId="77777777" w:rsidR="00E52A61" w:rsidRDefault="00E52A61" w:rsidP="00E2562E">
      <w:pPr>
        <w:pStyle w:val="Heading2"/>
      </w:pPr>
      <w:bookmarkStart w:id="46" w:name="_Toc499293040"/>
      <w:bookmarkStart w:id="47" w:name="_Ref457115393"/>
      <w:bookmarkStart w:id="48" w:name="_Toc458355137"/>
      <w:bookmarkStart w:id="49" w:name="_Toc456708865"/>
      <w:bookmarkStart w:id="50" w:name="_Toc454956780"/>
      <w:r w:rsidRPr="00610DE7">
        <w:t>Double-stranded DNA antibodies</w:t>
      </w:r>
      <w:r>
        <w:t>: item 71099</w:t>
      </w:r>
      <w:bookmarkEnd w:id="46"/>
    </w:p>
    <w:p w14:paraId="61616CEE" w14:textId="77777777" w:rsidR="00B82189" w:rsidRPr="003744BA" w:rsidRDefault="00F06642">
      <w:pPr>
        <w:pStyle w:val="Caption"/>
      </w:pPr>
      <w:bookmarkStart w:id="51" w:name="_Toc499289248"/>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11</w:t>
      </w:r>
      <w:r w:rsidR="0004721F">
        <w:rPr>
          <w:noProof/>
        </w:rPr>
        <w:fldChar w:fldCharType="end"/>
      </w:r>
      <w:r>
        <w:t xml:space="preserve">. </w:t>
      </w:r>
      <w:r w:rsidR="00B82189" w:rsidRPr="003744BA">
        <w:t>Item introduction table for item</w:t>
      </w:r>
      <w:r w:rsidR="00B82189">
        <w:t xml:space="preserve"> 71099</w:t>
      </w:r>
      <w:bookmarkEnd w:id="51"/>
    </w:p>
    <w:tbl>
      <w:tblPr>
        <w:tblStyle w:val="TableGrid1"/>
        <w:tblW w:w="9039" w:type="dxa"/>
        <w:tblLayout w:type="fixed"/>
        <w:tblLook w:val="04A0" w:firstRow="1" w:lastRow="0" w:firstColumn="1" w:lastColumn="0" w:noHBand="0" w:noVBand="1"/>
        <w:tblCaption w:val="Table 11: Item introduction for item 71099"/>
        <w:tblDescription w:val="Table 11 contains MBS data for item 71099 for the finanical year 2014–2015. The data includes item number, long item descriptor, schedule fee, total volume of services, benefits paid, patient count and services annual average growth as a pecentage over a 5 year period."/>
      </w:tblPr>
      <w:tblGrid>
        <w:gridCol w:w="776"/>
        <w:gridCol w:w="2593"/>
        <w:gridCol w:w="1021"/>
        <w:gridCol w:w="1275"/>
        <w:gridCol w:w="1276"/>
        <w:gridCol w:w="992"/>
        <w:gridCol w:w="1106"/>
      </w:tblGrid>
      <w:tr w:rsidR="00B82189" w:rsidRPr="00DD5A29" w14:paraId="61B952B0" w14:textId="77777777" w:rsidTr="007B6365">
        <w:trPr>
          <w:trHeight w:val="729"/>
          <w:tblHeader/>
        </w:trPr>
        <w:tc>
          <w:tcPr>
            <w:tcW w:w="776" w:type="dxa"/>
            <w:shd w:val="clear" w:color="auto" w:fill="EEECE1" w:themeFill="background2"/>
            <w:vAlign w:val="bottom"/>
            <w:hideMark/>
          </w:tcPr>
          <w:p w14:paraId="719CBE33" w14:textId="77777777" w:rsidR="00B82189" w:rsidRPr="00DD5A29" w:rsidRDefault="00B82189" w:rsidP="007B6365">
            <w:pPr>
              <w:pStyle w:val="01Tableheaderrow"/>
              <w:rPr>
                <w:lang w:val="en-GB"/>
              </w:rPr>
            </w:pPr>
            <w:r w:rsidRPr="00C70F36">
              <w:rPr>
                <w:lang w:val="en-GB"/>
              </w:rPr>
              <w:t>Item</w:t>
            </w:r>
          </w:p>
        </w:tc>
        <w:tc>
          <w:tcPr>
            <w:tcW w:w="2593" w:type="dxa"/>
            <w:shd w:val="clear" w:color="auto" w:fill="EEECE1" w:themeFill="background2"/>
            <w:vAlign w:val="bottom"/>
            <w:hideMark/>
          </w:tcPr>
          <w:p w14:paraId="25399F45" w14:textId="77777777" w:rsidR="00B82189" w:rsidRPr="00DD5A29" w:rsidRDefault="00B82189" w:rsidP="007B6365">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021" w:type="dxa"/>
            <w:shd w:val="clear" w:color="auto" w:fill="EEECE1" w:themeFill="background2"/>
            <w:vAlign w:val="bottom"/>
            <w:hideMark/>
          </w:tcPr>
          <w:p w14:paraId="2E9FCD8B" w14:textId="77777777" w:rsidR="00B82189" w:rsidRPr="00256B04" w:rsidRDefault="00B82189" w:rsidP="007B6365">
            <w:pPr>
              <w:pStyle w:val="01Tableheaderrow"/>
              <w:rPr>
                <w:lang w:val="en-GB"/>
              </w:rPr>
            </w:pPr>
            <w:r w:rsidRPr="00C70F36">
              <w:rPr>
                <w:lang w:val="en-GB"/>
              </w:rPr>
              <w:t>Schedule fee</w:t>
            </w:r>
          </w:p>
        </w:tc>
        <w:tc>
          <w:tcPr>
            <w:tcW w:w="1275" w:type="dxa"/>
            <w:shd w:val="clear" w:color="auto" w:fill="EEECE1" w:themeFill="background2"/>
            <w:vAlign w:val="bottom"/>
            <w:hideMark/>
          </w:tcPr>
          <w:p w14:paraId="439D1F2B" w14:textId="77777777" w:rsidR="00B82189" w:rsidRPr="00DD5A29" w:rsidRDefault="00B82189" w:rsidP="007B6365">
            <w:pPr>
              <w:pStyle w:val="01Tableheaderrow"/>
              <w:rPr>
                <w:lang w:val="en-GB"/>
              </w:rPr>
            </w:pPr>
            <w:r w:rsidRPr="00C70F36">
              <w:rPr>
                <w:lang w:val="en-GB"/>
              </w:rPr>
              <w:t xml:space="preserve">Services </w:t>
            </w:r>
            <w:r w:rsidR="007D6844">
              <w:rPr>
                <w:lang w:val="en-GB"/>
              </w:rPr>
              <w:t>FY 2014–15</w:t>
            </w:r>
          </w:p>
        </w:tc>
        <w:tc>
          <w:tcPr>
            <w:tcW w:w="1276" w:type="dxa"/>
            <w:shd w:val="clear" w:color="auto" w:fill="EEECE1" w:themeFill="background2"/>
            <w:vAlign w:val="bottom"/>
          </w:tcPr>
          <w:p w14:paraId="7DC18E02" w14:textId="77777777" w:rsidR="00B82189" w:rsidRPr="00DD5A29" w:rsidRDefault="00B82189" w:rsidP="007B6365">
            <w:pPr>
              <w:pStyle w:val="01Tableheaderrow"/>
              <w:rPr>
                <w:lang w:val="en-GB"/>
              </w:rPr>
            </w:pPr>
            <w:r w:rsidRPr="00C70F36">
              <w:rPr>
                <w:lang w:val="en-GB"/>
              </w:rPr>
              <w:t xml:space="preserve">Benefits </w:t>
            </w:r>
            <w:r w:rsidR="007D6844">
              <w:rPr>
                <w:lang w:val="en-GB"/>
              </w:rPr>
              <w:t>FY 2014–15</w:t>
            </w:r>
          </w:p>
        </w:tc>
        <w:tc>
          <w:tcPr>
            <w:tcW w:w="992" w:type="dxa"/>
            <w:shd w:val="clear" w:color="auto" w:fill="EEECE1" w:themeFill="background2"/>
            <w:vAlign w:val="bottom"/>
            <w:hideMark/>
          </w:tcPr>
          <w:p w14:paraId="0571D752" w14:textId="77777777" w:rsidR="00B82189" w:rsidRPr="00DD5A29" w:rsidRDefault="00B82189" w:rsidP="007B6365">
            <w:pPr>
              <w:pStyle w:val="01Tableheaderrow"/>
              <w:rPr>
                <w:lang w:val="en-GB"/>
              </w:rPr>
            </w:pPr>
            <w:r w:rsidRPr="00C70F36">
              <w:rPr>
                <w:lang w:val="en-GB"/>
              </w:rPr>
              <w:t>Patient count</w:t>
            </w:r>
          </w:p>
        </w:tc>
        <w:tc>
          <w:tcPr>
            <w:tcW w:w="1106" w:type="dxa"/>
            <w:shd w:val="clear" w:color="auto" w:fill="EEECE1" w:themeFill="background2"/>
            <w:vAlign w:val="bottom"/>
            <w:hideMark/>
          </w:tcPr>
          <w:p w14:paraId="7B5E0A2D" w14:textId="77777777" w:rsidR="00B82189" w:rsidRPr="00DD5A29" w:rsidRDefault="00B82189" w:rsidP="007B6365">
            <w:pPr>
              <w:pStyle w:val="01Tableheaderrow"/>
              <w:rPr>
                <w:lang w:val="en-GB"/>
              </w:rPr>
            </w:pPr>
            <w:r w:rsidRPr="00C70F36">
              <w:rPr>
                <w:lang w:val="en-GB"/>
              </w:rPr>
              <w:t xml:space="preserve">Services 5-year </w:t>
            </w:r>
            <w:r w:rsidR="007D6844">
              <w:rPr>
                <w:lang w:val="en-GB"/>
              </w:rPr>
              <w:t>annual average growth</w:t>
            </w:r>
          </w:p>
        </w:tc>
      </w:tr>
      <w:tr w:rsidR="00B82189" w:rsidRPr="00DD5A29" w14:paraId="6C19BE6C" w14:textId="77777777" w:rsidTr="007B6365">
        <w:trPr>
          <w:trHeight w:val="300"/>
        </w:trPr>
        <w:tc>
          <w:tcPr>
            <w:tcW w:w="776" w:type="dxa"/>
            <w:noWrap/>
            <w:hideMark/>
          </w:tcPr>
          <w:p w14:paraId="1DA60AF9" w14:textId="77777777" w:rsidR="00B82189" w:rsidRPr="00DD5A29" w:rsidRDefault="00B82189" w:rsidP="007B6365">
            <w:pPr>
              <w:pStyle w:val="02Tabletext"/>
              <w:rPr>
                <w:color w:val="000000"/>
                <w:lang w:val="en-GB"/>
              </w:rPr>
            </w:pPr>
            <w:r>
              <w:rPr>
                <w:color w:val="000000"/>
                <w:lang w:val="en-GB"/>
              </w:rPr>
              <w:t>71099</w:t>
            </w:r>
          </w:p>
        </w:tc>
        <w:tc>
          <w:tcPr>
            <w:tcW w:w="2593" w:type="dxa"/>
            <w:noWrap/>
            <w:hideMark/>
          </w:tcPr>
          <w:p w14:paraId="05FFAE8E" w14:textId="77777777" w:rsidR="00B82189" w:rsidRPr="00E52A61" w:rsidRDefault="00B82189" w:rsidP="007B6365">
            <w:pPr>
              <w:pStyle w:val="02Tabletext"/>
              <w:rPr>
                <w:color w:val="000000"/>
                <w:lang w:val="en-GB"/>
              </w:rPr>
            </w:pPr>
            <w:r w:rsidRPr="00E52A61">
              <w:rPr>
                <w:color w:val="000000"/>
                <w:lang w:val="en-GB"/>
              </w:rPr>
              <w:t>Double-stranded DNA antibodies - quantitation by 1 or more methods other than the Crithidia method</w:t>
            </w:r>
          </w:p>
        </w:tc>
        <w:tc>
          <w:tcPr>
            <w:tcW w:w="1021" w:type="dxa"/>
            <w:noWrap/>
            <w:hideMark/>
          </w:tcPr>
          <w:p w14:paraId="3CD824A0" w14:textId="77777777" w:rsidR="00B82189" w:rsidRPr="00E52A61" w:rsidRDefault="00B82189" w:rsidP="007B6365">
            <w:pPr>
              <w:pStyle w:val="02Tabletext"/>
              <w:jc w:val="right"/>
              <w:rPr>
                <w:color w:val="000000"/>
                <w:lang w:val="en-GB"/>
              </w:rPr>
            </w:pPr>
            <w:r w:rsidRPr="00E52A61">
              <w:rPr>
                <w:color w:val="000000"/>
                <w:lang w:val="en-GB"/>
              </w:rPr>
              <w:t>$26.50</w:t>
            </w:r>
          </w:p>
        </w:tc>
        <w:tc>
          <w:tcPr>
            <w:tcW w:w="1275" w:type="dxa"/>
            <w:noWrap/>
            <w:hideMark/>
          </w:tcPr>
          <w:p w14:paraId="4B01D9F4" w14:textId="77777777" w:rsidR="00B82189" w:rsidRPr="00E52A61" w:rsidRDefault="00B82189" w:rsidP="007B6365">
            <w:pPr>
              <w:pStyle w:val="02Tabletext"/>
              <w:jc w:val="right"/>
              <w:rPr>
                <w:color w:val="000000"/>
                <w:lang w:val="en-GB"/>
              </w:rPr>
            </w:pPr>
            <w:r w:rsidRPr="00E52A61">
              <w:rPr>
                <w:color w:val="000000"/>
                <w:lang w:val="en-GB"/>
              </w:rPr>
              <w:t>195,681</w:t>
            </w:r>
          </w:p>
        </w:tc>
        <w:tc>
          <w:tcPr>
            <w:tcW w:w="1276" w:type="dxa"/>
          </w:tcPr>
          <w:p w14:paraId="21133897" w14:textId="77777777" w:rsidR="00B82189" w:rsidRPr="00E52A61" w:rsidRDefault="00B82189" w:rsidP="007B6365">
            <w:pPr>
              <w:pStyle w:val="02Tabletext"/>
              <w:jc w:val="right"/>
              <w:rPr>
                <w:color w:val="000000"/>
                <w:lang w:val="en-GB"/>
              </w:rPr>
            </w:pPr>
            <w:r w:rsidRPr="00E52A61">
              <w:rPr>
                <w:color w:val="000000"/>
                <w:lang w:val="en-GB"/>
              </w:rPr>
              <w:t>$4,419,881</w:t>
            </w:r>
          </w:p>
        </w:tc>
        <w:tc>
          <w:tcPr>
            <w:tcW w:w="992" w:type="dxa"/>
            <w:noWrap/>
            <w:hideMark/>
          </w:tcPr>
          <w:p w14:paraId="796EAF40" w14:textId="77777777" w:rsidR="00B82189" w:rsidRPr="00E52A61" w:rsidRDefault="00B82189" w:rsidP="007B6365">
            <w:pPr>
              <w:pStyle w:val="02Tabletext"/>
              <w:jc w:val="right"/>
              <w:rPr>
                <w:color w:val="000000"/>
                <w:lang w:val="en-GB"/>
              </w:rPr>
            </w:pPr>
            <w:r w:rsidRPr="00E52A61">
              <w:rPr>
                <w:color w:val="000000"/>
                <w:lang w:val="en-GB"/>
              </w:rPr>
              <w:t>168,350</w:t>
            </w:r>
          </w:p>
        </w:tc>
        <w:tc>
          <w:tcPr>
            <w:tcW w:w="1106" w:type="dxa"/>
            <w:noWrap/>
            <w:hideMark/>
          </w:tcPr>
          <w:p w14:paraId="26462582" w14:textId="77777777" w:rsidR="00B82189" w:rsidRPr="00E52A61" w:rsidRDefault="00B82189" w:rsidP="007B6365">
            <w:pPr>
              <w:pStyle w:val="02Tabletext"/>
              <w:jc w:val="right"/>
              <w:rPr>
                <w:color w:val="000000"/>
                <w:lang w:val="en-GB"/>
              </w:rPr>
            </w:pPr>
            <w:r w:rsidRPr="00E52A61">
              <w:rPr>
                <w:color w:val="000000"/>
                <w:lang w:val="en-GB"/>
              </w:rPr>
              <w:t>7.9%</w:t>
            </w:r>
          </w:p>
        </w:tc>
      </w:tr>
    </w:tbl>
    <w:p w14:paraId="32AB190A" w14:textId="77777777" w:rsidR="006E5549" w:rsidRDefault="006E5549" w:rsidP="0023110D">
      <w:pPr>
        <w:pStyle w:val="Heading3Numbered"/>
      </w:pPr>
      <w:r>
        <w:t xml:space="preserve">Recommendation </w:t>
      </w:r>
      <w:r w:rsidR="00C076A2">
        <w:t>5</w:t>
      </w:r>
    </w:p>
    <w:p w14:paraId="68EC6C5F" w14:textId="77777777" w:rsidR="000813B5" w:rsidRDefault="000813B5" w:rsidP="000813B5">
      <w:pPr>
        <w:rPr>
          <w:lang w:val="en-US" w:eastAsia="en-US"/>
        </w:rPr>
      </w:pPr>
      <w:r>
        <w:rPr>
          <w:lang w:val="en-US" w:eastAsia="en-US"/>
        </w:rPr>
        <w:t>The Committee proposes the following:</w:t>
      </w:r>
    </w:p>
    <w:p w14:paraId="51066D40" w14:textId="77777777" w:rsidR="000813B5" w:rsidRDefault="00A765B3">
      <w:pPr>
        <w:pStyle w:val="NormalBulleted"/>
        <w:rPr>
          <w:lang w:val="en-US" w:eastAsia="en-US"/>
        </w:rPr>
      </w:pPr>
      <w:r>
        <w:rPr>
          <w:lang w:val="en-US" w:eastAsia="en-US"/>
        </w:rPr>
        <w:t>R</w:t>
      </w:r>
      <w:r w:rsidR="000813B5">
        <w:rPr>
          <w:lang w:val="en-US" w:eastAsia="en-US"/>
        </w:rPr>
        <w:t>emove the wording</w:t>
      </w:r>
      <w:r w:rsidR="00236526">
        <w:rPr>
          <w:lang w:val="en-US" w:eastAsia="en-US"/>
        </w:rPr>
        <w:t xml:space="preserve"> ‘</w:t>
      </w:r>
      <w:r w:rsidR="000813B5">
        <w:rPr>
          <w:lang w:val="en-US" w:eastAsia="en-US"/>
        </w:rPr>
        <w:t>other than the Crithidia method’ from the item descriptor.</w:t>
      </w:r>
    </w:p>
    <w:p w14:paraId="7E9A09F0" w14:textId="77777777" w:rsidR="001E4CAC" w:rsidRDefault="00F06642">
      <w:pPr>
        <w:pStyle w:val="Caption"/>
      </w:pPr>
      <w:bookmarkStart w:id="52" w:name="_Toc499289249"/>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12</w:t>
      </w:r>
      <w:r w:rsidR="0004721F">
        <w:rPr>
          <w:noProof/>
        </w:rPr>
        <w:fldChar w:fldCharType="end"/>
      </w:r>
      <w:r>
        <w:t xml:space="preserve">. </w:t>
      </w:r>
      <w:r w:rsidR="001E4CAC">
        <w:rPr>
          <w:noProof/>
        </w:rPr>
        <w:t>Current and proposed item descriptors for item 71099</w:t>
      </w:r>
      <w:bookmarkEnd w:id="52"/>
    </w:p>
    <w:tbl>
      <w:tblPr>
        <w:tblStyle w:val="TableGrid"/>
        <w:tblpPr w:leftFromText="180" w:rightFromText="180" w:vertAnchor="text" w:horzAnchor="margin" w:tblpY="37"/>
        <w:tblW w:w="0" w:type="auto"/>
        <w:tblLook w:val="04A0" w:firstRow="1" w:lastRow="0" w:firstColumn="1" w:lastColumn="0" w:noHBand="0" w:noVBand="1"/>
        <w:tblCaption w:val="Table 12: Current and proposed item descriptors for item 71099"/>
        <w:tblDescription w:val="Table 12 lists the current and proposed item descriptors for item 71099."/>
      </w:tblPr>
      <w:tblGrid>
        <w:gridCol w:w="1552"/>
        <w:gridCol w:w="3252"/>
        <w:gridCol w:w="4212"/>
      </w:tblGrid>
      <w:tr w:rsidR="00236526" w14:paraId="5F46FD9B" w14:textId="77777777" w:rsidTr="0023110D">
        <w:trPr>
          <w:tblHeader/>
        </w:trPr>
        <w:tc>
          <w:tcPr>
            <w:tcW w:w="1555" w:type="dxa"/>
            <w:shd w:val="clear" w:color="auto" w:fill="EEECE1" w:themeFill="background2"/>
          </w:tcPr>
          <w:p w14:paraId="767C2648" w14:textId="77777777" w:rsidR="00236526" w:rsidRPr="00236526" w:rsidRDefault="00236526" w:rsidP="007B6365">
            <w:pPr>
              <w:pStyle w:val="01Tableheaderrow"/>
              <w:rPr>
                <w:lang w:val="en-US"/>
              </w:rPr>
            </w:pPr>
            <w:r w:rsidRPr="00236526">
              <w:rPr>
                <w:lang w:val="en-US"/>
              </w:rPr>
              <w:t>Item</w:t>
            </w:r>
          </w:p>
        </w:tc>
        <w:tc>
          <w:tcPr>
            <w:tcW w:w="3260" w:type="dxa"/>
            <w:shd w:val="clear" w:color="auto" w:fill="EEECE1" w:themeFill="background2"/>
          </w:tcPr>
          <w:p w14:paraId="13D5A027" w14:textId="77777777" w:rsidR="00236526" w:rsidRPr="00236526" w:rsidRDefault="00236526" w:rsidP="007B6365">
            <w:pPr>
              <w:pStyle w:val="01Tableheaderrow"/>
              <w:rPr>
                <w:lang w:val="en-US"/>
              </w:rPr>
            </w:pPr>
            <w:r w:rsidRPr="00236526">
              <w:rPr>
                <w:lang w:val="en-US"/>
              </w:rPr>
              <w:t>Current item descriptor</w:t>
            </w:r>
          </w:p>
        </w:tc>
        <w:tc>
          <w:tcPr>
            <w:tcW w:w="4224" w:type="dxa"/>
            <w:shd w:val="clear" w:color="auto" w:fill="EEECE1" w:themeFill="background2"/>
          </w:tcPr>
          <w:p w14:paraId="056DC5B9" w14:textId="77777777" w:rsidR="00236526" w:rsidRPr="00236526" w:rsidRDefault="00236526" w:rsidP="007B6365">
            <w:pPr>
              <w:pStyle w:val="01Tableheaderrow"/>
              <w:rPr>
                <w:lang w:val="en-US"/>
              </w:rPr>
            </w:pPr>
            <w:r w:rsidRPr="00236526">
              <w:rPr>
                <w:lang w:val="en-US"/>
              </w:rPr>
              <w:t>Proposed item descriptor</w:t>
            </w:r>
          </w:p>
        </w:tc>
      </w:tr>
      <w:tr w:rsidR="00236526" w14:paraId="6819FC33" w14:textId="77777777" w:rsidTr="0023110D">
        <w:tc>
          <w:tcPr>
            <w:tcW w:w="1555" w:type="dxa"/>
          </w:tcPr>
          <w:p w14:paraId="417C1460" w14:textId="77777777" w:rsidR="00236526" w:rsidRDefault="00236526" w:rsidP="007B6365">
            <w:pPr>
              <w:pStyle w:val="02Tabletext"/>
              <w:rPr>
                <w:lang w:val="en-US"/>
              </w:rPr>
            </w:pPr>
            <w:r w:rsidRPr="00447499">
              <w:t>71099</w:t>
            </w:r>
          </w:p>
        </w:tc>
        <w:tc>
          <w:tcPr>
            <w:tcW w:w="3260" w:type="dxa"/>
          </w:tcPr>
          <w:p w14:paraId="50268463" w14:textId="77777777" w:rsidR="00236526" w:rsidRDefault="00236526" w:rsidP="007B6365">
            <w:pPr>
              <w:pStyle w:val="02Tabletext"/>
              <w:rPr>
                <w:lang w:val="en-US"/>
              </w:rPr>
            </w:pPr>
            <w:r w:rsidRPr="00447499">
              <w:t>Double-stranded DNA antibodies - quantitation by 1 or more methods other than the Crithidia method</w:t>
            </w:r>
          </w:p>
        </w:tc>
        <w:tc>
          <w:tcPr>
            <w:tcW w:w="4224" w:type="dxa"/>
          </w:tcPr>
          <w:p w14:paraId="70B197D0" w14:textId="77777777" w:rsidR="00236526" w:rsidRDefault="00236526" w:rsidP="007B6365">
            <w:pPr>
              <w:pStyle w:val="02Tabletext"/>
              <w:rPr>
                <w:lang w:val="en-US"/>
              </w:rPr>
            </w:pPr>
            <w:r w:rsidRPr="00236526">
              <w:rPr>
                <w:lang w:val="en-US"/>
              </w:rPr>
              <w:t xml:space="preserve">Double-stranded DNA antibodies - quantitation by 1 or more </w:t>
            </w:r>
            <w:r>
              <w:rPr>
                <w:lang w:val="en-US"/>
              </w:rPr>
              <w:t>methods</w:t>
            </w:r>
          </w:p>
        </w:tc>
      </w:tr>
    </w:tbl>
    <w:p w14:paraId="47ED1142" w14:textId="77777777" w:rsidR="006E5549" w:rsidRDefault="006E5549" w:rsidP="0023110D">
      <w:pPr>
        <w:pStyle w:val="Heading3Numbered"/>
      </w:pPr>
      <w:r>
        <w:t xml:space="preserve">Rationale </w:t>
      </w:r>
      <w:r w:rsidR="00C076A2">
        <w:t>5</w:t>
      </w:r>
    </w:p>
    <w:p w14:paraId="6CBBFDEB" w14:textId="77777777" w:rsidR="00B043E1" w:rsidRDefault="00E22FDB">
      <w:pPr>
        <w:pStyle w:val="NormalBulleted"/>
        <w:rPr>
          <w:lang w:val="en-US" w:eastAsia="en-US"/>
        </w:rPr>
      </w:pPr>
      <w:r>
        <w:rPr>
          <w:lang w:val="en-US" w:eastAsia="en-US"/>
        </w:rPr>
        <w:t>Item 71099 is the anti-double stranded DNA test used to help diagnose systemic lupus erythematosus in patients who have a positive result on an antinuclear antibody test and have presenting clinical symptoms.</w:t>
      </w:r>
      <w:r w:rsidR="00B043E1">
        <w:rPr>
          <w:lang w:val="en-US" w:eastAsia="en-US"/>
        </w:rPr>
        <w:t xml:space="preserve"> There is an equal utilisation of item 71099 across the </w:t>
      </w:r>
      <w:r w:rsidR="00CD7C43">
        <w:rPr>
          <w:lang w:val="en-US" w:eastAsia="en-US"/>
        </w:rPr>
        <w:t xml:space="preserve">states </w:t>
      </w:r>
      <w:r w:rsidR="00B043E1">
        <w:rPr>
          <w:lang w:val="en-US" w:eastAsia="en-US"/>
        </w:rPr>
        <w:t xml:space="preserve">and </w:t>
      </w:r>
      <w:r w:rsidR="00CD7C43">
        <w:rPr>
          <w:lang w:val="en-US" w:eastAsia="en-US"/>
        </w:rPr>
        <w:t>territories</w:t>
      </w:r>
      <w:r w:rsidR="00B043E1">
        <w:rPr>
          <w:lang w:val="en-US" w:eastAsia="en-US"/>
        </w:rPr>
        <w:t xml:space="preserve">. </w:t>
      </w:r>
    </w:p>
    <w:p w14:paraId="030924A0" w14:textId="77777777" w:rsidR="000F696E" w:rsidRDefault="008C26B3">
      <w:pPr>
        <w:pStyle w:val="NormalBulleted"/>
        <w:rPr>
          <w:lang w:val="en-US" w:eastAsia="en-US"/>
        </w:rPr>
      </w:pPr>
      <w:r>
        <w:rPr>
          <w:lang w:val="en-US" w:eastAsia="en-US"/>
        </w:rPr>
        <w:lastRenderedPageBreak/>
        <w:t xml:space="preserve">The use of Crithidia as a substrate for the detection of antibodies to </w:t>
      </w:r>
      <w:r w:rsidR="0076777E">
        <w:rPr>
          <w:lang w:val="en-US" w:eastAsia="en-US"/>
        </w:rPr>
        <w:t xml:space="preserve">double stranded </w:t>
      </w:r>
      <w:r>
        <w:rPr>
          <w:lang w:val="en-US" w:eastAsia="en-US"/>
        </w:rPr>
        <w:t>DNA is a valid methodology, and not inferior to some of the alternate assay methodologies in current use.</w:t>
      </w:r>
    </w:p>
    <w:p w14:paraId="10CEB22B" w14:textId="77777777" w:rsidR="00F3620E" w:rsidRPr="003D56B4" w:rsidRDefault="00F3620E">
      <w:pPr>
        <w:pStyle w:val="NormalBulleted"/>
        <w:rPr>
          <w:lang w:val="en-US" w:eastAsia="en-US"/>
        </w:rPr>
      </w:pPr>
      <w:r>
        <w:rPr>
          <w:lang w:val="en-US" w:eastAsia="en-US"/>
        </w:rPr>
        <w:t>The proposed changes have no direct effect on patients.</w:t>
      </w:r>
    </w:p>
    <w:p w14:paraId="6495DD42" w14:textId="77777777" w:rsidR="00E52A61" w:rsidRDefault="00E52A61" w:rsidP="00E2562E">
      <w:pPr>
        <w:pStyle w:val="Heading2"/>
      </w:pPr>
      <w:bookmarkStart w:id="53" w:name="_Toc499293041"/>
      <w:r w:rsidRPr="00610DE7">
        <w:t>Antibodies to extractable nuclear antigens</w:t>
      </w:r>
      <w:r w:rsidR="008E5F19">
        <w:t>: items</w:t>
      </w:r>
      <w:r w:rsidRPr="00610DE7">
        <w:t xml:space="preserve"> </w:t>
      </w:r>
      <w:r>
        <w:t>71101 and 71103</w:t>
      </w:r>
      <w:bookmarkEnd w:id="53"/>
    </w:p>
    <w:p w14:paraId="64562250" w14:textId="77777777" w:rsidR="00341913" w:rsidRPr="003744BA" w:rsidRDefault="00F06642">
      <w:pPr>
        <w:pStyle w:val="Caption"/>
      </w:pPr>
      <w:bookmarkStart w:id="54" w:name="_Toc499289250"/>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13</w:t>
      </w:r>
      <w:r w:rsidR="0004721F">
        <w:rPr>
          <w:noProof/>
        </w:rPr>
        <w:fldChar w:fldCharType="end"/>
      </w:r>
      <w:r>
        <w:t xml:space="preserve">. </w:t>
      </w:r>
      <w:r w:rsidR="00341913" w:rsidRPr="003744BA">
        <w:t>Item introduction table for item</w:t>
      </w:r>
      <w:r w:rsidR="008E5F19">
        <w:t>s</w:t>
      </w:r>
      <w:r w:rsidR="00341913">
        <w:t xml:space="preserve"> </w:t>
      </w:r>
      <w:r w:rsidR="008E5F19">
        <w:t>71101 and 71103</w:t>
      </w:r>
      <w:bookmarkEnd w:id="54"/>
    </w:p>
    <w:tbl>
      <w:tblPr>
        <w:tblStyle w:val="TableGrid1"/>
        <w:tblW w:w="9039" w:type="dxa"/>
        <w:tblLayout w:type="fixed"/>
        <w:tblLook w:val="04A0" w:firstRow="1" w:lastRow="0" w:firstColumn="1" w:lastColumn="0" w:noHBand="0" w:noVBand="1"/>
        <w:tblCaption w:val="Table 13: Item introduction table for items 71101 and 71103"/>
        <w:tblDescription w:val="Table 13 contains MBS data for items 71101 and 71103 for the finanical year 2014–2015. The data includes item numbers, long item descriptors, schedule fee, total volume of services, benefits paid, patient count and services annual average growth as a pecentage over a 5 year period."/>
      </w:tblPr>
      <w:tblGrid>
        <w:gridCol w:w="776"/>
        <w:gridCol w:w="2621"/>
        <w:gridCol w:w="1134"/>
        <w:gridCol w:w="1276"/>
        <w:gridCol w:w="1276"/>
        <w:gridCol w:w="992"/>
        <w:gridCol w:w="964"/>
      </w:tblGrid>
      <w:tr w:rsidR="00B82189" w:rsidRPr="00DD5A29" w14:paraId="3C312DD6" w14:textId="77777777" w:rsidTr="007B6365">
        <w:trPr>
          <w:trHeight w:val="729"/>
          <w:tblHeader/>
        </w:trPr>
        <w:tc>
          <w:tcPr>
            <w:tcW w:w="776" w:type="dxa"/>
            <w:shd w:val="clear" w:color="auto" w:fill="EEECE1" w:themeFill="background2"/>
            <w:vAlign w:val="bottom"/>
            <w:hideMark/>
          </w:tcPr>
          <w:p w14:paraId="576F4222" w14:textId="77777777" w:rsidR="00B82189" w:rsidRPr="00DD5A29" w:rsidRDefault="00B82189" w:rsidP="007B6365">
            <w:pPr>
              <w:pStyle w:val="01Tableheaderrow"/>
              <w:rPr>
                <w:lang w:val="en-GB"/>
              </w:rPr>
            </w:pPr>
            <w:r w:rsidRPr="00C70F36">
              <w:rPr>
                <w:lang w:val="en-GB"/>
              </w:rPr>
              <w:t>Item</w:t>
            </w:r>
          </w:p>
        </w:tc>
        <w:tc>
          <w:tcPr>
            <w:tcW w:w="2621" w:type="dxa"/>
            <w:shd w:val="clear" w:color="auto" w:fill="EEECE1" w:themeFill="background2"/>
            <w:vAlign w:val="bottom"/>
            <w:hideMark/>
          </w:tcPr>
          <w:p w14:paraId="624901D8" w14:textId="77777777" w:rsidR="00B82189" w:rsidRPr="00DD5A29" w:rsidRDefault="00B82189" w:rsidP="007B6365">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134" w:type="dxa"/>
            <w:shd w:val="clear" w:color="auto" w:fill="EEECE1" w:themeFill="background2"/>
            <w:vAlign w:val="bottom"/>
            <w:hideMark/>
          </w:tcPr>
          <w:p w14:paraId="25D8A019" w14:textId="77777777" w:rsidR="00B82189" w:rsidRPr="00256B04" w:rsidRDefault="00B82189" w:rsidP="007B6365">
            <w:pPr>
              <w:pStyle w:val="01Tableheaderrow"/>
              <w:rPr>
                <w:lang w:val="en-GB"/>
              </w:rPr>
            </w:pPr>
            <w:r w:rsidRPr="00C70F36">
              <w:rPr>
                <w:lang w:val="en-GB"/>
              </w:rPr>
              <w:t>Schedule fee</w:t>
            </w:r>
          </w:p>
        </w:tc>
        <w:tc>
          <w:tcPr>
            <w:tcW w:w="1276" w:type="dxa"/>
            <w:shd w:val="clear" w:color="auto" w:fill="EEECE1" w:themeFill="background2"/>
            <w:vAlign w:val="bottom"/>
            <w:hideMark/>
          </w:tcPr>
          <w:p w14:paraId="0282B6C1" w14:textId="77777777" w:rsidR="00B82189" w:rsidRPr="00DD5A29" w:rsidRDefault="00B82189" w:rsidP="007B6365">
            <w:pPr>
              <w:pStyle w:val="01Tableheaderrow"/>
              <w:rPr>
                <w:lang w:val="en-GB"/>
              </w:rPr>
            </w:pPr>
            <w:r w:rsidRPr="00C70F36">
              <w:rPr>
                <w:lang w:val="en-GB"/>
              </w:rPr>
              <w:t xml:space="preserve">Services </w:t>
            </w:r>
            <w:r w:rsidR="007D6844">
              <w:rPr>
                <w:lang w:val="en-GB"/>
              </w:rPr>
              <w:t>FY 2014–15</w:t>
            </w:r>
          </w:p>
        </w:tc>
        <w:tc>
          <w:tcPr>
            <w:tcW w:w="1276" w:type="dxa"/>
            <w:shd w:val="clear" w:color="auto" w:fill="EEECE1" w:themeFill="background2"/>
            <w:vAlign w:val="bottom"/>
          </w:tcPr>
          <w:p w14:paraId="6BA9AB28" w14:textId="77777777" w:rsidR="00B82189" w:rsidRPr="00DD5A29" w:rsidRDefault="00B82189" w:rsidP="007B6365">
            <w:pPr>
              <w:pStyle w:val="01Tableheaderrow"/>
              <w:rPr>
                <w:lang w:val="en-GB"/>
              </w:rPr>
            </w:pPr>
            <w:r w:rsidRPr="00C70F36">
              <w:rPr>
                <w:lang w:val="en-GB"/>
              </w:rPr>
              <w:t xml:space="preserve">Benefits </w:t>
            </w:r>
            <w:r w:rsidR="007D6844">
              <w:rPr>
                <w:lang w:val="en-GB"/>
              </w:rPr>
              <w:t>FY 2014–15</w:t>
            </w:r>
          </w:p>
        </w:tc>
        <w:tc>
          <w:tcPr>
            <w:tcW w:w="992" w:type="dxa"/>
            <w:shd w:val="clear" w:color="auto" w:fill="EEECE1" w:themeFill="background2"/>
            <w:vAlign w:val="bottom"/>
            <w:hideMark/>
          </w:tcPr>
          <w:p w14:paraId="6717FB57" w14:textId="77777777" w:rsidR="00B82189" w:rsidRPr="00DD5A29" w:rsidRDefault="00B82189" w:rsidP="007B6365">
            <w:pPr>
              <w:pStyle w:val="01Tableheaderrow"/>
              <w:rPr>
                <w:lang w:val="en-GB"/>
              </w:rPr>
            </w:pPr>
            <w:r w:rsidRPr="00C70F36">
              <w:rPr>
                <w:lang w:val="en-GB"/>
              </w:rPr>
              <w:t>Patient count</w:t>
            </w:r>
          </w:p>
        </w:tc>
        <w:tc>
          <w:tcPr>
            <w:tcW w:w="964" w:type="dxa"/>
            <w:shd w:val="clear" w:color="auto" w:fill="EEECE1" w:themeFill="background2"/>
            <w:vAlign w:val="bottom"/>
            <w:hideMark/>
          </w:tcPr>
          <w:p w14:paraId="1E123969" w14:textId="77777777" w:rsidR="00B82189" w:rsidRPr="00DD5A29" w:rsidRDefault="00B82189" w:rsidP="007B6365">
            <w:pPr>
              <w:pStyle w:val="01Tableheaderrow"/>
              <w:rPr>
                <w:lang w:val="en-GB"/>
              </w:rPr>
            </w:pPr>
            <w:r w:rsidRPr="00C70F36">
              <w:rPr>
                <w:lang w:val="en-GB"/>
              </w:rPr>
              <w:t xml:space="preserve">Services 5-year </w:t>
            </w:r>
            <w:r w:rsidR="007D6844">
              <w:rPr>
                <w:lang w:val="en-GB"/>
              </w:rPr>
              <w:t>annual average growth</w:t>
            </w:r>
          </w:p>
        </w:tc>
      </w:tr>
      <w:tr w:rsidR="00B82189" w:rsidRPr="00DD5A29" w14:paraId="70C25D8D" w14:textId="77777777" w:rsidTr="007B6365">
        <w:trPr>
          <w:trHeight w:val="300"/>
        </w:trPr>
        <w:tc>
          <w:tcPr>
            <w:tcW w:w="776" w:type="dxa"/>
            <w:noWrap/>
            <w:hideMark/>
          </w:tcPr>
          <w:p w14:paraId="45B84987" w14:textId="77777777" w:rsidR="00B82189" w:rsidRPr="00DD5A29" w:rsidRDefault="008E5F19" w:rsidP="007B6365">
            <w:pPr>
              <w:pStyle w:val="02Tabletext"/>
              <w:rPr>
                <w:color w:val="000000"/>
                <w:lang w:val="en-GB"/>
              </w:rPr>
            </w:pPr>
            <w:r>
              <w:rPr>
                <w:color w:val="000000"/>
                <w:lang w:val="en-GB"/>
              </w:rPr>
              <w:t>71101</w:t>
            </w:r>
          </w:p>
        </w:tc>
        <w:tc>
          <w:tcPr>
            <w:tcW w:w="2621" w:type="dxa"/>
            <w:noWrap/>
            <w:hideMark/>
          </w:tcPr>
          <w:p w14:paraId="49E99144" w14:textId="77777777" w:rsidR="00B82189" w:rsidRPr="009C6383" w:rsidRDefault="008E5F19" w:rsidP="007B6365">
            <w:pPr>
              <w:pStyle w:val="02Tabletext"/>
              <w:rPr>
                <w:color w:val="000000"/>
                <w:lang w:val="en-GB"/>
              </w:rPr>
            </w:pPr>
            <w:r w:rsidRPr="009C6383">
              <w:rPr>
                <w:color w:val="000000"/>
                <w:lang w:val="en-GB"/>
              </w:rPr>
              <w:t>Antibodies to 1 or more extractable nuclear antigens - detection in serum or other body fluids</w:t>
            </w:r>
          </w:p>
        </w:tc>
        <w:tc>
          <w:tcPr>
            <w:tcW w:w="1134" w:type="dxa"/>
            <w:noWrap/>
            <w:hideMark/>
          </w:tcPr>
          <w:p w14:paraId="2076B3A6" w14:textId="77777777" w:rsidR="00B82189" w:rsidRPr="009C6383" w:rsidRDefault="008E5F19" w:rsidP="007B6365">
            <w:pPr>
              <w:pStyle w:val="02Tabletext"/>
              <w:jc w:val="right"/>
              <w:rPr>
                <w:color w:val="000000"/>
                <w:lang w:val="en-GB"/>
              </w:rPr>
            </w:pPr>
            <w:r w:rsidRPr="009C6383">
              <w:rPr>
                <w:color w:val="000000"/>
                <w:lang w:val="en-GB"/>
              </w:rPr>
              <w:t>$17.40</w:t>
            </w:r>
          </w:p>
        </w:tc>
        <w:tc>
          <w:tcPr>
            <w:tcW w:w="1276" w:type="dxa"/>
            <w:noWrap/>
            <w:hideMark/>
          </w:tcPr>
          <w:p w14:paraId="04D6A7E6" w14:textId="77777777" w:rsidR="00B82189" w:rsidRPr="009C6383" w:rsidRDefault="008E5F19" w:rsidP="007B6365">
            <w:pPr>
              <w:pStyle w:val="02Tabletext"/>
              <w:jc w:val="right"/>
              <w:rPr>
                <w:color w:val="000000"/>
                <w:lang w:val="en-GB"/>
              </w:rPr>
            </w:pPr>
            <w:r w:rsidRPr="009C6383">
              <w:rPr>
                <w:color w:val="000000"/>
                <w:lang w:val="en-GB"/>
              </w:rPr>
              <w:t>151,483</w:t>
            </w:r>
          </w:p>
        </w:tc>
        <w:tc>
          <w:tcPr>
            <w:tcW w:w="1276" w:type="dxa"/>
          </w:tcPr>
          <w:p w14:paraId="39F3C5B2" w14:textId="77777777" w:rsidR="00B82189" w:rsidRPr="009C6383" w:rsidRDefault="008E5F19" w:rsidP="007B6365">
            <w:pPr>
              <w:pStyle w:val="02Tabletext"/>
              <w:jc w:val="right"/>
              <w:rPr>
                <w:color w:val="000000"/>
                <w:lang w:val="en-GB"/>
              </w:rPr>
            </w:pPr>
            <w:r w:rsidRPr="009C6383">
              <w:rPr>
                <w:color w:val="000000"/>
                <w:lang w:val="en-GB"/>
              </w:rPr>
              <w:t>$2,235,329</w:t>
            </w:r>
          </w:p>
        </w:tc>
        <w:tc>
          <w:tcPr>
            <w:tcW w:w="992" w:type="dxa"/>
            <w:noWrap/>
            <w:hideMark/>
          </w:tcPr>
          <w:p w14:paraId="57F41EC5" w14:textId="77777777" w:rsidR="00B82189" w:rsidRPr="009C6383" w:rsidRDefault="008E5F19" w:rsidP="007B6365">
            <w:pPr>
              <w:pStyle w:val="02Tabletext"/>
              <w:jc w:val="right"/>
              <w:rPr>
                <w:color w:val="000000"/>
                <w:lang w:val="en-GB"/>
              </w:rPr>
            </w:pPr>
            <w:r w:rsidRPr="009C6383">
              <w:rPr>
                <w:color w:val="000000"/>
                <w:lang w:val="en-GB"/>
              </w:rPr>
              <w:t>139,029</w:t>
            </w:r>
          </w:p>
        </w:tc>
        <w:tc>
          <w:tcPr>
            <w:tcW w:w="964" w:type="dxa"/>
            <w:noWrap/>
            <w:hideMark/>
          </w:tcPr>
          <w:p w14:paraId="4B4D54FD" w14:textId="77777777" w:rsidR="00B82189" w:rsidRPr="009C6383" w:rsidRDefault="008E5F19" w:rsidP="007B6365">
            <w:pPr>
              <w:pStyle w:val="02Tabletext"/>
              <w:jc w:val="right"/>
              <w:rPr>
                <w:color w:val="000000"/>
                <w:lang w:val="en-GB"/>
              </w:rPr>
            </w:pPr>
            <w:r w:rsidRPr="009C6383">
              <w:rPr>
                <w:color w:val="000000"/>
                <w:lang w:val="en-GB"/>
              </w:rPr>
              <w:t>8.6%</w:t>
            </w:r>
          </w:p>
        </w:tc>
      </w:tr>
      <w:tr w:rsidR="00B82189" w:rsidRPr="00DD5A29" w14:paraId="7238F5C5" w14:textId="77777777" w:rsidTr="007B6365">
        <w:trPr>
          <w:trHeight w:val="300"/>
        </w:trPr>
        <w:tc>
          <w:tcPr>
            <w:tcW w:w="776" w:type="dxa"/>
            <w:noWrap/>
          </w:tcPr>
          <w:p w14:paraId="6B8BDCC9" w14:textId="77777777" w:rsidR="00B82189" w:rsidRPr="009C6383" w:rsidRDefault="008E5F19" w:rsidP="007B6365">
            <w:pPr>
              <w:pStyle w:val="02Tabletext"/>
              <w:rPr>
                <w:color w:val="000000"/>
                <w:lang w:val="en-GB"/>
              </w:rPr>
            </w:pPr>
            <w:r w:rsidRPr="009C6383">
              <w:rPr>
                <w:color w:val="000000"/>
                <w:lang w:val="en-GB"/>
              </w:rPr>
              <w:t>71103</w:t>
            </w:r>
          </w:p>
        </w:tc>
        <w:tc>
          <w:tcPr>
            <w:tcW w:w="2621" w:type="dxa"/>
            <w:noWrap/>
          </w:tcPr>
          <w:p w14:paraId="6FA200E1" w14:textId="77777777" w:rsidR="00B82189" w:rsidRPr="009C6383" w:rsidRDefault="009C6383" w:rsidP="007B6365">
            <w:pPr>
              <w:pStyle w:val="02Tabletext"/>
              <w:rPr>
                <w:color w:val="000000"/>
                <w:lang w:val="en-GB"/>
              </w:rPr>
            </w:pPr>
            <w:r w:rsidRPr="009C6383">
              <w:rPr>
                <w:color w:val="000000"/>
                <w:lang w:val="en-GB"/>
              </w:rPr>
              <w:t>Characterisation of an antibody detected in a service described in item 71101 (including that service)</w:t>
            </w:r>
          </w:p>
        </w:tc>
        <w:tc>
          <w:tcPr>
            <w:tcW w:w="1134" w:type="dxa"/>
            <w:noWrap/>
          </w:tcPr>
          <w:p w14:paraId="3508AD4D" w14:textId="77777777" w:rsidR="00B82189" w:rsidRPr="009C6383" w:rsidRDefault="009C6383" w:rsidP="007B6365">
            <w:pPr>
              <w:pStyle w:val="02Tabletext"/>
              <w:jc w:val="right"/>
              <w:rPr>
                <w:color w:val="000000"/>
                <w:lang w:val="en-GB"/>
              </w:rPr>
            </w:pPr>
            <w:r w:rsidRPr="009C6383">
              <w:rPr>
                <w:color w:val="000000"/>
                <w:lang w:val="en-GB"/>
              </w:rPr>
              <w:t>$52.05</w:t>
            </w:r>
          </w:p>
        </w:tc>
        <w:tc>
          <w:tcPr>
            <w:tcW w:w="1276" w:type="dxa"/>
            <w:noWrap/>
          </w:tcPr>
          <w:p w14:paraId="28ED3CAA" w14:textId="77777777" w:rsidR="00B82189" w:rsidRPr="009C6383" w:rsidRDefault="009C6383" w:rsidP="007B6365">
            <w:pPr>
              <w:pStyle w:val="02Tabletext"/>
              <w:jc w:val="right"/>
              <w:rPr>
                <w:color w:val="000000"/>
                <w:lang w:val="en-GB"/>
              </w:rPr>
            </w:pPr>
            <w:r w:rsidRPr="009C6383">
              <w:rPr>
                <w:color w:val="000000"/>
                <w:lang w:val="en-GB"/>
              </w:rPr>
              <w:t>35,313</w:t>
            </w:r>
          </w:p>
        </w:tc>
        <w:tc>
          <w:tcPr>
            <w:tcW w:w="1276" w:type="dxa"/>
          </w:tcPr>
          <w:p w14:paraId="303D097F" w14:textId="77777777" w:rsidR="00B82189" w:rsidRPr="009C6383" w:rsidRDefault="009C6383" w:rsidP="007B6365">
            <w:pPr>
              <w:pStyle w:val="02Tabletext"/>
              <w:jc w:val="right"/>
              <w:rPr>
                <w:color w:val="000000"/>
                <w:lang w:val="en-GB"/>
              </w:rPr>
            </w:pPr>
            <w:r w:rsidRPr="009C6383">
              <w:rPr>
                <w:color w:val="000000"/>
                <w:lang w:val="en-GB"/>
              </w:rPr>
              <w:t>$1,568,130</w:t>
            </w:r>
          </w:p>
        </w:tc>
        <w:tc>
          <w:tcPr>
            <w:tcW w:w="992" w:type="dxa"/>
            <w:noWrap/>
          </w:tcPr>
          <w:p w14:paraId="30A20868" w14:textId="77777777" w:rsidR="00B82189" w:rsidRPr="009C6383" w:rsidRDefault="009C6383" w:rsidP="007B6365">
            <w:pPr>
              <w:pStyle w:val="02Tabletext"/>
              <w:jc w:val="right"/>
              <w:rPr>
                <w:color w:val="000000"/>
                <w:lang w:val="en-GB"/>
              </w:rPr>
            </w:pPr>
            <w:r w:rsidRPr="009C6383">
              <w:rPr>
                <w:color w:val="000000"/>
                <w:lang w:val="en-GB"/>
              </w:rPr>
              <w:t>29,504</w:t>
            </w:r>
          </w:p>
        </w:tc>
        <w:tc>
          <w:tcPr>
            <w:tcW w:w="964" w:type="dxa"/>
            <w:noWrap/>
          </w:tcPr>
          <w:p w14:paraId="53294B42" w14:textId="77777777" w:rsidR="00B82189" w:rsidRPr="009C6383" w:rsidRDefault="009C6383" w:rsidP="007B6365">
            <w:pPr>
              <w:pStyle w:val="02Tabletext"/>
              <w:jc w:val="right"/>
              <w:rPr>
                <w:color w:val="000000"/>
                <w:lang w:val="en-GB"/>
              </w:rPr>
            </w:pPr>
            <w:r w:rsidRPr="009C6383">
              <w:rPr>
                <w:color w:val="000000"/>
                <w:lang w:val="en-GB"/>
              </w:rPr>
              <w:t>13.4%</w:t>
            </w:r>
          </w:p>
        </w:tc>
      </w:tr>
    </w:tbl>
    <w:p w14:paraId="0E397BC2" w14:textId="77777777" w:rsidR="00E53C6B" w:rsidRDefault="00E53C6B" w:rsidP="0023110D">
      <w:pPr>
        <w:pStyle w:val="Heading3Numbered"/>
      </w:pPr>
      <w:r>
        <w:t xml:space="preserve">Recommendation </w:t>
      </w:r>
      <w:r w:rsidR="00255DD9">
        <w:t>6</w:t>
      </w:r>
    </w:p>
    <w:p w14:paraId="4E4D7840" w14:textId="77777777" w:rsidR="007A045E" w:rsidRDefault="007A045E">
      <w:pPr>
        <w:pStyle w:val="NormalBulleted"/>
        <w:rPr>
          <w:lang w:val="en-US" w:eastAsia="en-US"/>
        </w:rPr>
      </w:pPr>
      <w:r>
        <w:rPr>
          <w:lang w:val="en-US" w:eastAsia="en-US"/>
        </w:rPr>
        <w:t>Amend item descriptor of item 71101 to remove the words ‘or other body fluids’</w:t>
      </w:r>
      <w:r w:rsidR="003E31B3">
        <w:rPr>
          <w:lang w:val="en-US" w:eastAsia="en-US"/>
        </w:rPr>
        <w:t>.</w:t>
      </w:r>
    </w:p>
    <w:p w14:paraId="0D0B00A0" w14:textId="77777777" w:rsidR="0076777E" w:rsidRDefault="007A045E">
      <w:pPr>
        <w:pStyle w:val="NormalBulleted"/>
        <w:rPr>
          <w:lang w:val="en-US" w:eastAsia="en-US"/>
        </w:rPr>
      </w:pPr>
      <w:r>
        <w:rPr>
          <w:lang w:val="en-US" w:eastAsia="en-US"/>
        </w:rPr>
        <w:t>I</w:t>
      </w:r>
      <w:r w:rsidR="00F3620E">
        <w:rPr>
          <w:lang w:val="en-US" w:eastAsia="en-US"/>
        </w:rPr>
        <w:t>tems 71101 and 71103</w:t>
      </w:r>
      <w:r>
        <w:rPr>
          <w:lang w:val="en-US" w:eastAsia="en-US"/>
        </w:rPr>
        <w:t xml:space="preserve"> to be monitored by the Department</w:t>
      </w:r>
      <w:r w:rsidR="00F3620E">
        <w:rPr>
          <w:lang w:val="en-US" w:eastAsia="en-US"/>
        </w:rPr>
        <w:t xml:space="preserve">. </w:t>
      </w:r>
      <w:r w:rsidR="001E4CAC">
        <w:rPr>
          <w:lang w:val="en-US" w:eastAsia="en-US"/>
        </w:rPr>
        <w:t>Laboratories who</w:t>
      </w:r>
      <w:r w:rsidR="00F3620E">
        <w:rPr>
          <w:lang w:val="en-US" w:eastAsia="en-US"/>
        </w:rPr>
        <w:t xml:space="preserve"> </w:t>
      </w:r>
      <w:r>
        <w:rPr>
          <w:lang w:val="en-US" w:eastAsia="en-US"/>
        </w:rPr>
        <w:t>claim a</w:t>
      </w:r>
      <w:r w:rsidR="00F3620E">
        <w:rPr>
          <w:lang w:val="en-US" w:eastAsia="en-US"/>
        </w:rPr>
        <w:t xml:space="preserve"> ratio of 71103:71101 greater than one</w:t>
      </w:r>
      <w:r w:rsidR="00CD7C43">
        <w:rPr>
          <w:lang w:val="en-US" w:eastAsia="en-US"/>
        </w:rPr>
        <w:t>-</w:t>
      </w:r>
      <w:r w:rsidR="00F3620E">
        <w:rPr>
          <w:lang w:val="en-US" w:eastAsia="en-US"/>
        </w:rPr>
        <w:t>third should be audited.</w:t>
      </w:r>
    </w:p>
    <w:p w14:paraId="7A23B7A3" w14:textId="77777777" w:rsidR="00DE6FFC" w:rsidRDefault="00DE6FFC" w:rsidP="0023110D">
      <w:pPr>
        <w:pStyle w:val="Heading3Numbered"/>
      </w:pPr>
      <w:r>
        <w:t xml:space="preserve">Rationale </w:t>
      </w:r>
      <w:r w:rsidR="00255DD9">
        <w:t>6</w:t>
      </w:r>
    </w:p>
    <w:p w14:paraId="4748ED4A" w14:textId="77777777" w:rsidR="0051193E" w:rsidRDefault="008D7149">
      <w:pPr>
        <w:pStyle w:val="NormalBulleted"/>
        <w:rPr>
          <w:lang w:val="en-US" w:eastAsia="en-US"/>
        </w:rPr>
      </w:pPr>
      <w:r>
        <w:rPr>
          <w:lang w:val="en-US" w:eastAsia="en-US"/>
        </w:rPr>
        <w:t>Items 71101 and 71103 are tests used to detect antibodies for extractable nuclear antigens</w:t>
      </w:r>
      <w:r w:rsidR="002F3D1E">
        <w:rPr>
          <w:lang w:val="en-US" w:eastAsia="en-US"/>
        </w:rPr>
        <w:t xml:space="preserve"> (ENA)</w:t>
      </w:r>
      <w:r>
        <w:rPr>
          <w:lang w:val="en-US" w:eastAsia="en-US"/>
        </w:rPr>
        <w:t xml:space="preserve">; these tests are used to </w:t>
      </w:r>
      <w:r w:rsidR="002F3D1E">
        <w:rPr>
          <w:lang w:val="en-US" w:eastAsia="en-US"/>
        </w:rPr>
        <w:t xml:space="preserve">help diagnose and distinguish between autoimmune disorders such as mixed connective tissue disease, </w:t>
      </w:r>
      <w:r w:rsidR="002F3D1E" w:rsidRPr="002F3D1E">
        <w:rPr>
          <w:lang w:val="en-US" w:eastAsia="en-US"/>
        </w:rPr>
        <w:t>Sjögren's syndrome</w:t>
      </w:r>
      <w:r w:rsidR="002F3D1E">
        <w:rPr>
          <w:lang w:val="en-US" w:eastAsia="en-US"/>
        </w:rPr>
        <w:t xml:space="preserve"> and systemic lupus erythematosus.</w:t>
      </w:r>
      <w:r w:rsidR="000711C8">
        <w:rPr>
          <w:lang w:val="en-US" w:eastAsia="en-US"/>
        </w:rPr>
        <w:t xml:space="preserve"> This test has been available for more than 30 years.</w:t>
      </w:r>
      <w:r w:rsidR="002F3D1E">
        <w:rPr>
          <w:lang w:val="en-US" w:eastAsia="en-US"/>
        </w:rPr>
        <w:t xml:space="preserve"> Autoantibody testing is only necessary when a person presents with symptoms that suggest an autoimmune disorder.</w:t>
      </w:r>
      <w:r w:rsidR="00971F1D">
        <w:rPr>
          <w:lang w:val="en-US" w:eastAsia="en-US"/>
        </w:rPr>
        <w:t xml:space="preserve"> </w:t>
      </w:r>
    </w:p>
    <w:p w14:paraId="53C3FA23" w14:textId="77777777" w:rsidR="00697BD2" w:rsidRDefault="00C44EF8">
      <w:pPr>
        <w:pStyle w:val="NormalBulleted"/>
        <w:rPr>
          <w:lang w:val="en-US" w:eastAsia="en-US"/>
        </w:rPr>
      </w:pPr>
      <w:r>
        <w:rPr>
          <w:lang w:val="en-US" w:eastAsia="en-US"/>
        </w:rPr>
        <w:t xml:space="preserve">The state variation </w:t>
      </w:r>
      <w:r w:rsidR="00697BD2">
        <w:rPr>
          <w:lang w:val="en-US" w:eastAsia="en-US"/>
        </w:rPr>
        <w:t xml:space="preserve">for items 71101 and 71103 </w:t>
      </w:r>
      <w:r w:rsidR="003E0AD2">
        <w:rPr>
          <w:lang w:val="en-US" w:eastAsia="en-US"/>
        </w:rPr>
        <w:t>are</w:t>
      </w:r>
      <w:r>
        <w:rPr>
          <w:lang w:val="en-US" w:eastAsia="en-US"/>
        </w:rPr>
        <w:t xml:space="preserve"> </w:t>
      </w:r>
      <w:r w:rsidR="0051193E">
        <w:rPr>
          <w:lang w:val="en-US" w:eastAsia="en-US"/>
        </w:rPr>
        <w:t>as follows</w:t>
      </w:r>
      <w:r w:rsidR="00815DD0">
        <w:rPr>
          <w:lang w:val="en-US" w:eastAsia="en-US"/>
        </w:rPr>
        <w:t>:</w:t>
      </w:r>
      <w:r>
        <w:rPr>
          <w:lang w:val="en-US" w:eastAsia="en-US"/>
        </w:rPr>
        <w:t xml:space="preserve"> </w:t>
      </w:r>
    </w:p>
    <w:p w14:paraId="205FEAC8" w14:textId="77777777" w:rsidR="00697BD2" w:rsidRDefault="00971F1D" w:rsidP="0023110D">
      <w:pPr>
        <w:pStyle w:val="Bullet2"/>
      </w:pPr>
      <w:r>
        <w:t xml:space="preserve">NSW has the highest utilisation of item 71101 with 832 </w:t>
      </w:r>
      <w:r w:rsidR="0051193E">
        <w:t xml:space="preserve">per 100,000 </w:t>
      </w:r>
      <w:r>
        <w:t xml:space="preserve">compared with 258 per 100,000 people in the NT. </w:t>
      </w:r>
    </w:p>
    <w:p w14:paraId="1ABEBADF" w14:textId="77777777" w:rsidR="00697BD2" w:rsidRDefault="00971F1D" w:rsidP="0023110D">
      <w:pPr>
        <w:pStyle w:val="Bullet2"/>
      </w:pPr>
      <w:r>
        <w:t>Utilisation of item 71103</w:t>
      </w:r>
      <w:r w:rsidR="0051193E">
        <w:t xml:space="preserve"> is 644 per 100,000 in ACT while in V</w:t>
      </w:r>
      <w:r w:rsidR="00DF5BA9">
        <w:t>ic</w:t>
      </w:r>
      <w:r w:rsidR="0051193E">
        <w:t xml:space="preserve"> the utilisation is 82 per 100,000.</w:t>
      </w:r>
      <w:r w:rsidR="00815DD0">
        <w:t xml:space="preserve"> </w:t>
      </w:r>
    </w:p>
    <w:p w14:paraId="2213CA0A" w14:textId="77777777" w:rsidR="008D7149" w:rsidRPr="00697BD2" w:rsidRDefault="003E0AD2">
      <w:pPr>
        <w:pStyle w:val="NormalBulleted"/>
        <w:rPr>
          <w:lang w:val="en-US" w:eastAsia="en-US"/>
        </w:rPr>
      </w:pPr>
      <w:r>
        <w:rPr>
          <w:lang w:val="en-US" w:eastAsia="en-US"/>
        </w:rPr>
        <w:t>F</w:t>
      </w:r>
      <w:r w:rsidR="00697BD2">
        <w:rPr>
          <w:lang w:val="en-US" w:eastAsia="en-US"/>
        </w:rPr>
        <w:t>or item 71101</w:t>
      </w:r>
      <w:r w:rsidR="00B5170A">
        <w:rPr>
          <w:lang w:val="en-US" w:eastAsia="en-US"/>
        </w:rPr>
        <w:t>,</w:t>
      </w:r>
      <w:r>
        <w:rPr>
          <w:lang w:val="en-US" w:eastAsia="en-US"/>
        </w:rPr>
        <w:t xml:space="preserve"> the number of services received by patients during 2014–2015 are as follows</w:t>
      </w:r>
      <w:r w:rsidR="00697BD2">
        <w:rPr>
          <w:lang w:val="en-US" w:eastAsia="en-US"/>
        </w:rPr>
        <w:t xml:space="preserve">: </w:t>
      </w:r>
      <w:r w:rsidR="00815DD0">
        <w:rPr>
          <w:lang w:val="en-US" w:eastAsia="en-US"/>
        </w:rPr>
        <w:t xml:space="preserve">128,622 patients </w:t>
      </w:r>
      <w:r>
        <w:rPr>
          <w:lang w:val="en-US" w:eastAsia="en-US"/>
        </w:rPr>
        <w:t>received the service once</w:t>
      </w:r>
      <w:r w:rsidR="00815DD0">
        <w:rPr>
          <w:lang w:val="en-US" w:eastAsia="en-US"/>
        </w:rPr>
        <w:t xml:space="preserve">, 8989 </w:t>
      </w:r>
      <w:r>
        <w:rPr>
          <w:lang w:val="en-US" w:eastAsia="en-US"/>
        </w:rPr>
        <w:t>had the service</w:t>
      </w:r>
      <w:r w:rsidR="00815DD0">
        <w:rPr>
          <w:lang w:val="en-US" w:eastAsia="en-US"/>
        </w:rPr>
        <w:t xml:space="preserve"> </w:t>
      </w:r>
      <w:r w:rsidR="00DF5BA9">
        <w:rPr>
          <w:lang w:val="en-US" w:eastAsia="en-US"/>
        </w:rPr>
        <w:t>twice</w:t>
      </w:r>
      <w:r w:rsidR="00815DD0">
        <w:rPr>
          <w:lang w:val="en-US" w:eastAsia="en-US"/>
        </w:rPr>
        <w:t xml:space="preserve">, </w:t>
      </w:r>
      <w:r w:rsidR="00B32FD5">
        <w:rPr>
          <w:lang w:val="en-US" w:eastAsia="en-US"/>
        </w:rPr>
        <w:t xml:space="preserve">and </w:t>
      </w:r>
      <w:r w:rsidR="00815DD0">
        <w:rPr>
          <w:lang w:val="en-US" w:eastAsia="en-US"/>
        </w:rPr>
        <w:t>1217</w:t>
      </w:r>
      <w:r w:rsidR="00B32FD5">
        <w:rPr>
          <w:lang w:val="en-US" w:eastAsia="en-US"/>
        </w:rPr>
        <w:t xml:space="preserve"> patients</w:t>
      </w:r>
      <w:r w:rsidR="00815DD0">
        <w:rPr>
          <w:lang w:val="en-US" w:eastAsia="en-US"/>
        </w:rPr>
        <w:t xml:space="preserve"> </w:t>
      </w:r>
      <w:r>
        <w:rPr>
          <w:lang w:val="en-US" w:eastAsia="en-US"/>
        </w:rPr>
        <w:t xml:space="preserve">received the service </w:t>
      </w:r>
      <w:r w:rsidR="00DF5BA9">
        <w:rPr>
          <w:lang w:val="en-US" w:eastAsia="en-US"/>
        </w:rPr>
        <w:t xml:space="preserve">three </w:t>
      </w:r>
      <w:r>
        <w:rPr>
          <w:lang w:val="en-US" w:eastAsia="en-US"/>
        </w:rPr>
        <w:t>times</w:t>
      </w:r>
      <w:r w:rsidR="00867D1F">
        <w:rPr>
          <w:lang w:val="en-US" w:eastAsia="en-US"/>
        </w:rPr>
        <w:t>; 329 patients received the</w:t>
      </w:r>
      <w:r w:rsidR="00815DD0">
        <w:rPr>
          <w:lang w:val="en-US" w:eastAsia="en-US"/>
        </w:rPr>
        <w:t xml:space="preserve"> </w:t>
      </w:r>
      <w:r w:rsidR="00867D1F">
        <w:rPr>
          <w:lang w:val="en-US" w:eastAsia="en-US"/>
        </w:rPr>
        <w:t xml:space="preserve">service </w:t>
      </w:r>
      <w:r w:rsidR="00DF5BA9">
        <w:rPr>
          <w:lang w:val="en-US" w:eastAsia="en-US"/>
        </w:rPr>
        <w:t>four or more</w:t>
      </w:r>
      <w:r w:rsidR="00815DD0">
        <w:rPr>
          <w:lang w:val="en-US" w:eastAsia="en-US"/>
        </w:rPr>
        <w:t xml:space="preserve"> </w:t>
      </w:r>
      <w:r>
        <w:rPr>
          <w:lang w:val="en-US" w:eastAsia="en-US"/>
        </w:rPr>
        <w:t>times</w:t>
      </w:r>
      <w:r w:rsidR="00815DD0">
        <w:rPr>
          <w:lang w:val="en-US" w:eastAsia="en-US"/>
        </w:rPr>
        <w:t xml:space="preserve">. </w:t>
      </w:r>
      <w:r w:rsidR="00697BD2">
        <w:rPr>
          <w:lang w:val="en-US" w:eastAsia="en-US"/>
        </w:rPr>
        <w:t>For item 71103, a</w:t>
      </w:r>
      <w:r w:rsidR="00815DD0" w:rsidRPr="00697BD2">
        <w:rPr>
          <w:lang w:val="en-US" w:eastAsia="en-US"/>
        </w:rPr>
        <w:t xml:space="preserve"> total of 24,952 patients received </w:t>
      </w:r>
      <w:r w:rsidR="00260753">
        <w:rPr>
          <w:lang w:val="en-US" w:eastAsia="en-US"/>
        </w:rPr>
        <w:t xml:space="preserve">the service </w:t>
      </w:r>
      <w:r>
        <w:rPr>
          <w:lang w:val="en-US" w:eastAsia="en-US"/>
        </w:rPr>
        <w:t>once, 3735 patients received the service</w:t>
      </w:r>
      <w:r w:rsidR="00815DD0" w:rsidRPr="00697BD2">
        <w:rPr>
          <w:lang w:val="en-US" w:eastAsia="en-US"/>
        </w:rPr>
        <w:t xml:space="preserve"> </w:t>
      </w:r>
      <w:r w:rsidR="00DF5BA9">
        <w:rPr>
          <w:lang w:val="en-US" w:eastAsia="en-US"/>
        </w:rPr>
        <w:t>twice</w:t>
      </w:r>
      <w:r w:rsidR="00815DD0" w:rsidRPr="00697BD2">
        <w:rPr>
          <w:lang w:val="en-US" w:eastAsia="en-US"/>
        </w:rPr>
        <w:t xml:space="preserve">, </w:t>
      </w:r>
      <w:r w:rsidR="00867D1F">
        <w:rPr>
          <w:lang w:val="en-US" w:eastAsia="en-US"/>
        </w:rPr>
        <w:t xml:space="preserve">and </w:t>
      </w:r>
      <w:r w:rsidR="00815DD0" w:rsidRPr="00697BD2">
        <w:rPr>
          <w:lang w:val="en-US" w:eastAsia="en-US"/>
        </w:rPr>
        <w:t>672</w:t>
      </w:r>
      <w:r w:rsidR="00867D1F">
        <w:rPr>
          <w:lang w:val="en-US" w:eastAsia="en-US"/>
        </w:rPr>
        <w:t xml:space="preserve"> patients</w:t>
      </w:r>
      <w:r w:rsidR="00815DD0" w:rsidRPr="00697BD2">
        <w:rPr>
          <w:lang w:val="en-US" w:eastAsia="en-US"/>
        </w:rPr>
        <w:t xml:space="preserve"> </w:t>
      </w:r>
      <w:r w:rsidR="00867D1F">
        <w:rPr>
          <w:lang w:val="en-US" w:eastAsia="en-US"/>
        </w:rPr>
        <w:t>received</w:t>
      </w:r>
      <w:r w:rsidR="00815DD0" w:rsidRPr="00697BD2">
        <w:rPr>
          <w:lang w:val="en-US" w:eastAsia="en-US"/>
        </w:rPr>
        <w:t xml:space="preserve"> </w:t>
      </w:r>
      <w:r>
        <w:rPr>
          <w:lang w:val="en-US" w:eastAsia="en-US"/>
        </w:rPr>
        <w:t xml:space="preserve">the service </w:t>
      </w:r>
      <w:r w:rsidR="00DF5BA9">
        <w:rPr>
          <w:lang w:val="en-US" w:eastAsia="en-US"/>
        </w:rPr>
        <w:t>three</w:t>
      </w:r>
      <w:r w:rsidR="00DF5BA9" w:rsidRPr="00697BD2">
        <w:rPr>
          <w:lang w:val="en-US" w:eastAsia="en-US"/>
        </w:rPr>
        <w:t xml:space="preserve"> </w:t>
      </w:r>
      <w:r w:rsidR="00815DD0" w:rsidRPr="00697BD2">
        <w:rPr>
          <w:lang w:val="en-US" w:eastAsia="en-US"/>
        </w:rPr>
        <w:t>t</w:t>
      </w:r>
      <w:r>
        <w:rPr>
          <w:lang w:val="en-US" w:eastAsia="en-US"/>
        </w:rPr>
        <w:t>imes</w:t>
      </w:r>
      <w:r w:rsidR="00867D1F">
        <w:rPr>
          <w:lang w:val="en-US" w:eastAsia="en-US"/>
        </w:rPr>
        <w:t xml:space="preserve">; 222 patients received the </w:t>
      </w:r>
      <w:r>
        <w:rPr>
          <w:lang w:val="en-US" w:eastAsia="en-US"/>
        </w:rPr>
        <w:t>service</w:t>
      </w:r>
      <w:r w:rsidR="004067C2" w:rsidRPr="00697BD2">
        <w:rPr>
          <w:lang w:val="en-US" w:eastAsia="en-US"/>
        </w:rPr>
        <w:t xml:space="preserve"> </w:t>
      </w:r>
      <w:r w:rsidR="00DF5BA9">
        <w:rPr>
          <w:lang w:val="en-US" w:eastAsia="en-US"/>
        </w:rPr>
        <w:t>four or more</w:t>
      </w:r>
      <w:r w:rsidR="004067C2" w:rsidRPr="00697BD2">
        <w:rPr>
          <w:lang w:val="en-US" w:eastAsia="en-US"/>
        </w:rPr>
        <w:t xml:space="preserve"> t</w:t>
      </w:r>
      <w:r>
        <w:rPr>
          <w:lang w:val="en-US" w:eastAsia="en-US"/>
        </w:rPr>
        <w:t>imes</w:t>
      </w:r>
      <w:r w:rsidR="004067C2" w:rsidRPr="00697BD2">
        <w:rPr>
          <w:lang w:val="en-US" w:eastAsia="en-US"/>
        </w:rPr>
        <w:t>.</w:t>
      </w:r>
    </w:p>
    <w:p w14:paraId="6C3AB0FB" w14:textId="77777777" w:rsidR="00E53C6B" w:rsidRDefault="008A0818">
      <w:pPr>
        <w:pStyle w:val="NormalBulleted"/>
        <w:rPr>
          <w:lang w:val="en-US" w:eastAsia="en-US"/>
        </w:rPr>
      </w:pPr>
      <w:r>
        <w:rPr>
          <w:lang w:val="en-US" w:eastAsia="en-US"/>
        </w:rPr>
        <w:t>The Commit</w:t>
      </w:r>
      <w:r w:rsidR="00F01012">
        <w:rPr>
          <w:lang w:val="en-US" w:eastAsia="en-US"/>
        </w:rPr>
        <w:t>tee recognises that item 71101 might be used as a monitoring test in clinical practice and is being repeated unnecessarily. Item 71101 should not be repeated until clinical conditions change</w:t>
      </w:r>
      <w:r w:rsidR="002A582C">
        <w:rPr>
          <w:lang w:val="en-US" w:eastAsia="en-US"/>
        </w:rPr>
        <w:t>. Changes in long-lived antibodies are gradual, requiring several months to develop, resolve or alter</w:t>
      </w:r>
      <w:r w:rsidR="00DF5BA9">
        <w:rPr>
          <w:lang w:val="en-US" w:eastAsia="en-US"/>
        </w:rPr>
        <w:t xml:space="preserve">, </w:t>
      </w:r>
      <w:r w:rsidR="002A582C">
        <w:rPr>
          <w:lang w:val="en-US" w:eastAsia="en-US"/>
        </w:rPr>
        <w:t>and in most cases these antibodies remain unchanged for several years.</w:t>
      </w:r>
      <w:r w:rsidR="00330186">
        <w:rPr>
          <w:lang w:val="en-US" w:eastAsia="en-US"/>
        </w:rPr>
        <w:t xml:space="preserve"> </w:t>
      </w:r>
    </w:p>
    <w:p w14:paraId="22A474BD" w14:textId="77777777" w:rsidR="00DE6FFC" w:rsidRDefault="00F01012">
      <w:pPr>
        <w:pStyle w:val="NormalBulleted"/>
        <w:rPr>
          <w:lang w:val="en-US" w:eastAsia="en-US"/>
        </w:rPr>
      </w:pPr>
      <w:r>
        <w:rPr>
          <w:lang w:val="en-US" w:eastAsia="en-US"/>
        </w:rPr>
        <w:lastRenderedPageBreak/>
        <w:t>The Committee recommended that the Department monitor</w:t>
      </w:r>
      <w:r w:rsidR="00E53C6B">
        <w:rPr>
          <w:lang w:val="en-US" w:eastAsia="en-US"/>
        </w:rPr>
        <w:t xml:space="preserve"> </w:t>
      </w:r>
      <w:r>
        <w:rPr>
          <w:lang w:val="en-US" w:eastAsia="en-US"/>
        </w:rPr>
        <w:t>items 71101 and 71103</w:t>
      </w:r>
      <w:r w:rsidR="00E53C6B">
        <w:rPr>
          <w:lang w:val="en-US" w:eastAsia="en-US"/>
        </w:rPr>
        <w:t xml:space="preserve"> and audit laboratories</w:t>
      </w:r>
      <w:r>
        <w:rPr>
          <w:lang w:val="en-US" w:eastAsia="en-US"/>
        </w:rPr>
        <w:t xml:space="preserve"> when the ratio of 71103:71101 is greater than one</w:t>
      </w:r>
      <w:r w:rsidR="008664F6">
        <w:rPr>
          <w:lang w:val="en-US" w:eastAsia="en-US"/>
        </w:rPr>
        <w:t>-</w:t>
      </w:r>
      <w:r>
        <w:rPr>
          <w:lang w:val="en-US" w:eastAsia="en-US"/>
        </w:rPr>
        <w:t>third.</w:t>
      </w:r>
      <w:r w:rsidR="00845DAA">
        <w:rPr>
          <w:lang w:val="en-US" w:eastAsia="en-US"/>
        </w:rPr>
        <w:t xml:space="preserve"> These antibodies are relatively uncommon, so </w:t>
      </w:r>
      <w:r w:rsidR="008664F6">
        <w:rPr>
          <w:lang w:val="en-US" w:eastAsia="en-US"/>
        </w:rPr>
        <w:t xml:space="preserve">most </w:t>
      </w:r>
      <w:r w:rsidR="00845DAA">
        <w:rPr>
          <w:lang w:val="en-US" w:eastAsia="en-US"/>
        </w:rPr>
        <w:t xml:space="preserve">testing will not detect </w:t>
      </w:r>
      <w:r w:rsidR="008664F6">
        <w:rPr>
          <w:lang w:val="en-US" w:eastAsia="en-US"/>
        </w:rPr>
        <w:t>them</w:t>
      </w:r>
      <w:r w:rsidR="00845DAA">
        <w:rPr>
          <w:lang w:val="en-US" w:eastAsia="en-US"/>
        </w:rPr>
        <w:t xml:space="preserve">. Item 71103 is for the characterisation of antibodies </w:t>
      </w:r>
      <w:r w:rsidR="008664F6">
        <w:rPr>
          <w:lang w:val="en-US" w:eastAsia="en-US"/>
        </w:rPr>
        <w:t xml:space="preserve">after </w:t>
      </w:r>
      <w:r w:rsidR="00845DAA">
        <w:rPr>
          <w:lang w:val="en-US" w:eastAsia="en-US"/>
        </w:rPr>
        <w:t>detect</w:t>
      </w:r>
      <w:r w:rsidR="008664F6">
        <w:rPr>
          <w:lang w:val="en-US" w:eastAsia="en-US"/>
        </w:rPr>
        <w:t>ion</w:t>
      </w:r>
      <w:r w:rsidR="00845DAA">
        <w:rPr>
          <w:lang w:val="en-US" w:eastAsia="en-US"/>
        </w:rPr>
        <w:t>, and so should be required in a minority of samples.</w:t>
      </w:r>
    </w:p>
    <w:p w14:paraId="1A1F2B56" w14:textId="77777777" w:rsidR="007A045E" w:rsidRDefault="007A045E">
      <w:pPr>
        <w:pStyle w:val="NormalBulleted"/>
        <w:rPr>
          <w:lang w:val="en-US" w:eastAsia="en-US"/>
        </w:rPr>
      </w:pPr>
      <w:r>
        <w:rPr>
          <w:lang w:val="en-US" w:eastAsia="en-US"/>
        </w:rPr>
        <w:t xml:space="preserve">There is no clinical reason to perform an extractable nuclear antibody test on body fluids. </w:t>
      </w:r>
      <w:r w:rsidR="00AE4C4A">
        <w:rPr>
          <w:lang w:val="en-US" w:eastAsia="en-US"/>
        </w:rPr>
        <w:t xml:space="preserve">Testing for the presence of extractable </w:t>
      </w:r>
      <w:r>
        <w:rPr>
          <w:lang w:val="en-US" w:eastAsia="en-US"/>
        </w:rPr>
        <w:t>nuclear antibodies in samples other than peripheral blood is not recommended because</w:t>
      </w:r>
      <w:r w:rsidR="008664F6">
        <w:rPr>
          <w:lang w:val="en-US" w:eastAsia="en-US"/>
        </w:rPr>
        <w:t xml:space="preserve"> </w:t>
      </w:r>
      <w:r w:rsidRPr="008C26B3">
        <w:rPr>
          <w:lang w:val="en-US" w:eastAsia="en-US"/>
        </w:rPr>
        <w:t>there are no clinically validate</w:t>
      </w:r>
      <w:r>
        <w:rPr>
          <w:lang w:val="en-US" w:eastAsia="en-US"/>
        </w:rPr>
        <w:t>d</w:t>
      </w:r>
      <w:r w:rsidRPr="008C26B3">
        <w:rPr>
          <w:lang w:val="en-US" w:eastAsia="en-US"/>
        </w:rPr>
        <w:t xml:space="preserve"> indications for such testing</w:t>
      </w:r>
      <w:r w:rsidR="008664F6">
        <w:rPr>
          <w:lang w:val="en-US" w:eastAsia="en-US"/>
        </w:rPr>
        <w:t>,</w:t>
      </w:r>
      <w:r w:rsidR="008664F6" w:rsidRPr="008C26B3">
        <w:rPr>
          <w:lang w:val="en-US" w:eastAsia="en-US"/>
        </w:rPr>
        <w:t xml:space="preserve"> </w:t>
      </w:r>
      <w:r w:rsidRPr="008C26B3">
        <w:rPr>
          <w:lang w:val="en-US" w:eastAsia="en-US"/>
        </w:rPr>
        <w:t>and reference intervals cannot be established for such samples, which precludes useful interpretation of such results.</w:t>
      </w:r>
    </w:p>
    <w:p w14:paraId="38CE5051" w14:textId="77777777" w:rsidR="007A045E" w:rsidRDefault="007A045E">
      <w:pPr>
        <w:pStyle w:val="NormalBulleted"/>
        <w:rPr>
          <w:lang w:val="en-US" w:eastAsia="en-US"/>
        </w:rPr>
      </w:pPr>
      <w:r>
        <w:rPr>
          <w:lang w:val="en-US" w:eastAsia="en-US"/>
        </w:rPr>
        <w:t>The proposed changes have no direct effect on patients.</w:t>
      </w:r>
    </w:p>
    <w:p w14:paraId="5DEC179A" w14:textId="77777777" w:rsidR="00C1306E" w:rsidRDefault="0009188B" w:rsidP="00E2562E">
      <w:pPr>
        <w:pStyle w:val="Heading2"/>
      </w:pPr>
      <w:bookmarkStart w:id="55" w:name="_Toc499293042"/>
      <w:r>
        <w:t>Quantitation of complement components</w:t>
      </w:r>
      <w:r w:rsidR="00DD5A29">
        <w:t>: items 71083, 71085, 71087, 71089, 71091 and 71093</w:t>
      </w:r>
      <w:bookmarkEnd w:id="55"/>
    </w:p>
    <w:p w14:paraId="45526987" w14:textId="77777777" w:rsidR="00DD5A29" w:rsidRDefault="00445147">
      <w:pPr>
        <w:pStyle w:val="Caption"/>
      </w:pPr>
      <w:bookmarkStart w:id="56" w:name="_Toc499289251"/>
      <w:bookmarkEnd w:id="47"/>
      <w:bookmarkEnd w:id="48"/>
      <w:bookmarkEnd w:id="49"/>
      <w:bookmarkEnd w:id="50"/>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14</w:t>
      </w:r>
      <w:r w:rsidR="0004721F">
        <w:rPr>
          <w:noProof/>
        </w:rPr>
        <w:fldChar w:fldCharType="end"/>
      </w:r>
      <w:r>
        <w:t xml:space="preserve">. </w:t>
      </w:r>
      <w:r w:rsidR="00AF5D75">
        <w:t>Item introduction table for item</w:t>
      </w:r>
      <w:r w:rsidR="00DD5A29">
        <w:t xml:space="preserve">s </w:t>
      </w:r>
      <w:r w:rsidR="00DD5A29" w:rsidRPr="00DD5A29">
        <w:t>71083, 71085, 71087, 71089, 71091</w:t>
      </w:r>
      <w:r w:rsidR="00DD5A29">
        <w:t xml:space="preserve"> and</w:t>
      </w:r>
      <w:r w:rsidR="00DD5A29" w:rsidRPr="00DD5A29">
        <w:t xml:space="preserve"> 71093</w:t>
      </w:r>
      <w:bookmarkEnd w:id="56"/>
    </w:p>
    <w:tbl>
      <w:tblPr>
        <w:tblStyle w:val="TableGrid1"/>
        <w:tblW w:w="9039" w:type="dxa"/>
        <w:tblLayout w:type="fixed"/>
        <w:tblLook w:val="04A0" w:firstRow="1" w:lastRow="0" w:firstColumn="1" w:lastColumn="0" w:noHBand="0" w:noVBand="1"/>
        <w:tblCaption w:val="Table 14: Item introduction table for items 71083, 71085, 71087, 71091 and 71093"/>
        <w:tblDescription w:val="Table 14 contains MBS data for items 71083, 71085, 71087, 71089, 71091 and 71093 for the financial year 2014–2015. The data includes item numbers, long item descriptors, schedule fee, total volume of services, benefits paid, patient count and services annual average growth as a pecentage over a 5 year period."/>
      </w:tblPr>
      <w:tblGrid>
        <w:gridCol w:w="776"/>
        <w:gridCol w:w="2763"/>
        <w:gridCol w:w="1134"/>
        <w:gridCol w:w="1276"/>
        <w:gridCol w:w="1276"/>
        <w:gridCol w:w="850"/>
        <w:gridCol w:w="964"/>
      </w:tblGrid>
      <w:tr w:rsidR="00967B74" w:rsidRPr="00DD5A29" w14:paraId="364A3FDB" w14:textId="77777777" w:rsidTr="007B6365">
        <w:trPr>
          <w:trHeight w:val="729"/>
          <w:tblHeader/>
        </w:trPr>
        <w:tc>
          <w:tcPr>
            <w:tcW w:w="776" w:type="dxa"/>
            <w:shd w:val="clear" w:color="auto" w:fill="EEECE1" w:themeFill="background2"/>
            <w:vAlign w:val="bottom"/>
            <w:hideMark/>
          </w:tcPr>
          <w:p w14:paraId="05A7402E" w14:textId="77777777" w:rsidR="00DD5A29" w:rsidRPr="00DD5A29" w:rsidRDefault="00E8051A" w:rsidP="007B6365">
            <w:pPr>
              <w:pStyle w:val="01Tableheaderrow"/>
              <w:rPr>
                <w:lang w:val="en-GB"/>
              </w:rPr>
            </w:pPr>
            <w:r w:rsidRPr="00E8051A">
              <w:rPr>
                <w:lang w:val="en-GB"/>
              </w:rPr>
              <w:t>Item</w:t>
            </w:r>
          </w:p>
        </w:tc>
        <w:tc>
          <w:tcPr>
            <w:tcW w:w="2763" w:type="dxa"/>
            <w:shd w:val="clear" w:color="auto" w:fill="EEECE1" w:themeFill="background2"/>
            <w:vAlign w:val="bottom"/>
            <w:hideMark/>
          </w:tcPr>
          <w:p w14:paraId="7C55D9E8" w14:textId="77777777" w:rsidR="00DD5A29" w:rsidRPr="00DD5A29" w:rsidRDefault="00E8051A" w:rsidP="007B6365">
            <w:pPr>
              <w:pStyle w:val="01Tableheaderrow"/>
              <w:rPr>
                <w:lang w:val="en-GB"/>
              </w:rPr>
            </w:pPr>
            <w:r w:rsidRPr="00E8051A">
              <w:rPr>
                <w:lang w:val="en-GB"/>
              </w:rPr>
              <w:t xml:space="preserve">Long </w:t>
            </w:r>
            <w:r w:rsidR="00DD5A29">
              <w:rPr>
                <w:lang w:val="en-GB"/>
              </w:rPr>
              <w:t xml:space="preserve">item </w:t>
            </w:r>
            <w:r w:rsidRPr="00E8051A">
              <w:rPr>
                <w:lang w:val="en-GB"/>
              </w:rPr>
              <w:t>descriptor</w:t>
            </w:r>
          </w:p>
        </w:tc>
        <w:tc>
          <w:tcPr>
            <w:tcW w:w="1134" w:type="dxa"/>
            <w:shd w:val="clear" w:color="auto" w:fill="EEECE1" w:themeFill="background2"/>
            <w:vAlign w:val="bottom"/>
            <w:hideMark/>
          </w:tcPr>
          <w:p w14:paraId="04959824" w14:textId="77777777" w:rsidR="00DD5A29" w:rsidRPr="00256B04" w:rsidRDefault="00E8051A" w:rsidP="007B6365">
            <w:pPr>
              <w:pStyle w:val="01Tableheaderrow"/>
              <w:rPr>
                <w:lang w:val="en-GB"/>
              </w:rPr>
            </w:pPr>
            <w:r w:rsidRPr="00E8051A">
              <w:rPr>
                <w:lang w:val="en-GB"/>
              </w:rPr>
              <w:t>Schedule fee</w:t>
            </w:r>
          </w:p>
        </w:tc>
        <w:tc>
          <w:tcPr>
            <w:tcW w:w="1276" w:type="dxa"/>
            <w:shd w:val="clear" w:color="auto" w:fill="EEECE1" w:themeFill="background2"/>
            <w:vAlign w:val="bottom"/>
            <w:hideMark/>
          </w:tcPr>
          <w:p w14:paraId="79FA3E1E" w14:textId="77777777" w:rsidR="00DD5A29" w:rsidRPr="00DD5A29" w:rsidRDefault="00E8051A" w:rsidP="007B6365">
            <w:pPr>
              <w:pStyle w:val="01Tableheaderrow"/>
              <w:rPr>
                <w:lang w:val="en-GB"/>
              </w:rPr>
            </w:pPr>
            <w:r w:rsidRPr="00E8051A">
              <w:rPr>
                <w:lang w:val="en-GB"/>
              </w:rPr>
              <w:t xml:space="preserve">Services </w:t>
            </w:r>
            <w:r w:rsidR="007D6844">
              <w:rPr>
                <w:lang w:val="en-GB"/>
              </w:rPr>
              <w:t>FY 2014–15</w:t>
            </w:r>
          </w:p>
        </w:tc>
        <w:tc>
          <w:tcPr>
            <w:tcW w:w="1276" w:type="dxa"/>
            <w:shd w:val="clear" w:color="auto" w:fill="EEECE1" w:themeFill="background2"/>
            <w:vAlign w:val="bottom"/>
          </w:tcPr>
          <w:p w14:paraId="102E0913" w14:textId="77777777" w:rsidR="00DD5A29" w:rsidRPr="00DD5A29" w:rsidRDefault="00E8051A" w:rsidP="007B6365">
            <w:pPr>
              <w:pStyle w:val="01Tableheaderrow"/>
              <w:rPr>
                <w:lang w:val="en-GB"/>
              </w:rPr>
            </w:pPr>
            <w:r w:rsidRPr="00E8051A">
              <w:rPr>
                <w:lang w:val="en-GB"/>
              </w:rPr>
              <w:t xml:space="preserve">Benefits </w:t>
            </w:r>
            <w:r w:rsidR="007D6844">
              <w:rPr>
                <w:lang w:val="en-GB"/>
              </w:rPr>
              <w:t>FY 2014–15</w:t>
            </w:r>
          </w:p>
        </w:tc>
        <w:tc>
          <w:tcPr>
            <w:tcW w:w="850" w:type="dxa"/>
            <w:shd w:val="clear" w:color="auto" w:fill="EEECE1" w:themeFill="background2"/>
            <w:vAlign w:val="bottom"/>
            <w:hideMark/>
          </w:tcPr>
          <w:p w14:paraId="511EE143" w14:textId="77777777" w:rsidR="00DD5A29" w:rsidRPr="00DD5A29" w:rsidRDefault="00E8051A" w:rsidP="007B6365">
            <w:pPr>
              <w:pStyle w:val="01Tableheaderrow"/>
              <w:rPr>
                <w:lang w:val="en-GB"/>
              </w:rPr>
            </w:pPr>
            <w:r w:rsidRPr="00E8051A">
              <w:rPr>
                <w:lang w:val="en-GB"/>
              </w:rPr>
              <w:t>Patient count</w:t>
            </w:r>
          </w:p>
        </w:tc>
        <w:tc>
          <w:tcPr>
            <w:tcW w:w="964" w:type="dxa"/>
            <w:shd w:val="clear" w:color="auto" w:fill="EEECE1" w:themeFill="background2"/>
            <w:vAlign w:val="bottom"/>
            <w:hideMark/>
          </w:tcPr>
          <w:p w14:paraId="28B4AC7F" w14:textId="77777777" w:rsidR="00DD5A29" w:rsidRPr="00DD5A29" w:rsidRDefault="00E8051A" w:rsidP="007B6365">
            <w:pPr>
              <w:pStyle w:val="01Tableheaderrow"/>
              <w:rPr>
                <w:lang w:val="en-GB"/>
              </w:rPr>
            </w:pPr>
            <w:r w:rsidRPr="00E8051A">
              <w:rPr>
                <w:lang w:val="en-GB"/>
              </w:rPr>
              <w:t xml:space="preserve">Services 5-year </w:t>
            </w:r>
            <w:r w:rsidR="007D6844">
              <w:rPr>
                <w:lang w:val="en-GB"/>
              </w:rPr>
              <w:t>annual average growth</w:t>
            </w:r>
          </w:p>
        </w:tc>
      </w:tr>
      <w:tr w:rsidR="00967B74" w:rsidRPr="00DD5A29" w14:paraId="05704421" w14:textId="77777777" w:rsidTr="007B6365">
        <w:trPr>
          <w:trHeight w:val="300"/>
        </w:trPr>
        <w:tc>
          <w:tcPr>
            <w:tcW w:w="776" w:type="dxa"/>
            <w:noWrap/>
            <w:hideMark/>
          </w:tcPr>
          <w:p w14:paraId="5980857B" w14:textId="77777777" w:rsidR="00DD5A29" w:rsidRPr="00DD5A29" w:rsidRDefault="00E8051A" w:rsidP="007B6365">
            <w:pPr>
              <w:pStyle w:val="02Tabletext"/>
              <w:rPr>
                <w:color w:val="000000"/>
                <w:lang w:val="en-GB"/>
              </w:rPr>
            </w:pPr>
            <w:r w:rsidRPr="00E8051A">
              <w:rPr>
                <w:lang w:val="en-US"/>
              </w:rPr>
              <w:t>71083</w:t>
            </w:r>
          </w:p>
        </w:tc>
        <w:tc>
          <w:tcPr>
            <w:tcW w:w="2763" w:type="dxa"/>
            <w:noWrap/>
            <w:hideMark/>
          </w:tcPr>
          <w:p w14:paraId="328DA01E" w14:textId="77777777" w:rsidR="00DD5A29" w:rsidRPr="00DD5A29" w:rsidRDefault="00E8051A" w:rsidP="007B6365">
            <w:pPr>
              <w:pStyle w:val="02Tabletext"/>
              <w:rPr>
                <w:rFonts w:ascii="Calibri" w:hAnsi="Calibri"/>
                <w:color w:val="000000"/>
              </w:rPr>
            </w:pPr>
            <w:r w:rsidRPr="00E8051A">
              <w:rPr>
                <w:rFonts w:ascii="Calibri" w:hAnsi="Calibri"/>
                <w:color w:val="000000"/>
              </w:rPr>
              <w:t xml:space="preserve">Quantitation of complement components C3 and C4 or properdin factor B </w:t>
            </w:r>
            <w:r w:rsidR="00DD5A29">
              <w:rPr>
                <w:rFonts w:ascii="Calibri" w:hAnsi="Calibri"/>
                <w:color w:val="000000"/>
              </w:rPr>
              <w:t>–</w:t>
            </w:r>
            <w:r w:rsidRPr="00E8051A">
              <w:rPr>
                <w:rFonts w:ascii="Calibri" w:hAnsi="Calibri"/>
                <w:color w:val="000000"/>
              </w:rPr>
              <w:t xml:space="preserve"> 1</w:t>
            </w:r>
            <w:r w:rsidR="00DD5A29">
              <w:rPr>
                <w:rFonts w:ascii="Calibri" w:hAnsi="Calibri"/>
                <w:color w:val="000000"/>
              </w:rPr>
              <w:t> </w:t>
            </w:r>
            <w:r w:rsidRPr="00E8051A">
              <w:rPr>
                <w:rFonts w:ascii="Calibri" w:hAnsi="Calibri"/>
                <w:color w:val="000000"/>
              </w:rPr>
              <w:t>test</w:t>
            </w:r>
          </w:p>
        </w:tc>
        <w:tc>
          <w:tcPr>
            <w:tcW w:w="1134" w:type="dxa"/>
            <w:noWrap/>
            <w:hideMark/>
          </w:tcPr>
          <w:p w14:paraId="7E446FF8" w14:textId="77777777" w:rsidR="00DD5A29" w:rsidRPr="00256B04" w:rsidRDefault="00B37575" w:rsidP="007B6365">
            <w:pPr>
              <w:pStyle w:val="02Tabletext"/>
              <w:jc w:val="right"/>
              <w:rPr>
                <w:rFonts w:ascii="Calibri" w:hAnsi="Calibri"/>
                <w:color w:val="000000"/>
              </w:rPr>
            </w:pPr>
            <w:r>
              <w:rPr>
                <w:rFonts w:ascii="Calibri" w:hAnsi="Calibri"/>
                <w:color w:val="000000"/>
              </w:rPr>
              <w:t>$</w:t>
            </w:r>
            <w:r w:rsidR="00E8051A" w:rsidRPr="00E8051A">
              <w:rPr>
                <w:rFonts w:ascii="Calibri" w:hAnsi="Calibri"/>
                <w:color w:val="000000"/>
              </w:rPr>
              <w:t>20.15</w:t>
            </w:r>
          </w:p>
        </w:tc>
        <w:tc>
          <w:tcPr>
            <w:tcW w:w="1276" w:type="dxa"/>
            <w:noWrap/>
            <w:hideMark/>
          </w:tcPr>
          <w:p w14:paraId="22886B77" w14:textId="77777777" w:rsidR="00DD5A29" w:rsidRPr="00256B04" w:rsidRDefault="00256B04" w:rsidP="007B6365">
            <w:pPr>
              <w:pStyle w:val="02Tabletext"/>
              <w:jc w:val="right"/>
              <w:rPr>
                <w:rFonts w:ascii="Calibri" w:hAnsi="Calibri"/>
                <w:color w:val="000000"/>
                <w:szCs w:val="22"/>
              </w:rPr>
            </w:pPr>
            <w:r>
              <w:rPr>
                <w:rFonts w:ascii="Calibri" w:hAnsi="Calibri"/>
                <w:color w:val="000000"/>
                <w:szCs w:val="22"/>
              </w:rPr>
              <w:t>4,649</w:t>
            </w:r>
          </w:p>
        </w:tc>
        <w:tc>
          <w:tcPr>
            <w:tcW w:w="1276" w:type="dxa"/>
          </w:tcPr>
          <w:p w14:paraId="668F7D22" w14:textId="77777777" w:rsidR="00DD5A29" w:rsidRPr="00363E91" w:rsidRDefault="00363E91" w:rsidP="007B6365">
            <w:pPr>
              <w:pStyle w:val="02Tabletext"/>
              <w:jc w:val="right"/>
              <w:rPr>
                <w:rFonts w:ascii="Calibri" w:hAnsi="Calibri"/>
                <w:color w:val="000000"/>
                <w:szCs w:val="22"/>
              </w:rPr>
            </w:pPr>
            <w:r>
              <w:rPr>
                <w:rFonts w:ascii="Calibri" w:hAnsi="Calibri"/>
                <w:color w:val="000000"/>
                <w:szCs w:val="22"/>
              </w:rPr>
              <w:t>$79,087</w:t>
            </w:r>
          </w:p>
        </w:tc>
        <w:tc>
          <w:tcPr>
            <w:tcW w:w="850" w:type="dxa"/>
            <w:noWrap/>
            <w:hideMark/>
          </w:tcPr>
          <w:p w14:paraId="29C07771" w14:textId="77777777" w:rsidR="00DD5A29" w:rsidRPr="00256B04" w:rsidRDefault="00256B04" w:rsidP="007B6365">
            <w:pPr>
              <w:pStyle w:val="02Tabletext"/>
              <w:jc w:val="right"/>
              <w:rPr>
                <w:rFonts w:ascii="Calibri" w:hAnsi="Calibri"/>
                <w:color w:val="000000"/>
                <w:szCs w:val="22"/>
              </w:rPr>
            </w:pPr>
            <w:r>
              <w:rPr>
                <w:rFonts w:ascii="Calibri" w:hAnsi="Calibri"/>
                <w:color w:val="000000"/>
                <w:szCs w:val="22"/>
              </w:rPr>
              <w:t>3,382</w:t>
            </w:r>
          </w:p>
        </w:tc>
        <w:tc>
          <w:tcPr>
            <w:tcW w:w="964" w:type="dxa"/>
            <w:noWrap/>
            <w:hideMark/>
          </w:tcPr>
          <w:p w14:paraId="57B2E7B7" w14:textId="77777777" w:rsidR="00DD5A29" w:rsidRPr="004D12CF" w:rsidRDefault="004D12CF" w:rsidP="007B6365">
            <w:pPr>
              <w:pStyle w:val="02Tabletext"/>
              <w:jc w:val="right"/>
              <w:rPr>
                <w:rFonts w:ascii="Calibri" w:hAnsi="Calibri"/>
                <w:color w:val="000000"/>
                <w:szCs w:val="22"/>
              </w:rPr>
            </w:pPr>
            <w:r>
              <w:rPr>
                <w:rFonts w:ascii="Calibri" w:hAnsi="Calibri"/>
                <w:color w:val="000000"/>
                <w:szCs w:val="22"/>
              </w:rPr>
              <w:t>20.6%</w:t>
            </w:r>
          </w:p>
        </w:tc>
      </w:tr>
      <w:tr w:rsidR="00967B74" w:rsidRPr="00DD5A29" w14:paraId="006F1F9F" w14:textId="77777777" w:rsidTr="007B6365">
        <w:trPr>
          <w:trHeight w:val="300"/>
        </w:trPr>
        <w:tc>
          <w:tcPr>
            <w:tcW w:w="776" w:type="dxa"/>
            <w:noWrap/>
          </w:tcPr>
          <w:p w14:paraId="3EF26800" w14:textId="77777777" w:rsidR="00DD5A29" w:rsidRPr="00DD5A29" w:rsidRDefault="00E8051A" w:rsidP="007B6365">
            <w:pPr>
              <w:pStyle w:val="02Tabletext"/>
              <w:rPr>
                <w:color w:val="000000"/>
                <w:lang w:val="en-GB"/>
              </w:rPr>
            </w:pPr>
            <w:r w:rsidRPr="00E8051A">
              <w:rPr>
                <w:lang w:val="en-US"/>
              </w:rPr>
              <w:t>71085</w:t>
            </w:r>
          </w:p>
        </w:tc>
        <w:tc>
          <w:tcPr>
            <w:tcW w:w="2763" w:type="dxa"/>
            <w:noWrap/>
          </w:tcPr>
          <w:p w14:paraId="748CA2CF" w14:textId="77777777" w:rsidR="00DD5A29" w:rsidRPr="00632960" w:rsidRDefault="00E8051A" w:rsidP="007B6365">
            <w:pPr>
              <w:pStyle w:val="02Tabletext"/>
              <w:rPr>
                <w:rFonts w:ascii="Calibri" w:hAnsi="Calibri"/>
                <w:color w:val="000000"/>
              </w:rPr>
            </w:pPr>
            <w:r w:rsidRPr="00E8051A">
              <w:rPr>
                <w:rFonts w:ascii="Calibri" w:hAnsi="Calibri"/>
                <w:color w:val="000000"/>
              </w:rPr>
              <w:t>2 tests described in item 71083</w:t>
            </w:r>
          </w:p>
        </w:tc>
        <w:tc>
          <w:tcPr>
            <w:tcW w:w="1134" w:type="dxa"/>
            <w:noWrap/>
          </w:tcPr>
          <w:p w14:paraId="524EE518" w14:textId="77777777" w:rsidR="00DD5A29" w:rsidRPr="00632960" w:rsidRDefault="00E8051A" w:rsidP="007B6365">
            <w:pPr>
              <w:pStyle w:val="02Tabletext"/>
              <w:jc w:val="right"/>
              <w:rPr>
                <w:rFonts w:ascii="Calibri" w:hAnsi="Calibri"/>
                <w:color w:val="000000"/>
              </w:rPr>
            </w:pPr>
            <w:r w:rsidRPr="00E8051A">
              <w:rPr>
                <w:rFonts w:ascii="Calibri" w:hAnsi="Calibri"/>
                <w:color w:val="000000"/>
              </w:rPr>
              <w:t>$28.95</w:t>
            </w:r>
          </w:p>
        </w:tc>
        <w:tc>
          <w:tcPr>
            <w:tcW w:w="1276" w:type="dxa"/>
            <w:noWrap/>
          </w:tcPr>
          <w:p w14:paraId="37B7BA56" w14:textId="77777777" w:rsidR="00DD5A29" w:rsidRPr="00632960" w:rsidRDefault="00E8051A" w:rsidP="007B6365">
            <w:pPr>
              <w:pStyle w:val="02Tabletext"/>
              <w:jc w:val="right"/>
              <w:rPr>
                <w:rFonts w:ascii="Calibri" w:hAnsi="Calibri"/>
                <w:color w:val="000000"/>
              </w:rPr>
            </w:pPr>
            <w:r w:rsidRPr="00E8051A">
              <w:rPr>
                <w:rFonts w:ascii="Calibri" w:hAnsi="Calibri"/>
                <w:color w:val="000000"/>
              </w:rPr>
              <w:t>95,153</w:t>
            </w:r>
          </w:p>
        </w:tc>
        <w:tc>
          <w:tcPr>
            <w:tcW w:w="1276" w:type="dxa"/>
          </w:tcPr>
          <w:p w14:paraId="1E744F4F" w14:textId="77777777" w:rsidR="00DD5A29" w:rsidRPr="00632960" w:rsidRDefault="00E8051A" w:rsidP="007B6365">
            <w:pPr>
              <w:pStyle w:val="02Tabletext"/>
              <w:jc w:val="right"/>
              <w:rPr>
                <w:rFonts w:ascii="Calibri" w:hAnsi="Calibri"/>
                <w:color w:val="000000"/>
              </w:rPr>
            </w:pPr>
            <w:r w:rsidRPr="00E8051A">
              <w:rPr>
                <w:rFonts w:ascii="Calibri" w:hAnsi="Calibri"/>
                <w:color w:val="000000"/>
              </w:rPr>
              <w:t>$2,336,440</w:t>
            </w:r>
          </w:p>
        </w:tc>
        <w:tc>
          <w:tcPr>
            <w:tcW w:w="850" w:type="dxa"/>
            <w:noWrap/>
          </w:tcPr>
          <w:p w14:paraId="6F1349E9" w14:textId="77777777" w:rsidR="00DD5A29" w:rsidRPr="00256B04" w:rsidRDefault="00256B04" w:rsidP="007B6365">
            <w:pPr>
              <w:pStyle w:val="02Tabletext"/>
              <w:jc w:val="right"/>
              <w:rPr>
                <w:rFonts w:ascii="Calibri" w:hAnsi="Calibri"/>
                <w:color w:val="000000"/>
                <w:szCs w:val="22"/>
              </w:rPr>
            </w:pPr>
            <w:r>
              <w:rPr>
                <w:rFonts w:ascii="Calibri" w:hAnsi="Calibri"/>
                <w:color w:val="000000"/>
                <w:szCs w:val="22"/>
              </w:rPr>
              <w:t>77,173</w:t>
            </w:r>
          </w:p>
        </w:tc>
        <w:tc>
          <w:tcPr>
            <w:tcW w:w="964" w:type="dxa"/>
            <w:noWrap/>
          </w:tcPr>
          <w:p w14:paraId="52076309" w14:textId="77777777" w:rsidR="00DD5A29" w:rsidRPr="004D12CF" w:rsidRDefault="004D12CF" w:rsidP="007B6365">
            <w:pPr>
              <w:pStyle w:val="02Tabletext"/>
              <w:jc w:val="right"/>
              <w:rPr>
                <w:rFonts w:ascii="Calibri" w:hAnsi="Calibri"/>
                <w:color w:val="000000"/>
                <w:szCs w:val="22"/>
              </w:rPr>
            </w:pPr>
            <w:r>
              <w:rPr>
                <w:rFonts w:ascii="Calibri" w:hAnsi="Calibri"/>
                <w:color w:val="000000"/>
                <w:szCs w:val="22"/>
              </w:rPr>
              <w:t>7.6%</w:t>
            </w:r>
          </w:p>
        </w:tc>
      </w:tr>
      <w:tr w:rsidR="00967B74" w:rsidRPr="00DD5A29" w14:paraId="798DF0C3" w14:textId="77777777" w:rsidTr="007B6365">
        <w:trPr>
          <w:trHeight w:val="300"/>
        </w:trPr>
        <w:tc>
          <w:tcPr>
            <w:tcW w:w="776" w:type="dxa"/>
            <w:noWrap/>
          </w:tcPr>
          <w:p w14:paraId="421CD7F3" w14:textId="77777777" w:rsidR="00DD5A29" w:rsidRPr="00DD5A29" w:rsidRDefault="00E8051A" w:rsidP="007B6365">
            <w:pPr>
              <w:pStyle w:val="02Tabletext"/>
              <w:rPr>
                <w:color w:val="000000"/>
                <w:lang w:val="en-GB"/>
              </w:rPr>
            </w:pPr>
            <w:r w:rsidRPr="00E8051A">
              <w:rPr>
                <w:lang w:val="en-US"/>
              </w:rPr>
              <w:t>71087</w:t>
            </w:r>
          </w:p>
        </w:tc>
        <w:tc>
          <w:tcPr>
            <w:tcW w:w="2763" w:type="dxa"/>
            <w:noWrap/>
          </w:tcPr>
          <w:p w14:paraId="6795602A" w14:textId="77777777" w:rsidR="00DD5A29" w:rsidRPr="00DD5A29" w:rsidRDefault="00E8051A" w:rsidP="007B6365">
            <w:pPr>
              <w:pStyle w:val="02Tabletext"/>
              <w:rPr>
                <w:rFonts w:ascii="Calibri" w:hAnsi="Calibri"/>
                <w:color w:val="000000"/>
              </w:rPr>
            </w:pPr>
            <w:r w:rsidRPr="00E8051A">
              <w:rPr>
                <w:rFonts w:ascii="Calibri" w:hAnsi="Calibri"/>
                <w:color w:val="000000"/>
              </w:rPr>
              <w:t>3 or more tests described in item 71083</w:t>
            </w:r>
          </w:p>
        </w:tc>
        <w:tc>
          <w:tcPr>
            <w:tcW w:w="1134" w:type="dxa"/>
            <w:noWrap/>
          </w:tcPr>
          <w:p w14:paraId="68971D39" w14:textId="77777777" w:rsidR="00DD5A29" w:rsidRPr="00256B04" w:rsidRDefault="00B37575" w:rsidP="007B6365">
            <w:pPr>
              <w:pStyle w:val="02Tabletext"/>
              <w:jc w:val="right"/>
              <w:rPr>
                <w:rFonts w:ascii="Calibri" w:hAnsi="Calibri"/>
                <w:color w:val="000000"/>
              </w:rPr>
            </w:pPr>
            <w:r>
              <w:rPr>
                <w:rFonts w:ascii="Calibri" w:hAnsi="Calibri"/>
                <w:color w:val="000000"/>
              </w:rPr>
              <w:t>$</w:t>
            </w:r>
            <w:r w:rsidR="00E8051A" w:rsidRPr="00E8051A">
              <w:rPr>
                <w:rFonts w:ascii="Calibri" w:hAnsi="Calibri"/>
                <w:color w:val="000000"/>
              </w:rPr>
              <w:t>37.70</w:t>
            </w:r>
          </w:p>
        </w:tc>
        <w:tc>
          <w:tcPr>
            <w:tcW w:w="1276" w:type="dxa"/>
            <w:noWrap/>
          </w:tcPr>
          <w:p w14:paraId="0848F81D" w14:textId="77777777" w:rsidR="00DD5A29" w:rsidRPr="00256B04" w:rsidRDefault="00256B04" w:rsidP="007B6365">
            <w:pPr>
              <w:pStyle w:val="02Tabletext"/>
              <w:jc w:val="right"/>
              <w:rPr>
                <w:rFonts w:ascii="Calibri" w:hAnsi="Calibri"/>
                <w:color w:val="000000"/>
                <w:szCs w:val="22"/>
              </w:rPr>
            </w:pPr>
            <w:r>
              <w:rPr>
                <w:rFonts w:ascii="Calibri" w:hAnsi="Calibri"/>
                <w:color w:val="000000"/>
                <w:szCs w:val="22"/>
              </w:rPr>
              <w:t>329</w:t>
            </w:r>
          </w:p>
        </w:tc>
        <w:tc>
          <w:tcPr>
            <w:tcW w:w="1276" w:type="dxa"/>
          </w:tcPr>
          <w:p w14:paraId="7263334B" w14:textId="77777777" w:rsidR="00DD5A29" w:rsidRPr="00363E91" w:rsidRDefault="00363E91" w:rsidP="007B6365">
            <w:pPr>
              <w:pStyle w:val="02Tabletext"/>
              <w:jc w:val="right"/>
              <w:rPr>
                <w:rFonts w:ascii="Calibri" w:hAnsi="Calibri"/>
                <w:color w:val="000000"/>
                <w:szCs w:val="22"/>
              </w:rPr>
            </w:pPr>
            <w:r>
              <w:rPr>
                <w:rFonts w:ascii="Calibri" w:hAnsi="Calibri"/>
                <w:color w:val="000000"/>
                <w:szCs w:val="22"/>
              </w:rPr>
              <w:t>$10,532</w:t>
            </w:r>
          </w:p>
        </w:tc>
        <w:tc>
          <w:tcPr>
            <w:tcW w:w="850" w:type="dxa"/>
            <w:noWrap/>
          </w:tcPr>
          <w:p w14:paraId="62B3BE61" w14:textId="77777777" w:rsidR="00DD5A29" w:rsidRPr="00256B04" w:rsidRDefault="00256B04" w:rsidP="007B6365">
            <w:pPr>
              <w:pStyle w:val="02Tabletext"/>
              <w:jc w:val="right"/>
              <w:rPr>
                <w:rFonts w:ascii="Calibri" w:hAnsi="Calibri"/>
                <w:color w:val="000000"/>
                <w:szCs w:val="22"/>
              </w:rPr>
            </w:pPr>
            <w:r>
              <w:rPr>
                <w:rFonts w:ascii="Calibri" w:hAnsi="Calibri"/>
                <w:color w:val="000000"/>
                <w:szCs w:val="22"/>
              </w:rPr>
              <w:t>271</w:t>
            </w:r>
          </w:p>
        </w:tc>
        <w:tc>
          <w:tcPr>
            <w:tcW w:w="964" w:type="dxa"/>
            <w:noWrap/>
          </w:tcPr>
          <w:p w14:paraId="249B6C14" w14:textId="77777777" w:rsidR="00DD5A29" w:rsidRPr="004D12CF" w:rsidRDefault="004D12CF" w:rsidP="007B6365">
            <w:pPr>
              <w:pStyle w:val="02Tabletext"/>
              <w:jc w:val="right"/>
              <w:rPr>
                <w:rFonts w:ascii="Calibri" w:hAnsi="Calibri"/>
                <w:color w:val="000000"/>
                <w:szCs w:val="22"/>
              </w:rPr>
            </w:pPr>
            <w:r>
              <w:rPr>
                <w:rFonts w:ascii="Calibri" w:hAnsi="Calibri"/>
                <w:color w:val="000000"/>
                <w:szCs w:val="22"/>
              </w:rPr>
              <w:t>21.8%</w:t>
            </w:r>
          </w:p>
        </w:tc>
      </w:tr>
      <w:tr w:rsidR="00967B74" w:rsidRPr="00DD5A29" w14:paraId="30AD369D" w14:textId="77777777" w:rsidTr="007B6365">
        <w:trPr>
          <w:trHeight w:val="300"/>
        </w:trPr>
        <w:tc>
          <w:tcPr>
            <w:tcW w:w="776" w:type="dxa"/>
            <w:noWrap/>
          </w:tcPr>
          <w:p w14:paraId="555A5D34" w14:textId="77777777" w:rsidR="00DD5A29" w:rsidRPr="00DD5A29" w:rsidRDefault="00E8051A" w:rsidP="007B6365">
            <w:pPr>
              <w:pStyle w:val="02Tabletext"/>
              <w:rPr>
                <w:color w:val="000000"/>
                <w:lang w:val="en-GB"/>
              </w:rPr>
            </w:pPr>
            <w:r w:rsidRPr="00E8051A">
              <w:rPr>
                <w:lang w:val="en-US"/>
              </w:rPr>
              <w:t>71089</w:t>
            </w:r>
          </w:p>
        </w:tc>
        <w:tc>
          <w:tcPr>
            <w:tcW w:w="2763" w:type="dxa"/>
            <w:noWrap/>
          </w:tcPr>
          <w:p w14:paraId="06B6712E" w14:textId="77777777" w:rsidR="00DD5A29" w:rsidRPr="00DD5A29" w:rsidRDefault="00E8051A" w:rsidP="007B6365">
            <w:pPr>
              <w:pStyle w:val="02Tabletext"/>
              <w:rPr>
                <w:rFonts w:ascii="Calibri" w:hAnsi="Calibri"/>
                <w:color w:val="000000"/>
              </w:rPr>
            </w:pPr>
            <w:r w:rsidRPr="00E8051A">
              <w:rPr>
                <w:rFonts w:ascii="Calibri" w:hAnsi="Calibri"/>
                <w:color w:val="000000"/>
              </w:rPr>
              <w:t>Quantitation of complement components or breakdown products of complement proteins not elsewhere described in an item in this Schedule - 1 test (Item is subject to rule 6)</w:t>
            </w:r>
          </w:p>
        </w:tc>
        <w:tc>
          <w:tcPr>
            <w:tcW w:w="1134" w:type="dxa"/>
            <w:noWrap/>
          </w:tcPr>
          <w:p w14:paraId="2020AAA9" w14:textId="77777777" w:rsidR="00DD5A29" w:rsidRPr="00256B04" w:rsidRDefault="00B37575" w:rsidP="007B6365">
            <w:pPr>
              <w:pStyle w:val="02Tabletext"/>
              <w:jc w:val="right"/>
              <w:rPr>
                <w:rFonts w:ascii="Calibri" w:hAnsi="Calibri"/>
                <w:color w:val="000000"/>
              </w:rPr>
            </w:pPr>
            <w:r>
              <w:rPr>
                <w:rFonts w:ascii="Calibri" w:hAnsi="Calibri"/>
                <w:color w:val="000000"/>
              </w:rPr>
              <w:t>$</w:t>
            </w:r>
            <w:r w:rsidR="00E8051A" w:rsidRPr="00E8051A">
              <w:rPr>
                <w:rFonts w:ascii="Calibri" w:hAnsi="Calibri"/>
                <w:color w:val="000000"/>
              </w:rPr>
              <w:t>29.15</w:t>
            </w:r>
          </w:p>
        </w:tc>
        <w:tc>
          <w:tcPr>
            <w:tcW w:w="1276" w:type="dxa"/>
            <w:noWrap/>
          </w:tcPr>
          <w:p w14:paraId="203FCAAC" w14:textId="77777777" w:rsidR="00DD5A29" w:rsidRPr="00256B04" w:rsidRDefault="00256B04" w:rsidP="007B6365">
            <w:pPr>
              <w:pStyle w:val="02Tabletext"/>
              <w:jc w:val="right"/>
              <w:rPr>
                <w:rFonts w:ascii="Calibri" w:hAnsi="Calibri"/>
                <w:color w:val="000000"/>
                <w:szCs w:val="22"/>
              </w:rPr>
            </w:pPr>
            <w:r>
              <w:rPr>
                <w:rFonts w:ascii="Calibri" w:hAnsi="Calibri"/>
                <w:color w:val="000000"/>
                <w:szCs w:val="22"/>
              </w:rPr>
              <w:t>540</w:t>
            </w:r>
          </w:p>
        </w:tc>
        <w:tc>
          <w:tcPr>
            <w:tcW w:w="1276" w:type="dxa"/>
          </w:tcPr>
          <w:p w14:paraId="4A4EE194" w14:textId="77777777" w:rsidR="00DD5A29" w:rsidRPr="00363E91" w:rsidRDefault="00363E91" w:rsidP="007B6365">
            <w:pPr>
              <w:pStyle w:val="02Tabletext"/>
              <w:jc w:val="right"/>
              <w:rPr>
                <w:rFonts w:ascii="Calibri" w:hAnsi="Calibri"/>
                <w:color w:val="000000"/>
                <w:szCs w:val="22"/>
              </w:rPr>
            </w:pPr>
            <w:r>
              <w:rPr>
                <w:rFonts w:ascii="Calibri" w:hAnsi="Calibri"/>
                <w:color w:val="000000"/>
                <w:szCs w:val="22"/>
              </w:rPr>
              <w:t>$13,325</w:t>
            </w:r>
          </w:p>
        </w:tc>
        <w:tc>
          <w:tcPr>
            <w:tcW w:w="850" w:type="dxa"/>
            <w:noWrap/>
          </w:tcPr>
          <w:p w14:paraId="4F30D457" w14:textId="77777777" w:rsidR="00DD5A29" w:rsidRPr="00256B04" w:rsidRDefault="00256B04" w:rsidP="007B6365">
            <w:pPr>
              <w:pStyle w:val="02Tabletext"/>
              <w:jc w:val="right"/>
              <w:rPr>
                <w:rFonts w:ascii="Calibri" w:hAnsi="Calibri"/>
                <w:color w:val="000000"/>
                <w:szCs w:val="22"/>
              </w:rPr>
            </w:pPr>
            <w:r>
              <w:rPr>
                <w:rFonts w:ascii="Calibri" w:hAnsi="Calibri"/>
                <w:color w:val="000000"/>
                <w:szCs w:val="22"/>
              </w:rPr>
              <w:t>515</w:t>
            </w:r>
          </w:p>
        </w:tc>
        <w:tc>
          <w:tcPr>
            <w:tcW w:w="964" w:type="dxa"/>
            <w:noWrap/>
          </w:tcPr>
          <w:p w14:paraId="1F4EE4D3" w14:textId="77777777" w:rsidR="00DD5A29" w:rsidRPr="004D12CF" w:rsidRDefault="004D12CF" w:rsidP="007B6365">
            <w:pPr>
              <w:pStyle w:val="02Tabletext"/>
              <w:jc w:val="right"/>
              <w:rPr>
                <w:rFonts w:ascii="Calibri" w:hAnsi="Calibri"/>
                <w:color w:val="000000"/>
                <w:szCs w:val="22"/>
              </w:rPr>
            </w:pPr>
            <w:r>
              <w:rPr>
                <w:rFonts w:ascii="Calibri" w:hAnsi="Calibri"/>
                <w:color w:val="000000"/>
                <w:szCs w:val="22"/>
              </w:rPr>
              <w:t>3.7%</w:t>
            </w:r>
          </w:p>
        </w:tc>
      </w:tr>
      <w:tr w:rsidR="00967B74" w:rsidRPr="00DD5A29" w14:paraId="09C32FDD" w14:textId="77777777" w:rsidTr="007B6365">
        <w:trPr>
          <w:trHeight w:val="300"/>
        </w:trPr>
        <w:tc>
          <w:tcPr>
            <w:tcW w:w="776" w:type="dxa"/>
            <w:noWrap/>
          </w:tcPr>
          <w:p w14:paraId="0014F536" w14:textId="77777777" w:rsidR="00DD5A29" w:rsidRPr="00DD5A29" w:rsidRDefault="00E8051A" w:rsidP="007B6365">
            <w:pPr>
              <w:pStyle w:val="02Tabletext"/>
              <w:rPr>
                <w:color w:val="000000"/>
                <w:lang w:val="en-GB"/>
              </w:rPr>
            </w:pPr>
            <w:r w:rsidRPr="00E8051A">
              <w:rPr>
                <w:lang w:val="en-US"/>
              </w:rPr>
              <w:t>71091</w:t>
            </w:r>
          </w:p>
        </w:tc>
        <w:tc>
          <w:tcPr>
            <w:tcW w:w="2763" w:type="dxa"/>
            <w:noWrap/>
          </w:tcPr>
          <w:p w14:paraId="3F0FD9BB" w14:textId="77777777" w:rsidR="00DD5A29" w:rsidRPr="00DD5A29" w:rsidRDefault="00E8051A" w:rsidP="007B6365">
            <w:pPr>
              <w:pStyle w:val="02Tabletext"/>
              <w:rPr>
                <w:rFonts w:ascii="Calibri" w:hAnsi="Calibri"/>
                <w:color w:val="000000"/>
              </w:rPr>
            </w:pPr>
            <w:r w:rsidRPr="00E8051A">
              <w:rPr>
                <w:rFonts w:ascii="Calibri" w:hAnsi="Calibri"/>
                <w:color w:val="000000"/>
              </w:rPr>
              <w:t>2 tests described in item 71089 (Item is subject to rule 6)</w:t>
            </w:r>
          </w:p>
        </w:tc>
        <w:tc>
          <w:tcPr>
            <w:tcW w:w="1134" w:type="dxa"/>
            <w:noWrap/>
          </w:tcPr>
          <w:p w14:paraId="5E20AEDA" w14:textId="77777777" w:rsidR="00DD5A29" w:rsidRPr="00256B04" w:rsidRDefault="00B37575" w:rsidP="007B6365">
            <w:pPr>
              <w:pStyle w:val="02Tabletext"/>
              <w:jc w:val="right"/>
              <w:rPr>
                <w:rFonts w:ascii="Calibri" w:hAnsi="Calibri"/>
                <w:color w:val="000000"/>
              </w:rPr>
            </w:pPr>
            <w:r>
              <w:rPr>
                <w:rFonts w:ascii="Calibri" w:hAnsi="Calibri"/>
                <w:color w:val="000000"/>
              </w:rPr>
              <w:t>$</w:t>
            </w:r>
            <w:r w:rsidR="00E8051A" w:rsidRPr="00E8051A">
              <w:rPr>
                <w:rFonts w:ascii="Calibri" w:hAnsi="Calibri"/>
                <w:color w:val="000000"/>
              </w:rPr>
              <w:t>52.85</w:t>
            </w:r>
          </w:p>
        </w:tc>
        <w:tc>
          <w:tcPr>
            <w:tcW w:w="1276" w:type="dxa"/>
            <w:noWrap/>
          </w:tcPr>
          <w:p w14:paraId="26E0D975" w14:textId="77777777" w:rsidR="00DD5A29" w:rsidRPr="00363E91" w:rsidRDefault="00363E91" w:rsidP="007B6365">
            <w:pPr>
              <w:pStyle w:val="02Tabletext"/>
              <w:jc w:val="right"/>
              <w:rPr>
                <w:rFonts w:ascii="Calibri" w:hAnsi="Calibri"/>
                <w:color w:val="000000"/>
                <w:szCs w:val="22"/>
              </w:rPr>
            </w:pPr>
            <w:r>
              <w:rPr>
                <w:rFonts w:ascii="Calibri" w:hAnsi="Calibri"/>
                <w:color w:val="000000"/>
                <w:szCs w:val="22"/>
              </w:rPr>
              <w:t>133</w:t>
            </w:r>
          </w:p>
        </w:tc>
        <w:tc>
          <w:tcPr>
            <w:tcW w:w="1276" w:type="dxa"/>
          </w:tcPr>
          <w:p w14:paraId="1B032570" w14:textId="77777777" w:rsidR="00DD5A29" w:rsidRPr="00363E91" w:rsidRDefault="00363E91" w:rsidP="007B6365">
            <w:pPr>
              <w:pStyle w:val="02Tabletext"/>
              <w:jc w:val="right"/>
              <w:rPr>
                <w:rFonts w:ascii="Calibri" w:hAnsi="Calibri"/>
                <w:color w:val="000000"/>
                <w:szCs w:val="22"/>
              </w:rPr>
            </w:pPr>
            <w:r>
              <w:rPr>
                <w:rFonts w:ascii="Calibri" w:hAnsi="Calibri"/>
                <w:color w:val="000000"/>
                <w:szCs w:val="22"/>
              </w:rPr>
              <w:t>$5,941</w:t>
            </w:r>
          </w:p>
        </w:tc>
        <w:tc>
          <w:tcPr>
            <w:tcW w:w="850" w:type="dxa"/>
            <w:noWrap/>
          </w:tcPr>
          <w:p w14:paraId="62BFFB8C" w14:textId="77777777" w:rsidR="00DD5A29" w:rsidRPr="00256B04" w:rsidRDefault="00256B04" w:rsidP="007B6365">
            <w:pPr>
              <w:pStyle w:val="02Tabletext"/>
              <w:jc w:val="right"/>
              <w:rPr>
                <w:rFonts w:ascii="Calibri" w:hAnsi="Calibri"/>
                <w:color w:val="000000"/>
                <w:szCs w:val="22"/>
              </w:rPr>
            </w:pPr>
            <w:r>
              <w:rPr>
                <w:rFonts w:ascii="Calibri" w:hAnsi="Calibri"/>
                <w:color w:val="000000"/>
                <w:szCs w:val="22"/>
              </w:rPr>
              <w:t>132</w:t>
            </w:r>
          </w:p>
        </w:tc>
        <w:tc>
          <w:tcPr>
            <w:tcW w:w="964" w:type="dxa"/>
            <w:noWrap/>
          </w:tcPr>
          <w:p w14:paraId="7A221D19" w14:textId="77777777" w:rsidR="00DD5A29" w:rsidRPr="004D12CF" w:rsidRDefault="004D12CF" w:rsidP="007B6365">
            <w:pPr>
              <w:pStyle w:val="02Tabletext"/>
              <w:jc w:val="right"/>
              <w:rPr>
                <w:rFonts w:ascii="Calibri" w:hAnsi="Calibri"/>
                <w:color w:val="000000"/>
                <w:szCs w:val="22"/>
              </w:rPr>
            </w:pPr>
            <w:r>
              <w:rPr>
                <w:rFonts w:ascii="Calibri" w:hAnsi="Calibri"/>
                <w:color w:val="000000"/>
                <w:szCs w:val="22"/>
              </w:rPr>
              <w:t>36.5%</w:t>
            </w:r>
          </w:p>
        </w:tc>
      </w:tr>
      <w:tr w:rsidR="00967B74" w:rsidRPr="00DD5A29" w14:paraId="13FCDD2B" w14:textId="77777777" w:rsidTr="007B6365">
        <w:trPr>
          <w:trHeight w:val="300"/>
        </w:trPr>
        <w:tc>
          <w:tcPr>
            <w:tcW w:w="776" w:type="dxa"/>
            <w:noWrap/>
          </w:tcPr>
          <w:p w14:paraId="200FD46E" w14:textId="77777777" w:rsidR="00DD5A29" w:rsidRPr="00DD5A29" w:rsidRDefault="00E8051A" w:rsidP="007B6365">
            <w:pPr>
              <w:pStyle w:val="02Tabletext"/>
              <w:rPr>
                <w:color w:val="000000"/>
                <w:lang w:val="en-GB"/>
              </w:rPr>
            </w:pPr>
            <w:r w:rsidRPr="00E8051A">
              <w:rPr>
                <w:lang w:val="en-US"/>
              </w:rPr>
              <w:t>71093</w:t>
            </w:r>
          </w:p>
        </w:tc>
        <w:tc>
          <w:tcPr>
            <w:tcW w:w="2763" w:type="dxa"/>
            <w:noWrap/>
          </w:tcPr>
          <w:p w14:paraId="1A553AB5" w14:textId="77777777" w:rsidR="00DD5A29" w:rsidRPr="00DD5A29" w:rsidRDefault="00E8051A" w:rsidP="007B6365">
            <w:pPr>
              <w:pStyle w:val="02Tabletext"/>
              <w:rPr>
                <w:rFonts w:ascii="Calibri" w:hAnsi="Calibri"/>
                <w:color w:val="000000"/>
              </w:rPr>
            </w:pPr>
            <w:r w:rsidRPr="00E8051A">
              <w:rPr>
                <w:rFonts w:ascii="Calibri" w:hAnsi="Calibri"/>
                <w:color w:val="000000"/>
              </w:rPr>
              <w:t>3 or more tests described in item 71089 (Item is subject to rule 6)</w:t>
            </w:r>
          </w:p>
        </w:tc>
        <w:tc>
          <w:tcPr>
            <w:tcW w:w="1134" w:type="dxa"/>
            <w:noWrap/>
          </w:tcPr>
          <w:p w14:paraId="52B9F4D0" w14:textId="77777777" w:rsidR="00DD5A29" w:rsidRPr="00256B04" w:rsidRDefault="00B37575" w:rsidP="007B6365">
            <w:pPr>
              <w:pStyle w:val="02Tabletext"/>
              <w:jc w:val="right"/>
              <w:rPr>
                <w:rFonts w:ascii="Calibri" w:hAnsi="Calibri"/>
                <w:color w:val="000000"/>
              </w:rPr>
            </w:pPr>
            <w:r>
              <w:rPr>
                <w:rFonts w:ascii="Calibri" w:hAnsi="Calibri"/>
                <w:color w:val="000000"/>
              </w:rPr>
              <w:t>$</w:t>
            </w:r>
            <w:r w:rsidR="00E8051A" w:rsidRPr="00E8051A">
              <w:rPr>
                <w:rFonts w:ascii="Calibri" w:hAnsi="Calibri"/>
                <w:color w:val="000000"/>
              </w:rPr>
              <w:t>76.45</w:t>
            </w:r>
          </w:p>
        </w:tc>
        <w:tc>
          <w:tcPr>
            <w:tcW w:w="1276" w:type="dxa"/>
            <w:noWrap/>
          </w:tcPr>
          <w:p w14:paraId="42F1BF35" w14:textId="77777777" w:rsidR="00DD5A29" w:rsidRPr="00363E91" w:rsidRDefault="00363E91" w:rsidP="007B6365">
            <w:pPr>
              <w:pStyle w:val="02Tabletext"/>
              <w:jc w:val="right"/>
              <w:rPr>
                <w:rFonts w:ascii="Calibri" w:hAnsi="Calibri"/>
                <w:color w:val="000000"/>
                <w:szCs w:val="22"/>
              </w:rPr>
            </w:pPr>
            <w:r>
              <w:rPr>
                <w:rFonts w:ascii="Calibri" w:hAnsi="Calibri"/>
                <w:color w:val="000000"/>
                <w:szCs w:val="22"/>
              </w:rPr>
              <w:t>24</w:t>
            </w:r>
          </w:p>
        </w:tc>
        <w:tc>
          <w:tcPr>
            <w:tcW w:w="1276" w:type="dxa"/>
          </w:tcPr>
          <w:p w14:paraId="4F412075" w14:textId="77777777" w:rsidR="00DD5A29" w:rsidRPr="00363E91" w:rsidRDefault="00363E91" w:rsidP="007B6365">
            <w:pPr>
              <w:pStyle w:val="02Tabletext"/>
              <w:jc w:val="right"/>
              <w:rPr>
                <w:rFonts w:ascii="Calibri" w:hAnsi="Calibri"/>
                <w:color w:val="000000"/>
                <w:szCs w:val="22"/>
              </w:rPr>
            </w:pPr>
            <w:r>
              <w:rPr>
                <w:rFonts w:ascii="Calibri" w:hAnsi="Calibri"/>
                <w:color w:val="000000"/>
                <w:szCs w:val="22"/>
              </w:rPr>
              <w:t>$1,514</w:t>
            </w:r>
          </w:p>
        </w:tc>
        <w:tc>
          <w:tcPr>
            <w:tcW w:w="850" w:type="dxa"/>
            <w:noWrap/>
          </w:tcPr>
          <w:p w14:paraId="1086F7EE" w14:textId="77777777" w:rsidR="00DD5A29" w:rsidRPr="00256B04" w:rsidRDefault="00256B04" w:rsidP="007B6365">
            <w:pPr>
              <w:pStyle w:val="02Tabletext"/>
              <w:jc w:val="right"/>
              <w:rPr>
                <w:rFonts w:ascii="Calibri" w:hAnsi="Calibri"/>
                <w:color w:val="000000"/>
                <w:szCs w:val="22"/>
              </w:rPr>
            </w:pPr>
            <w:r>
              <w:rPr>
                <w:rFonts w:ascii="Calibri" w:hAnsi="Calibri"/>
                <w:color w:val="000000"/>
                <w:szCs w:val="22"/>
              </w:rPr>
              <w:t>26</w:t>
            </w:r>
          </w:p>
        </w:tc>
        <w:tc>
          <w:tcPr>
            <w:tcW w:w="964" w:type="dxa"/>
            <w:noWrap/>
          </w:tcPr>
          <w:p w14:paraId="24E22D9E" w14:textId="77777777" w:rsidR="00DD5A29" w:rsidRPr="004D12CF" w:rsidRDefault="00546639" w:rsidP="007B6365">
            <w:pPr>
              <w:pStyle w:val="02Tabletext"/>
              <w:jc w:val="right"/>
              <w:rPr>
                <w:rFonts w:ascii="Calibri" w:hAnsi="Calibri"/>
                <w:color w:val="000000"/>
                <w:szCs w:val="22"/>
              </w:rPr>
            </w:pPr>
            <w:r>
              <w:rPr>
                <w:rFonts w:ascii="Calibri" w:hAnsi="Calibri"/>
                <w:color w:val="000000"/>
                <w:szCs w:val="22"/>
              </w:rPr>
              <w:t>–</w:t>
            </w:r>
            <w:r w:rsidR="004D12CF">
              <w:rPr>
                <w:rFonts w:ascii="Calibri" w:hAnsi="Calibri"/>
                <w:color w:val="000000"/>
                <w:szCs w:val="22"/>
              </w:rPr>
              <w:t>36.7%</w:t>
            </w:r>
          </w:p>
        </w:tc>
      </w:tr>
    </w:tbl>
    <w:p w14:paraId="66BD7B22" w14:textId="77777777" w:rsidR="009B13CE" w:rsidRDefault="009C6383" w:rsidP="0023110D">
      <w:pPr>
        <w:pStyle w:val="Heading3Numbered"/>
      </w:pPr>
      <w:r>
        <w:t xml:space="preserve">Recommendation </w:t>
      </w:r>
      <w:r w:rsidR="00BB0F7C">
        <w:t>7</w:t>
      </w:r>
    </w:p>
    <w:p w14:paraId="0E29B041" w14:textId="77777777" w:rsidR="00F01012" w:rsidRDefault="00D5449D">
      <w:pPr>
        <w:pStyle w:val="NormalBulleted"/>
        <w:rPr>
          <w:lang w:val="en-US"/>
        </w:rPr>
      </w:pPr>
      <w:r>
        <w:rPr>
          <w:lang w:val="en-US"/>
        </w:rPr>
        <w:t>R</w:t>
      </w:r>
      <w:r w:rsidR="00F01012">
        <w:rPr>
          <w:lang w:val="en-US"/>
        </w:rPr>
        <w:t xml:space="preserve">emove the </w:t>
      </w:r>
      <w:r w:rsidR="00C77D63">
        <w:rPr>
          <w:lang w:val="en-US"/>
        </w:rPr>
        <w:t xml:space="preserve">properdin </w:t>
      </w:r>
      <w:r w:rsidR="00422B2D">
        <w:rPr>
          <w:lang w:val="en-US"/>
        </w:rPr>
        <w:t xml:space="preserve">and </w:t>
      </w:r>
      <w:r w:rsidR="00C77D63">
        <w:rPr>
          <w:lang w:val="en-US"/>
        </w:rPr>
        <w:t xml:space="preserve">factor </w:t>
      </w:r>
      <w:r w:rsidR="00F01012">
        <w:rPr>
          <w:lang w:val="en-US"/>
        </w:rPr>
        <w:t>B from items 71083–71087</w:t>
      </w:r>
      <w:r w:rsidR="00546639">
        <w:rPr>
          <w:lang w:val="en-US"/>
        </w:rPr>
        <w:t>.</w:t>
      </w:r>
    </w:p>
    <w:p w14:paraId="705B6C7A" w14:textId="77777777" w:rsidR="005D0BFA" w:rsidRDefault="00D5449D">
      <w:pPr>
        <w:pStyle w:val="NormalBulleted"/>
        <w:rPr>
          <w:lang w:val="en-US"/>
        </w:rPr>
      </w:pPr>
      <w:r>
        <w:rPr>
          <w:lang w:val="en-US"/>
        </w:rPr>
        <w:t>D</w:t>
      </w:r>
      <w:r w:rsidR="005D0BFA">
        <w:rPr>
          <w:lang w:val="en-US"/>
        </w:rPr>
        <w:t>elete ite</w:t>
      </w:r>
      <w:r w:rsidR="0077332C">
        <w:rPr>
          <w:lang w:val="en-US"/>
        </w:rPr>
        <w:t>m 71087</w:t>
      </w:r>
      <w:r w:rsidR="00546639">
        <w:rPr>
          <w:lang w:val="en-US"/>
        </w:rPr>
        <w:t>.</w:t>
      </w:r>
    </w:p>
    <w:p w14:paraId="7E5D6D5E" w14:textId="77777777" w:rsidR="0077332C" w:rsidRDefault="00D5449D">
      <w:pPr>
        <w:pStyle w:val="NormalBulleted"/>
        <w:rPr>
          <w:lang w:val="en-US"/>
        </w:rPr>
      </w:pPr>
      <w:r>
        <w:rPr>
          <w:lang w:val="en-US"/>
        </w:rPr>
        <w:t>R</w:t>
      </w:r>
      <w:r w:rsidR="0077332C">
        <w:rPr>
          <w:lang w:val="en-US"/>
        </w:rPr>
        <w:t>emove the wording specifying ‘breakdown products of complement proteins’ from the item descriptors for items 71089–71093</w:t>
      </w:r>
      <w:r w:rsidR="00546639">
        <w:rPr>
          <w:lang w:val="en-US"/>
        </w:rPr>
        <w:t>.</w:t>
      </w:r>
    </w:p>
    <w:p w14:paraId="6139A276" w14:textId="77777777" w:rsidR="0077332C" w:rsidRDefault="00D5449D">
      <w:pPr>
        <w:pStyle w:val="NormalBulleted"/>
        <w:rPr>
          <w:lang w:val="en-US"/>
        </w:rPr>
      </w:pPr>
      <w:r>
        <w:rPr>
          <w:lang w:val="en-US"/>
        </w:rPr>
        <w:t>A</w:t>
      </w:r>
      <w:r w:rsidR="0077332C">
        <w:rPr>
          <w:lang w:val="en-US"/>
        </w:rPr>
        <w:t>dd the wording ‘other than C3 or C4’ to the item descriptors for items 71089–71093</w:t>
      </w:r>
      <w:r w:rsidR="00546639">
        <w:rPr>
          <w:lang w:val="en-US"/>
        </w:rPr>
        <w:t>.</w:t>
      </w:r>
    </w:p>
    <w:p w14:paraId="7B1A77AF" w14:textId="77777777" w:rsidR="003D1F59" w:rsidRDefault="009B13CE">
      <w:pPr>
        <w:rPr>
          <w:lang w:val="en-US"/>
        </w:rPr>
      </w:pPr>
      <w:r>
        <w:rPr>
          <w:lang w:val="en-US"/>
        </w:rPr>
        <w:t xml:space="preserve">The </w:t>
      </w:r>
      <w:r w:rsidR="00F01012">
        <w:rPr>
          <w:lang w:val="en-US"/>
        </w:rPr>
        <w:t>Committee’s proposed changes are summarised in the table below.</w:t>
      </w:r>
    </w:p>
    <w:p w14:paraId="416E6737" w14:textId="77777777" w:rsidR="00C1306E" w:rsidRDefault="00445147">
      <w:pPr>
        <w:pStyle w:val="Caption"/>
      </w:pPr>
      <w:bookmarkStart w:id="57" w:name="_Toc499289252"/>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15</w:t>
      </w:r>
      <w:r w:rsidR="0004721F">
        <w:rPr>
          <w:noProof/>
        </w:rPr>
        <w:fldChar w:fldCharType="end"/>
      </w:r>
      <w:r>
        <w:t xml:space="preserve">. </w:t>
      </w:r>
      <w:r w:rsidR="003D1F59">
        <w:rPr>
          <w:lang w:val="en-US"/>
        </w:rPr>
        <w:t xml:space="preserve">Current and proposed item descriptors for items </w:t>
      </w:r>
      <w:r w:rsidR="003D1F59">
        <w:t>71083, 71085, 71087, 71089, 71091 and 71093</w:t>
      </w:r>
      <w:bookmarkEnd w:id="57"/>
    </w:p>
    <w:tbl>
      <w:tblPr>
        <w:tblStyle w:val="TableGrid"/>
        <w:tblW w:w="5088" w:type="pct"/>
        <w:tblInd w:w="-80" w:type="dxa"/>
        <w:tblLook w:val="04A0" w:firstRow="1" w:lastRow="0" w:firstColumn="1" w:lastColumn="0" w:noHBand="0" w:noVBand="1"/>
        <w:tblCaption w:val="Table 15: Current and proposed item descriptors for items 71083, 71085, 71087, 71089, 71091 and 71093"/>
        <w:tblDescription w:val="Table 15 lists the current and proposed item descriptors for items 71083, 71085, 71087, 71089, 71091 and 71093. "/>
      </w:tblPr>
      <w:tblGrid>
        <w:gridCol w:w="1068"/>
        <w:gridCol w:w="3997"/>
        <w:gridCol w:w="4110"/>
      </w:tblGrid>
      <w:tr w:rsidR="00302297" w:rsidRPr="00661D57" w14:paraId="77BE10C7" w14:textId="77777777" w:rsidTr="00097175">
        <w:trPr>
          <w:tblHeader/>
        </w:trPr>
        <w:tc>
          <w:tcPr>
            <w:tcW w:w="10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37A7F86" w14:textId="77777777" w:rsidR="00302297" w:rsidRPr="00632960" w:rsidRDefault="00E8051A" w:rsidP="007B6365">
            <w:pPr>
              <w:pStyle w:val="01Tableheaderrow"/>
              <w:rPr>
                <w:lang w:val="en-US"/>
              </w:rPr>
            </w:pPr>
            <w:r w:rsidRPr="00E8051A">
              <w:rPr>
                <w:lang w:val="en-US"/>
              </w:rPr>
              <w:t>Item no</w:t>
            </w:r>
          </w:p>
        </w:tc>
        <w:tc>
          <w:tcPr>
            <w:tcW w:w="399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D7B09A7" w14:textId="77777777" w:rsidR="00302297" w:rsidRPr="00632960" w:rsidRDefault="00E8051A" w:rsidP="007B6365">
            <w:pPr>
              <w:pStyle w:val="01Tableheaderrow"/>
              <w:rPr>
                <w:lang w:val="en-US"/>
              </w:rPr>
            </w:pPr>
            <w:r w:rsidRPr="00E8051A">
              <w:rPr>
                <w:lang w:val="en-US"/>
              </w:rPr>
              <w:t>Current descriptor</w:t>
            </w:r>
          </w:p>
        </w:tc>
        <w:tc>
          <w:tcPr>
            <w:tcW w:w="411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42E1A92" w14:textId="77777777" w:rsidR="00302297" w:rsidRPr="00632960" w:rsidRDefault="00E8051A" w:rsidP="007B6365">
            <w:pPr>
              <w:pStyle w:val="01Tableheaderrow"/>
              <w:rPr>
                <w:lang w:val="en-US"/>
              </w:rPr>
            </w:pPr>
            <w:r w:rsidRPr="00E8051A">
              <w:rPr>
                <w:lang w:val="en-US"/>
              </w:rPr>
              <w:t>New proposed descriptor</w:t>
            </w:r>
          </w:p>
        </w:tc>
      </w:tr>
      <w:tr w:rsidR="00302297" w:rsidRPr="00661D57" w14:paraId="43F067E8" w14:textId="77777777" w:rsidTr="00097175">
        <w:tc>
          <w:tcPr>
            <w:tcW w:w="1068" w:type="dxa"/>
            <w:tcBorders>
              <w:top w:val="single" w:sz="4" w:space="0" w:color="auto"/>
              <w:left w:val="single" w:sz="4" w:space="0" w:color="auto"/>
              <w:bottom w:val="single" w:sz="4" w:space="0" w:color="auto"/>
              <w:right w:val="single" w:sz="4" w:space="0" w:color="auto"/>
            </w:tcBorders>
            <w:hideMark/>
          </w:tcPr>
          <w:p w14:paraId="519695E8" w14:textId="77777777" w:rsidR="00302297" w:rsidRPr="00632960" w:rsidRDefault="00E8051A" w:rsidP="007B6365">
            <w:pPr>
              <w:pStyle w:val="02Tabletext"/>
              <w:rPr>
                <w:lang w:val="en-US"/>
              </w:rPr>
            </w:pPr>
            <w:r w:rsidRPr="00E8051A">
              <w:rPr>
                <w:lang w:val="en-US"/>
              </w:rPr>
              <w:t>71083</w:t>
            </w:r>
          </w:p>
        </w:tc>
        <w:tc>
          <w:tcPr>
            <w:tcW w:w="3997" w:type="dxa"/>
            <w:tcBorders>
              <w:top w:val="single" w:sz="4" w:space="0" w:color="auto"/>
              <w:left w:val="single" w:sz="4" w:space="0" w:color="auto"/>
              <w:bottom w:val="single" w:sz="4" w:space="0" w:color="auto"/>
              <w:right w:val="single" w:sz="4" w:space="0" w:color="auto"/>
            </w:tcBorders>
            <w:hideMark/>
          </w:tcPr>
          <w:p w14:paraId="1901C99D" w14:textId="77777777" w:rsidR="00302297" w:rsidRPr="00632960" w:rsidRDefault="00E8051A" w:rsidP="007B6365">
            <w:pPr>
              <w:pStyle w:val="02Tabletext"/>
              <w:rPr>
                <w:lang w:val="en-US"/>
              </w:rPr>
            </w:pPr>
            <w:r w:rsidRPr="00E8051A">
              <w:rPr>
                <w:lang w:val="en-US"/>
              </w:rPr>
              <w:t>Quantitation of complement components C3 and C4 or properdin factor B - 1 test</w:t>
            </w:r>
          </w:p>
        </w:tc>
        <w:tc>
          <w:tcPr>
            <w:tcW w:w="4110" w:type="dxa"/>
            <w:tcBorders>
              <w:top w:val="single" w:sz="4" w:space="0" w:color="auto"/>
              <w:left w:val="single" w:sz="4" w:space="0" w:color="auto"/>
              <w:bottom w:val="single" w:sz="4" w:space="0" w:color="auto"/>
              <w:right w:val="single" w:sz="4" w:space="0" w:color="auto"/>
            </w:tcBorders>
            <w:hideMark/>
          </w:tcPr>
          <w:p w14:paraId="74A047D3" w14:textId="77777777" w:rsidR="00302297" w:rsidRPr="00632960" w:rsidRDefault="00E8051A" w:rsidP="007B6365">
            <w:pPr>
              <w:pStyle w:val="02Tabletext"/>
              <w:rPr>
                <w:lang w:val="en-US"/>
              </w:rPr>
            </w:pPr>
            <w:r w:rsidRPr="00E8051A">
              <w:rPr>
                <w:lang w:val="en-US"/>
              </w:rPr>
              <w:t>Quantitation of complement components C3 or C4</w:t>
            </w:r>
          </w:p>
        </w:tc>
      </w:tr>
      <w:tr w:rsidR="00302297" w:rsidRPr="00661D57" w14:paraId="5A084819" w14:textId="77777777" w:rsidTr="0023110D">
        <w:tc>
          <w:tcPr>
            <w:tcW w:w="1068" w:type="dxa"/>
            <w:tcBorders>
              <w:top w:val="single" w:sz="4" w:space="0" w:color="auto"/>
              <w:left w:val="single" w:sz="4" w:space="0" w:color="auto"/>
              <w:bottom w:val="single" w:sz="4" w:space="0" w:color="auto"/>
              <w:right w:val="single" w:sz="4" w:space="0" w:color="auto"/>
            </w:tcBorders>
            <w:hideMark/>
          </w:tcPr>
          <w:p w14:paraId="78CF0BAA" w14:textId="77777777" w:rsidR="00302297" w:rsidRPr="00632960" w:rsidRDefault="00E8051A" w:rsidP="007B6365">
            <w:pPr>
              <w:pStyle w:val="02Tabletext"/>
              <w:rPr>
                <w:lang w:val="en-US"/>
              </w:rPr>
            </w:pPr>
            <w:r w:rsidRPr="00E8051A">
              <w:rPr>
                <w:lang w:val="en-US"/>
              </w:rPr>
              <w:lastRenderedPageBreak/>
              <w:t>71085</w:t>
            </w:r>
          </w:p>
        </w:tc>
        <w:tc>
          <w:tcPr>
            <w:tcW w:w="3997" w:type="dxa"/>
            <w:tcBorders>
              <w:top w:val="single" w:sz="4" w:space="0" w:color="auto"/>
              <w:left w:val="single" w:sz="4" w:space="0" w:color="auto"/>
              <w:bottom w:val="single" w:sz="4" w:space="0" w:color="auto"/>
              <w:right w:val="single" w:sz="4" w:space="0" w:color="auto"/>
            </w:tcBorders>
            <w:hideMark/>
          </w:tcPr>
          <w:p w14:paraId="39FF778A" w14:textId="77777777" w:rsidR="00302297" w:rsidRPr="00632960" w:rsidRDefault="00E8051A" w:rsidP="007B6365">
            <w:pPr>
              <w:pStyle w:val="02Tabletext"/>
              <w:rPr>
                <w:lang w:val="en-US"/>
              </w:rPr>
            </w:pPr>
            <w:r w:rsidRPr="00E8051A">
              <w:rPr>
                <w:lang w:val="en-US"/>
              </w:rPr>
              <w:t>2 tests described in item 71083</w:t>
            </w:r>
          </w:p>
        </w:tc>
        <w:tc>
          <w:tcPr>
            <w:tcW w:w="4110" w:type="dxa"/>
            <w:tcBorders>
              <w:top w:val="single" w:sz="4" w:space="0" w:color="auto"/>
              <w:left w:val="single" w:sz="4" w:space="0" w:color="auto"/>
              <w:bottom w:val="single" w:sz="4" w:space="0" w:color="auto"/>
              <w:right w:val="single" w:sz="4" w:space="0" w:color="auto"/>
            </w:tcBorders>
            <w:hideMark/>
          </w:tcPr>
          <w:p w14:paraId="1899A980" w14:textId="77777777" w:rsidR="00302297" w:rsidRPr="00632960" w:rsidRDefault="00E8051A" w:rsidP="007B6365">
            <w:pPr>
              <w:pStyle w:val="02Tabletext"/>
              <w:rPr>
                <w:lang w:val="en-US"/>
              </w:rPr>
            </w:pPr>
            <w:r w:rsidRPr="00E8051A">
              <w:rPr>
                <w:lang w:val="en-US"/>
              </w:rPr>
              <w:t>Quantitation of complement components C3 and C4 (2 tests)</w:t>
            </w:r>
          </w:p>
        </w:tc>
      </w:tr>
      <w:tr w:rsidR="00302297" w:rsidRPr="00661D57" w14:paraId="25517569" w14:textId="77777777" w:rsidTr="0023110D">
        <w:tc>
          <w:tcPr>
            <w:tcW w:w="1068" w:type="dxa"/>
            <w:tcBorders>
              <w:top w:val="single" w:sz="4" w:space="0" w:color="auto"/>
              <w:left w:val="single" w:sz="4" w:space="0" w:color="auto"/>
              <w:bottom w:val="single" w:sz="4" w:space="0" w:color="auto"/>
              <w:right w:val="single" w:sz="4" w:space="0" w:color="auto"/>
            </w:tcBorders>
            <w:hideMark/>
          </w:tcPr>
          <w:p w14:paraId="0AC2D48E" w14:textId="77777777" w:rsidR="00302297" w:rsidRPr="00632960" w:rsidRDefault="00E8051A" w:rsidP="007B6365">
            <w:pPr>
              <w:pStyle w:val="02Tabletext"/>
              <w:rPr>
                <w:lang w:val="en-US"/>
              </w:rPr>
            </w:pPr>
            <w:r w:rsidRPr="00E8051A">
              <w:rPr>
                <w:lang w:val="en-US"/>
              </w:rPr>
              <w:t>71087</w:t>
            </w:r>
          </w:p>
        </w:tc>
        <w:tc>
          <w:tcPr>
            <w:tcW w:w="3997" w:type="dxa"/>
            <w:tcBorders>
              <w:top w:val="single" w:sz="4" w:space="0" w:color="auto"/>
              <w:left w:val="single" w:sz="4" w:space="0" w:color="auto"/>
              <w:bottom w:val="single" w:sz="4" w:space="0" w:color="auto"/>
              <w:right w:val="single" w:sz="4" w:space="0" w:color="auto"/>
            </w:tcBorders>
            <w:hideMark/>
          </w:tcPr>
          <w:p w14:paraId="6F610D85" w14:textId="77777777" w:rsidR="00302297" w:rsidRPr="00632960" w:rsidRDefault="00E8051A" w:rsidP="007B6365">
            <w:pPr>
              <w:pStyle w:val="02Tabletext"/>
              <w:rPr>
                <w:lang w:val="en-US"/>
              </w:rPr>
            </w:pPr>
            <w:r w:rsidRPr="00E8051A">
              <w:rPr>
                <w:lang w:val="en-US"/>
              </w:rPr>
              <w:t>3 or more tests described in item 71083</w:t>
            </w:r>
          </w:p>
        </w:tc>
        <w:tc>
          <w:tcPr>
            <w:tcW w:w="4110" w:type="dxa"/>
            <w:tcBorders>
              <w:top w:val="single" w:sz="4" w:space="0" w:color="auto"/>
              <w:left w:val="single" w:sz="4" w:space="0" w:color="auto"/>
              <w:bottom w:val="single" w:sz="4" w:space="0" w:color="auto"/>
              <w:right w:val="single" w:sz="4" w:space="0" w:color="auto"/>
            </w:tcBorders>
            <w:hideMark/>
          </w:tcPr>
          <w:p w14:paraId="7950A185" w14:textId="77777777" w:rsidR="00302297" w:rsidRPr="00632960" w:rsidRDefault="00E8051A" w:rsidP="007B6365">
            <w:pPr>
              <w:pStyle w:val="02Tabletext"/>
              <w:rPr>
                <w:lang w:val="en-US"/>
              </w:rPr>
            </w:pPr>
            <w:r w:rsidRPr="00E8051A">
              <w:rPr>
                <w:lang w:val="en-US"/>
              </w:rPr>
              <w:t>Delete</w:t>
            </w:r>
          </w:p>
        </w:tc>
      </w:tr>
      <w:tr w:rsidR="00302297" w:rsidRPr="00661D57" w14:paraId="736AF643" w14:textId="77777777" w:rsidTr="0023110D">
        <w:tc>
          <w:tcPr>
            <w:tcW w:w="1068" w:type="dxa"/>
            <w:tcBorders>
              <w:top w:val="single" w:sz="4" w:space="0" w:color="auto"/>
              <w:left w:val="single" w:sz="4" w:space="0" w:color="auto"/>
              <w:bottom w:val="single" w:sz="4" w:space="0" w:color="auto"/>
              <w:right w:val="single" w:sz="4" w:space="0" w:color="auto"/>
            </w:tcBorders>
            <w:hideMark/>
          </w:tcPr>
          <w:p w14:paraId="41120DFE" w14:textId="77777777" w:rsidR="00302297" w:rsidRPr="00632960" w:rsidRDefault="00E8051A" w:rsidP="007B6365">
            <w:pPr>
              <w:pStyle w:val="02Tabletext"/>
              <w:rPr>
                <w:lang w:val="en-US"/>
              </w:rPr>
            </w:pPr>
            <w:r w:rsidRPr="00E8051A">
              <w:rPr>
                <w:lang w:val="en-US"/>
              </w:rPr>
              <w:t>71089</w:t>
            </w:r>
          </w:p>
        </w:tc>
        <w:tc>
          <w:tcPr>
            <w:tcW w:w="3997" w:type="dxa"/>
            <w:tcBorders>
              <w:top w:val="single" w:sz="4" w:space="0" w:color="auto"/>
              <w:left w:val="single" w:sz="4" w:space="0" w:color="auto"/>
              <w:bottom w:val="single" w:sz="4" w:space="0" w:color="auto"/>
              <w:right w:val="single" w:sz="4" w:space="0" w:color="auto"/>
            </w:tcBorders>
            <w:hideMark/>
          </w:tcPr>
          <w:p w14:paraId="6CAFA2BC" w14:textId="77777777" w:rsidR="00302297" w:rsidRPr="00632960" w:rsidRDefault="00E8051A" w:rsidP="007B6365">
            <w:pPr>
              <w:pStyle w:val="02Tabletext"/>
              <w:rPr>
                <w:lang w:val="en-US"/>
              </w:rPr>
            </w:pPr>
            <w:r w:rsidRPr="00E8051A">
              <w:rPr>
                <w:lang w:val="en-US"/>
              </w:rPr>
              <w:t>Quantitation of complement components or breakdown products of complement proteins not elsewhere described in an item in this Schedule - 1 test</w:t>
            </w:r>
          </w:p>
        </w:tc>
        <w:tc>
          <w:tcPr>
            <w:tcW w:w="4110" w:type="dxa"/>
            <w:tcBorders>
              <w:top w:val="single" w:sz="4" w:space="0" w:color="auto"/>
              <w:left w:val="single" w:sz="4" w:space="0" w:color="auto"/>
              <w:bottom w:val="single" w:sz="4" w:space="0" w:color="auto"/>
              <w:right w:val="single" w:sz="4" w:space="0" w:color="auto"/>
            </w:tcBorders>
            <w:hideMark/>
          </w:tcPr>
          <w:p w14:paraId="290301DB" w14:textId="77777777" w:rsidR="00302297" w:rsidRPr="00632960" w:rsidRDefault="00E8051A" w:rsidP="007B6365">
            <w:pPr>
              <w:pStyle w:val="02Tabletext"/>
              <w:rPr>
                <w:lang w:val="en-US"/>
              </w:rPr>
            </w:pPr>
            <w:r w:rsidRPr="00E8051A">
              <w:rPr>
                <w:lang w:val="en-US"/>
              </w:rPr>
              <w:t>Quantitation of complement components other than C3 or C4 (1 test)</w:t>
            </w:r>
          </w:p>
        </w:tc>
      </w:tr>
      <w:tr w:rsidR="00302297" w:rsidRPr="00661D57" w14:paraId="76CB9CD2" w14:textId="77777777" w:rsidTr="0023110D">
        <w:tc>
          <w:tcPr>
            <w:tcW w:w="1068" w:type="dxa"/>
            <w:tcBorders>
              <w:top w:val="single" w:sz="4" w:space="0" w:color="auto"/>
              <w:left w:val="single" w:sz="4" w:space="0" w:color="auto"/>
              <w:bottom w:val="single" w:sz="4" w:space="0" w:color="auto"/>
              <w:right w:val="single" w:sz="4" w:space="0" w:color="auto"/>
            </w:tcBorders>
            <w:hideMark/>
          </w:tcPr>
          <w:p w14:paraId="69766205" w14:textId="77777777" w:rsidR="00302297" w:rsidRPr="00632960" w:rsidRDefault="00E8051A" w:rsidP="007B6365">
            <w:pPr>
              <w:pStyle w:val="02Tabletext"/>
              <w:rPr>
                <w:lang w:val="en-US"/>
              </w:rPr>
            </w:pPr>
            <w:r w:rsidRPr="00E8051A">
              <w:rPr>
                <w:lang w:val="en-US"/>
              </w:rPr>
              <w:t>71091</w:t>
            </w:r>
          </w:p>
        </w:tc>
        <w:tc>
          <w:tcPr>
            <w:tcW w:w="3997" w:type="dxa"/>
            <w:tcBorders>
              <w:top w:val="single" w:sz="4" w:space="0" w:color="auto"/>
              <w:left w:val="single" w:sz="4" w:space="0" w:color="auto"/>
              <w:bottom w:val="single" w:sz="4" w:space="0" w:color="auto"/>
              <w:right w:val="single" w:sz="4" w:space="0" w:color="auto"/>
            </w:tcBorders>
            <w:hideMark/>
          </w:tcPr>
          <w:p w14:paraId="7D9B596A" w14:textId="77777777" w:rsidR="00302297" w:rsidRPr="00632960" w:rsidRDefault="00E8051A" w:rsidP="007B6365">
            <w:pPr>
              <w:pStyle w:val="02Tabletext"/>
              <w:rPr>
                <w:lang w:val="en-US"/>
              </w:rPr>
            </w:pPr>
            <w:r w:rsidRPr="00E8051A">
              <w:rPr>
                <w:lang w:val="en-US"/>
              </w:rPr>
              <w:t>2 tests described in item 71089</w:t>
            </w:r>
          </w:p>
        </w:tc>
        <w:tc>
          <w:tcPr>
            <w:tcW w:w="4110" w:type="dxa"/>
            <w:tcBorders>
              <w:top w:val="single" w:sz="4" w:space="0" w:color="auto"/>
              <w:left w:val="single" w:sz="4" w:space="0" w:color="auto"/>
              <w:bottom w:val="single" w:sz="4" w:space="0" w:color="auto"/>
              <w:right w:val="single" w:sz="4" w:space="0" w:color="auto"/>
            </w:tcBorders>
            <w:hideMark/>
          </w:tcPr>
          <w:p w14:paraId="4BC24486" w14:textId="77777777" w:rsidR="00302297" w:rsidRPr="00632960" w:rsidRDefault="002B1A60" w:rsidP="007B6365">
            <w:pPr>
              <w:pStyle w:val="02Tabletext"/>
              <w:rPr>
                <w:lang w:val="en-US"/>
              </w:rPr>
            </w:pPr>
            <w:r w:rsidRPr="00E8051A">
              <w:rPr>
                <w:lang w:val="en-US"/>
              </w:rPr>
              <w:t>2 tests described in item 71089</w:t>
            </w:r>
          </w:p>
        </w:tc>
      </w:tr>
      <w:tr w:rsidR="00302297" w14:paraId="7AE743E3" w14:textId="77777777" w:rsidTr="0023110D">
        <w:tc>
          <w:tcPr>
            <w:tcW w:w="1068" w:type="dxa"/>
            <w:tcBorders>
              <w:top w:val="single" w:sz="4" w:space="0" w:color="auto"/>
              <w:left w:val="single" w:sz="4" w:space="0" w:color="auto"/>
              <w:bottom w:val="single" w:sz="4" w:space="0" w:color="auto"/>
              <w:right w:val="single" w:sz="4" w:space="0" w:color="auto"/>
            </w:tcBorders>
            <w:hideMark/>
          </w:tcPr>
          <w:p w14:paraId="7C4C23D0" w14:textId="77777777" w:rsidR="00302297" w:rsidRPr="00632960" w:rsidRDefault="00E8051A" w:rsidP="007B6365">
            <w:pPr>
              <w:pStyle w:val="02Tabletext"/>
              <w:rPr>
                <w:lang w:val="en-US"/>
              </w:rPr>
            </w:pPr>
            <w:r w:rsidRPr="00E8051A">
              <w:rPr>
                <w:lang w:val="en-US"/>
              </w:rPr>
              <w:t>71093</w:t>
            </w:r>
          </w:p>
        </w:tc>
        <w:tc>
          <w:tcPr>
            <w:tcW w:w="3997" w:type="dxa"/>
            <w:tcBorders>
              <w:top w:val="single" w:sz="4" w:space="0" w:color="auto"/>
              <w:left w:val="single" w:sz="4" w:space="0" w:color="auto"/>
              <w:bottom w:val="single" w:sz="4" w:space="0" w:color="auto"/>
              <w:right w:val="single" w:sz="4" w:space="0" w:color="auto"/>
            </w:tcBorders>
            <w:hideMark/>
          </w:tcPr>
          <w:p w14:paraId="1006E8C3" w14:textId="77777777" w:rsidR="00302297" w:rsidRPr="00632960" w:rsidRDefault="00E8051A" w:rsidP="007B6365">
            <w:pPr>
              <w:pStyle w:val="02Tabletext"/>
              <w:rPr>
                <w:lang w:val="en-US"/>
              </w:rPr>
            </w:pPr>
            <w:r w:rsidRPr="00E8051A">
              <w:rPr>
                <w:lang w:val="en-US"/>
              </w:rPr>
              <w:t>3 or more tests described in item 71089</w:t>
            </w:r>
          </w:p>
        </w:tc>
        <w:tc>
          <w:tcPr>
            <w:tcW w:w="4110" w:type="dxa"/>
            <w:tcBorders>
              <w:top w:val="single" w:sz="4" w:space="0" w:color="auto"/>
              <w:left w:val="single" w:sz="4" w:space="0" w:color="auto"/>
              <w:bottom w:val="single" w:sz="4" w:space="0" w:color="auto"/>
              <w:right w:val="single" w:sz="4" w:space="0" w:color="auto"/>
            </w:tcBorders>
            <w:hideMark/>
          </w:tcPr>
          <w:p w14:paraId="741C409A" w14:textId="77777777" w:rsidR="00302297" w:rsidRPr="00632960" w:rsidRDefault="002B1A60" w:rsidP="007B6365">
            <w:pPr>
              <w:pStyle w:val="02Tabletext"/>
              <w:rPr>
                <w:lang w:val="en-US"/>
              </w:rPr>
            </w:pPr>
            <w:r w:rsidRPr="00E8051A">
              <w:rPr>
                <w:lang w:val="en-US"/>
              </w:rPr>
              <w:t>3 or more tests described in item 71089</w:t>
            </w:r>
          </w:p>
        </w:tc>
      </w:tr>
    </w:tbl>
    <w:p w14:paraId="152443B1" w14:textId="77777777" w:rsidR="00AF5D75" w:rsidRDefault="00AF5D75" w:rsidP="0023110D">
      <w:pPr>
        <w:pStyle w:val="Heading3Numbered"/>
      </w:pPr>
      <w:r>
        <w:t>Rationale</w:t>
      </w:r>
      <w:r w:rsidR="00AC050E">
        <w:t xml:space="preserve"> </w:t>
      </w:r>
      <w:r w:rsidR="00BB0F7C">
        <w:t>7</w:t>
      </w:r>
    </w:p>
    <w:p w14:paraId="2B45AA41" w14:textId="77777777" w:rsidR="00AB2ECB" w:rsidRDefault="00BC4857">
      <w:pPr>
        <w:pStyle w:val="NormalBulleted"/>
        <w:rPr>
          <w:lang w:val="en-US"/>
        </w:rPr>
      </w:pPr>
      <w:r>
        <w:rPr>
          <w:lang w:val="en-US"/>
        </w:rPr>
        <w:t>Items 71083–71093 are tests used to determine whether deficiencies or abnormalities in the complement</w:t>
      </w:r>
      <w:r w:rsidR="002D1981">
        <w:rPr>
          <w:lang w:val="en-US"/>
        </w:rPr>
        <w:t xml:space="preserve"> system</w:t>
      </w:r>
      <w:r w:rsidR="003E0AD2">
        <w:rPr>
          <w:lang w:val="en-US"/>
        </w:rPr>
        <w:t xml:space="preserve"> contribute to a person’s condition</w:t>
      </w:r>
      <w:r w:rsidR="002D1981">
        <w:rPr>
          <w:lang w:val="en-US"/>
        </w:rPr>
        <w:t>. Complement tests are used to monitor people diagnosed with an autoimmune disorder (such as rheumatoid arthritis or lupus) to see if treatment is working; C3 and C4 are the most commonly measured complement components.</w:t>
      </w:r>
      <w:r>
        <w:rPr>
          <w:lang w:val="en-US"/>
        </w:rPr>
        <w:t xml:space="preserve"> </w:t>
      </w:r>
      <w:r w:rsidR="00FE712E">
        <w:rPr>
          <w:lang w:val="en-US"/>
        </w:rPr>
        <w:t>The main requestors of these tests are rheumatologists and immunologists.</w:t>
      </w:r>
    </w:p>
    <w:p w14:paraId="2AA147FF" w14:textId="77777777" w:rsidR="00E53C6B" w:rsidRDefault="00AC050E">
      <w:pPr>
        <w:pStyle w:val="NormalBulleted"/>
        <w:rPr>
          <w:lang w:val="en-US"/>
        </w:rPr>
      </w:pPr>
      <w:r>
        <w:rPr>
          <w:lang w:val="en-US"/>
        </w:rPr>
        <w:t xml:space="preserve">The </w:t>
      </w:r>
      <w:r w:rsidR="009B13CE">
        <w:rPr>
          <w:lang w:val="en-US"/>
        </w:rPr>
        <w:t xml:space="preserve">proposed changes reflect that </w:t>
      </w:r>
      <w:r>
        <w:rPr>
          <w:lang w:val="en-US"/>
        </w:rPr>
        <w:t>knowledge and utility of more complex testing has advanced in medicine, with many new applications being relevant to the investigation of disease.</w:t>
      </w:r>
      <w:r w:rsidR="0009188B">
        <w:rPr>
          <w:lang w:val="en-US"/>
        </w:rPr>
        <w:t xml:space="preserve"> The proposed changes </w:t>
      </w:r>
      <w:r w:rsidR="00D80823">
        <w:rPr>
          <w:lang w:val="en-US"/>
        </w:rPr>
        <w:t xml:space="preserve">remove obsolescence from </w:t>
      </w:r>
      <w:r w:rsidR="0009188B">
        <w:rPr>
          <w:lang w:val="en-US"/>
        </w:rPr>
        <w:t>the tests for q</w:t>
      </w:r>
      <w:r w:rsidR="0009188B" w:rsidRPr="0009188B">
        <w:rPr>
          <w:lang w:val="en-US"/>
        </w:rPr>
        <w:t xml:space="preserve">uantitation of complement components </w:t>
      </w:r>
      <w:r w:rsidR="00D96D34">
        <w:rPr>
          <w:lang w:val="en-US"/>
        </w:rPr>
        <w:t xml:space="preserve">and </w:t>
      </w:r>
      <w:r w:rsidR="00F01012">
        <w:rPr>
          <w:lang w:val="en-US"/>
        </w:rPr>
        <w:t>bring the</w:t>
      </w:r>
      <w:r w:rsidR="00D96D34">
        <w:rPr>
          <w:lang w:val="en-US"/>
        </w:rPr>
        <w:t xml:space="preserve"> tests</w:t>
      </w:r>
      <w:r w:rsidR="00D80823">
        <w:rPr>
          <w:lang w:val="en-US"/>
        </w:rPr>
        <w:t xml:space="preserve"> </w:t>
      </w:r>
      <w:r w:rsidR="0009188B">
        <w:rPr>
          <w:lang w:val="en-US"/>
        </w:rPr>
        <w:t>into line with these advances.</w:t>
      </w:r>
      <w:r w:rsidR="0077332C">
        <w:rPr>
          <w:lang w:val="en-US"/>
        </w:rPr>
        <w:t xml:space="preserve"> </w:t>
      </w:r>
      <w:r w:rsidR="003D1F59">
        <w:rPr>
          <w:lang w:val="en-US"/>
        </w:rPr>
        <w:t xml:space="preserve">For example, </w:t>
      </w:r>
      <w:r w:rsidR="00C77D63">
        <w:rPr>
          <w:lang w:val="en-US"/>
        </w:rPr>
        <w:t xml:space="preserve">properdin </w:t>
      </w:r>
      <w:r w:rsidR="00422B2D">
        <w:rPr>
          <w:lang w:val="en-US"/>
        </w:rPr>
        <w:t xml:space="preserve">and </w:t>
      </w:r>
      <w:r w:rsidR="00C77D63">
        <w:rPr>
          <w:lang w:val="en-US"/>
        </w:rPr>
        <w:t xml:space="preserve">factor </w:t>
      </w:r>
      <w:r w:rsidR="0077332C">
        <w:rPr>
          <w:lang w:val="en-US"/>
        </w:rPr>
        <w:t>B no longer reflect clinical</w:t>
      </w:r>
      <w:r w:rsidR="003D1F59">
        <w:rPr>
          <w:lang w:val="en-US"/>
        </w:rPr>
        <w:t xml:space="preserve"> practice</w:t>
      </w:r>
      <w:r w:rsidR="00D5449D">
        <w:rPr>
          <w:lang w:val="en-US"/>
        </w:rPr>
        <w:t>,</w:t>
      </w:r>
      <w:r w:rsidR="003D1F59">
        <w:rPr>
          <w:lang w:val="en-US"/>
        </w:rPr>
        <w:t xml:space="preserve"> and item 71087 is no longer </w:t>
      </w:r>
      <w:r w:rsidR="00151075">
        <w:rPr>
          <w:lang w:val="en-US"/>
        </w:rPr>
        <w:t>required with removal of these components</w:t>
      </w:r>
      <w:r w:rsidR="003D1F59">
        <w:rPr>
          <w:lang w:val="en-US"/>
        </w:rPr>
        <w:t xml:space="preserve">. </w:t>
      </w:r>
    </w:p>
    <w:p w14:paraId="0853C6F3" w14:textId="77777777" w:rsidR="003D1F59" w:rsidRDefault="003D1F59">
      <w:pPr>
        <w:pStyle w:val="NormalBulleted"/>
        <w:rPr>
          <w:lang w:val="en-US"/>
        </w:rPr>
      </w:pPr>
      <w:r>
        <w:rPr>
          <w:lang w:val="en-US"/>
        </w:rPr>
        <w:t xml:space="preserve">The </w:t>
      </w:r>
      <w:r w:rsidRPr="00697490">
        <w:rPr>
          <w:lang w:val="en-US"/>
        </w:rPr>
        <w:t>combine</w:t>
      </w:r>
      <w:r>
        <w:rPr>
          <w:lang w:val="en-US"/>
        </w:rPr>
        <w:t xml:space="preserve">d testing for </w:t>
      </w:r>
      <w:r w:rsidRPr="00697490">
        <w:rPr>
          <w:lang w:val="en-US"/>
        </w:rPr>
        <w:t xml:space="preserve">C3 and C4 </w:t>
      </w:r>
      <w:r>
        <w:rPr>
          <w:lang w:val="en-US"/>
        </w:rPr>
        <w:t xml:space="preserve">results in loss of </w:t>
      </w:r>
      <w:r w:rsidRPr="00697490">
        <w:rPr>
          <w:lang w:val="en-US"/>
        </w:rPr>
        <w:t>ability to track the items</w:t>
      </w:r>
      <w:r>
        <w:rPr>
          <w:lang w:val="en-US"/>
        </w:rPr>
        <w:t xml:space="preserve"> separately</w:t>
      </w:r>
      <w:r w:rsidRPr="00697490">
        <w:rPr>
          <w:lang w:val="en-US"/>
        </w:rPr>
        <w:t>.</w:t>
      </w:r>
      <w:r>
        <w:rPr>
          <w:lang w:val="en-US"/>
        </w:rPr>
        <w:t xml:space="preserve"> Therefore the Committee recommends that the descriptors for items 71803 and 71805 be changed to enable tracking of both items.</w:t>
      </w:r>
    </w:p>
    <w:p w14:paraId="11040C6E" w14:textId="77777777" w:rsidR="001E4CAC" w:rsidRPr="00AB2ECB" w:rsidRDefault="001E4CAC">
      <w:pPr>
        <w:pStyle w:val="NormalBulleted"/>
        <w:numPr>
          <w:ilvl w:val="0"/>
          <w:numId w:val="0"/>
        </w:numPr>
        <w:ind w:left="431"/>
        <w:rPr>
          <w:lang w:val="en-US"/>
        </w:rPr>
      </w:pPr>
      <w:r w:rsidRPr="00AB2ECB">
        <w:rPr>
          <w:lang w:val="en-US" w:eastAsia="en-US"/>
        </w:rPr>
        <w:t>The proposed changes have no direct effect on patients.</w:t>
      </w:r>
    </w:p>
    <w:p w14:paraId="635D9B9F" w14:textId="77777777" w:rsidR="00DE6FFC" w:rsidRDefault="00FC6F96" w:rsidP="0061330F">
      <w:pPr>
        <w:pStyle w:val="Heading2"/>
        <w:ind w:left="567"/>
      </w:pPr>
      <w:bookmarkStart w:id="58" w:name="_Toc499293043"/>
      <w:r w:rsidRPr="00404C4C">
        <w:t>Antibodies to tissue antigens</w:t>
      </w:r>
      <w:r w:rsidR="002C74E1">
        <w:t>: items 71119, 71121, 71123 and 71125</w:t>
      </w:r>
      <w:bookmarkEnd w:id="58"/>
    </w:p>
    <w:p w14:paraId="1927FD6D" w14:textId="77777777" w:rsidR="00341913" w:rsidRPr="003744BA" w:rsidRDefault="00445147">
      <w:pPr>
        <w:pStyle w:val="Caption"/>
      </w:pPr>
      <w:bookmarkStart w:id="59" w:name="_Toc499289253"/>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16</w:t>
      </w:r>
      <w:r w:rsidR="0004721F">
        <w:rPr>
          <w:noProof/>
        </w:rPr>
        <w:fldChar w:fldCharType="end"/>
      </w:r>
      <w:r>
        <w:t xml:space="preserve">. </w:t>
      </w:r>
      <w:r w:rsidR="00341913" w:rsidRPr="003744BA">
        <w:t>Item introduction table for item</w:t>
      </w:r>
      <w:r w:rsidR="00C33BC2">
        <w:t>s</w:t>
      </w:r>
      <w:r w:rsidR="00341913">
        <w:t xml:space="preserve"> </w:t>
      </w:r>
      <w:r w:rsidR="00C33BC2">
        <w:t xml:space="preserve">71119, </w:t>
      </w:r>
      <w:r w:rsidR="00C33BC2" w:rsidRPr="00FC6F96">
        <w:t>71121, 71123</w:t>
      </w:r>
      <w:r w:rsidR="00C33BC2">
        <w:t xml:space="preserve"> and</w:t>
      </w:r>
      <w:r w:rsidR="00C33BC2" w:rsidRPr="00FC6F96">
        <w:t xml:space="preserve"> 71125</w:t>
      </w:r>
      <w:bookmarkEnd w:id="59"/>
    </w:p>
    <w:tbl>
      <w:tblPr>
        <w:tblStyle w:val="TableGrid1"/>
        <w:tblW w:w="9039" w:type="dxa"/>
        <w:tblLayout w:type="fixed"/>
        <w:tblLook w:val="04A0" w:firstRow="1" w:lastRow="0" w:firstColumn="1" w:lastColumn="0" w:noHBand="0" w:noVBand="1"/>
        <w:tblCaption w:val="Table 16: Item introduction table for items 71119, 71121, 71123 and 71125"/>
        <w:tblDescription w:val="Table 16 contains MBS data for items 71119, 71121, 71123 and 71125 for the financial year 2014–2015. The data includes item numbers, long item descriptors, schedule fee, total volume of services, benefits paid, patient count and services annual average growth as a pecentage over a 5 year period."/>
      </w:tblPr>
      <w:tblGrid>
        <w:gridCol w:w="776"/>
        <w:gridCol w:w="2763"/>
        <w:gridCol w:w="1134"/>
        <w:gridCol w:w="1276"/>
        <w:gridCol w:w="1276"/>
        <w:gridCol w:w="850"/>
        <w:gridCol w:w="964"/>
      </w:tblGrid>
      <w:tr w:rsidR="00341913" w:rsidRPr="00DD5A29" w14:paraId="00DA710E" w14:textId="77777777" w:rsidTr="007B6365">
        <w:trPr>
          <w:trHeight w:val="729"/>
          <w:tblHeader/>
        </w:trPr>
        <w:tc>
          <w:tcPr>
            <w:tcW w:w="776" w:type="dxa"/>
            <w:shd w:val="clear" w:color="auto" w:fill="EEECE1" w:themeFill="background2"/>
            <w:vAlign w:val="bottom"/>
            <w:hideMark/>
          </w:tcPr>
          <w:p w14:paraId="2E321032" w14:textId="77777777" w:rsidR="00341913" w:rsidRPr="00DD5A29" w:rsidRDefault="00341913" w:rsidP="007B6365">
            <w:pPr>
              <w:pStyle w:val="01Tableheaderrow"/>
              <w:rPr>
                <w:lang w:val="en-GB"/>
              </w:rPr>
            </w:pPr>
            <w:r w:rsidRPr="00C70F36">
              <w:rPr>
                <w:lang w:val="en-GB"/>
              </w:rPr>
              <w:t>Item</w:t>
            </w:r>
          </w:p>
        </w:tc>
        <w:tc>
          <w:tcPr>
            <w:tcW w:w="2763" w:type="dxa"/>
            <w:shd w:val="clear" w:color="auto" w:fill="EEECE1" w:themeFill="background2"/>
            <w:vAlign w:val="bottom"/>
            <w:hideMark/>
          </w:tcPr>
          <w:p w14:paraId="51A42096" w14:textId="77777777" w:rsidR="00341913" w:rsidRPr="00DD5A29" w:rsidRDefault="00341913" w:rsidP="007B6365">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134" w:type="dxa"/>
            <w:shd w:val="clear" w:color="auto" w:fill="EEECE1" w:themeFill="background2"/>
            <w:vAlign w:val="bottom"/>
            <w:hideMark/>
          </w:tcPr>
          <w:p w14:paraId="2082ECD7" w14:textId="77777777" w:rsidR="00341913" w:rsidRPr="00256B04" w:rsidRDefault="00341913" w:rsidP="007B6365">
            <w:pPr>
              <w:pStyle w:val="01Tableheaderrow"/>
              <w:rPr>
                <w:lang w:val="en-GB"/>
              </w:rPr>
            </w:pPr>
            <w:r w:rsidRPr="00C70F36">
              <w:rPr>
                <w:lang w:val="en-GB"/>
              </w:rPr>
              <w:t>Schedule fee</w:t>
            </w:r>
          </w:p>
        </w:tc>
        <w:tc>
          <w:tcPr>
            <w:tcW w:w="1276" w:type="dxa"/>
            <w:shd w:val="clear" w:color="auto" w:fill="EEECE1" w:themeFill="background2"/>
            <w:vAlign w:val="bottom"/>
            <w:hideMark/>
          </w:tcPr>
          <w:p w14:paraId="59C4BF7B" w14:textId="77777777" w:rsidR="00341913" w:rsidRPr="00DD5A29" w:rsidRDefault="00341913" w:rsidP="007B6365">
            <w:pPr>
              <w:pStyle w:val="01Tableheaderrow"/>
              <w:rPr>
                <w:lang w:val="en-GB"/>
              </w:rPr>
            </w:pPr>
            <w:r w:rsidRPr="00C70F36">
              <w:rPr>
                <w:lang w:val="en-GB"/>
              </w:rPr>
              <w:t xml:space="preserve">Services </w:t>
            </w:r>
            <w:r w:rsidR="007D6844">
              <w:rPr>
                <w:lang w:val="en-GB"/>
              </w:rPr>
              <w:t>FY 2014–15</w:t>
            </w:r>
          </w:p>
        </w:tc>
        <w:tc>
          <w:tcPr>
            <w:tcW w:w="1276" w:type="dxa"/>
            <w:shd w:val="clear" w:color="auto" w:fill="EEECE1" w:themeFill="background2"/>
            <w:vAlign w:val="bottom"/>
          </w:tcPr>
          <w:p w14:paraId="6BF2C78B" w14:textId="77777777" w:rsidR="00341913" w:rsidRPr="00DD5A29" w:rsidRDefault="00341913" w:rsidP="007B6365">
            <w:pPr>
              <w:pStyle w:val="01Tableheaderrow"/>
              <w:rPr>
                <w:lang w:val="en-GB"/>
              </w:rPr>
            </w:pPr>
            <w:r w:rsidRPr="00C70F36">
              <w:rPr>
                <w:lang w:val="en-GB"/>
              </w:rPr>
              <w:t xml:space="preserve">Benefits </w:t>
            </w:r>
            <w:r w:rsidR="007D6844">
              <w:rPr>
                <w:lang w:val="en-GB"/>
              </w:rPr>
              <w:t>FY 2014–15</w:t>
            </w:r>
          </w:p>
        </w:tc>
        <w:tc>
          <w:tcPr>
            <w:tcW w:w="850" w:type="dxa"/>
            <w:shd w:val="clear" w:color="auto" w:fill="EEECE1" w:themeFill="background2"/>
            <w:vAlign w:val="bottom"/>
            <w:hideMark/>
          </w:tcPr>
          <w:p w14:paraId="5BDE14FB" w14:textId="77777777" w:rsidR="00341913" w:rsidRPr="00DD5A29" w:rsidRDefault="00341913" w:rsidP="007B6365">
            <w:pPr>
              <w:pStyle w:val="01Tableheaderrow"/>
              <w:rPr>
                <w:lang w:val="en-GB"/>
              </w:rPr>
            </w:pPr>
            <w:r w:rsidRPr="00C70F36">
              <w:rPr>
                <w:lang w:val="en-GB"/>
              </w:rPr>
              <w:t>Patient count</w:t>
            </w:r>
          </w:p>
        </w:tc>
        <w:tc>
          <w:tcPr>
            <w:tcW w:w="964" w:type="dxa"/>
            <w:shd w:val="clear" w:color="auto" w:fill="EEECE1" w:themeFill="background2"/>
            <w:vAlign w:val="bottom"/>
            <w:hideMark/>
          </w:tcPr>
          <w:p w14:paraId="71D7DA31" w14:textId="77777777" w:rsidR="00341913" w:rsidRPr="00DD5A29" w:rsidRDefault="00341913" w:rsidP="007B6365">
            <w:pPr>
              <w:pStyle w:val="01Tableheaderrow"/>
              <w:rPr>
                <w:lang w:val="en-GB"/>
              </w:rPr>
            </w:pPr>
            <w:r w:rsidRPr="00C70F36">
              <w:rPr>
                <w:lang w:val="en-GB"/>
              </w:rPr>
              <w:t xml:space="preserve">Services 5-year </w:t>
            </w:r>
            <w:r w:rsidR="007D6844">
              <w:rPr>
                <w:lang w:val="en-GB"/>
              </w:rPr>
              <w:t>annual average growth</w:t>
            </w:r>
          </w:p>
        </w:tc>
      </w:tr>
      <w:tr w:rsidR="001A04B4" w:rsidRPr="00DD5A29" w14:paraId="266D7B48" w14:textId="77777777" w:rsidTr="007B6365">
        <w:trPr>
          <w:trHeight w:val="300"/>
        </w:trPr>
        <w:tc>
          <w:tcPr>
            <w:tcW w:w="776" w:type="dxa"/>
            <w:noWrap/>
            <w:hideMark/>
          </w:tcPr>
          <w:p w14:paraId="572FE540" w14:textId="77777777" w:rsidR="001A04B4" w:rsidRDefault="001A04B4" w:rsidP="007B6365">
            <w:pPr>
              <w:pStyle w:val="02Tabletext"/>
              <w:rPr>
                <w:color w:val="000000"/>
                <w:lang w:val="en-GB"/>
              </w:rPr>
            </w:pPr>
            <w:r>
              <w:rPr>
                <w:color w:val="000000"/>
                <w:lang w:val="en-GB"/>
              </w:rPr>
              <w:t>71119</w:t>
            </w:r>
          </w:p>
        </w:tc>
        <w:tc>
          <w:tcPr>
            <w:tcW w:w="2763" w:type="dxa"/>
            <w:noWrap/>
            <w:hideMark/>
          </w:tcPr>
          <w:p w14:paraId="637AA6CF" w14:textId="77777777" w:rsidR="001A04B4" w:rsidRPr="001A04B4" w:rsidRDefault="001A04B4" w:rsidP="007B6365">
            <w:pPr>
              <w:pStyle w:val="02Tabletext"/>
              <w:rPr>
                <w:color w:val="000000"/>
                <w:lang w:val="en-GB"/>
              </w:rPr>
            </w:pPr>
            <w:r w:rsidRPr="001A04B4">
              <w:rPr>
                <w:color w:val="000000"/>
                <w:lang w:val="en-GB"/>
              </w:rPr>
              <w:t>Antibodies to tissue antigens not elsewhere specified in this Table - detection, including quantitation if required, of 1 antibody</w:t>
            </w:r>
          </w:p>
        </w:tc>
        <w:tc>
          <w:tcPr>
            <w:tcW w:w="1134" w:type="dxa"/>
            <w:noWrap/>
            <w:hideMark/>
          </w:tcPr>
          <w:p w14:paraId="735E4157" w14:textId="77777777" w:rsidR="001A04B4" w:rsidRPr="001A04B4" w:rsidRDefault="001A04B4" w:rsidP="007B6365">
            <w:pPr>
              <w:pStyle w:val="02Tabletext"/>
              <w:jc w:val="right"/>
              <w:rPr>
                <w:color w:val="000000"/>
                <w:lang w:val="en-GB"/>
              </w:rPr>
            </w:pPr>
            <w:r>
              <w:rPr>
                <w:color w:val="000000"/>
                <w:lang w:val="en-GB"/>
              </w:rPr>
              <w:t>$</w:t>
            </w:r>
            <w:r w:rsidRPr="001A04B4">
              <w:rPr>
                <w:color w:val="000000"/>
                <w:lang w:val="en-GB"/>
              </w:rPr>
              <w:t>17.35</w:t>
            </w:r>
          </w:p>
        </w:tc>
        <w:tc>
          <w:tcPr>
            <w:tcW w:w="1276" w:type="dxa"/>
            <w:noWrap/>
            <w:hideMark/>
          </w:tcPr>
          <w:p w14:paraId="01FDA743" w14:textId="77777777" w:rsidR="001A04B4" w:rsidRPr="001A04B4" w:rsidRDefault="001A04B4" w:rsidP="007B6365">
            <w:pPr>
              <w:pStyle w:val="02Tabletext"/>
              <w:jc w:val="right"/>
              <w:rPr>
                <w:color w:val="000000"/>
                <w:lang w:val="en-GB"/>
              </w:rPr>
            </w:pPr>
            <w:r w:rsidRPr="001A04B4">
              <w:rPr>
                <w:color w:val="000000"/>
                <w:lang w:val="en-GB"/>
              </w:rPr>
              <w:t>146,135</w:t>
            </w:r>
          </w:p>
        </w:tc>
        <w:tc>
          <w:tcPr>
            <w:tcW w:w="1276" w:type="dxa"/>
          </w:tcPr>
          <w:p w14:paraId="7B06642B" w14:textId="77777777" w:rsidR="001A04B4" w:rsidRPr="001A04B4" w:rsidRDefault="001A04B4" w:rsidP="007B6365">
            <w:pPr>
              <w:pStyle w:val="02Tabletext"/>
              <w:jc w:val="right"/>
              <w:rPr>
                <w:color w:val="000000"/>
                <w:lang w:val="en-GB"/>
              </w:rPr>
            </w:pPr>
            <w:r w:rsidRPr="001A04B4">
              <w:rPr>
                <w:color w:val="000000"/>
                <w:lang w:val="en-GB"/>
              </w:rPr>
              <w:t>$2,157,532</w:t>
            </w:r>
          </w:p>
        </w:tc>
        <w:tc>
          <w:tcPr>
            <w:tcW w:w="850" w:type="dxa"/>
            <w:noWrap/>
            <w:hideMark/>
          </w:tcPr>
          <w:p w14:paraId="3F3DB39E" w14:textId="77777777" w:rsidR="001A04B4" w:rsidRPr="001A04B4" w:rsidRDefault="001A04B4" w:rsidP="007B6365">
            <w:pPr>
              <w:pStyle w:val="02Tabletext"/>
              <w:jc w:val="right"/>
              <w:rPr>
                <w:color w:val="000000"/>
                <w:lang w:val="en-GB"/>
              </w:rPr>
            </w:pPr>
            <w:r w:rsidRPr="001A04B4">
              <w:rPr>
                <w:color w:val="000000"/>
                <w:lang w:val="en-GB"/>
              </w:rPr>
              <w:t>135,781</w:t>
            </w:r>
          </w:p>
        </w:tc>
        <w:tc>
          <w:tcPr>
            <w:tcW w:w="964" w:type="dxa"/>
            <w:noWrap/>
            <w:hideMark/>
          </w:tcPr>
          <w:p w14:paraId="3D2097D4" w14:textId="77777777" w:rsidR="001A04B4" w:rsidRPr="00DE6FFC" w:rsidRDefault="001A04B4" w:rsidP="007B6365">
            <w:pPr>
              <w:pStyle w:val="02Tabletext"/>
              <w:jc w:val="right"/>
              <w:rPr>
                <w:color w:val="000000"/>
                <w:lang w:val="en-GB"/>
              </w:rPr>
            </w:pPr>
            <w:r w:rsidRPr="001A04B4">
              <w:rPr>
                <w:color w:val="000000"/>
                <w:lang w:val="en-GB"/>
              </w:rPr>
              <w:t>6.3%</w:t>
            </w:r>
          </w:p>
        </w:tc>
      </w:tr>
      <w:tr w:rsidR="00341913" w:rsidRPr="00DD5A29" w14:paraId="28BD3D51" w14:textId="77777777" w:rsidTr="007B6365">
        <w:trPr>
          <w:trHeight w:val="300"/>
        </w:trPr>
        <w:tc>
          <w:tcPr>
            <w:tcW w:w="776" w:type="dxa"/>
            <w:noWrap/>
            <w:hideMark/>
          </w:tcPr>
          <w:p w14:paraId="511F35C6" w14:textId="77777777" w:rsidR="00341913" w:rsidRPr="00DD5A29" w:rsidRDefault="00DE6FFC" w:rsidP="007B6365">
            <w:pPr>
              <w:pStyle w:val="02Tabletext"/>
              <w:rPr>
                <w:color w:val="000000"/>
                <w:lang w:val="en-GB"/>
              </w:rPr>
            </w:pPr>
            <w:r>
              <w:rPr>
                <w:color w:val="000000"/>
                <w:lang w:val="en-GB"/>
              </w:rPr>
              <w:t>71121</w:t>
            </w:r>
          </w:p>
        </w:tc>
        <w:tc>
          <w:tcPr>
            <w:tcW w:w="2763" w:type="dxa"/>
            <w:noWrap/>
            <w:hideMark/>
          </w:tcPr>
          <w:p w14:paraId="355EC4BF" w14:textId="77777777" w:rsidR="00341913" w:rsidRPr="00DE6FFC" w:rsidRDefault="00DE6FFC" w:rsidP="007B6365">
            <w:pPr>
              <w:pStyle w:val="02Tabletext"/>
              <w:rPr>
                <w:color w:val="000000"/>
                <w:lang w:val="en-GB"/>
              </w:rPr>
            </w:pPr>
            <w:r w:rsidRPr="00DE6FFC">
              <w:rPr>
                <w:color w:val="000000"/>
                <w:lang w:val="en-GB"/>
              </w:rPr>
              <w:t>Detection of 2 antibodies specified in item 71119</w:t>
            </w:r>
          </w:p>
        </w:tc>
        <w:tc>
          <w:tcPr>
            <w:tcW w:w="1134" w:type="dxa"/>
            <w:noWrap/>
            <w:hideMark/>
          </w:tcPr>
          <w:p w14:paraId="0FAEA8BC" w14:textId="77777777" w:rsidR="00341913" w:rsidRPr="00DE6FFC" w:rsidRDefault="008E5F19" w:rsidP="007B6365">
            <w:pPr>
              <w:pStyle w:val="02Tabletext"/>
              <w:jc w:val="right"/>
              <w:rPr>
                <w:color w:val="000000"/>
                <w:lang w:val="en-GB"/>
              </w:rPr>
            </w:pPr>
            <w:r>
              <w:rPr>
                <w:color w:val="000000"/>
                <w:lang w:val="en-GB"/>
              </w:rPr>
              <w:t>$</w:t>
            </w:r>
            <w:r w:rsidR="00DE6FFC" w:rsidRPr="00DE6FFC">
              <w:rPr>
                <w:color w:val="000000"/>
                <w:lang w:val="en-GB"/>
              </w:rPr>
              <w:t>20.80</w:t>
            </w:r>
          </w:p>
        </w:tc>
        <w:tc>
          <w:tcPr>
            <w:tcW w:w="1276" w:type="dxa"/>
            <w:noWrap/>
            <w:hideMark/>
          </w:tcPr>
          <w:p w14:paraId="3A8BE381" w14:textId="77777777" w:rsidR="00341913" w:rsidRPr="00DE6FFC" w:rsidRDefault="00DE6FFC" w:rsidP="007B6365">
            <w:pPr>
              <w:pStyle w:val="02Tabletext"/>
              <w:jc w:val="right"/>
              <w:rPr>
                <w:color w:val="000000"/>
                <w:lang w:val="en-GB"/>
              </w:rPr>
            </w:pPr>
            <w:r w:rsidRPr="00DE6FFC">
              <w:rPr>
                <w:color w:val="000000"/>
                <w:lang w:val="en-GB"/>
              </w:rPr>
              <w:t>21,047</w:t>
            </w:r>
          </w:p>
        </w:tc>
        <w:tc>
          <w:tcPr>
            <w:tcW w:w="1276" w:type="dxa"/>
          </w:tcPr>
          <w:p w14:paraId="23A38FFA" w14:textId="77777777" w:rsidR="00341913" w:rsidRPr="00DE6FFC" w:rsidRDefault="00DE6FFC" w:rsidP="007B6365">
            <w:pPr>
              <w:pStyle w:val="02Tabletext"/>
              <w:jc w:val="right"/>
              <w:rPr>
                <w:color w:val="000000"/>
                <w:lang w:val="en-GB"/>
              </w:rPr>
            </w:pPr>
            <w:r w:rsidRPr="00DE6FFC">
              <w:rPr>
                <w:color w:val="000000"/>
                <w:lang w:val="en-GB"/>
              </w:rPr>
              <w:t>$370,277</w:t>
            </w:r>
          </w:p>
        </w:tc>
        <w:tc>
          <w:tcPr>
            <w:tcW w:w="850" w:type="dxa"/>
            <w:noWrap/>
            <w:hideMark/>
          </w:tcPr>
          <w:p w14:paraId="54D72191" w14:textId="77777777" w:rsidR="00341913" w:rsidRPr="00DE6FFC" w:rsidRDefault="00DE6FFC" w:rsidP="007B6365">
            <w:pPr>
              <w:pStyle w:val="02Tabletext"/>
              <w:jc w:val="right"/>
              <w:rPr>
                <w:color w:val="000000"/>
                <w:lang w:val="en-GB"/>
              </w:rPr>
            </w:pPr>
            <w:r w:rsidRPr="00DE6FFC">
              <w:rPr>
                <w:color w:val="000000"/>
                <w:lang w:val="en-GB"/>
              </w:rPr>
              <w:t>20,352</w:t>
            </w:r>
          </w:p>
        </w:tc>
        <w:tc>
          <w:tcPr>
            <w:tcW w:w="964" w:type="dxa"/>
            <w:noWrap/>
            <w:hideMark/>
          </w:tcPr>
          <w:p w14:paraId="5C2F96E9" w14:textId="77777777" w:rsidR="00341913" w:rsidRPr="00DE6FFC" w:rsidRDefault="00DE6FFC" w:rsidP="007B6365">
            <w:pPr>
              <w:pStyle w:val="02Tabletext"/>
              <w:jc w:val="right"/>
              <w:rPr>
                <w:color w:val="000000"/>
                <w:lang w:val="en-GB"/>
              </w:rPr>
            </w:pPr>
            <w:r w:rsidRPr="00DE6FFC">
              <w:rPr>
                <w:color w:val="000000"/>
                <w:lang w:val="en-GB"/>
              </w:rPr>
              <w:t>5.1%</w:t>
            </w:r>
          </w:p>
        </w:tc>
      </w:tr>
      <w:tr w:rsidR="00341913" w:rsidRPr="00DD5A29" w14:paraId="3B82AE40" w14:textId="77777777" w:rsidTr="007B6365">
        <w:trPr>
          <w:trHeight w:val="300"/>
        </w:trPr>
        <w:tc>
          <w:tcPr>
            <w:tcW w:w="776" w:type="dxa"/>
            <w:noWrap/>
          </w:tcPr>
          <w:p w14:paraId="7EE609A4" w14:textId="77777777" w:rsidR="00341913" w:rsidRPr="006D424F" w:rsidRDefault="00DE6FFC" w:rsidP="007B6365">
            <w:pPr>
              <w:pStyle w:val="02Tabletext"/>
              <w:rPr>
                <w:rFonts w:ascii="Calibri" w:hAnsi="Calibri"/>
                <w:color w:val="000000"/>
              </w:rPr>
            </w:pPr>
            <w:r>
              <w:rPr>
                <w:rFonts w:ascii="Calibri" w:hAnsi="Calibri"/>
                <w:color w:val="000000"/>
              </w:rPr>
              <w:t>71123</w:t>
            </w:r>
          </w:p>
        </w:tc>
        <w:tc>
          <w:tcPr>
            <w:tcW w:w="2763" w:type="dxa"/>
            <w:noWrap/>
          </w:tcPr>
          <w:p w14:paraId="5A0CC1C7" w14:textId="77777777" w:rsidR="00341913" w:rsidRPr="00DE6FFC" w:rsidRDefault="00DE6FFC" w:rsidP="007B6365">
            <w:pPr>
              <w:pStyle w:val="02Tabletext"/>
              <w:rPr>
                <w:color w:val="000000"/>
                <w:lang w:val="en-GB"/>
              </w:rPr>
            </w:pPr>
            <w:r w:rsidRPr="00DE6FFC">
              <w:rPr>
                <w:color w:val="000000"/>
                <w:lang w:val="en-GB"/>
              </w:rPr>
              <w:t>Detection of 3 antibodies specified in item 71119</w:t>
            </w:r>
          </w:p>
        </w:tc>
        <w:tc>
          <w:tcPr>
            <w:tcW w:w="1134" w:type="dxa"/>
            <w:noWrap/>
          </w:tcPr>
          <w:p w14:paraId="3672CA08" w14:textId="77777777" w:rsidR="00341913" w:rsidRPr="00DE6FFC" w:rsidRDefault="008E5F19" w:rsidP="007B6365">
            <w:pPr>
              <w:pStyle w:val="02Tabletext"/>
              <w:jc w:val="right"/>
              <w:rPr>
                <w:color w:val="000000"/>
                <w:lang w:val="en-GB"/>
              </w:rPr>
            </w:pPr>
            <w:r>
              <w:rPr>
                <w:color w:val="000000"/>
                <w:lang w:val="en-GB"/>
              </w:rPr>
              <w:t>$</w:t>
            </w:r>
            <w:r w:rsidR="00DE6FFC" w:rsidRPr="00DE6FFC">
              <w:rPr>
                <w:color w:val="000000"/>
                <w:lang w:val="en-GB"/>
              </w:rPr>
              <w:t>24.25</w:t>
            </w:r>
          </w:p>
        </w:tc>
        <w:tc>
          <w:tcPr>
            <w:tcW w:w="1276" w:type="dxa"/>
            <w:noWrap/>
          </w:tcPr>
          <w:p w14:paraId="6CBD6D78" w14:textId="77777777" w:rsidR="00341913" w:rsidRPr="00DE6FFC" w:rsidRDefault="00DE6FFC" w:rsidP="007B6365">
            <w:pPr>
              <w:pStyle w:val="02Tabletext"/>
              <w:jc w:val="right"/>
              <w:rPr>
                <w:color w:val="000000"/>
                <w:lang w:val="en-GB"/>
              </w:rPr>
            </w:pPr>
            <w:r w:rsidRPr="00DE6FFC">
              <w:rPr>
                <w:color w:val="000000"/>
                <w:lang w:val="en-GB"/>
              </w:rPr>
              <w:t>14,633</w:t>
            </w:r>
          </w:p>
        </w:tc>
        <w:tc>
          <w:tcPr>
            <w:tcW w:w="1276" w:type="dxa"/>
          </w:tcPr>
          <w:p w14:paraId="3A1D8942" w14:textId="77777777" w:rsidR="00341913" w:rsidRPr="00DE6FFC" w:rsidRDefault="00DE6FFC" w:rsidP="007B6365">
            <w:pPr>
              <w:pStyle w:val="02Tabletext"/>
              <w:jc w:val="right"/>
              <w:rPr>
                <w:color w:val="000000"/>
                <w:lang w:val="en-GB"/>
              </w:rPr>
            </w:pPr>
            <w:r w:rsidRPr="00DE6FFC">
              <w:rPr>
                <w:color w:val="000000"/>
                <w:lang w:val="en-GB"/>
              </w:rPr>
              <w:t>$300,222</w:t>
            </w:r>
          </w:p>
        </w:tc>
        <w:tc>
          <w:tcPr>
            <w:tcW w:w="850" w:type="dxa"/>
            <w:noWrap/>
          </w:tcPr>
          <w:p w14:paraId="1A277BC6" w14:textId="77777777" w:rsidR="00341913" w:rsidRPr="00DE6FFC" w:rsidRDefault="00DE6FFC" w:rsidP="007B6365">
            <w:pPr>
              <w:pStyle w:val="02Tabletext"/>
              <w:jc w:val="right"/>
              <w:rPr>
                <w:color w:val="000000"/>
                <w:lang w:val="en-GB"/>
              </w:rPr>
            </w:pPr>
            <w:r w:rsidRPr="00DE6FFC">
              <w:rPr>
                <w:color w:val="000000"/>
                <w:lang w:val="en-GB"/>
              </w:rPr>
              <w:t>14,312</w:t>
            </w:r>
          </w:p>
        </w:tc>
        <w:tc>
          <w:tcPr>
            <w:tcW w:w="964" w:type="dxa"/>
            <w:noWrap/>
          </w:tcPr>
          <w:p w14:paraId="77C429C0" w14:textId="77777777" w:rsidR="00341913" w:rsidRPr="00DE6FFC" w:rsidRDefault="00DE6FFC" w:rsidP="007B6365">
            <w:pPr>
              <w:pStyle w:val="02Tabletext"/>
              <w:jc w:val="right"/>
              <w:rPr>
                <w:color w:val="000000"/>
                <w:lang w:val="en-GB"/>
              </w:rPr>
            </w:pPr>
            <w:r w:rsidRPr="00DE6FFC">
              <w:rPr>
                <w:color w:val="000000"/>
                <w:lang w:val="en-GB"/>
              </w:rPr>
              <w:t>0.3%</w:t>
            </w:r>
          </w:p>
        </w:tc>
      </w:tr>
      <w:tr w:rsidR="00DE6FFC" w:rsidRPr="00DD5A29" w14:paraId="115153E8" w14:textId="77777777" w:rsidTr="007B6365">
        <w:trPr>
          <w:trHeight w:val="300"/>
        </w:trPr>
        <w:tc>
          <w:tcPr>
            <w:tcW w:w="776" w:type="dxa"/>
            <w:noWrap/>
          </w:tcPr>
          <w:p w14:paraId="1F639EB3" w14:textId="77777777" w:rsidR="00DE6FFC" w:rsidRDefault="00DE6FFC" w:rsidP="007B6365">
            <w:pPr>
              <w:pStyle w:val="02Tabletext"/>
              <w:rPr>
                <w:rFonts w:ascii="Calibri" w:hAnsi="Calibri"/>
                <w:color w:val="000000"/>
              </w:rPr>
            </w:pPr>
            <w:r>
              <w:rPr>
                <w:rFonts w:ascii="Calibri" w:hAnsi="Calibri"/>
                <w:color w:val="000000"/>
              </w:rPr>
              <w:t>71125</w:t>
            </w:r>
          </w:p>
        </w:tc>
        <w:tc>
          <w:tcPr>
            <w:tcW w:w="2763" w:type="dxa"/>
            <w:noWrap/>
          </w:tcPr>
          <w:p w14:paraId="4BCBFD83" w14:textId="77777777" w:rsidR="00DE6FFC" w:rsidRPr="00DE6FFC" w:rsidRDefault="00DE6FFC" w:rsidP="007B6365">
            <w:pPr>
              <w:pStyle w:val="02Tabletext"/>
              <w:rPr>
                <w:color w:val="000000"/>
                <w:lang w:val="en-GB"/>
              </w:rPr>
            </w:pPr>
            <w:r w:rsidRPr="00DE6FFC">
              <w:rPr>
                <w:color w:val="000000"/>
                <w:lang w:val="en-GB"/>
              </w:rPr>
              <w:t>Detection of 4 or more antibodies specified in item 71119</w:t>
            </w:r>
          </w:p>
        </w:tc>
        <w:tc>
          <w:tcPr>
            <w:tcW w:w="1134" w:type="dxa"/>
            <w:noWrap/>
          </w:tcPr>
          <w:p w14:paraId="6BC9652D" w14:textId="77777777" w:rsidR="00DE6FFC" w:rsidRPr="00DE6FFC" w:rsidRDefault="008E5F19" w:rsidP="007B6365">
            <w:pPr>
              <w:pStyle w:val="02Tabletext"/>
              <w:jc w:val="right"/>
              <w:rPr>
                <w:color w:val="000000"/>
                <w:lang w:val="en-GB"/>
              </w:rPr>
            </w:pPr>
            <w:r>
              <w:rPr>
                <w:color w:val="000000"/>
                <w:lang w:val="en-GB"/>
              </w:rPr>
              <w:t>$</w:t>
            </w:r>
            <w:r w:rsidR="00DE6FFC" w:rsidRPr="00DE6FFC">
              <w:rPr>
                <w:color w:val="000000"/>
                <w:lang w:val="en-GB"/>
              </w:rPr>
              <w:t>27.65</w:t>
            </w:r>
          </w:p>
        </w:tc>
        <w:tc>
          <w:tcPr>
            <w:tcW w:w="1276" w:type="dxa"/>
            <w:noWrap/>
          </w:tcPr>
          <w:p w14:paraId="283B6057" w14:textId="77777777" w:rsidR="00DE6FFC" w:rsidRPr="00DE6FFC" w:rsidRDefault="00DE6FFC" w:rsidP="007B6365">
            <w:pPr>
              <w:pStyle w:val="02Tabletext"/>
              <w:jc w:val="right"/>
              <w:rPr>
                <w:color w:val="000000"/>
                <w:lang w:val="en-GB"/>
              </w:rPr>
            </w:pPr>
            <w:r w:rsidRPr="00DE6FFC">
              <w:rPr>
                <w:color w:val="000000"/>
                <w:lang w:val="en-GB"/>
              </w:rPr>
              <w:t>7989</w:t>
            </w:r>
          </w:p>
        </w:tc>
        <w:tc>
          <w:tcPr>
            <w:tcW w:w="1276" w:type="dxa"/>
          </w:tcPr>
          <w:p w14:paraId="08EBC027" w14:textId="77777777" w:rsidR="00DE6FFC" w:rsidRPr="00DE6FFC" w:rsidRDefault="00DE6FFC" w:rsidP="007B6365">
            <w:pPr>
              <w:pStyle w:val="02Tabletext"/>
              <w:jc w:val="right"/>
              <w:rPr>
                <w:color w:val="000000"/>
                <w:lang w:val="en-GB"/>
              </w:rPr>
            </w:pPr>
            <w:r w:rsidRPr="00DE6FFC">
              <w:rPr>
                <w:color w:val="000000"/>
                <w:lang w:val="en-GB"/>
              </w:rPr>
              <w:t>$187,265</w:t>
            </w:r>
          </w:p>
        </w:tc>
        <w:tc>
          <w:tcPr>
            <w:tcW w:w="850" w:type="dxa"/>
            <w:noWrap/>
          </w:tcPr>
          <w:p w14:paraId="573743C6" w14:textId="77777777" w:rsidR="00DE6FFC" w:rsidRPr="00DE6FFC" w:rsidRDefault="00DE6FFC" w:rsidP="007B6365">
            <w:pPr>
              <w:pStyle w:val="02Tabletext"/>
              <w:jc w:val="right"/>
              <w:rPr>
                <w:color w:val="000000"/>
                <w:lang w:val="en-GB"/>
              </w:rPr>
            </w:pPr>
            <w:r w:rsidRPr="00DE6FFC">
              <w:rPr>
                <w:color w:val="000000"/>
                <w:lang w:val="en-GB"/>
              </w:rPr>
              <w:t>7379</w:t>
            </w:r>
          </w:p>
        </w:tc>
        <w:tc>
          <w:tcPr>
            <w:tcW w:w="964" w:type="dxa"/>
            <w:noWrap/>
          </w:tcPr>
          <w:p w14:paraId="7E2FF830" w14:textId="77777777" w:rsidR="00DE6FFC" w:rsidRPr="00DE6FFC" w:rsidRDefault="00DE6FFC" w:rsidP="007B6365">
            <w:pPr>
              <w:pStyle w:val="02Tabletext"/>
              <w:jc w:val="right"/>
              <w:rPr>
                <w:color w:val="000000"/>
                <w:lang w:val="en-GB"/>
              </w:rPr>
            </w:pPr>
            <w:r w:rsidRPr="00DE6FFC">
              <w:rPr>
                <w:color w:val="000000"/>
                <w:lang w:val="en-GB"/>
              </w:rPr>
              <w:t>13.0%</w:t>
            </w:r>
          </w:p>
        </w:tc>
      </w:tr>
    </w:tbl>
    <w:p w14:paraId="780CB887" w14:textId="77777777" w:rsidR="00DE6FFC" w:rsidRDefault="00DE6FFC" w:rsidP="0023110D">
      <w:pPr>
        <w:pStyle w:val="Heading3Numbered"/>
      </w:pPr>
      <w:r>
        <w:t xml:space="preserve">Recommendation </w:t>
      </w:r>
      <w:r w:rsidR="002C74E1">
        <w:t>8</w:t>
      </w:r>
    </w:p>
    <w:p w14:paraId="1B101DAA" w14:textId="77777777" w:rsidR="000A385F" w:rsidRDefault="00DE6FFC" w:rsidP="00DE6FFC">
      <w:pPr>
        <w:rPr>
          <w:lang w:val="en-US" w:eastAsia="en-US"/>
        </w:rPr>
      </w:pPr>
      <w:r>
        <w:rPr>
          <w:lang w:val="en-US" w:eastAsia="en-US"/>
        </w:rPr>
        <w:t xml:space="preserve">The Committee proposes </w:t>
      </w:r>
      <w:r w:rsidR="000A385F">
        <w:rPr>
          <w:lang w:val="en-US" w:eastAsia="en-US"/>
        </w:rPr>
        <w:t>the following:</w:t>
      </w:r>
    </w:p>
    <w:p w14:paraId="544EB7BB" w14:textId="77777777" w:rsidR="000A385F" w:rsidRDefault="005472DF">
      <w:pPr>
        <w:pStyle w:val="NormalBulleted"/>
        <w:rPr>
          <w:lang w:val="en-US" w:eastAsia="en-US"/>
        </w:rPr>
      </w:pPr>
      <w:r>
        <w:rPr>
          <w:lang w:val="en-US" w:eastAsia="en-US"/>
        </w:rPr>
        <w:lastRenderedPageBreak/>
        <w:t>R</w:t>
      </w:r>
      <w:r w:rsidR="000A385F" w:rsidRPr="00FC6F96">
        <w:rPr>
          <w:lang w:val="en-US" w:eastAsia="en-US"/>
        </w:rPr>
        <w:t>emove the wording ‘or more’ from the item descriptor</w:t>
      </w:r>
      <w:r>
        <w:rPr>
          <w:lang w:val="en-US" w:eastAsia="en-US"/>
        </w:rPr>
        <w:t xml:space="preserve"> for 71125.</w:t>
      </w:r>
    </w:p>
    <w:p w14:paraId="6AEB6AE1" w14:textId="77777777" w:rsidR="000A385F" w:rsidRDefault="00D5449D">
      <w:pPr>
        <w:pStyle w:val="NormalBulleted"/>
        <w:rPr>
          <w:lang w:val="en-US" w:eastAsia="en-US"/>
        </w:rPr>
      </w:pPr>
      <w:r>
        <w:rPr>
          <w:lang w:val="en-US" w:eastAsia="en-US"/>
        </w:rPr>
        <w:t>A</w:t>
      </w:r>
      <w:r w:rsidR="000A385F">
        <w:rPr>
          <w:lang w:val="en-US" w:eastAsia="en-US"/>
        </w:rPr>
        <w:t>dd a new</w:t>
      </w:r>
      <w:r w:rsidR="007370AA">
        <w:rPr>
          <w:lang w:val="en-US" w:eastAsia="en-US"/>
        </w:rPr>
        <w:t xml:space="preserve"> item for five or more tests for antibodies</w:t>
      </w:r>
      <w:r w:rsidR="000E3D71">
        <w:rPr>
          <w:lang w:val="en-US" w:eastAsia="en-US"/>
        </w:rPr>
        <w:t>.</w:t>
      </w:r>
    </w:p>
    <w:p w14:paraId="647033CB" w14:textId="77777777" w:rsidR="000A385F" w:rsidRDefault="000A385F" w:rsidP="000A385F">
      <w:pPr>
        <w:rPr>
          <w:lang w:val="en-US"/>
        </w:rPr>
      </w:pPr>
      <w:r>
        <w:rPr>
          <w:lang w:val="en-US"/>
        </w:rPr>
        <w:t>The Committee’s proposed changes are summarised in the table below.</w:t>
      </w:r>
    </w:p>
    <w:p w14:paraId="3F7FEEE7" w14:textId="77777777" w:rsidR="00191C0B" w:rsidRDefault="00445147">
      <w:pPr>
        <w:pStyle w:val="Caption"/>
        <w:rPr>
          <w:lang w:val="en-US"/>
        </w:rPr>
      </w:pPr>
      <w:bookmarkStart w:id="60" w:name="_Toc499289254"/>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17</w:t>
      </w:r>
      <w:r w:rsidR="0004721F">
        <w:rPr>
          <w:noProof/>
        </w:rPr>
        <w:fldChar w:fldCharType="end"/>
      </w:r>
      <w:r>
        <w:t xml:space="preserve">. </w:t>
      </w:r>
      <w:r w:rsidR="009F489F">
        <w:rPr>
          <w:lang w:val="en-US"/>
        </w:rPr>
        <w:t>Current and proposed item descriptors for item</w:t>
      </w:r>
      <w:r w:rsidR="00191C0B">
        <w:rPr>
          <w:lang w:val="en-US"/>
        </w:rPr>
        <w:t>s 71119, 71121, 71123, 71125</w:t>
      </w:r>
      <w:bookmarkEnd w:id="60"/>
    </w:p>
    <w:tbl>
      <w:tblPr>
        <w:tblStyle w:val="TableGrid"/>
        <w:tblW w:w="0" w:type="auto"/>
        <w:tblLook w:val="04A0" w:firstRow="1" w:lastRow="0" w:firstColumn="1" w:lastColumn="0" w:noHBand="0" w:noVBand="1"/>
        <w:tblCaption w:val="Table 17: Current and proposed item descriptor for items 71119, 71121, 71123, 71125"/>
        <w:tblDescription w:val="Table 17 lists the current and proposed item descriptors for items 71119, 71121, 71123 and 71125 and proposed new descriptors for new item 71126. "/>
      </w:tblPr>
      <w:tblGrid>
        <w:gridCol w:w="1696"/>
        <w:gridCol w:w="3828"/>
        <w:gridCol w:w="3492"/>
      </w:tblGrid>
      <w:tr w:rsidR="00725E3F" w14:paraId="2C7BFE29" w14:textId="77777777" w:rsidTr="0023110D">
        <w:trPr>
          <w:tblHeader/>
        </w:trPr>
        <w:tc>
          <w:tcPr>
            <w:tcW w:w="1696" w:type="dxa"/>
            <w:shd w:val="clear" w:color="auto" w:fill="EEECE1" w:themeFill="background2"/>
          </w:tcPr>
          <w:p w14:paraId="29FCECEF" w14:textId="77777777" w:rsidR="00725E3F" w:rsidRPr="000A385F" w:rsidRDefault="00725E3F" w:rsidP="007B6365">
            <w:pPr>
              <w:pStyle w:val="01Tableheaderrow"/>
              <w:rPr>
                <w:lang w:val="en-US"/>
              </w:rPr>
            </w:pPr>
            <w:r w:rsidRPr="000A385F">
              <w:rPr>
                <w:lang w:val="en-US"/>
              </w:rPr>
              <w:t>Item</w:t>
            </w:r>
          </w:p>
        </w:tc>
        <w:tc>
          <w:tcPr>
            <w:tcW w:w="3828" w:type="dxa"/>
            <w:shd w:val="clear" w:color="auto" w:fill="EEECE1" w:themeFill="background2"/>
          </w:tcPr>
          <w:p w14:paraId="671A5E92" w14:textId="77777777" w:rsidR="00725E3F" w:rsidRPr="000A385F" w:rsidRDefault="00725E3F" w:rsidP="007B6365">
            <w:pPr>
              <w:pStyle w:val="01Tableheaderrow"/>
              <w:rPr>
                <w:lang w:val="en-US"/>
              </w:rPr>
            </w:pPr>
            <w:r w:rsidRPr="000A385F">
              <w:rPr>
                <w:lang w:val="en-US"/>
              </w:rPr>
              <w:t>Current item descriptor</w:t>
            </w:r>
          </w:p>
        </w:tc>
        <w:tc>
          <w:tcPr>
            <w:tcW w:w="3492" w:type="dxa"/>
            <w:shd w:val="clear" w:color="auto" w:fill="EEECE1" w:themeFill="background2"/>
          </w:tcPr>
          <w:p w14:paraId="79AAE765" w14:textId="77777777" w:rsidR="00725E3F" w:rsidRPr="000A385F" w:rsidRDefault="00725E3F" w:rsidP="007B6365">
            <w:pPr>
              <w:pStyle w:val="01Tableheaderrow"/>
              <w:rPr>
                <w:lang w:val="en-US"/>
              </w:rPr>
            </w:pPr>
            <w:r w:rsidRPr="000A385F">
              <w:rPr>
                <w:lang w:val="en-US"/>
              </w:rPr>
              <w:t>Proposed item descriptor</w:t>
            </w:r>
          </w:p>
        </w:tc>
      </w:tr>
      <w:tr w:rsidR="00725E3F" w14:paraId="15AE6E5F" w14:textId="77777777" w:rsidTr="004D7AF7">
        <w:tc>
          <w:tcPr>
            <w:tcW w:w="1696" w:type="dxa"/>
          </w:tcPr>
          <w:p w14:paraId="2BD23719" w14:textId="77777777" w:rsidR="00725E3F" w:rsidRDefault="00725E3F" w:rsidP="007B6365">
            <w:pPr>
              <w:pStyle w:val="02Tabletext"/>
              <w:rPr>
                <w:lang w:val="en-US"/>
              </w:rPr>
            </w:pPr>
            <w:r w:rsidRPr="005C27BA">
              <w:t>71119</w:t>
            </w:r>
          </w:p>
        </w:tc>
        <w:tc>
          <w:tcPr>
            <w:tcW w:w="3828" w:type="dxa"/>
          </w:tcPr>
          <w:p w14:paraId="3A988982" w14:textId="77777777" w:rsidR="00725E3F" w:rsidRDefault="00725E3F" w:rsidP="007B6365">
            <w:pPr>
              <w:pStyle w:val="02Tabletext"/>
              <w:rPr>
                <w:lang w:val="en-US"/>
              </w:rPr>
            </w:pPr>
            <w:r w:rsidRPr="005C27BA">
              <w:t>Antibodies to tissue antigens not elsewhere specified in this Table - detection, including quantitation if required, of 1 antibody</w:t>
            </w:r>
          </w:p>
        </w:tc>
        <w:tc>
          <w:tcPr>
            <w:tcW w:w="3492" w:type="dxa"/>
          </w:tcPr>
          <w:p w14:paraId="08E00863" w14:textId="77777777" w:rsidR="00725E3F" w:rsidRDefault="002B1A60" w:rsidP="007B6365">
            <w:pPr>
              <w:pStyle w:val="02Tabletext"/>
              <w:rPr>
                <w:lang w:val="en-US"/>
              </w:rPr>
            </w:pPr>
            <w:r>
              <w:rPr>
                <w:lang w:val="en-US"/>
              </w:rPr>
              <w:t>Remain unchanged</w:t>
            </w:r>
          </w:p>
        </w:tc>
      </w:tr>
      <w:tr w:rsidR="00725E3F" w14:paraId="7240E4D2" w14:textId="77777777" w:rsidTr="004D7AF7">
        <w:tc>
          <w:tcPr>
            <w:tcW w:w="1696" w:type="dxa"/>
          </w:tcPr>
          <w:p w14:paraId="5FCCF306" w14:textId="77777777" w:rsidR="00725E3F" w:rsidRDefault="00725E3F" w:rsidP="007B6365">
            <w:pPr>
              <w:pStyle w:val="02Tabletext"/>
              <w:rPr>
                <w:lang w:val="en-US"/>
              </w:rPr>
            </w:pPr>
            <w:r w:rsidRPr="005C27BA">
              <w:t>71121</w:t>
            </w:r>
          </w:p>
        </w:tc>
        <w:tc>
          <w:tcPr>
            <w:tcW w:w="3828" w:type="dxa"/>
          </w:tcPr>
          <w:p w14:paraId="54941614" w14:textId="77777777" w:rsidR="00725E3F" w:rsidRDefault="00725E3F" w:rsidP="007B6365">
            <w:pPr>
              <w:pStyle w:val="02Tabletext"/>
              <w:rPr>
                <w:lang w:val="en-US"/>
              </w:rPr>
            </w:pPr>
            <w:r w:rsidRPr="005C27BA">
              <w:t>Detection of 2 antibodies specified in item 71119</w:t>
            </w:r>
          </w:p>
        </w:tc>
        <w:tc>
          <w:tcPr>
            <w:tcW w:w="3492" w:type="dxa"/>
          </w:tcPr>
          <w:p w14:paraId="501FE27E" w14:textId="77777777" w:rsidR="00725E3F" w:rsidRDefault="002B1A60" w:rsidP="007B6365">
            <w:pPr>
              <w:pStyle w:val="02Tabletext"/>
              <w:rPr>
                <w:lang w:val="en-US"/>
              </w:rPr>
            </w:pPr>
            <w:r>
              <w:rPr>
                <w:lang w:val="en-US"/>
              </w:rPr>
              <w:t>Remain unchanged</w:t>
            </w:r>
          </w:p>
        </w:tc>
      </w:tr>
      <w:tr w:rsidR="00725E3F" w14:paraId="672610AB" w14:textId="77777777" w:rsidTr="004D7AF7">
        <w:tc>
          <w:tcPr>
            <w:tcW w:w="1696" w:type="dxa"/>
          </w:tcPr>
          <w:p w14:paraId="3E973F74" w14:textId="77777777" w:rsidR="00725E3F" w:rsidRDefault="00725E3F" w:rsidP="007B6365">
            <w:pPr>
              <w:pStyle w:val="02Tabletext"/>
              <w:rPr>
                <w:lang w:val="en-US"/>
              </w:rPr>
            </w:pPr>
            <w:r w:rsidRPr="005C27BA">
              <w:t>71123</w:t>
            </w:r>
          </w:p>
        </w:tc>
        <w:tc>
          <w:tcPr>
            <w:tcW w:w="3828" w:type="dxa"/>
          </w:tcPr>
          <w:p w14:paraId="4B6A2606" w14:textId="77777777" w:rsidR="00725E3F" w:rsidRDefault="00725E3F" w:rsidP="007B6365">
            <w:pPr>
              <w:pStyle w:val="02Tabletext"/>
              <w:rPr>
                <w:lang w:val="en-US"/>
              </w:rPr>
            </w:pPr>
            <w:r w:rsidRPr="005C27BA">
              <w:t>Detection of 3 antibodies specified in item 71119</w:t>
            </w:r>
          </w:p>
        </w:tc>
        <w:tc>
          <w:tcPr>
            <w:tcW w:w="3492" w:type="dxa"/>
          </w:tcPr>
          <w:p w14:paraId="424188B3" w14:textId="77777777" w:rsidR="00725E3F" w:rsidRDefault="002B1A60" w:rsidP="007B6365">
            <w:pPr>
              <w:pStyle w:val="02Tabletext"/>
              <w:rPr>
                <w:lang w:val="en-US"/>
              </w:rPr>
            </w:pPr>
            <w:r>
              <w:rPr>
                <w:lang w:val="en-US"/>
              </w:rPr>
              <w:t>Remain unchanged</w:t>
            </w:r>
          </w:p>
        </w:tc>
      </w:tr>
      <w:tr w:rsidR="00725E3F" w14:paraId="10618D48" w14:textId="77777777" w:rsidTr="004D7AF7">
        <w:tc>
          <w:tcPr>
            <w:tcW w:w="1696" w:type="dxa"/>
          </w:tcPr>
          <w:p w14:paraId="3A5A6190" w14:textId="77777777" w:rsidR="00725E3F" w:rsidRDefault="00725E3F" w:rsidP="007B6365">
            <w:pPr>
              <w:pStyle w:val="02Tabletext"/>
              <w:rPr>
                <w:lang w:val="en-US"/>
              </w:rPr>
            </w:pPr>
            <w:r w:rsidRPr="005C27BA">
              <w:t>71125</w:t>
            </w:r>
          </w:p>
        </w:tc>
        <w:tc>
          <w:tcPr>
            <w:tcW w:w="3828" w:type="dxa"/>
          </w:tcPr>
          <w:p w14:paraId="385DAB4D" w14:textId="77777777" w:rsidR="00725E3F" w:rsidRDefault="00725E3F" w:rsidP="007B6365">
            <w:pPr>
              <w:pStyle w:val="02Tabletext"/>
              <w:rPr>
                <w:lang w:val="en-US"/>
              </w:rPr>
            </w:pPr>
            <w:r w:rsidRPr="005C27BA">
              <w:t>Detection of 4 or more antibodies specified in item 71119</w:t>
            </w:r>
          </w:p>
        </w:tc>
        <w:tc>
          <w:tcPr>
            <w:tcW w:w="3492" w:type="dxa"/>
          </w:tcPr>
          <w:p w14:paraId="7C818894" w14:textId="77777777" w:rsidR="00725E3F" w:rsidRPr="000A385F" w:rsidRDefault="000A385F" w:rsidP="007B6365">
            <w:pPr>
              <w:pStyle w:val="02Tabletext"/>
              <w:rPr>
                <w:lang w:val="en-US"/>
              </w:rPr>
            </w:pPr>
            <w:r>
              <w:rPr>
                <w:lang w:val="en-US"/>
              </w:rPr>
              <w:t>Detection of 4 antibodies specified</w:t>
            </w:r>
            <w:r w:rsidR="00E65D01">
              <w:rPr>
                <w:lang w:val="en-US"/>
              </w:rPr>
              <w:t xml:space="preserve"> in</w:t>
            </w:r>
            <w:r>
              <w:rPr>
                <w:lang w:val="en-US"/>
              </w:rPr>
              <w:t xml:space="preserve"> item 71119</w:t>
            </w:r>
          </w:p>
        </w:tc>
      </w:tr>
      <w:tr w:rsidR="000A385F" w14:paraId="40C13F92" w14:textId="77777777" w:rsidTr="004D7AF7">
        <w:tc>
          <w:tcPr>
            <w:tcW w:w="1696" w:type="dxa"/>
          </w:tcPr>
          <w:p w14:paraId="0975ABD9" w14:textId="77777777" w:rsidR="000A385F" w:rsidRPr="005C27BA" w:rsidRDefault="000A385F" w:rsidP="007B6365">
            <w:pPr>
              <w:pStyle w:val="02Tabletext"/>
            </w:pPr>
            <w:r>
              <w:t>71126 (new item)</w:t>
            </w:r>
          </w:p>
        </w:tc>
        <w:tc>
          <w:tcPr>
            <w:tcW w:w="3828" w:type="dxa"/>
          </w:tcPr>
          <w:p w14:paraId="024E4927" w14:textId="77777777" w:rsidR="000A385F" w:rsidRPr="005C27BA" w:rsidRDefault="000A385F" w:rsidP="007B6365">
            <w:pPr>
              <w:pStyle w:val="02Tabletext"/>
            </w:pPr>
          </w:p>
        </w:tc>
        <w:tc>
          <w:tcPr>
            <w:tcW w:w="3492" w:type="dxa"/>
          </w:tcPr>
          <w:p w14:paraId="1058FBD1" w14:textId="77777777" w:rsidR="000A385F" w:rsidRPr="000A385F" w:rsidRDefault="000A385F" w:rsidP="007B6365">
            <w:pPr>
              <w:pStyle w:val="02Tabletext"/>
              <w:rPr>
                <w:lang w:val="en-US"/>
              </w:rPr>
            </w:pPr>
            <w:r>
              <w:rPr>
                <w:lang w:val="en-US"/>
              </w:rPr>
              <w:t>Detection of</w:t>
            </w:r>
            <w:r w:rsidR="007370AA">
              <w:rPr>
                <w:lang w:val="en-US"/>
              </w:rPr>
              <w:t xml:space="preserve"> 5 or more antibodies</w:t>
            </w:r>
            <w:r w:rsidR="00E65D01">
              <w:rPr>
                <w:lang w:val="en-US"/>
              </w:rPr>
              <w:t xml:space="preserve"> specified in item 71119</w:t>
            </w:r>
            <w:r w:rsidRPr="000A385F">
              <w:rPr>
                <w:lang w:val="en-US"/>
              </w:rPr>
              <w:t xml:space="preserve">. </w:t>
            </w:r>
          </w:p>
        </w:tc>
      </w:tr>
    </w:tbl>
    <w:p w14:paraId="50B088D3" w14:textId="77777777" w:rsidR="00DE6FFC" w:rsidRDefault="00DE6FFC" w:rsidP="0023110D">
      <w:pPr>
        <w:pStyle w:val="Heading3Numbered"/>
      </w:pPr>
      <w:r>
        <w:t xml:space="preserve">Rationale </w:t>
      </w:r>
      <w:r w:rsidR="00546160">
        <w:t>8</w:t>
      </w:r>
    </w:p>
    <w:p w14:paraId="1F7DD6C1" w14:textId="77777777" w:rsidR="00E53C6B" w:rsidRDefault="00A531DC">
      <w:pPr>
        <w:pStyle w:val="NormalBulleted"/>
        <w:rPr>
          <w:lang w:val="en-US" w:eastAsia="en-US"/>
        </w:rPr>
      </w:pPr>
      <w:r>
        <w:rPr>
          <w:lang w:val="en-US" w:eastAsia="en-US"/>
        </w:rPr>
        <w:t xml:space="preserve">Items 71119, 71121, 71123 and 71125 are tests used to detect antibodies for </w:t>
      </w:r>
      <w:r w:rsidR="00F44587">
        <w:rPr>
          <w:lang w:val="en-US" w:eastAsia="en-US"/>
        </w:rPr>
        <w:t xml:space="preserve">autoimmune </w:t>
      </w:r>
      <w:r>
        <w:rPr>
          <w:lang w:val="en-US" w:eastAsia="en-US"/>
        </w:rPr>
        <w:t>disease</w:t>
      </w:r>
      <w:r w:rsidR="00F44587">
        <w:rPr>
          <w:lang w:val="en-US" w:eastAsia="en-US"/>
        </w:rPr>
        <w:t>s that are</w:t>
      </w:r>
      <w:r w:rsidR="000E3D71">
        <w:rPr>
          <w:lang w:val="en-US" w:eastAsia="en-US"/>
        </w:rPr>
        <w:t xml:space="preserve"> not </w:t>
      </w:r>
      <w:r w:rsidR="00F44587">
        <w:rPr>
          <w:lang w:val="en-US" w:eastAsia="en-US"/>
        </w:rPr>
        <w:t xml:space="preserve">already accounted for by an </w:t>
      </w:r>
      <w:r w:rsidR="00114142">
        <w:rPr>
          <w:lang w:val="en-US" w:eastAsia="en-US"/>
        </w:rPr>
        <w:t>individual</w:t>
      </w:r>
      <w:r w:rsidR="00B5170A">
        <w:rPr>
          <w:lang w:val="en-US" w:eastAsia="en-US"/>
        </w:rPr>
        <w:t xml:space="preserve"> </w:t>
      </w:r>
      <w:r w:rsidR="00F44587">
        <w:rPr>
          <w:lang w:val="en-US" w:eastAsia="en-US"/>
        </w:rPr>
        <w:t xml:space="preserve">item number within the </w:t>
      </w:r>
      <w:r w:rsidR="00546160">
        <w:rPr>
          <w:lang w:val="en-US" w:eastAsia="en-US"/>
        </w:rPr>
        <w:t>MBS</w:t>
      </w:r>
      <w:r w:rsidR="00F44587">
        <w:rPr>
          <w:lang w:val="en-US" w:eastAsia="en-US"/>
        </w:rPr>
        <w:t xml:space="preserve">; these diseases include </w:t>
      </w:r>
      <w:r w:rsidR="00B5170A">
        <w:rPr>
          <w:lang w:val="en-US" w:eastAsia="en-US"/>
        </w:rPr>
        <w:t>scleroderma</w:t>
      </w:r>
      <w:r w:rsidR="00F44587">
        <w:rPr>
          <w:lang w:val="en-US" w:eastAsia="en-US"/>
        </w:rPr>
        <w:t xml:space="preserve"> and</w:t>
      </w:r>
      <w:r w:rsidR="00B5170A">
        <w:rPr>
          <w:lang w:val="en-US" w:eastAsia="en-US"/>
        </w:rPr>
        <w:t xml:space="preserve"> myositis</w:t>
      </w:r>
      <w:r w:rsidR="00F44587">
        <w:rPr>
          <w:lang w:val="en-US" w:eastAsia="en-US"/>
        </w:rPr>
        <w:t xml:space="preserve">. </w:t>
      </w:r>
      <w:r w:rsidR="007370AA">
        <w:rPr>
          <w:lang w:val="en-US" w:eastAsia="en-US"/>
        </w:rPr>
        <w:t>Currently, there</w:t>
      </w:r>
      <w:r w:rsidR="00725E3F" w:rsidRPr="00031F66">
        <w:rPr>
          <w:lang w:val="en-US" w:eastAsia="en-US"/>
        </w:rPr>
        <w:t xml:space="preserve"> </w:t>
      </w:r>
      <w:r w:rsidR="000E3D71">
        <w:rPr>
          <w:lang w:val="en-US" w:eastAsia="en-US"/>
        </w:rPr>
        <w:t xml:space="preserve">is no </w:t>
      </w:r>
      <w:r w:rsidR="00725E3F" w:rsidRPr="00031F66">
        <w:rPr>
          <w:lang w:val="en-US" w:eastAsia="en-US"/>
        </w:rPr>
        <w:t xml:space="preserve">item number to capture the clinical population that requires a test for </w:t>
      </w:r>
      <w:r w:rsidR="000E3D71">
        <w:rPr>
          <w:lang w:val="en-US" w:eastAsia="en-US"/>
        </w:rPr>
        <w:t>five</w:t>
      </w:r>
      <w:r w:rsidR="000E3D71" w:rsidRPr="00031F66">
        <w:rPr>
          <w:lang w:val="en-US" w:eastAsia="en-US"/>
        </w:rPr>
        <w:t xml:space="preserve"> </w:t>
      </w:r>
      <w:r w:rsidR="00725E3F" w:rsidRPr="00031F66">
        <w:rPr>
          <w:lang w:val="en-US" w:eastAsia="en-US"/>
        </w:rPr>
        <w:t>or more antibodies to tissue antigens. There is a small</w:t>
      </w:r>
      <w:r w:rsidR="00725E3F">
        <w:rPr>
          <w:lang w:val="en-US" w:eastAsia="en-US"/>
        </w:rPr>
        <w:t xml:space="preserve"> </w:t>
      </w:r>
      <w:r w:rsidR="00114142">
        <w:rPr>
          <w:lang w:val="en-US" w:eastAsia="en-US"/>
        </w:rPr>
        <w:t xml:space="preserve">but </w:t>
      </w:r>
      <w:r w:rsidR="00B5170A">
        <w:rPr>
          <w:lang w:val="en-US" w:eastAsia="en-US"/>
        </w:rPr>
        <w:t>significant</w:t>
      </w:r>
      <w:r w:rsidR="00114142">
        <w:rPr>
          <w:lang w:val="en-US" w:eastAsia="en-US"/>
        </w:rPr>
        <w:t xml:space="preserve"> </w:t>
      </w:r>
      <w:r w:rsidR="00725E3F" w:rsidRPr="00031F66">
        <w:rPr>
          <w:lang w:val="en-US" w:eastAsia="en-US"/>
        </w:rPr>
        <w:t xml:space="preserve">clinical population that will require </w:t>
      </w:r>
      <w:r w:rsidR="000E3D71">
        <w:rPr>
          <w:lang w:val="en-US" w:eastAsia="en-US"/>
        </w:rPr>
        <w:t xml:space="preserve">four </w:t>
      </w:r>
      <w:r w:rsidR="00725E3F" w:rsidRPr="00031F66">
        <w:rPr>
          <w:lang w:val="en-US" w:eastAsia="en-US"/>
        </w:rPr>
        <w:t>or more antibodies</w:t>
      </w:r>
      <w:r w:rsidR="00B5170A" w:rsidRPr="00031F66" w:rsidDel="00B5170A">
        <w:rPr>
          <w:lang w:val="en-US" w:eastAsia="en-US"/>
        </w:rPr>
        <w:t xml:space="preserve"> </w:t>
      </w:r>
      <w:r w:rsidR="00114142">
        <w:rPr>
          <w:lang w:val="en-US" w:eastAsia="en-US"/>
        </w:rPr>
        <w:t>(see benefits paid</w:t>
      </w:r>
      <w:r w:rsidR="00B5170A">
        <w:rPr>
          <w:lang w:val="en-US" w:eastAsia="en-US"/>
        </w:rPr>
        <w:t>)</w:t>
      </w:r>
      <w:r w:rsidR="00B5170A" w:rsidRPr="00B5170A">
        <w:rPr>
          <w:lang w:val="en-US" w:eastAsia="en-US"/>
        </w:rPr>
        <w:t xml:space="preserve">. </w:t>
      </w:r>
    </w:p>
    <w:p w14:paraId="39A46442" w14:textId="77777777" w:rsidR="00E53C6B" w:rsidRDefault="007370AA">
      <w:pPr>
        <w:pStyle w:val="NormalBulleted"/>
        <w:rPr>
          <w:lang w:val="en-US" w:eastAsia="en-US"/>
        </w:rPr>
      </w:pPr>
      <w:r>
        <w:rPr>
          <w:lang w:val="en-US" w:eastAsia="en-US"/>
        </w:rPr>
        <w:t xml:space="preserve">The Committee </w:t>
      </w:r>
      <w:r w:rsidR="008C26B3">
        <w:rPr>
          <w:lang w:val="en-US" w:eastAsia="en-US"/>
        </w:rPr>
        <w:t xml:space="preserve">recognises </w:t>
      </w:r>
      <w:r>
        <w:rPr>
          <w:lang w:val="en-US" w:eastAsia="en-US"/>
        </w:rPr>
        <w:t>that c</w:t>
      </w:r>
      <w:r w:rsidR="00725E3F" w:rsidRPr="00031F66">
        <w:rPr>
          <w:lang w:val="en-US" w:eastAsia="en-US"/>
        </w:rPr>
        <w:t xml:space="preserve">reating a new item will allow for better data collection on this population to find out what proportion of the population requires </w:t>
      </w:r>
      <w:r w:rsidR="000E3D71">
        <w:rPr>
          <w:lang w:val="en-US" w:eastAsia="en-US"/>
        </w:rPr>
        <w:t>five</w:t>
      </w:r>
      <w:r w:rsidR="000E3D71" w:rsidRPr="00031F66">
        <w:rPr>
          <w:lang w:val="en-US" w:eastAsia="en-US"/>
        </w:rPr>
        <w:t xml:space="preserve"> </w:t>
      </w:r>
      <w:r w:rsidR="00725E3F" w:rsidRPr="00031F66">
        <w:rPr>
          <w:lang w:val="en-US" w:eastAsia="en-US"/>
        </w:rPr>
        <w:t xml:space="preserve">or more antibodies. </w:t>
      </w:r>
      <w:r w:rsidR="000E3D71">
        <w:rPr>
          <w:lang w:val="en-US" w:eastAsia="en-US"/>
        </w:rPr>
        <w:t>C</w:t>
      </w:r>
      <w:r w:rsidR="00725E3F" w:rsidRPr="00031F66">
        <w:rPr>
          <w:lang w:val="en-US" w:eastAsia="en-US"/>
        </w:rPr>
        <w:t>ertain patients have a defined autoimmune disease</w:t>
      </w:r>
      <w:r w:rsidR="000E3D71">
        <w:rPr>
          <w:lang w:val="en-US" w:eastAsia="en-US"/>
        </w:rPr>
        <w:t>,</w:t>
      </w:r>
      <w:r w:rsidR="00725E3F" w:rsidRPr="00031F66">
        <w:rPr>
          <w:lang w:val="en-US" w:eastAsia="en-US"/>
        </w:rPr>
        <w:t xml:space="preserve"> and testing for more antibodies allows for profiling of these patients to discover the underlying cause of the disease.</w:t>
      </w:r>
    </w:p>
    <w:p w14:paraId="72A71004" w14:textId="77777777" w:rsidR="00725E3F" w:rsidRDefault="000E3D71">
      <w:pPr>
        <w:pStyle w:val="NormalBulleted"/>
        <w:rPr>
          <w:lang w:val="en-US" w:eastAsia="en-US"/>
        </w:rPr>
      </w:pPr>
      <w:r>
        <w:rPr>
          <w:lang w:val="en-US" w:eastAsia="en-US"/>
        </w:rPr>
        <w:t xml:space="preserve">Several </w:t>
      </w:r>
      <w:r w:rsidR="00725E3F" w:rsidRPr="00031F66">
        <w:rPr>
          <w:lang w:val="en-US" w:eastAsia="en-US"/>
        </w:rPr>
        <w:t>antigens</w:t>
      </w:r>
      <w:r w:rsidR="00C83EF8">
        <w:rPr>
          <w:lang w:val="en-US" w:eastAsia="en-US"/>
        </w:rPr>
        <w:t xml:space="preserve"> are</w:t>
      </w:r>
      <w:r w:rsidR="00725E3F" w:rsidRPr="00031F66">
        <w:rPr>
          <w:lang w:val="en-US" w:eastAsia="en-US"/>
        </w:rPr>
        <w:t xml:space="preserve"> not specified elsewhere in the table</w:t>
      </w:r>
      <w:r>
        <w:rPr>
          <w:lang w:val="en-US" w:eastAsia="en-US"/>
        </w:rPr>
        <w:t>,</w:t>
      </w:r>
      <w:r w:rsidR="00725E3F" w:rsidRPr="00031F66">
        <w:rPr>
          <w:lang w:val="en-US" w:eastAsia="en-US"/>
        </w:rPr>
        <w:t xml:space="preserve"> such as myositis</w:t>
      </w:r>
      <w:r>
        <w:rPr>
          <w:lang w:val="en-US" w:eastAsia="en-US"/>
        </w:rPr>
        <w:t>-</w:t>
      </w:r>
      <w:r w:rsidR="00725E3F" w:rsidRPr="00031F66">
        <w:rPr>
          <w:lang w:val="en-US" w:eastAsia="en-US"/>
        </w:rPr>
        <w:t xml:space="preserve"> and scleroderma</w:t>
      </w:r>
      <w:r>
        <w:rPr>
          <w:lang w:val="en-US" w:eastAsia="en-US"/>
        </w:rPr>
        <w:t>-</w:t>
      </w:r>
      <w:r w:rsidR="00C83EF8">
        <w:rPr>
          <w:lang w:val="en-US" w:eastAsia="en-US"/>
        </w:rPr>
        <w:t>associated antibodies</w:t>
      </w:r>
      <w:r w:rsidR="00725E3F" w:rsidRPr="00031F66">
        <w:rPr>
          <w:lang w:val="en-US" w:eastAsia="en-US"/>
        </w:rPr>
        <w:t xml:space="preserve"> that </w:t>
      </w:r>
      <w:r w:rsidR="00C83EF8">
        <w:rPr>
          <w:lang w:val="en-US" w:eastAsia="en-US"/>
        </w:rPr>
        <w:t>would be</w:t>
      </w:r>
      <w:r w:rsidR="00C83EF8" w:rsidRPr="00031F66">
        <w:rPr>
          <w:lang w:val="en-US" w:eastAsia="en-US"/>
        </w:rPr>
        <w:t xml:space="preserve"> </w:t>
      </w:r>
      <w:r w:rsidR="00725E3F" w:rsidRPr="00031F66">
        <w:rPr>
          <w:lang w:val="en-US" w:eastAsia="en-US"/>
        </w:rPr>
        <w:t xml:space="preserve">included under this </w:t>
      </w:r>
      <w:r w:rsidR="00C83EF8">
        <w:rPr>
          <w:lang w:val="en-US" w:eastAsia="en-US"/>
        </w:rPr>
        <w:t>item</w:t>
      </w:r>
      <w:r w:rsidR="00C83EF8" w:rsidRPr="00031F66">
        <w:rPr>
          <w:lang w:val="en-US" w:eastAsia="en-US"/>
        </w:rPr>
        <w:t xml:space="preserve"> </w:t>
      </w:r>
      <w:r w:rsidR="00725E3F" w:rsidRPr="00031F66">
        <w:rPr>
          <w:lang w:val="en-US" w:eastAsia="en-US"/>
        </w:rPr>
        <w:t xml:space="preserve">and </w:t>
      </w:r>
      <w:r w:rsidR="00C83EF8">
        <w:rPr>
          <w:lang w:val="en-US" w:eastAsia="en-US"/>
        </w:rPr>
        <w:t>are</w:t>
      </w:r>
      <w:r w:rsidR="00C83EF8" w:rsidRPr="00031F66">
        <w:rPr>
          <w:lang w:val="en-US" w:eastAsia="en-US"/>
        </w:rPr>
        <w:t xml:space="preserve"> </w:t>
      </w:r>
      <w:r w:rsidR="00725E3F" w:rsidRPr="00031F66">
        <w:rPr>
          <w:lang w:val="en-US" w:eastAsia="en-US"/>
        </w:rPr>
        <w:t>considered clinically appropriate</w:t>
      </w:r>
      <w:r w:rsidR="00C77D63">
        <w:rPr>
          <w:lang w:val="en-US" w:eastAsia="en-US"/>
        </w:rPr>
        <w:t xml:space="preserve"> and valid tests</w:t>
      </w:r>
      <w:r w:rsidR="00725E3F" w:rsidRPr="00031F66">
        <w:rPr>
          <w:lang w:val="en-US" w:eastAsia="en-US"/>
        </w:rPr>
        <w:t>.</w:t>
      </w:r>
      <w:r w:rsidR="00C77D63">
        <w:rPr>
          <w:lang w:val="en-US" w:eastAsia="en-US"/>
        </w:rPr>
        <w:t xml:space="preserve"> Extending testing to include </w:t>
      </w:r>
      <w:r>
        <w:rPr>
          <w:lang w:val="en-US" w:eastAsia="en-US"/>
        </w:rPr>
        <w:t xml:space="preserve">five </w:t>
      </w:r>
      <w:r w:rsidR="00C77D63">
        <w:rPr>
          <w:lang w:val="en-US" w:eastAsia="en-US"/>
        </w:rPr>
        <w:t>or more antibodies would address the access gap for this small patient cohort</w:t>
      </w:r>
      <w:r>
        <w:rPr>
          <w:lang w:val="en-US" w:eastAsia="en-US"/>
        </w:rPr>
        <w:t>,</w:t>
      </w:r>
      <w:r w:rsidR="00C77D63">
        <w:rPr>
          <w:lang w:val="en-US" w:eastAsia="en-US"/>
        </w:rPr>
        <w:t xml:space="preserve"> as these tests are expensive but are considered clinically relevant.</w:t>
      </w:r>
      <w:r w:rsidR="00AE4C4A" w:rsidRPr="00AE4C4A">
        <w:t xml:space="preserve"> </w:t>
      </w:r>
      <w:r w:rsidR="00AE4C4A" w:rsidRPr="00AE4C4A">
        <w:rPr>
          <w:lang w:val="en-US" w:eastAsia="en-US"/>
        </w:rPr>
        <w:t>This Committee recommendation focuses on enabling data collection on the use of the test.</w:t>
      </w:r>
      <w:r w:rsidR="00114142">
        <w:rPr>
          <w:lang w:val="en-US" w:eastAsia="en-US"/>
        </w:rPr>
        <w:t xml:space="preserve"> </w:t>
      </w:r>
    </w:p>
    <w:p w14:paraId="0E1E53B4" w14:textId="77777777" w:rsidR="00C1306E" w:rsidRDefault="00404C4C" w:rsidP="0023110D">
      <w:pPr>
        <w:pStyle w:val="Heading2"/>
      </w:pPr>
      <w:bookmarkStart w:id="61" w:name="_Toc499293044"/>
      <w:bookmarkStart w:id="62" w:name="_Toc456613794"/>
      <w:bookmarkStart w:id="63" w:name="_Toc454959792"/>
      <w:r w:rsidRPr="00404C4C">
        <w:t>Antibodies to tissue antigens</w:t>
      </w:r>
      <w:r w:rsidR="00DE6FFC">
        <w:t>:</w:t>
      </w:r>
      <w:r w:rsidR="00DD0643">
        <w:t xml:space="preserve"> item 71165</w:t>
      </w:r>
      <w:bookmarkEnd w:id="61"/>
    </w:p>
    <w:p w14:paraId="3C7DE9BF" w14:textId="77777777" w:rsidR="00AF5D75" w:rsidRPr="00D96D34" w:rsidRDefault="00AB6550">
      <w:pPr>
        <w:pStyle w:val="Caption"/>
      </w:pPr>
      <w:bookmarkStart w:id="64" w:name="_Toc499289255"/>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18</w:t>
      </w:r>
      <w:r w:rsidR="0004721F">
        <w:rPr>
          <w:noProof/>
        </w:rPr>
        <w:fldChar w:fldCharType="end"/>
      </w:r>
      <w:r>
        <w:t xml:space="preserve">. </w:t>
      </w:r>
      <w:r w:rsidR="00E8051A" w:rsidRPr="00E8051A">
        <w:t xml:space="preserve">Item introduction table for item </w:t>
      </w:r>
      <w:r w:rsidR="00D96D34">
        <w:t>71165</w:t>
      </w:r>
      <w:bookmarkEnd w:id="64"/>
    </w:p>
    <w:tbl>
      <w:tblPr>
        <w:tblStyle w:val="TableGrid1"/>
        <w:tblW w:w="9039" w:type="dxa"/>
        <w:tblLayout w:type="fixed"/>
        <w:tblLook w:val="04A0" w:firstRow="1" w:lastRow="0" w:firstColumn="1" w:lastColumn="0" w:noHBand="0" w:noVBand="1"/>
        <w:tblCaption w:val="Table 18: Item introduction table for item 71165"/>
        <w:tblDescription w:val="Table 18 contains MBS data for items 71165 for the financial year 2014–2015. The data includes item numbers, long item descriptors, schedule fee, total volume of services, benefits paid, patient count and services annual average growth as a pecentage over a 5 year period."/>
      </w:tblPr>
      <w:tblGrid>
        <w:gridCol w:w="776"/>
        <w:gridCol w:w="2803"/>
        <w:gridCol w:w="1022"/>
        <w:gridCol w:w="1203"/>
        <w:gridCol w:w="1204"/>
        <w:gridCol w:w="925"/>
        <w:gridCol w:w="1106"/>
      </w:tblGrid>
      <w:tr w:rsidR="00C32E3C" w:rsidRPr="00DD5A29" w14:paraId="54A143CA" w14:textId="77777777" w:rsidTr="007B6365">
        <w:trPr>
          <w:trHeight w:val="729"/>
          <w:tblHeader/>
        </w:trPr>
        <w:tc>
          <w:tcPr>
            <w:tcW w:w="776" w:type="dxa"/>
            <w:shd w:val="clear" w:color="auto" w:fill="EEECE1" w:themeFill="background2"/>
            <w:vAlign w:val="bottom"/>
            <w:hideMark/>
          </w:tcPr>
          <w:p w14:paraId="457D178F" w14:textId="77777777" w:rsidR="00404C4C" w:rsidRPr="00DD5A29" w:rsidRDefault="00404C4C" w:rsidP="007B6365">
            <w:pPr>
              <w:pStyle w:val="01Tableheaderrow"/>
              <w:rPr>
                <w:lang w:val="en-GB"/>
              </w:rPr>
            </w:pPr>
            <w:r w:rsidRPr="00C70F36">
              <w:rPr>
                <w:lang w:val="en-GB"/>
              </w:rPr>
              <w:t>Item</w:t>
            </w:r>
          </w:p>
        </w:tc>
        <w:tc>
          <w:tcPr>
            <w:tcW w:w="2803" w:type="dxa"/>
            <w:shd w:val="clear" w:color="auto" w:fill="EEECE1" w:themeFill="background2"/>
            <w:vAlign w:val="bottom"/>
            <w:hideMark/>
          </w:tcPr>
          <w:p w14:paraId="6AFD9440" w14:textId="77777777" w:rsidR="00404C4C" w:rsidRPr="00DD5A29" w:rsidRDefault="00404C4C" w:rsidP="007B6365">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022" w:type="dxa"/>
            <w:shd w:val="clear" w:color="auto" w:fill="EEECE1" w:themeFill="background2"/>
            <w:vAlign w:val="bottom"/>
            <w:hideMark/>
          </w:tcPr>
          <w:p w14:paraId="1D2D4A25" w14:textId="77777777" w:rsidR="00404C4C" w:rsidRPr="00256B04" w:rsidRDefault="00404C4C" w:rsidP="007B6365">
            <w:pPr>
              <w:pStyle w:val="01Tableheaderrow"/>
              <w:rPr>
                <w:lang w:val="en-GB"/>
              </w:rPr>
            </w:pPr>
            <w:r w:rsidRPr="00C70F36">
              <w:rPr>
                <w:lang w:val="en-GB"/>
              </w:rPr>
              <w:t>Schedule fee</w:t>
            </w:r>
          </w:p>
        </w:tc>
        <w:tc>
          <w:tcPr>
            <w:tcW w:w="1203" w:type="dxa"/>
            <w:shd w:val="clear" w:color="auto" w:fill="EEECE1" w:themeFill="background2"/>
            <w:vAlign w:val="bottom"/>
            <w:hideMark/>
          </w:tcPr>
          <w:p w14:paraId="6D8240AF" w14:textId="77777777" w:rsidR="00404C4C" w:rsidRPr="00DD5A29" w:rsidRDefault="00404C4C" w:rsidP="007B6365">
            <w:pPr>
              <w:pStyle w:val="01Tableheaderrow"/>
              <w:rPr>
                <w:lang w:val="en-GB"/>
              </w:rPr>
            </w:pPr>
            <w:r w:rsidRPr="00C70F36">
              <w:rPr>
                <w:lang w:val="en-GB"/>
              </w:rPr>
              <w:t xml:space="preserve">Services </w:t>
            </w:r>
            <w:r w:rsidR="007D6844">
              <w:rPr>
                <w:lang w:val="en-GB"/>
              </w:rPr>
              <w:t>FY 2014–15</w:t>
            </w:r>
          </w:p>
        </w:tc>
        <w:tc>
          <w:tcPr>
            <w:tcW w:w="1204" w:type="dxa"/>
            <w:shd w:val="clear" w:color="auto" w:fill="EEECE1" w:themeFill="background2"/>
            <w:vAlign w:val="bottom"/>
          </w:tcPr>
          <w:p w14:paraId="38F87236" w14:textId="77777777" w:rsidR="00404C4C" w:rsidRPr="00DD5A29" w:rsidRDefault="00404C4C" w:rsidP="007B6365">
            <w:pPr>
              <w:pStyle w:val="01Tableheaderrow"/>
              <w:rPr>
                <w:lang w:val="en-GB"/>
              </w:rPr>
            </w:pPr>
            <w:r w:rsidRPr="00C70F36">
              <w:rPr>
                <w:lang w:val="en-GB"/>
              </w:rPr>
              <w:t xml:space="preserve">Benefits </w:t>
            </w:r>
            <w:r w:rsidR="007D6844">
              <w:rPr>
                <w:lang w:val="en-GB"/>
              </w:rPr>
              <w:t>FY 2014–15</w:t>
            </w:r>
          </w:p>
        </w:tc>
        <w:tc>
          <w:tcPr>
            <w:tcW w:w="925" w:type="dxa"/>
            <w:shd w:val="clear" w:color="auto" w:fill="EEECE1" w:themeFill="background2"/>
            <w:vAlign w:val="bottom"/>
            <w:hideMark/>
          </w:tcPr>
          <w:p w14:paraId="2E42462E" w14:textId="77777777" w:rsidR="00404C4C" w:rsidRPr="00DD5A29" w:rsidRDefault="00404C4C" w:rsidP="007B6365">
            <w:pPr>
              <w:pStyle w:val="01Tableheaderrow"/>
              <w:rPr>
                <w:lang w:val="en-GB"/>
              </w:rPr>
            </w:pPr>
            <w:r w:rsidRPr="00C70F36">
              <w:rPr>
                <w:lang w:val="en-GB"/>
              </w:rPr>
              <w:t>Patient count</w:t>
            </w:r>
          </w:p>
        </w:tc>
        <w:tc>
          <w:tcPr>
            <w:tcW w:w="1106" w:type="dxa"/>
            <w:shd w:val="clear" w:color="auto" w:fill="EEECE1" w:themeFill="background2"/>
            <w:vAlign w:val="bottom"/>
            <w:hideMark/>
          </w:tcPr>
          <w:p w14:paraId="3F8B0DE8" w14:textId="77777777" w:rsidR="00404C4C" w:rsidRPr="00DD5A29" w:rsidRDefault="00404C4C" w:rsidP="007B6365">
            <w:pPr>
              <w:pStyle w:val="01Tableheaderrow"/>
              <w:rPr>
                <w:lang w:val="en-GB"/>
              </w:rPr>
            </w:pPr>
            <w:r w:rsidRPr="00C70F36">
              <w:rPr>
                <w:lang w:val="en-GB"/>
              </w:rPr>
              <w:t xml:space="preserve">Services 5-year </w:t>
            </w:r>
            <w:r w:rsidR="007D6844">
              <w:rPr>
                <w:lang w:val="en-GB"/>
              </w:rPr>
              <w:t>annual average growth</w:t>
            </w:r>
          </w:p>
        </w:tc>
      </w:tr>
      <w:tr w:rsidR="00C32E3C" w:rsidRPr="00DD5A29" w14:paraId="49786F5C" w14:textId="77777777" w:rsidTr="007B6365">
        <w:trPr>
          <w:trHeight w:val="300"/>
        </w:trPr>
        <w:tc>
          <w:tcPr>
            <w:tcW w:w="776" w:type="dxa"/>
            <w:noWrap/>
            <w:hideMark/>
          </w:tcPr>
          <w:p w14:paraId="49B2734D" w14:textId="77777777" w:rsidR="00404C4C" w:rsidRPr="007B6365" w:rsidRDefault="006D424F" w:rsidP="007B6365">
            <w:pPr>
              <w:pStyle w:val="02Tabletext"/>
            </w:pPr>
            <w:r w:rsidRPr="007B6365">
              <w:t>71165</w:t>
            </w:r>
          </w:p>
        </w:tc>
        <w:tc>
          <w:tcPr>
            <w:tcW w:w="2803" w:type="dxa"/>
            <w:noWrap/>
            <w:hideMark/>
          </w:tcPr>
          <w:p w14:paraId="5DFE1F6C" w14:textId="77777777" w:rsidR="00404C4C" w:rsidRPr="007B6365" w:rsidRDefault="006D424F" w:rsidP="007B6365">
            <w:pPr>
              <w:pStyle w:val="02Tabletext"/>
            </w:pPr>
            <w:r w:rsidRPr="007B6365">
              <w:t xml:space="preserve">Antibodies to tissue antigens (acetylcholine receptor, adrenal cortex, heart, histone, insulin, insulin receptor, intrinsic factor, islet cell, lymphocyte, neuron, ovary, parathyroid, platelet, salivary gland, skeletal muscle, skin basement membrane and intercellular substance, </w:t>
            </w:r>
            <w:r w:rsidRPr="007B6365">
              <w:lastRenderedPageBreak/>
              <w:t>thyroglobulin, thyroid microsome or thyroid stimulating hormone receptor) - detection, including quantitation if required, of 1 antibody (Item is subject to rule 6)</w:t>
            </w:r>
          </w:p>
        </w:tc>
        <w:tc>
          <w:tcPr>
            <w:tcW w:w="1022" w:type="dxa"/>
            <w:noWrap/>
            <w:hideMark/>
          </w:tcPr>
          <w:p w14:paraId="790852E4" w14:textId="77777777" w:rsidR="00404C4C" w:rsidRPr="007B6365" w:rsidRDefault="008E5F19" w:rsidP="007B6365">
            <w:pPr>
              <w:pStyle w:val="02Tabletext"/>
              <w:jc w:val="right"/>
            </w:pPr>
            <w:r w:rsidRPr="007B6365">
              <w:lastRenderedPageBreak/>
              <w:t>$</w:t>
            </w:r>
            <w:r w:rsidR="00E8051A" w:rsidRPr="007B6365">
              <w:t>34.55</w:t>
            </w:r>
          </w:p>
        </w:tc>
        <w:tc>
          <w:tcPr>
            <w:tcW w:w="1203" w:type="dxa"/>
            <w:noWrap/>
            <w:hideMark/>
          </w:tcPr>
          <w:p w14:paraId="4F60DACE" w14:textId="77777777" w:rsidR="00404C4C" w:rsidRPr="007B6365" w:rsidRDefault="00E8051A" w:rsidP="007B6365">
            <w:pPr>
              <w:pStyle w:val="02Tabletext"/>
              <w:jc w:val="right"/>
            </w:pPr>
            <w:r w:rsidRPr="007B6365">
              <w:t>128,207</w:t>
            </w:r>
          </w:p>
        </w:tc>
        <w:tc>
          <w:tcPr>
            <w:tcW w:w="1204" w:type="dxa"/>
          </w:tcPr>
          <w:p w14:paraId="51B6F2EB" w14:textId="77777777" w:rsidR="00D5449D" w:rsidRPr="007B6365" w:rsidRDefault="00D5449D" w:rsidP="007B6365">
            <w:pPr>
              <w:pStyle w:val="02Tabletext"/>
              <w:jc w:val="right"/>
            </w:pPr>
            <w:r w:rsidRPr="007B6365">
              <w:t>$4,391,757</w:t>
            </w:r>
          </w:p>
        </w:tc>
        <w:tc>
          <w:tcPr>
            <w:tcW w:w="925" w:type="dxa"/>
            <w:noWrap/>
            <w:hideMark/>
          </w:tcPr>
          <w:p w14:paraId="7291F24A" w14:textId="77777777" w:rsidR="00404C4C" w:rsidRPr="007B6365" w:rsidRDefault="00E8051A" w:rsidP="007B6365">
            <w:pPr>
              <w:pStyle w:val="02Tabletext"/>
              <w:jc w:val="right"/>
            </w:pPr>
            <w:r w:rsidRPr="007B6365">
              <w:t>107,564</w:t>
            </w:r>
          </w:p>
        </w:tc>
        <w:tc>
          <w:tcPr>
            <w:tcW w:w="1106" w:type="dxa"/>
            <w:noWrap/>
            <w:hideMark/>
          </w:tcPr>
          <w:p w14:paraId="640907AD" w14:textId="77777777" w:rsidR="00404C4C" w:rsidRPr="007B6365" w:rsidRDefault="00E8051A" w:rsidP="007B6365">
            <w:pPr>
              <w:pStyle w:val="02Tabletext"/>
              <w:jc w:val="right"/>
            </w:pPr>
            <w:r w:rsidRPr="007B6365">
              <w:t>10.0%</w:t>
            </w:r>
          </w:p>
        </w:tc>
      </w:tr>
    </w:tbl>
    <w:p w14:paraId="2C54EB66" w14:textId="77777777" w:rsidR="00AF5D75" w:rsidRDefault="009C6383" w:rsidP="0023110D">
      <w:pPr>
        <w:pStyle w:val="Heading3Numbered"/>
      </w:pPr>
      <w:r>
        <w:t>Recommendation</w:t>
      </w:r>
      <w:r w:rsidR="00546160">
        <w:t xml:space="preserve"> 9</w:t>
      </w:r>
    </w:p>
    <w:p w14:paraId="50D76CC3" w14:textId="77777777" w:rsidR="00AF5D75" w:rsidRDefault="00B45015" w:rsidP="00A64017">
      <w:pPr>
        <w:rPr>
          <w:lang w:val="en-US"/>
        </w:rPr>
      </w:pPr>
      <w:r>
        <w:rPr>
          <w:lang w:val="en-US"/>
        </w:rPr>
        <w:t>The Committee proposed the following</w:t>
      </w:r>
      <w:r w:rsidR="005F436F">
        <w:rPr>
          <w:lang w:val="en-US"/>
        </w:rPr>
        <w:t>:</w:t>
      </w:r>
    </w:p>
    <w:p w14:paraId="73746455" w14:textId="77777777" w:rsidR="005F436F" w:rsidRDefault="00D5449D">
      <w:pPr>
        <w:pStyle w:val="NormalBulleted"/>
        <w:rPr>
          <w:lang w:val="en-US"/>
        </w:rPr>
      </w:pPr>
      <w:r>
        <w:rPr>
          <w:lang w:val="en-US"/>
        </w:rPr>
        <w:t>Amend</w:t>
      </w:r>
      <w:r w:rsidR="005F436F">
        <w:rPr>
          <w:lang w:val="en-US"/>
        </w:rPr>
        <w:t xml:space="preserve"> the item descriptor for 71165 to remove thyroid antibodies and salivary gland</w:t>
      </w:r>
      <w:r w:rsidR="00564AAA">
        <w:rPr>
          <w:lang w:val="en-US"/>
        </w:rPr>
        <w:t>.</w:t>
      </w:r>
    </w:p>
    <w:p w14:paraId="5339F582" w14:textId="77777777" w:rsidR="005F436F" w:rsidRDefault="00D5449D">
      <w:pPr>
        <w:pStyle w:val="NormalBulleted"/>
        <w:rPr>
          <w:lang w:val="en-US"/>
        </w:rPr>
      </w:pPr>
      <w:r>
        <w:rPr>
          <w:lang w:val="en-US"/>
        </w:rPr>
        <w:t>R</w:t>
      </w:r>
      <w:r w:rsidR="005F436F">
        <w:rPr>
          <w:lang w:val="en-US"/>
        </w:rPr>
        <w:t>emove salivary gland</w:t>
      </w:r>
      <w:r w:rsidR="008A5306">
        <w:rPr>
          <w:lang w:val="en-US"/>
        </w:rPr>
        <w:t xml:space="preserve"> from the item descriptor</w:t>
      </w:r>
      <w:r w:rsidR="00564AAA">
        <w:rPr>
          <w:lang w:val="en-US"/>
        </w:rPr>
        <w:t>.</w:t>
      </w:r>
    </w:p>
    <w:p w14:paraId="718C53F7" w14:textId="77777777" w:rsidR="002A55C8" w:rsidRDefault="00AB6550">
      <w:pPr>
        <w:pStyle w:val="Caption"/>
        <w:rPr>
          <w:lang w:val="en-US"/>
        </w:rPr>
      </w:pPr>
      <w:bookmarkStart w:id="65" w:name="_Toc499289256"/>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19</w:t>
      </w:r>
      <w:r w:rsidR="0004721F">
        <w:rPr>
          <w:noProof/>
        </w:rPr>
        <w:fldChar w:fldCharType="end"/>
      </w:r>
      <w:r>
        <w:t xml:space="preserve">. </w:t>
      </w:r>
      <w:r w:rsidR="009F489F">
        <w:rPr>
          <w:lang w:val="en-US"/>
        </w:rPr>
        <w:t>Current and proposed item descriptors for item</w:t>
      </w:r>
      <w:r w:rsidR="00706115">
        <w:rPr>
          <w:lang w:val="en-US"/>
        </w:rPr>
        <w:t xml:space="preserve"> 71165</w:t>
      </w:r>
      <w:bookmarkEnd w:id="65"/>
    </w:p>
    <w:tbl>
      <w:tblPr>
        <w:tblStyle w:val="TableGrid"/>
        <w:tblW w:w="9276" w:type="dxa"/>
        <w:tblInd w:w="-147" w:type="dxa"/>
        <w:tblLook w:val="04A0" w:firstRow="1" w:lastRow="0" w:firstColumn="1" w:lastColumn="0" w:noHBand="0" w:noVBand="1"/>
        <w:tblCaption w:val="Table 19: Current and proposed item descriptor for item 71165"/>
        <w:tblDescription w:val="Table 19 lists the current and proposed item descriptor for item 71165 and the proposed item descriptor.  "/>
      </w:tblPr>
      <w:tblGrid>
        <w:gridCol w:w="1135"/>
        <w:gridCol w:w="3969"/>
        <w:gridCol w:w="4172"/>
      </w:tblGrid>
      <w:tr w:rsidR="002A55C8" w14:paraId="501CAF07" w14:textId="77777777" w:rsidTr="007B6365">
        <w:trPr>
          <w:tblHeader/>
        </w:trPr>
        <w:tc>
          <w:tcPr>
            <w:tcW w:w="1135" w:type="dxa"/>
            <w:shd w:val="clear" w:color="auto" w:fill="EEECE1" w:themeFill="background2"/>
            <w:vAlign w:val="bottom"/>
          </w:tcPr>
          <w:p w14:paraId="2F7E1F78" w14:textId="77777777" w:rsidR="00191C0B" w:rsidRPr="00191C0B" w:rsidRDefault="00191C0B" w:rsidP="007B6365">
            <w:pPr>
              <w:pStyle w:val="01Tableheaderrow"/>
              <w:rPr>
                <w:lang w:val="en-US"/>
              </w:rPr>
            </w:pPr>
            <w:r w:rsidRPr="00191C0B">
              <w:rPr>
                <w:lang w:val="en-US"/>
              </w:rPr>
              <w:t>Item</w:t>
            </w:r>
          </w:p>
        </w:tc>
        <w:tc>
          <w:tcPr>
            <w:tcW w:w="3969" w:type="dxa"/>
            <w:shd w:val="clear" w:color="auto" w:fill="EEECE1" w:themeFill="background2"/>
            <w:vAlign w:val="bottom"/>
          </w:tcPr>
          <w:p w14:paraId="148A1870" w14:textId="77777777" w:rsidR="00191C0B" w:rsidRPr="00191C0B" w:rsidRDefault="00191C0B" w:rsidP="007B6365">
            <w:pPr>
              <w:pStyle w:val="01Tableheaderrow"/>
              <w:rPr>
                <w:lang w:val="en-US"/>
              </w:rPr>
            </w:pPr>
            <w:r w:rsidRPr="00191C0B">
              <w:rPr>
                <w:lang w:val="en-US"/>
              </w:rPr>
              <w:t>Current item descriptor</w:t>
            </w:r>
          </w:p>
        </w:tc>
        <w:tc>
          <w:tcPr>
            <w:tcW w:w="4172" w:type="dxa"/>
            <w:shd w:val="clear" w:color="auto" w:fill="EEECE1" w:themeFill="background2"/>
            <w:vAlign w:val="bottom"/>
          </w:tcPr>
          <w:p w14:paraId="10D82C00" w14:textId="77777777" w:rsidR="00191C0B" w:rsidRPr="00191C0B" w:rsidRDefault="00191C0B" w:rsidP="007B6365">
            <w:pPr>
              <w:pStyle w:val="01Tableheaderrow"/>
              <w:rPr>
                <w:lang w:val="en-US"/>
              </w:rPr>
            </w:pPr>
            <w:r w:rsidRPr="00191C0B">
              <w:rPr>
                <w:lang w:val="en-US"/>
              </w:rPr>
              <w:t>Proposed item descriptor</w:t>
            </w:r>
          </w:p>
        </w:tc>
      </w:tr>
      <w:tr w:rsidR="002A55C8" w14:paraId="06D77AF6" w14:textId="77777777" w:rsidTr="004D7AF7">
        <w:tc>
          <w:tcPr>
            <w:tcW w:w="1135" w:type="dxa"/>
          </w:tcPr>
          <w:p w14:paraId="77736DC4" w14:textId="77777777" w:rsidR="00191C0B" w:rsidRDefault="00191C0B" w:rsidP="007B6365">
            <w:pPr>
              <w:pStyle w:val="02Tabletext"/>
              <w:rPr>
                <w:lang w:val="en-US"/>
              </w:rPr>
            </w:pPr>
            <w:r w:rsidRPr="00E70CDC">
              <w:t>71165</w:t>
            </w:r>
          </w:p>
        </w:tc>
        <w:tc>
          <w:tcPr>
            <w:tcW w:w="3969" w:type="dxa"/>
          </w:tcPr>
          <w:p w14:paraId="2246EA52" w14:textId="77777777" w:rsidR="00191C0B" w:rsidRDefault="00191C0B" w:rsidP="007B6365">
            <w:pPr>
              <w:pStyle w:val="02Tabletext"/>
              <w:rPr>
                <w:lang w:val="en-US"/>
              </w:rPr>
            </w:pPr>
            <w:r w:rsidRPr="00E70CDC">
              <w:t>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 - detection, including quantitation if required, of 1 antibody (Item is subject to rule 6)</w:t>
            </w:r>
          </w:p>
        </w:tc>
        <w:tc>
          <w:tcPr>
            <w:tcW w:w="4172" w:type="dxa"/>
          </w:tcPr>
          <w:p w14:paraId="159817D8" w14:textId="77777777" w:rsidR="00191C0B" w:rsidRDefault="00191C0B" w:rsidP="007B6365">
            <w:pPr>
              <w:pStyle w:val="02Tabletext"/>
              <w:rPr>
                <w:lang w:val="en-US"/>
              </w:rPr>
            </w:pPr>
            <w:r w:rsidRPr="00191C0B">
              <w:rPr>
                <w:lang w:val="en-US"/>
              </w:rPr>
              <w:t>Antibodies to tissue antigens (acetylcholine receptor, adrenal cortex, heart, histone, insulin, insulin receptor, intrinsic factor, islet cell, lymphocyte, neuron, ovary, parathyroid, platelet, skeletal muscle, skin basement membr</w:t>
            </w:r>
            <w:r>
              <w:rPr>
                <w:lang w:val="en-US"/>
              </w:rPr>
              <w:t>ane and intercellular substance</w:t>
            </w:r>
            <w:r w:rsidRPr="00191C0B">
              <w:rPr>
                <w:lang w:val="en-US"/>
              </w:rPr>
              <w:t>) - detection, including quantitation if required, of 1 antibody (Item is subject to rule 6)</w:t>
            </w:r>
          </w:p>
        </w:tc>
      </w:tr>
    </w:tbl>
    <w:p w14:paraId="1394D968" w14:textId="77777777" w:rsidR="00AF5D75" w:rsidRDefault="009C6383" w:rsidP="0023110D">
      <w:pPr>
        <w:pStyle w:val="Heading3Numbered"/>
      </w:pPr>
      <w:r w:rsidRPr="00546160">
        <w:t>Rationale</w:t>
      </w:r>
      <w:r>
        <w:t xml:space="preserve"> </w:t>
      </w:r>
      <w:r w:rsidR="00546160">
        <w:t>9</w:t>
      </w:r>
    </w:p>
    <w:p w14:paraId="50651A6F" w14:textId="77777777" w:rsidR="00E53C6B" w:rsidRDefault="005F436F">
      <w:pPr>
        <w:pStyle w:val="NormalBulleted"/>
        <w:rPr>
          <w:lang w:val="en-US"/>
        </w:rPr>
      </w:pPr>
      <w:r>
        <w:rPr>
          <w:lang w:val="en-US"/>
        </w:rPr>
        <w:t>The Committee recommended remov</w:t>
      </w:r>
      <w:r w:rsidR="002A3902">
        <w:rPr>
          <w:lang w:val="en-US"/>
        </w:rPr>
        <w:t>ing</w:t>
      </w:r>
      <w:r>
        <w:rPr>
          <w:lang w:val="en-US"/>
        </w:rPr>
        <w:t xml:space="preserve"> thyroid antibodies from the item descriptor of 71165</w:t>
      </w:r>
      <w:r w:rsidR="00564AAA">
        <w:rPr>
          <w:lang w:val="en-US"/>
        </w:rPr>
        <w:t>,</w:t>
      </w:r>
      <w:r>
        <w:rPr>
          <w:lang w:val="en-US"/>
        </w:rPr>
        <w:t xml:space="preserve"> as there is </w:t>
      </w:r>
      <w:r w:rsidR="002C5925">
        <w:rPr>
          <w:lang w:val="en-US"/>
        </w:rPr>
        <w:t xml:space="preserve">a </w:t>
      </w:r>
      <w:r>
        <w:rPr>
          <w:lang w:val="en-US"/>
        </w:rPr>
        <w:t xml:space="preserve">new item number proposed for thyroid antibodies within the pathology section of the </w:t>
      </w:r>
      <w:r w:rsidR="00097175">
        <w:rPr>
          <w:lang w:val="en-US"/>
        </w:rPr>
        <w:t xml:space="preserve">MBS. </w:t>
      </w:r>
    </w:p>
    <w:p w14:paraId="51B4023E" w14:textId="77777777" w:rsidR="00DD0643" w:rsidRDefault="005F436F">
      <w:pPr>
        <w:pStyle w:val="NormalBulleted"/>
        <w:rPr>
          <w:lang w:val="en-US"/>
        </w:rPr>
      </w:pPr>
      <w:r>
        <w:rPr>
          <w:lang w:val="en-US"/>
        </w:rPr>
        <w:t>The Committ</w:t>
      </w:r>
      <w:r w:rsidR="00FE286F">
        <w:rPr>
          <w:lang w:val="en-US"/>
        </w:rPr>
        <w:t>ee recommended the removal of salivary gland from the item 71165</w:t>
      </w:r>
      <w:r w:rsidR="00564AAA">
        <w:rPr>
          <w:lang w:val="en-US"/>
        </w:rPr>
        <w:t>,</w:t>
      </w:r>
      <w:r w:rsidR="00FE286F">
        <w:rPr>
          <w:lang w:val="en-US"/>
        </w:rPr>
        <w:t xml:space="preserve"> as this is no longer considered a clinically useful test.</w:t>
      </w:r>
      <w:r w:rsidR="00191C0B">
        <w:rPr>
          <w:lang w:val="en-US"/>
        </w:rPr>
        <w:t xml:space="preserve"> </w:t>
      </w:r>
    </w:p>
    <w:p w14:paraId="01C6F046" w14:textId="77777777" w:rsidR="00C83EF8" w:rsidRPr="00DD0643" w:rsidRDefault="00C83EF8">
      <w:pPr>
        <w:pStyle w:val="NormalBulleted"/>
        <w:rPr>
          <w:lang w:val="en-US"/>
        </w:rPr>
      </w:pPr>
      <w:r>
        <w:rPr>
          <w:lang w:val="en-US"/>
        </w:rPr>
        <w:t>The proposed changes will have no direct effect on patients.</w:t>
      </w:r>
    </w:p>
    <w:p w14:paraId="47FC688C" w14:textId="77777777" w:rsidR="00A0392F" w:rsidRDefault="00630E09" w:rsidP="0061330F">
      <w:pPr>
        <w:pStyle w:val="Heading2Report"/>
      </w:pPr>
      <w:bookmarkStart w:id="66" w:name="_Toc499293045"/>
      <w:r>
        <w:t xml:space="preserve">Quantitation of </w:t>
      </w:r>
      <w:r w:rsidR="002A3902">
        <w:t>i</w:t>
      </w:r>
      <w:r w:rsidR="00FB7CA2">
        <w:t>mmunoglobulin E</w:t>
      </w:r>
      <w:r w:rsidR="005542BF">
        <w:t>: item</w:t>
      </w:r>
      <w:r w:rsidR="00920B40">
        <w:t>s</w:t>
      </w:r>
      <w:r w:rsidR="005542BF">
        <w:t xml:space="preserve"> </w:t>
      </w:r>
      <w:r w:rsidR="00503792">
        <w:t xml:space="preserve">71075 and </w:t>
      </w:r>
      <w:r w:rsidR="005542BF">
        <w:t>71077</w:t>
      </w:r>
      <w:bookmarkEnd w:id="66"/>
    </w:p>
    <w:p w14:paraId="3943A8C4" w14:textId="77777777" w:rsidR="00503792" w:rsidRPr="00D96D34" w:rsidRDefault="00AB6550">
      <w:pPr>
        <w:pStyle w:val="Caption"/>
      </w:pPr>
      <w:bookmarkStart w:id="67" w:name="_Toc499289257"/>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20</w:t>
      </w:r>
      <w:r w:rsidR="0004721F">
        <w:rPr>
          <w:noProof/>
        </w:rPr>
        <w:fldChar w:fldCharType="end"/>
      </w:r>
      <w:r>
        <w:t xml:space="preserve">. </w:t>
      </w:r>
      <w:r w:rsidR="00503792" w:rsidRPr="00E8051A">
        <w:t xml:space="preserve">Item introduction table for item </w:t>
      </w:r>
      <w:r w:rsidR="00503792">
        <w:t>71075 and 71077</w:t>
      </w:r>
      <w:bookmarkEnd w:id="67"/>
    </w:p>
    <w:tbl>
      <w:tblPr>
        <w:tblStyle w:val="TableGrid1"/>
        <w:tblW w:w="9039" w:type="dxa"/>
        <w:tblLayout w:type="fixed"/>
        <w:tblLook w:val="04A0" w:firstRow="1" w:lastRow="0" w:firstColumn="1" w:lastColumn="0" w:noHBand="0" w:noVBand="1"/>
        <w:tblCaption w:val="Table 20: Item introduction table for items 71075 and 71077"/>
        <w:tblDescription w:val="Table 20 contains MBS data for items 71075 and 71077 for the financial year 2014–2015. The data includes item numbers, long item descriptors, schedule fee, total volume of services, benefits paid, patient count and services annual average growth as a pecentage over a 5 year period."/>
      </w:tblPr>
      <w:tblGrid>
        <w:gridCol w:w="776"/>
        <w:gridCol w:w="2763"/>
        <w:gridCol w:w="1134"/>
        <w:gridCol w:w="1276"/>
        <w:gridCol w:w="1213"/>
        <w:gridCol w:w="913"/>
        <w:gridCol w:w="964"/>
      </w:tblGrid>
      <w:tr w:rsidR="00503792" w:rsidRPr="00DD5A29" w14:paraId="4A425844" w14:textId="77777777" w:rsidTr="007B6365">
        <w:trPr>
          <w:trHeight w:val="729"/>
          <w:tblHeader/>
        </w:trPr>
        <w:tc>
          <w:tcPr>
            <w:tcW w:w="776" w:type="dxa"/>
            <w:shd w:val="clear" w:color="auto" w:fill="EEECE1" w:themeFill="background2"/>
            <w:vAlign w:val="bottom"/>
            <w:hideMark/>
          </w:tcPr>
          <w:p w14:paraId="73AE32E1" w14:textId="77777777" w:rsidR="00503792" w:rsidRPr="00DD5A29" w:rsidRDefault="00503792" w:rsidP="007B6365">
            <w:pPr>
              <w:pStyle w:val="01Tableheaderrow"/>
              <w:rPr>
                <w:lang w:val="en-GB"/>
              </w:rPr>
            </w:pPr>
            <w:r w:rsidRPr="00C70F36">
              <w:rPr>
                <w:lang w:val="en-GB"/>
              </w:rPr>
              <w:t>Item</w:t>
            </w:r>
          </w:p>
        </w:tc>
        <w:tc>
          <w:tcPr>
            <w:tcW w:w="2763" w:type="dxa"/>
            <w:shd w:val="clear" w:color="auto" w:fill="EEECE1" w:themeFill="background2"/>
            <w:vAlign w:val="bottom"/>
            <w:hideMark/>
          </w:tcPr>
          <w:p w14:paraId="7CE2CD1B" w14:textId="77777777" w:rsidR="00503792" w:rsidRPr="00DD5A29" w:rsidRDefault="00503792" w:rsidP="007B6365">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134" w:type="dxa"/>
            <w:shd w:val="clear" w:color="auto" w:fill="EEECE1" w:themeFill="background2"/>
            <w:vAlign w:val="bottom"/>
            <w:hideMark/>
          </w:tcPr>
          <w:p w14:paraId="23E39041" w14:textId="77777777" w:rsidR="00503792" w:rsidRPr="00256B04" w:rsidRDefault="00503792" w:rsidP="007B6365">
            <w:pPr>
              <w:pStyle w:val="01Tableheaderrow"/>
              <w:rPr>
                <w:lang w:val="en-GB"/>
              </w:rPr>
            </w:pPr>
            <w:r w:rsidRPr="00C70F36">
              <w:rPr>
                <w:lang w:val="en-GB"/>
              </w:rPr>
              <w:t>Schedule fee</w:t>
            </w:r>
          </w:p>
        </w:tc>
        <w:tc>
          <w:tcPr>
            <w:tcW w:w="1276" w:type="dxa"/>
            <w:shd w:val="clear" w:color="auto" w:fill="EEECE1" w:themeFill="background2"/>
            <w:vAlign w:val="bottom"/>
            <w:hideMark/>
          </w:tcPr>
          <w:p w14:paraId="6C21C26F" w14:textId="77777777" w:rsidR="00503792" w:rsidRPr="00DD5A29" w:rsidRDefault="00503792" w:rsidP="007B6365">
            <w:pPr>
              <w:pStyle w:val="01Tableheaderrow"/>
              <w:rPr>
                <w:lang w:val="en-GB"/>
              </w:rPr>
            </w:pPr>
            <w:r w:rsidRPr="00C70F36">
              <w:rPr>
                <w:lang w:val="en-GB"/>
              </w:rPr>
              <w:t xml:space="preserve">Services </w:t>
            </w:r>
            <w:r w:rsidR="007D6844">
              <w:rPr>
                <w:lang w:val="en-GB"/>
              </w:rPr>
              <w:t>FY 2014–15</w:t>
            </w:r>
          </w:p>
        </w:tc>
        <w:tc>
          <w:tcPr>
            <w:tcW w:w="1213" w:type="dxa"/>
            <w:shd w:val="clear" w:color="auto" w:fill="EEECE1" w:themeFill="background2"/>
            <w:vAlign w:val="bottom"/>
          </w:tcPr>
          <w:p w14:paraId="662D1EB3" w14:textId="77777777" w:rsidR="00503792" w:rsidRPr="00DD5A29" w:rsidRDefault="00503792" w:rsidP="007B6365">
            <w:pPr>
              <w:pStyle w:val="01Tableheaderrow"/>
              <w:rPr>
                <w:lang w:val="en-GB"/>
              </w:rPr>
            </w:pPr>
            <w:r w:rsidRPr="00C70F36">
              <w:rPr>
                <w:lang w:val="en-GB"/>
              </w:rPr>
              <w:t xml:space="preserve">Benefits </w:t>
            </w:r>
            <w:r w:rsidR="007D6844">
              <w:rPr>
                <w:lang w:val="en-GB"/>
              </w:rPr>
              <w:t>FY 2014–15</w:t>
            </w:r>
          </w:p>
        </w:tc>
        <w:tc>
          <w:tcPr>
            <w:tcW w:w="913" w:type="dxa"/>
            <w:shd w:val="clear" w:color="auto" w:fill="EEECE1" w:themeFill="background2"/>
            <w:vAlign w:val="bottom"/>
            <w:hideMark/>
          </w:tcPr>
          <w:p w14:paraId="6BFF94F6" w14:textId="77777777" w:rsidR="00503792" w:rsidRPr="00DD5A29" w:rsidRDefault="00503792" w:rsidP="007B6365">
            <w:pPr>
              <w:pStyle w:val="01Tableheaderrow"/>
              <w:rPr>
                <w:lang w:val="en-GB"/>
              </w:rPr>
            </w:pPr>
            <w:r w:rsidRPr="00C70F36">
              <w:rPr>
                <w:lang w:val="en-GB"/>
              </w:rPr>
              <w:t>Patient count</w:t>
            </w:r>
          </w:p>
        </w:tc>
        <w:tc>
          <w:tcPr>
            <w:tcW w:w="964" w:type="dxa"/>
            <w:shd w:val="clear" w:color="auto" w:fill="EEECE1" w:themeFill="background2"/>
            <w:vAlign w:val="bottom"/>
            <w:hideMark/>
          </w:tcPr>
          <w:p w14:paraId="47029CB3" w14:textId="77777777" w:rsidR="00503792" w:rsidRPr="00DD5A29" w:rsidRDefault="00503792" w:rsidP="007B6365">
            <w:pPr>
              <w:pStyle w:val="01Tableheaderrow"/>
              <w:rPr>
                <w:lang w:val="en-GB"/>
              </w:rPr>
            </w:pPr>
            <w:r w:rsidRPr="00C70F36">
              <w:rPr>
                <w:lang w:val="en-GB"/>
              </w:rPr>
              <w:t xml:space="preserve">Services 5-year </w:t>
            </w:r>
            <w:r w:rsidR="007D6844">
              <w:rPr>
                <w:lang w:val="en-GB"/>
              </w:rPr>
              <w:t>annual average growth</w:t>
            </w:r>
          </w:p>
        </w:tc>
      </w:tr>
      <w:tr w:rsidR="00503792" w:rsidRPr="00DD5A29" w14:paraId="696D0C90" w14:textId="77777777" w:rsidTr="007B6365">
        <w:trPr>
          <w:trHeight w:val="300"/>
        </w:trPr>
        <w:tc>
          <w:tcPr>
            <w:tcW w:w="776" w:type="dxa"/>
            <w:noWrap/>
            <w:hideMark/>
          </w:tcPr>
          <w:p w14:paraId="6E410F5A" w14:textId="77777777" w:rsidR="00503792" w:rsidRPr="00DD5A29" w:rsidRDefault="00503792" w:rsidP="007B6365">
            <w:pPr>
              <w:pStyle w:val="02Tabletext"/>
              <w:rPr>
                <w:color w:val="000000"/>
                <w:lang w:val="en-GB"/>
              </w:rPr>
            </w:pPr>
            <w:r>
              <w:rPr>
                <w:color w:val="000000"/>
                <w:lang w:val="en-GB"/>
              </w:rPr>
              <w:t>71075</w:t>
            </w:r>
          </w:p>
        </w:tc>
        <w:tc>
          <w:tcPr>
            <w:tcW w:w="2763" w:type="dxa"/>
            <w:noWrap/>
            <w:hideMark/>
          </w:tcPr>
          <w:p w14:paraId="50F6EA0D" w14:textId="77777777" w:rsidR="00503792" w:rsidRPr="00423A79" w:rsidRDefault="00503792" w:rsidP="007B6365">
            <w:pPr>
              <w:pStyle w:val="02Tabletext"/>
              <w:rPr>
                <w:color w:val="000000"/>
                <w:lang w:val="en-GB"/>
              </w:rPr>
            </w:pPr>
            <w:r w:rsidRPr="00423A79">
              <w:rPr>
                <w:color w:val="000000"/>
                <w:lang w:val="en-GB"/>
              </w:rPr>
              <w:t xml:space="preserve">Quantitation of immunoglobulin </w:t>
            </w:r>
            <w:r w:rsidR="00845DAA">
              <w:rPr>
                <w:color w:val="000000"/>
                <w:lang w:val="en-GB"/>
              </w:rPr>
              <w:t>E</w:t>
            </w:r>
            <w:r w:rsidRPr="00423A79">
              <w:rPr>
                <w:color w:val="000000"/>
                <w:lang w:val="en-GB"/>
              </w:rPr>
              <w:t xml:space="preserve"> (total),</w:t>
            </w:r>
            <w:r w:rsidR="00845DAA">
              <w:rPr>
                <w:color w:val="000000"/>
                <w:lang w:val="en-GB"/>
              </w:rPr>
              <w:t xml:space="preserve"> (IgE)</w:t>
            </w:r>
            <w:r w:rsidR="00AB6550">
              <w:rPr>
                <w:color w:val="000000"/>
                <w:lang w:val="en-GB"/>
              </w:rPr>
              <w:t xml:space="preserve"> </w:t>
            </w:r>
            <w:r w:rsidRPr="00423A79">
              <w:rPr>
                <w:color w:val="000000"/>
                <w:lang w:val="en-GB"/>
              </w:rPr>
              <w:t>1 test. (Item is subject to rule 25)</w:t>
            </w:r>
          </w:p>
        </w:tc>
        <w:tc>
          <w:tcPr>
            <w:tcW w:w="1134" w:type="dxa"/>
            <w:noWrap/>
            <w:hideMark/>
          </w:tcPr>
          <w:p w14:paraId="2B7DE664" w14:textId="77777777" w:rsidR="00503792" w:rsidRPr="00423A79" w:rsidRDefault="00503792" w:rsidP="007B6365">
            <w:pPr>
              <w:pStyle w:val="02Tabletext"/>
              <w:jc w:val="right"/>
              <w:rPr>
                <w:color w:val="000000"/>
                <w:lang w:val="en-GB"/>
              </w:rPr>
            </w:pPr>
            <w:r w:rsidRPr="00423A79">
              <w:rPr>
                <w:color w:val="000000"/>
                <w:lang w:val="en-GB"/>
              </w:rPr>
              <w:t>$23.00</w:t>
            </w:r>
          </w:p>
        </w:tc>
        <w:tc>
          <w:tcPr>
            <w:tcW w:w="1276" w:type="dxa"/>
            <w:noWrap/>
            <w:hideMark/>
          </w:tcPr>
          <w:p w14:paraId="17FC52DD" w14:textId="77777777" w:rsidR="00503792" w:rsidRPr="00423A79" w:rsidRDefault="00503792" w:rsidP="007B6365">
            <w:pPr>
              <w:pStyle w:val="02Tabletext"/>
              <w:jc w:val="right"/>
              <w:rPr>
                <w:color w:val="000000"/>
                <w:lang w:val="en-GB"/>
              </w:rPr>
            </w:pPr>
            <w:r w:rsidRPr="00423A79">
              <w:rPr>
                <w:color w:val="000000"/>
                <w:lang w:val="en-GB"/>
              </w:rPr>
              <w:t>133,831</w:t>
            </w:r>
          </w:p>
        </w:tc>
        <w:tc>
          <w:tcPr>
            <w:tcW w:w="1213" w:type="dxa"/>
          </w:tcPr>
          <w:p w14:paraId="4603952B" w14:textId="77777777" w:rsidR="00503792" w:rsidRPr="00423A79" w:rsidRDefault="00503792" w:rsidP="007B6365">
            <w:pPr>
              <w:pStyle w:val="02Tabletext"/>
              <w:jc w:val="right"/>
              <w:rPr>
                <w:color w:val="000000"/>
                <w:lang w:val="en-GB"/>
              </w:rPr>
            </w:pPr>
            <w:r w:rsidRPr="00423A79">
              <w:rPr>
                <w:color w:val="000000"/>
                <w:lang w:val="en-GB"/>
              </w:rPr>
              <w:t>$2,619,828</w:t>
            </w:r>
          </w:p>
        </w:tc>
        <w:tc>
          <w:tcPr>
            <w:tcW w:w="913" w:type="dxa"/>
            <w:noWrap/>
            <w:hideMark/>
          </w:tcPr>
          <w:p w14:paraId="127E64E5" w14:textId="77777777" w:rsidR="00503792" w:rsidRPr="00423A79" w:rsidRDefault="00503792" w:rsidP="007B6365">
            <w:pPr>
              <w:pStyle w:val="02Tabletext"/>
              <w:jc w:val="right"/>
              <w:rPr>
                <w:color w:val="000000"/>
                <w:lang w:val="en-GB"/>
              </w:rPr>
            </w:pPr>
            <w:r w:rsidRPr="00423A79">
              <w:rPr>
                <w:color w:val="000000"/>
                <w:lang w:val="en-GB"/>
              </w:rPr>
              <w:t>127,901</w:t>
            </w:r>
          </w:p>
        </w:tc>
        <w:tc>
          <w:tcPr>
            <w:tcW w:w="964" w:type="dxa"/>
            <w:noWrap/>
            <w:hideMark/>
          </w:tcPr>
          <w:p w14:paraId="15F1699B" w14:textId="77777777" w:rsidR="00503792" w:rsidRPr="00423A79" w:rsidRDefault="00503792" w:rsidP="007B6365">
            <w:pPr>
              <w:pStyle w:val="02Tabletext"/>
              <w:jc w:val="right"/>
              <w:rPr>
                <w:color w:val="000000"/>
                <w:lang w:val="en-GB"/>
              </w:rPr>
            </w:pPr>
            <w:r w:rsidRPr="00423A79">
              <w:rPr>
                <w:color w:val="000000"/>
                <w:lang w:val="en-GB"/>
              </w:rPr>
              <w:t>5.5%</w:t>
            </w:r>
          </w:p>
        </w:tc>
      </w:tr>
      <w:tr w:rsidR="00503792" w:rsidRPr="00DD5A29" w14:paraId="3C3FAB9D" w14:textId="77777777" w:rsidTr="007B6365">
        <w:trPr>
          <w:trHeight w:val="300"/>
        </w:trPr>
        <w:tc>
          <w:tcPr>
            <w:tcW w:w="776" w:type="dxa"/>
            <w:noWrap/>
          </w:tcPr>
          <w:p w14:paraId="1787E56E" w14:textId="77777777" w:rsidR="00503792" w:rsidRDefault="00503792" w:rsidP="007B6365">
            <w:pPr>
              <w:pStyle w:val="02Tabletext"/>
              <w:rPr>
                <w:color w:val="000000"/>
                <w:lang w:val="en-GB"/>
              </w:rPr>
            </w:pPr>
            <w:r>
              <w:rPr>
                <w:color w:val="000000"/>
                <w:lang w:val="en-GB"/>
              </w:rPr>
              <w:t>71077</w:t>
            </w:r>
          </w:p>
        </w:tc>
        <w:tc>
          <w:tcPr>
            <w:tcW w:w="2763" w:type="dxa"/>
            <w:noWrap/>
          </w:tcPr>
          <w:p w14:paraId="53795CC4" w14:textId="77777777" w:rsidR="00503792" w:rsidRPr="005B028B" w:rsidRDefault="00503792" w:rsidP="007B6365">
            <w:pPr>
              <w:pStyle w:val="02Tabletext"/>
              <w:rPr>
                <w:color w:val="000000"/>
                <w:lang w:val="en-GB"/>
              </w:rPr>
            </w:pPr>
            <w:r w:rsidRPr="005B028B">
              <w:rPr>
                <w:color w:val="000000"/>
                <w:lang w:val="en-GB"/>
              </w:rPr>
              <w:t xml:space="preserve">Quantitation of immunoglobulin </w:t>
            </w:r>
            <w:r w:rsidR="00845DAA">
              <w:rPr>
                <w:color w:val="000000"/>
                <w:lang w:val="en-GB"/>
              </w:rPr>
              <w:t>E</w:t>
            </w:r>
            <w:r w:rsidRPr="005B028B">
              <w:rPr>
                <w:color w:val="000000"/>
                <w:lang w:val="en-GB"/>
              </w:rPr>
              <w:t xml:space="preserve"> (total)</w:t>
            </w:r>
            <w:r w:rsidR="00845DAA">
              <w:rPr>
                <w:color w:val="000000"/>
                <w:lang w:val="en-GB"/>
              </w:rPr>
              <w:t xml:space="preserve"> (IgE) </w:t>
            </w:r>
            <w:r w:rsidRPr="005B028B">
              <w:rPr>
                <w:color w:val="000000"/>
                <w:lang w:val="en-GB"/>
              </w:rPr>
              <w:t>in the follow up of a patient with proven immunoglobulin-</w:t>
            </w:r>
            <w:r w:rsidR="00845DAA">
              <w:rPr>
                <w:color w:val="000000"/>
                <w:lang w:val="en-GB"/>
              </w:rPr>
              <w:t>E</w:t>
            </w:r>
            <w:r w:rsidRPr="005B028B">
              <w:rPr>
                <w:color w:val="000000"/>
                <w:lang w:val="en-GB"/>
              </w:rPr>
              <w:t xml:space="preserve">-secreting myeloma, proven congenital immunodeficiency or proven </w:t>
            </w:r>
            <w:r w:rsidRPr="005B028B">
              <w:rPr>
                <w:color w:val="000000"/>
                <w:lang w:val="en-GB"/>
              </w:rPr>
              <w:lastRenderedPageBreak/>
              <w:t>allergic bronchopulmonary aspergillosis, 1 test. (Item is subject to rule 25)</w:t>
            </w:r>
          </w:p>
        </w:tc>
        <w:tc>
          <w:tcPr>
            <w:tcW w:w="1134" w:type="dxa"/>
            <w:noWrap/>
          </w:tcPr>
          <w:p w14:paraId="71E8A0B2" w14:textId="77777777" w:rsidR="00503792" w:rsidRPr="005B028B" w:rsidRDefault="00503792" w:rsidP="007B6365">
            <w:pPr>
              <w:pStyle w:val="02Tabletext"/>
              <w:jc w:val="right"/>
              <w:rPr>
                <w:color w:val="000000"/>
                <w:lang w:val="en-GB"/>
              </w:rPr>
            </w:pPr>
            <w:r w:rsidRPr="005B028B">
              <w:rPr>
                <w:color w:val="000000"/>
                <w:lang w:val="en-GB"/>
              </w:rPr>
              <w:lastRenderedPageBreak/>
              <w:t>$27.05</w:t>
            </w:r>
          </w:p>
        </w:tc>
        <w:tc>
          <w:tcPr>
            <w:tcW w:w="1276" w:type="dxa"/>
            <w:noWrap/>
          </w:tcPr>
          <w:p w14:paraId="0469B02C" w14:textId="77777777" w:rsidR="00503792" w:rsidRPr="00423A79" w:rsidRDefault="00503792" w:rsidP="007B6365">
            <w:pPr>
              <w:pStyle w:val="02Tabletext"/>
              <w:jc w:val="right"/>
              <w:rPr>
                <w:color w:val="000000"/>
                <w:lang w:val="en-GB"/>
              </w:rPr>
            </w:pPr>
            <w:r>
              <w:rPr>
                <w:color w:val="000000"/>
                <w:lang w:val="en-GB"/>
              </w:rPr>
              <w:t>2</w:t>
            </w:r>
          </w:p>
        </w:tc>
        <w:tc>
          <w:tcPr>
            <w:tcW w:w="1213" w:type="dxa"/>
          </w:tcPr>
          <w:p w14:paraId="659843DA" w14:textId="77777777" w:rsidR="00503792" w:rsidRPr="005B028B" w:rsidRDefault="00503792" w:rsidP="007B6365">
            <w:pPr>
              <w:pStyle w:val="02Tabletext"/>
              <w:jc w:val="right"/>
              <w:rPr>
                <w:color w:val="000000"/>
                <w:lang w:val="en-GB"/>
              </w:rPr>
            </w:pPr>
            <w:r w:rsidRPr="005B028B">
              <w:rPr>
                <w:color w:val="000000"/>
                <w:lang w:val="en-GB"/>
              </w:rPr>
              <w:t>$43</w:t>
            </w:r>
          </w:p>
        </w:tc>
        <w:tc>
          <w:tcPr>
            <w:tcW w:w="913" w:type="dxa"/>
            <w:noWrap/>
          </w:tcPr>
          <w:p w14:paraId="1D6FE10F" w14:textId="77777777" w:rsidR="00503792" w:rsidRPr="00423A79" w:rsidRDefault="00503792" w:rsidP="007B6365">
            <w:pPr>
              <w:pStyle w:val="02Tabletext"/>
              <w:jc w:val="right"/>
              <w:rPr>
                <w:color w:val="000000"/>
                <w:lang w:val="en-GB"/>
              </w:rPr>
            </w:pPr>
            <w:r>
              <w:rPr>
                <w:color w:val="000000"/>
                <w:lang w:val="en-GB"/>
              </w:rPr>
              <w:t>2</w:t>
            </w:r>
          </w:p>
        </w:tc>
        <w:tc>
          <w:tcPr>
            <w:tcW w:w="964" w:type="dxa"/>
            <w:noWrap/>
          </w:tcPr>
          <w:p w14:paraId="6819AE46" w14:textId="77777777" w:rsidR="00503792" w:rsidRPr="005B028B" w:rsidRDefault="00503792" w:rsidP="007B6365">
            <w:pPr>
              <w:pStyle w:val="02Tabletext"/>
              <w:jc w:val="right"/>
              <w:rPr>
                <w:color w:val="000000"/>
                <w:lang w:val="en-GB"/>
              </w:rPr>
            </w:pPr>
            <w:r w:rsidRPr="005B028B">
              <w:rPr>
                <w:color w:val="000000"/>
                <w:lang w:val="en-GB"/>
              </w:rPr>
              <w:t>14.9%</w:t>
            </w:r>
          </w:p>
        </w:tc>
      </w:tr>
    </w:tbl>
    <w:p w14:paraId="71A78D5C" w14:textId="77777777" w:rsidR="00503792" w:rsidRPr="00503792" w:rsidRDefault="008A5306" w:rsidP="0023110D">
      <w:pPr>
        <w:pStyle w:val="Heading3Numbered"/>
      </w:pPr>
      <w:r>
        <w:t>Recommendation</w:t>
      </w:r>
      <w:r w:rsidR="00410457">
        <w:t xml:space="preserve"> 10</w:t>
      </w:r>
    </w:p>
    <w:p w14:paraId="43E6EEC5" w14:textId="77777777" w:rsidR="00630E09" w:rsidRDefault="00C83EF8">
      <w:pPr>
        <w:pStyle w:val="NormalBulleted"/>
        <w:rPr>
          <w:lang w:val="en-US"/>
        </w:rPr>
      </w:pPr>
      <w:r>
        <w:rPr>
          <w:lang w:val="en-US"/>
        </w:rPr>
        <w:t>Consolidate</w:t>
      </w:r>
      <w:r w:rsidR="00630E09">
        <w:rPr>
          <w:lang w:val="en-US"/>
        </w:rPr>
        <w:t xml:space="preserve"> item 71077 </w:t>
      </w:r>
      <w:r w:rsidR="00F43BBA">
        <w:rPr>
          <w:lang w:val="en-US"/>
        </w:rPr>
        <w:t>into item 71075</w:t>
      </w:r>
      <w:r w:rsidR="008860F1">
        <w:rPr>
          <w:lang w:val="en-US"/>
        </w:rPr>
        <w:t>.</w:t>
      </w:r>
    </w:p>
    <w:p w14:paraId="0D62C839" w14:textId="77777777" w:rsidR="008A5306" w:rsidRDefault="002C5925">
      <w:pPr>
        <w:pStyle w:val="NormalBulleted"/>
        <w:rPr>
          <w:lang w:val="en-US"/>
        </w:rPr>
      </w:pPr>
      <w:r>
        <w:rPr>
          <w:lang w:val="en-US"/>
        </w:rPr>
        <w:t>C</w:t>
      </w:r>
      <w:r w:rsidR="008A5306">
        <w:rPr>
          <w:lang w:val="en-US"/>
        </w:rPr>
        <w:t>hange the fee of item 71075 to the same fee as item 71077</w:t>
      </w:r>
      <w:r w:rsidR="003366E0">
        <w:rPr>
          <w:lang w:val="en-US"/>
        </w:rPr>
        <w:t>.</w:t>
      </w:r>
      <w:r w:rsidR="008A5306">
        <w:rPr>
          <w:lang w:val="en-US"/>
        </w:rPr>
        <w:t xml:space="preserve"> </w:t>
      </w:r>
    </w:p>
    <w:p w14:paraId="21A7DF37" w14:textId="77777777" w:rsidR="003366E0" w:rsidRDefault="00AB6550">
      <w:pPr>
        <w:pStyle w:val="Caption"/>
        <w:rPr>
          <w:lang w:val="en-US"/>
        </w:rPr>
      </w:pPr>
      <w:bookmarkStart w:id="68" w:name="_Toc499289258"/>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21</w:t>
      </w:r>
      <w:r w:rsidR="0004721F">
        <w:rPr>
          <w:noProof/>
        </w:rPr>
        <w:fldChar w:fldCharType="end"/>
      </w:r>
      <w:r>
        <w:t xml:space="preserve">. </w:t>
      </w:r>
      <w:r w:rsidR="003366E0">
        <w:rPr>
          <w:lang w:val="en-US"/>
        </w:rPr>
        <w:t>Current and proposed item descriptor</w:t>
      </w:r>
      <w:r w:rsidR="00706115">
        <w:rPr>
          <w:lang w:val="en-US"/>
        </w:rPr>
        <w:t>s for items 71075 and 71077</w:t>
      </w:r>
      <w:bookmarkEnd w:id="68"/>
    </w:p>
    <w:tbl>
      <w:tblPr>
        <w:tblStyle w:val="TableGrid"/>
        <w:tblW w:w="9276" w:type="dxa"/>
        <w:tblInd w:w="-147" w:type="dxa"/>
        <w:tblLook w:val="04A0" w:firstRow="1" w:lastRow="0" w:firstColumn="1" w:lastColumn="0" w:noHBand="0" w:noVBand="1"/>
        <w:tblCaption w:val="Table 21: Current and proposed item descriptors for items 71075 and 71077"/>
        <w:tblDescription w:val="Table 21 lists the current and proposed item descriptors for items 71075 and 71077. "/>
      </w:tblPr>
      <w:tblGrid>
        <w:gridCol w:w="1135"/>
        <w:gridCol w:w="3827"/>
        <w:gridCol w:w="4314"/>
      </w:tblGrid>
      <w:tr w:rsidR="003366E0" w:rsidRPr="00191C0B" w14:paraId="04F5E6C2" w14:textId="77777777" w:rsidTr="007B6365">
        <w:trPr>
          <w:tblHeader/>
        </w:trPr>
        <w:tc>
          <w:tcPr>
            <w:tcW w:w="1135" w:type="dxa"/>
            <w:shd w:val="clear" w:color="auto" w:fill="EEECE1" w:themeFill="background2"/>
          </w:tcPr>
          <w:p w14:paraId="402B16C6" w14:textId="77777777" w:rsidR="003366E0" w:rsidRPr="00191C0B" w:rsidRDefault="003366E0" w:rsidP="007B6365">
            <w:pPr>
              <w:pStyle w:val="01Tableheaderrow"/>
              <w:rPr>
                <w:lang w:val="en-US"/>
              </w:rPr>
            </w:pPr>
            <w:r w:rsidRPr="00191C0B">
              <w:rPr>
                <w:lang w:val="en-US"/>
              </w:rPr>
              <w:t>Item</w:t>
            </w:r>
          </w:p>
        </w:tc>
        <w:tc>
          <w:tcPr>
            <w:tcW w:w="3827" w:type="dxa"/>
            <w:shd w:val="clear" w:color="auto" w:fill="EEECE1" w:themeFill="background2"/>
          </w:tcPr>
          <w:p w14:paraId="501582F2" w14:textId="77777777" w:rsidR="003366E0" w:rsidRPr="00191C0B" w:rsidRDefault="003366E0" w:rsidP="007B6365">
            <w:pPr>
              <w:pStyle w:val="01Tableheaderrow"/>
              <w:rPr>
                <w:lang w:val="en-US"/>
              </w:rPr>
            </w:pPr>
            <w:r w:rsidRPr="00191C0B">
              <w:rPr>
                <w:lang w:val="en-US"/>
              </w:rPr>
              <w:t>Current item descriptor</w:t>
            </w:r>
          </w:p>
        </w:tc>
        <w:tc>
          <w:tcPr>
            <w:tcW w:w="4314" w:type="dxa"/>
            <w:shd w:val="clear" w:color="auto" w:fill="EEECE1" w:themeFill="background2"/>
          </w:tcPr>
          <w:p w14:paraId="644D4FA9" w14:textId="77777777" w:rsidR="003366E0" w:rsidRPr="00191C0B" w:rsidRDefault="003366E0" w:rsidP="007B6365">
            <w:pPr>
              <w:pStyle w:val="01Tableheaderrow"/>
              <w:rPr>
                <w:lang w:val="en-US"/>
              </w:rPr>
            </w:pPr>
            <w:r w:rsidRPr="00191C0B">
              <w:rPr>
                <w:lang w:val="en-US"/>
              </w:rPr>
              <w:t>Proposed item descriptor</w:t>
            </w:r>
          </w:p>
        </w:tc>
      </w:tr>
      <w:tr w:rsidR="003366E0" w14:paraId="113FFB8C" w14:textId="77777777" w:rsidTr="004D7AF7">
        <w:tc>
          <w:tcPr>
            <w:tcW w:w="1135" w:type="dxa"/>
          </w:tcPr>
          <w:p w14:paraId="68A24437" w14:textId="77777777" w:rsidR="003366E0" w:rsidRDefault="00C83EF8" w:rsidP="007B6365">
            <w:pPr>
              <w:pStyle w:val="02Tabletext"/>
              <w:rPr>
                <w:lang w:val="en-US"/>
              </w:rPr>
            </w:pPr>
            <w:r w:rsidRPr="00E70CDC">
              <w:t>71</w:t>
            </w:r>
            <w:r>
              <w:t>075</w:t>
            </w:r>
          </w:p>
        </w:tc>
        <w:tc>
          <w:tcPr>
            <w:tcW w:w="3827" w:type="dxa"/>
          </w:tcPr>
          <w:p w14:paraId="341FE479" w14:textId="77777777" w:rsidR="003366E0" w:rsidRDefault="00C83EF8" w:rsidP="007B6365">
            <w:pPr>
              <w:pStyle w:val="02Tabletext"/>
              <w:rPr>
                <w:lang w:val="en-US"/>
              </w:rPr>
            </w:pPr>
            <w:r w:rsidRPr="00C83EF8">
              <w:rPr>
                <w:lang w:val="en-US"/>
              </w:rPr>
              <w:t>Quantitation of immunoglobulin E (total), (IgE)</w:t>
            </w:r>
            <w:r w:rsidR="00AB6550">
              <w:rPr>
                <w:lang w:val="en-US"/>
              </w:rPr>
              <w:t xml:space="preserve"> </w:t>
            </w:r>
            <w:r w:rsidRPr="00C83EF8">
              <w:rPr>
                <w:lang w:val="en-US"/>
              </w:rPr>
              <w:t>1 test. (Item is subject to rule 25)</w:t>
            </w:r>
          </w:p>
        </w:tc>
        <w:tc>
          <w:tcPr>
            <w:tcW w:w="4314" w:type="dxa"/>
          </w:tcPr>
          <w:p w14:paraId="468CBE6A" w14:textId="77777777" w:rsidR="003366E0" w:rsidRDefault="00C83EF8" w:rsidP="007B6365">
            <w:pPr>
              <w:pStyle w:val="02Tabletext"/>
              <w:rPr>
                <w:lang w:val="en-US"/>
              </w:rPr>
            </w:pPr>
            <w:r w:rsidRPr="00C83EF8">
              <w:rPr>
                <w:lang w:val="en-US"/>
              </w:rPr>
              <w:t>Quantitation of immunoglobulin E (total), (IgE)</w:t>
            </w:r>
            <w:r w:rsidR="00AB6550">
              <w:rPr>
                <w:lang w:val="en-US"/>
              </w:rPr>
              <w:t xml:space="preserve"> </w:t>
            </w:r>
            <w:r w:rsidRPr="00C83EF8">
              <w:rPr>
                <w:lang w:val="en-US"/>
              </w:rPr>
              <w:t>1 test. (Item is subject to rule 25)</w:t>
            </w:r>
          </w:p>
          <w:p w14:paraId="2071B4C9" w14:textId="77777777" w:rsidR="00E9318C" w:rsidRDefault="00E9318C" w:rsidP="007B6365">
            <w:pPr>
              <w:pStyle w:val="02Tabletext"/>
              <w:rPr>
                <w:lang w:val="en-US"/>
              </w:rPr>
            </w:pPr>
            <w:r>
              <w:rPr>
                <w:lang w:val="en-US"/>
              </w:rPr>
              <w:t>Explanatory note:</w:t>
            </w:r>
          </w:p>
          <w:p w14:paraId="45315969" w14:textId="77777777" w:rsidR="00E9318C" w:rsidRPr="00AD2E2D" w:rsidRDefault="00E9318C" w:rsidP="007B6365">
            <w:pPr>
              <w:pStyle w:val="02Tabletext"/>
              <w:rPr>
                <w:lang w:val="en-US"/>
              </w:rPr>
            </w:pPr>
            <w:r w:rsidRPr="00262050">
              <w:rPr>
                <w:lang w:val="en-US"/>
              </w:rPr>
              <w:t>Repeat testing of IgE in the monitoring of allergy is of no clinical use.</w:t>
            </w:r>
          </w:p>
        </w:tc>
      </w:tr>
      <w:tr w:rsidR="00C83EF8" w14:paraId="236876FC" w14:textId="77777777" w:rsidTr="004D7AF7">
        <w:tc>
          <w:tcPr>
            <w:tcW w:w="1135" w:type="dxa"/>
          </w:tcPr>
          <w:p w14:paraId="5EA1DAA3" w14:textId="77777777" w:rsidR="00C83EF8" w:rsidRPr="00E70CDC" w:rsidRDefault="00C83EF8" w:rsidP="007B6365">
            <w:pPr>
              <w:pStyle w:val="02Tabletext"/>
            </w:pPr>
            <w:r>
              <w:t>71077</w:t>
            </w:r>
          </w:p>
        </w:tc>
        <w:tc>
          <w:tcPr>
            <w:tcW w:w="3827" w:type="dxa"/>
          </w:tcPr>
          <w:p w14:paraId="024D8293" w14:textId="77777777" w:rsidR="00C83EF8" w:rsidRDefault="00C83EF8" w:rsidP="007B6365">
            <w:pPr>
              <w:pStyle w:val="02Tabletext"/>
              <w:rPr>
                <w:lang w:val="en-US"/>
              </w:rPr>
            </w:pPr>
            <w:r w:rsidRPr="00C83EF8">
              <w:rPr>
                <w:lang w:val="en-US"/>
              </w:rPr>
              <w:t>Quantitation of immunoglobulin E (total) (IgE) in the follow up of a patient with proven immunoglobulin-E-secreting myeloma, proven congenital immunodeficiency or proven allergic bronchopulmonary aspergillosis, 1 test. (Item is subject to rule 25)</w:t>
            </w:r>
          </w:p>
        </w:tc>
        <w:tc>
          <w:tcPr>
            <w:tcW w:w="4314" w:type="dxa"/>
          </w:tcPr>
          <w:p w14:paraId="7296EF55" w14:textId="77777777" w:rsidR="00C83EF8" w:rsidRDefault="00C83EF8" w:rsidP="007B6365">
            <w:pPr>
              <w:pStyle w:val="02Tabletext"/>
              <w:rPr>
                <w:lang w:val="en-US"/>
              </w:rPr>
            </w:pPr>
            <w:r>
              <w:rPr>
                <w:lang w:val="en-US"/>
              </w:rPr>
              <w:t>Delete</w:t>
            </w:r>
          </w:p>
        </w:tc>
      </w:tr>
    </w:tbl>
    <w:p w14:paraId="79A969B3" w14:textId="77777777" w:rsidR="008A5306" w:rsidRDefault="008A5306" w:rsidP="0023110D">
      <w:pPr>
        <w:pStyle w:val="Heading3Numbered"/>
      </w:pPr>
      <w:r>
        <w:t>Rationale</w:t>
      </w:r>
      <w:r w:rsidR="00410457">
        <w:t xml:space="preserve"> 10</w:t>
      </w:r>
    </w:p>
    <w:p w14:paraId="7348F528" w14:textId="77777777" w:rsidR="005542BF" w:rsidRDefault="004A19F9">
      <w:pPr>
        <w:pStyle w:val="NormalBulleted"/>
        <w:rPr>
          <w:lang w:val="en-US"/>
        </w:rPr>
      </w:pPr>
      <w:r>
        <w:rPr>
          <w:lang w:val="en-US"/>
        </w:rPr>
        <w:t>The Committee noted the</w:t>
      </w:r>
      <w:r w:rsidRPr="004A19F9">
        <w:rPr>
          <w:lang w:val="en-US"/>
        </w:rPr>
        <w:t xml:space="preserve"> </w:t>
      </w:r>
      <w:r w:rsidRPr="005542BF">
        <w:rPr>
          <w:lang w:val="en-US"/>
        </w:rPr>
        <w:t>low usage of item</w:t>
      </w:r>
      <w:r w:rsidR="004C52D2">
        <w:rPr>
          <w:lang w:val="en-US"/>
        </w:rPr>
        <w:t xml:space="preserve"> 71077</w:t>
      </w:r>
      <w:r w:rsidR="00D90361">
        <w:rPr>
          <w:lang w:val="en-US"/>
        </w:rPr>
        <w:t xml:space="preserve"> </w:t>
      </w:r>
      <w:r w:rsidR="00D90361" w:rsidRPr="00790E6C">
        <w:rPr>
          <w:lang w:val="en-US"/>
        </w:rPr>
        <w:t xml:space="preserve">is due to the </w:t>
      </w:r>
      <w:r w:rsidR="00282E67" w:rsidRPr="00282E67">
        <w:rPr>
          <w:lang w:val="en-US"/>
        </w:rPr>
        <w:t>difficulty in the coding</w:t>
      </w:r>
      <w:r w:rsidR="001A3D58" w:rsidRPr="00282E67">
        <w:rPr>
          <w:lang w:val="en-US"/>
        </w:rPr>
        <w:t>,</w:t>
      </w:r>
      <w:r w:rsidR="00F43BBA">
        <w:rPr>
          <w:lang w:val="en-US"/>
        </w:rPr>
        <w:t xml:space="preserve"> </w:t>
      </w:r>
      <w:r w:rsidR="002C5925">
        <w:rPr>
          <w:lang w:val="en-US"/>
        </w:rPr>
        <w:t xml:space="preserve">with </w:t>
      </w:r>
      <w:r w:rsidR="00F43BBA">
        <w:rPr>
          <w:lang w:val="en-US"/>
        </w:rPr>
        <w:t xml:space="preserve">item 71077 </w:t>
      </w:r>
      <w:r w:rsidR="002C5925">
        <w:rPr>
          <w:lang w:val="en-US"/>
        </w:rPr>
        <w:t>being</w:t>
      </w:r>
      <w:r w:rsidR="00F43BBA">
        <w:rPr>
          <w:lang w:val="en-US"/>
        </w:rPr>
        <w:t xml:space="preserve"> billed as item 71075</w:t>
      </w:r>
      <w:r w:rsidR="00D90361">
        <w:rPr>
          <w:lang w:val="en-US"/>
        </w:rPr>
        <w:t>.</w:t>
      </w:r>
      <w:r w:rsidR="00F43BBA">
        <w:rPr>
          <w:lang w:val="en-US"/>
        </w:rPr>
        <w:t xml:space="preserve"> Items 71075 and items 71077 are </w:t>
      </w:r>
      <w:r w:rsidR="00B614C1">
        <w:rPr>
          <w:lang w:val="en-US"/>
        </w:rPr>
        <w:t xml:space="preserve">essentially </w:t>
      </w:r>
      <w:r w:rsidR="008860F1">
        <w:rPr>
          <w:lang w:val="en-US"/>
        </w:rPr>
        <w:t xml:space="preserve">the </w:t>
      </w:r>
      <w:r w:rsidR="00F43BBA">
        <w:rPr>
          <w:lang w:val="en-US"/>
        </w:rPr>
        <w:t xml:space="preserve">same tests but are used for different indications. </w:t>
      </w:r>
      <w:r w:rsidR="00B614C1">
        <w:rPr>
          <w:lang w:val="en-US"/>
        </w:rPr>
        <w:t xml:space="preserve">Deleting item 71077 and consolidating it into item 71075 will simplify the </w:t>
      </w:r>
      <w:r w:rsidR="002C5925">
        <w:rPr>
          <w:lang w:val="en-US"/>
        </w:rPr>
        <w:t xml:space="preserve">MBS </w:t>
      </w:r>
      <w:r w:rsidR="00B614C1">
        <w:rPr>
          <w:lang w:val="en-US"/>
        </w:rPr>
        <w:t xml:space="preserve">and avoid confusion in terms of </w:t>
      </w:r>
      <w:r w:rsidR="002C5925">
        <w:rPr>
          <w:lang w:val="en-US"/>
        </w:rPr>
        <w:t>claiming</w:t>
      </w:r>
      <w:r w:rsidR="005542BF" w:rsidRPr="005542BF">
        <w:rPr>
          <w:lang w:val="en-US"/>
        </w:rPr>
        <w:t>.</w:t>
      </w:r>
    </w:p>
    <w:p w14:paraId="50F1E68F" w14:textId="77777777" w:rsidR="00845DAA" w:rsidRDefault="00845DAA">
      <w:pPr>
        <w:pStyle w:val="NormalBulleted"/>
        <w:rPr>
          <w:lang w:val="en-US"/>
        </w:rPr>
      </w:pPr>
      <w:r>
        <w:rPr>
          <w:lang w:val="en-US"/>
        </w:rPr>
        <w:t xml:space="preserve">Monitoring total IgE levels is appropriate for </w:t>
      </w:r>
      <w:r w:rsidRPr="00845DAA">
        <w:rPr>
          <w:lang w:val="en-US"/>
        </w:rPr>
        <w:t>allergic bronchopulmonary aspergillosis</w:t>
      </w:r>
      <w:r>
        <w:rPr>
          <w:lang w:val="en-US"/>
        </w:rPr>
        <w:t xml:space="preserve"> and IgE-secreting myeloma (the latter is extremely rare), and such testing should be able to be accommodated with </w:t>
      </w:r>
      <w:r w:rsidR="00500BD9">
        <w:rPr>
          <w:lang w:val="en-US"/>
        </w:rPr>
        <w:t>four tests per year.</w:t>
      </w:r>
      <w:r w:rsidR="00233169">
        <w:rPr>
          <w:lang w:val="en-US"/>
        </w:rPr>
        <w:t xml:space="preserve"> During the financial year 2014–2015, a total of 123,188 patients received service for item 71075 once, 4522 patients received the service twice, </w:t>
      </w:r>
      <w:r w:rsidR="00A06BE4">
        <w:rPr>
          <w:lang w:val="en-US"/>
        </w:rPr>
        <w:t>386 </w:t>
      </w:r>
      <w:r w:rsidR="00233169">
        <w:rPr>
          <w:lang w:val="en-US"/>
        </w:rPr>
        <w:t xml:space="preserve">patients received the service </w:t>
      </w:r>
      <w:r w:rsidR="00A06BE4">
        <w:rPr>
          <w:lang w:val="en-US"/>
        </w:rPr>
        <w:t xml:space="preserve">three </w:t>
      </w:r>
      <w:r w:rsidR="00233169">
        <w:rPr>
          <w:lang w:val="en-US"/>
        </w:rPr>
        <w:t>times</w:t>
      </w:r>
      <w:r w:rsidR="00333B9E">
        <w:rPr>
          <w:lang w:val="en-US"/>
        </w:rPr>
        <w:t xml:space="preserve"> and 97 patients received the service </w:t>
      </w:r>
      <w:r w:rsidR="00A06BE4">
        <w:rPr>
          <w:lang w:val="en-US"/>
        </w:rPr>
        <w:t xml:space="preserve">four </w:t>
      </w:r>
      <w:r w:rsidR="00333B9E">
        <w:rPr>
          <w:lang w:val="en-US"/>
        </w:rPr>
        <w:t>times. The maximum number of times a patient received a service for item 71075 was 12 during 2014–2015</w:t>
      </w:r>
      <w:r w:rsidR="00027AC6">
        <w:rPr>
          <w:lang w:val="en-US"/>
        </w:rPr>
        <w:t xml:space="preserve">; 77 patients received a service for item 71075 more than </w:t>
      </w:r>
      <w:r w:rsidR="00A06BE4">
        <w:rPr>
          <w:lang w:val="en-US"/>
        </w:rPr>
        <w:t xml:space="preserve">four </w:t>
      </w:r>
      <w:r w:rsidR="00027AC6">
        <w:rPr>
          <w:lang w:val="en-US"/>
        </w:rPr>
        <w:t>times.</w:t>
      </w:r>
    </w:p>
    <w:p w14:paraId="6B26CC7F" w14:textId="77777777" w:rsidR="00C83EF8" w:rsidRDefault="00C83EF8">
      <w:pPr>
        <w:pStyle w:val="NormalBulleted"/>
        <w:rPr>
          <w:lang w:val="en-US"/>
        </w:rPr>
      </w:pPr>
      <w:r>
        <w:rPr>
          <w:lang w:val="en-US"/>
        </w:rPr>
        <w:t xml:space="preserve">There is no clinical utility in testing more than </w:t>
      </w:r>
      <w:r w:rsidR="00C11741">
        <w:rPr>
          <w:lang w:val="en-US"/>
        </w:rPr>
        <w:t xml:space="preserve">four </w:t>
      </w:r>
      <w:r>
        <w:rPr>
          <w:lang w:val="en-US"/>
        </w:rPr>
        <w:t>times within a 12-month period.</w:t>
      </w:r>
      <w:r w:rsidR="00746C0F">
        <w:rPr>
          <w:lang w:val="en-US"/>
        </w:rPr>
        <w:t xml:space="preserve"> </w:t>
      </w:r>
    </w:p>
    <w:p w14:paraId="4A800817" w14:textId="77777777" w:rsidR="00C83EF8" w:rsidRDefault="00C83EF8">
      <w:pPr>
        <w:pStyle w:val="NormalBulleted"/>
        <w:rPr>
          <w:lang w:val="en-US"/>
        </w:rPr>
      </w:pPr>
      <w:r>
        <w:rPr>
          <w:lang w:val="en-US"/>
        </w:rPr>
        <w:t>The proposed changes will have no direct effect on patients.</w:t>
      </w:r>
    </w:p>
    <w:p w14:paraId="2CC3402F" w14:textId="77777777" w:rsidR="001B0ED1" w:rsidRDefault="001B0ED1" w:rsidP="00E2562E">
      <w:pPr>
        <w:pStyle w:val="Heading2"/>
      </w:pPr>
      <w:bookmarkStart w:id="69" w:name="_Toc499293046"/>
      <w:r>
        <w:t xml:space="preserve">Quantitation of total </w:t>
      </w:r>
      <w:r w:rsidR="002A3902">
        <w:t>i</w:t>
      </w:r>
      <w:r>
        <w:t>mmunoglobulin A: item 71066</w:t>
      </w:r>
      <w:bookmarkEnd w:id="69"/>
    </w:p>
    <w:p w14:paraId="59821F24" w14:textId="77777777" w:rsidR="00660BFE" w:rsidRDefault="00426D52" w:rsidP="0066661B">
      <w:pPr>
        <w:pStyle w:val="Caption"/>
      </w:pPr>
      <w:bookmarkStart w:id="70" w:name="_Toc485132207"/>
      <w:bookmarkStart w:id="71" w:name="_Toc499289259"/>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22</w:t>
      </w:r>
      <w:r w:rsidR="0004721F">
        <w:rPr>
          <w:noProof/>
        </w:rPr>
        <w:fldChar w:fldCharType="end"/>
      </w:r>
      <w:r>
        <w:t xml:space="preserve">. </w:t>
      </w:r>
      <w:r w:rsidR="00660BFE">
        <w:t>Item introduction table for item 71066</w:t>
      </w:r>
      <w:bookmarkEnd w:id="70"/>
      <w:bookmarkEnd w:id="71"/>
    </w:p>
    <w:tbl>
      <w:tblPr>
        <w:tblStyle w:val="TableGrid1"/>
        <w:tblW w:w="9039" w:type="dxa"/>
        <w:tblLayout w:type="fixed"/>
        <w:tblLook w:val="04A0" w:firstRow="1" w:lastRow="0" w:firstColumn="1" w:lastColumn="0" w:noHBand="0" w:noVBand="1"/>
        <w:tblCaption w:val="Table 22: Item introduction table for item 71066"/>
        <w:tblDescription w:val="Table 22 contains MBS data for item 71066 for the financial year 2014–2015. The data includes item number, long item descriptor, schedule fee, total volume of services, benefits paid, patient count and services annual average growth as a pecentage over a 5 year period."/>
      </w:tblPr>
      <w:tblGrid>
        <w:gridCol w:w="776"/>
        <w:gridCol w:w="2621"/>
        <w:gridCol w:w="1134"/>
        <w:gridCol w:w="1276"/>
        <w:gridCol w:w="1276"/>
        <w:gridCol w:w="850"/>
        <w:gridCol w:w="1106"/>
      </w:tblGrid>
      <w:tr w:rsidR="001B0ED1" w:rsidRPr="00DD5A29" w14:paraId="5F724D27" w14:textId="77777777" w:rsidTr="007B6365">
        <w:trPr>
          <w:trHeight w:val="729"/>
          <w:tblHeader/>
        </w:trPr>
        <w:tc>
          <w:tcPr>
            <w:tcW w:w="776" w:type="dxa"/>
            <w:shd w:val="clear" w:color="auto" w:fill="EEECE1" w:themeFill="background2"/>
            <w:vAlign w:val="bottom"/>
            <w:hideMark/>
          </w:tcPr>
          <w:p w14:paraId="6FF1A0A3" w14:textId="77777777" w:rsidR="001B0ED1" w:rsidRPr="00DD5A29" w:rsidRDefault="001B0ED1" w:rsidP="007B6365">
            <w:pPr>
              <w:pStyle w:val="01Tableheaderrow"/>
              <w:rPr>
                <w:lang w:val="en-GB"/>
              </w:rPr>
            </w:pPr>
            <w:r w:rsidRPr="00C70F36">
              <w:rPr>
                <w:lang w:val="en-GB"/>
              </w:rPr>
              <w:t>Item</w:t>
            </w:r>
          </w:p>
        </w:tc>
        <w:tc>
          <w:tcPr>
            <w:tcW w:w="2621" w:type="dxa"/>
            <w:shd w:val="clear" w:color="auto" w:fill="EEECE1" w:themeFill="background2"/>
            <w:vAlign w:val="bottom"/>
            <w:hideMark/>
          </w:tcPr>
          <w:p w14:paraId="23AC7105" w14:textId="77777777" w:rsidR="001B0ED1" w:rsidRPr="00DD5A29" w:rsidRDefault="001B0ED1" w:rsidP="007B6365">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134" w:type="dxa"/>
            <w:shd w:val="clear" w:color="auto" w:fill="EEECE1" w:themeFill="background2"/>
            <w:vAlign w:val="bottom"/>
            <w:hideMark/>
          </w:tcPr>
          <w:p w14:paraId="2978A48F" w14:textId="77777777" w:rsidR="001B0ED1" w:rsidRPr="00256B04" w:rsidRDefault="001B0ED1" w:rsidP="007B6365">
            <w:pPr>
              <w:pStyle w:val="01Tableheaderrow"/>
              <w:rPr>
                <w:lang w:val="en-GB"/>
              </w:rPr>
            </w:pPr>
            <w:r w:rsidRPr="00C70F36">
              <w:rPr>
                <w:lang w:val="en-GB"/>
              </w:rPr>
              <w:t>Schedule fee</w:t>
            </w:r>
          </w:p>
        </w:tc>
        <w:tc>
          <w:tcPr>
            <w:tcW w:w="1276" w:type="dxa"/>
            <w:shd w:val="clear" w:color="auto" w:fill="EEECE1" w:themeFill="background2"/>
            <w:vAlign w:val="bottom"/>
            <w:hideMark/>
          </w:tcPr>
          <w:p w14:paraId="144DD054" w14:textId="77777777" w:rsidR="001B0ED1" w:rsidRPr="00DD5A29" w:rsidRDefault="001B0ED1" w:rsidP="007B6365">
            <w:pPr>
              <w:pStyle w:val="01Tableheaderrow"/>
              <w:rPr>
                <w:lang w:val="en-GB"/>
              </w:rPr>
            </w:pPr>
            <w:r w:rsidRPr="00C70F36">
              <w:rPr>
                <w:lang w:val="en-GB"/>
              </w:rPr>
              <w:t xml:space="preserve">Services </w:t>
            </w:r>
            <w:r w:rsidR="007D6844">
              <w:rPr>
                <w:lang w:val="en-GB"/>
              </w:rPr>
              <w:t>FY 2014–15</w:t>
            </w:r>
          </w:p>
        </w:tc>
        <w:tc>
          <w:tcPr>
            <w:tcW w:w="1276" w:type="dxa"/>
            <w:shd w:val="clear" w:color="auto" w:fill="EEECE1" w:themeFill="background2"/>
            <w:vAlign w:val="bottom"/>
          </w:tcPr>
          <w:p w14:paraId="083DD9D8" w14:textId="77777777" w:rsidR="001B0ED1" w:rsidRPr="00DD5A29" w:rsidRDefault="001B0ED1" w:rsidP="007B6365">
            <w:pPr>
              <w:pStyle w:val="01Tableheaderrow"/>
              <w:rPr>
                <w:lang w:val="en-GB"/>
              </w:rPr>
            </w:pPr>
            <w:r w:rsidRPr="00C70F36">
              <w:rPr>
                <w:lang w:val="en-GB"/>
              </w:rPr>
              <w:t xml:space="preserve">Benefits </w:t>
            </w:r>
            <w:r w:rsidR="007D6844">
              <w:rPr>
                <w:lang w:val="en-GB"/>
              </w:rPr>
              <w:t>FY 2014–15</w:t>
            </w:r>
          </w:p>
        </w:tc>
        <w:tc>
          <w:tcPr>
            <w:tcW w:w="850" w:type="dxa"/>
            <w:shd w:val="clear" w:color="auto" w:fill="EEECE1" w:themeFill="background2"/>
            <w:vAlign w:val="bottom"/>
            <w:hideMark/>
          </w:tcPr>
          <w:p w14:paraId="47DAF734" w14:textId="77777777" w:rsidR="001B0ED1" w:rsidRPr="00DD5A29" w:rsidRDefault="001B0ED1" w:rsidP="007B6365">
            <w:pPr>
              <w:pStyle w:val="01Tableheaderrow"/>
              <w:rPr>
                <w:lang w:val="en-GB"/>
              </w:rPr>
            </w:pPr>
            <w:r w:rsidRPr="00C70F36">
              <w:rPr>
                <w:lang w:val="en-GB"/>
              </w:rPr>
              <w:t>Patient count</w:t>
            </w:r>
          </w:p>
        </w:tc>
        <w:tc>
          <w:tcPr>
            <w:tcW w:w="1106" w:type="dxa"/>
            <w:shd w:val="clear" w:color="auto" w:fill="EEECE1" w:themeFill="background2"/>
            <w:vAlign w:val="bottom"/>
            <w:hideMark/>
          </w:tcPr>
          <w:p w14:paraId="364A6786" w14:textId="77777777" w:rsidR="001B0ED1" w:rsidRPr="00DD5A29" w:rsidRDefault="001B0ED1" w:rsidP="007B6365">
            <w:pPr>
              <w:pStyle w:val="01Tableheaderrow"/>
              <w:rPr>
                <w:lang w:val="en-GB"/>
              </w:rPr>
            </w:pPr>
            <w:r w:rsidRPr="00C70F36">
              <w:rPr>
                <w:lang w:val="en-GB"/>
              </w:rPr>
              <w:t xml:space="preserve">Services 5-year </w:t>
            </w:r>
            <w:r w:rsidR="007D6844">
              <w:rPr>
                <w:lang w:val="en-GB"/>
              </w:rPr>
              <w:t>annual average growth</w:t>
            </w:r>
          </w:p>
        </w:tc>
      </w:tr>
      <w:tr w:rsidR="001B0ED1" w:rsidRPr="00DD5A29" w14:paraId="6EAAAAE0" w14:textId="77777777" w:rsidTr="007B6365">
        <w:trPr>
          <w:trHeight w:val="300"/>
        </w:trPr>
        <w:tc>
          <w:tcPr>
            <w:tcW w:w="776" w:type="dxa"/>
            <w:noWrap/>
            <w:hideMark/>
          </w:tcPr>
          <w:p w14:paraId="3F06CA54" w14:textId="77777777" w:rsidR="001B0ED1" w:rsidRPr="00DD5A29" w:rsidRDefault="001B0ED1" w:rsidP="007B6365">
            <w:pPr>
              <w:pStyle w:val="02Tabletext"/>
              <w:rPr>
                <w:color w:val="000000"/>
                <w:lang w:val="en-GB"/>
              </w:rPr>
            </w:pPr>
            <w:r>
              <w:rPr>
                <w:color w:val="000000"/>
                <w:lang w:val="en-GB"/>
              </w:rPr>
              <w:t>71066</w:t>
            </w:r>
          </w:p>
        </w:tc>
        <w:tc>
          <w:tcPr>
            <w:tcW w:w="2621" w:type="dxa"/>
            <w:noWrap/>
            <w:hideMark/>
          </w:tcPr>
          <w:p w14:paraId="028CC758" w14:textId="77777777" w:rsidR="001B0ED1" w:rsidRPr="001E531E" w:rsidRDefault="001B0ED1" w:rsidP="00410457">
            <w:pPr>
              <w:pStyle w:val="02Tabletext"/>
              <w:rPr>
                <w:color w:val="000000"/>
                <w:lang w:val="en-GB"/>
              </w:rPr>
            </w:pPr>
            <w:r>
              <w:rPr>
                <w:color w:val="000000"/>
                <w:lang w:val="en-GB"/>
              </w:rPr>
              <w:t xml:space="preserve">Quantitation of total immunoglobulin </w:t>
            </w:r>
            <w:r w:rsidR="00410457">
              <w:rPr>
                <w:color w:val="000000"/>
                <w:lang w:val="en-GB"/>
              </w:rPr>
              <w:t>A</w:t>
            </w:r>
            <w:r>
              <w:rPr>
                <w:color w:val="000000"/>
                <w:lang w:val="en-GB"/>
              </w:rPr>
              <w:t xml:space="preserve"> by any </w:t>
            </w:r>
            <w:r>
              <w:rPr>
                <w:color w:val="000000"/>
                <w:lang w:val="en-GB"/>
              </w:rPr>
              <w:lastRenderedPageBreak/>
              <w:t>method in serum, urine or other body fluid – 1 test</w:t>
            </w:r>
          </w:p>
        </w:tc>
        <w:tc>
          <w:tcPr>
            <w:tcW w:w="1134" w:type="dxa"/>
            <w:noWrap/>
            <w:hideMark/>
          </w:tcPr>
          <w:p w14:paraId="6DC831BD" w14:textId="77777777" w:rsidR="001B0ED1" w:rsidRPr="001E531E" w:rsidRDefault="001B0ED1" w:rsidP="007B6365">
            <w:pPr>
              <w:pStyle w:val="02Tabletext"/>
              <w:jc w:val="right"/>
              <w:rPr>
                <w:color w:val="000000"/>
                <w:lang w:val="en-GB"/>
              </w:rPr>
            </w:pPr>
            <w:r>
              <w:rPr>
                <w:color w:val="000000"/>
                <w:lang w:val="en-GB"/>
              </w:rPr>
              <w:lastRenderedPageBreak/>
              <w:t>$14.55</w:t>
            </w:r>
          </w:p>
        </w:tc>
        <w:tc>
          <w:tcPr>
            <w:tcW w:w="1276" w:type="dxa"/>
            <w:noWrap/>
            <w:hideMark/>
          </w:tcPr>
          <w:p w14:paraId="34291766" w14:textId="77777777" w:rsidR="001B0ED1" w:rsidRPr="001E531E" w:rsidRDefault="001B0ED1" w:rsidP="007B6365">
            <w:pPr>
              <w:pStyle w:val="02Tabletext"/>
              <w:jc w:val="right"/>
              <w:rPr>
                <w:color w:val="000000"/>
                <w:lang w:val="en-GB"/>
              </w:rPr>
            </w:pPr>
            <w:r>
              <w:rPr>
                <w:color w:val="000000"/>
                <w:lang w:val="en-GB"/>
              </w:rPr>
              <w:t>5150</w:t>
            </w:r>
          </w:p>
        </w:tc>
        <w:tc>
          <w:tcPr>
            <w:tcW w:w="1276" w:type="dxa"/>
          </w:tcPr>
          <w:p w14:paraId="277378A7" w14:textId="77777777" w:rsidR="001B0ED1" w:rsidRPr="001E531E" w:rsidRDefault="001B0ED1" w:rsidP="007B6365">
            <w:pPr>
              <w:pStyle w:val="02Tabletext"/>
              <w:jc w:val="right"/>
              <w:rPr>
                <w:color w:val="000000"/>
                <w:lang w:val="en-GB"/>
              </w:rPr>
            </w:pPr>
            <w:r w:rsidRPr="001B0ED1">
              <w:rPr>
                <w:color w:val="000000"/>
                <w:lang w:val="en-GB"/>
              </w:rPr>
              <w:t>$63,549</w:t>
            </w:r>
          </w:p>
        </w:tc>
        <w:tc>
          <w:tcPr>
            <w:tcW w:w="850" w:type="dxa"/>
            <w:noWrap/>
            <w:hideMark/>
          </w:tcPr>
          <w:p w14:paraId="13E854EB" w14:textId="77777777" w:rsidR="001B0ED1" w:rsidRPr="001E531E" w:rsidRDefault="001B0ED1" w:rsidP="007B6365">
            <w:pPr>
              <w:pStyle w:val="02Tabletext"/>
              <w:jc w:val="right"/>
              <w:rPr>
                <w:color w:val="000000"/>
                <w:lang w:val="en-GB"/>
              </w:rPr>
            </w:pPr>
            <w:r w:rsidRPr="001B0ED1">
              <w:rPr>
                <w:color w:val="000000"/>
                <w:lang w:val="en-GB"/>
              </w:rPr>
              <w:t>4867</w:t>
            </w:r>
          </w:p>
        </w:tc>
        <w:tc>
          <w:tcPr>
            <w:tcW w:w="1106" w:type="dxa"/>
            <w:noWrap/>
            <w:hideMark/>
          </w:tcPr>
          <w:p w14:paraId="530E8254" w14:textId="77777777" w:rsidR="001B0ED1" w:rsidRPr="001E531E" w:rsidRDefault="001B0ED1" w:rsidP="007B6365">
            <w:pPr>
              <w:pStyle w:val="02Tabletext"/>
              <w:jc w:val="right"/>
              <w:rPr>
                <w:color w:val="000000"/>
                <w:lang w:val="en-GB"/>
              </w:rPr>
            </w:pPr>
            <w:r>
              <w:rPr>
                <w:color w:val="000000"/>
                <w:lang w:val="en-GB"/>
              </w:rPr>
              <w:t>–5.5%</w:t>
            </w:r>
          </w:p>
        </w:tc>
      </w:tr>
    </w:tbl>
    <w:p w14:paraId="246A55D4" w14:textId="77777777" w:rsidR="001B0ED1" w:rsidRDefault="004E1690" w:rsidP="0023110D">
      <w:pPr>
        <w:pStyle w:val="Heading3Numbered"/>
      </w:pPr>
      <w:r>
        <w:t>Recommendation</w:t>
      </w:r>
      <w:r w:rsidR="00410457">
        <w:t xml:space="preserve"> 11</w:t>
      </w:r>
    </w:p>
    <w:p w14:paraId="1E6B62A3" w14:textId="77777777" w:rsidR="00660BFE" w:rsidRDefault="002C5925" w:rsidP="007B6365">
      <w:pPr>
        <w:pStyle w:val="NormalBulleted"/>
      </w:pPr>
      <w:r>
        <w:t>R</w:t>
      </w:r>
      <w:r w:rsidR="004E1690">
        <w:t>emove the words ‘urine or other body fluid’ from item 71066</w:t>
      </w:r>
      <w:r>
        <w:t>.</w:t>
      </w:r>
    </w:p>
    <w:p w14:paraId="18B3B8AC" w14:textId="77777777" w:rsidR="00426D52" w:rsidRPr="00084AF3" w:rsidRDefault="00426D52">
      <w:pPr>
        <w:pStyle w:val="Caption"/>
      </w:pPr>
      <w:bookmarkStart w:id="72" w:name="_Toc499289260"/>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23</w:t>
      </w:r>
      <w:r w:rsidR="0004721F">
        <w:rPr>
          <w:noProof/>
        </w:rPr>
        <w:fldChar w:fldCharType="end"/>
      </w:r>
      <w:r>
        <w:t xml:space="preserve">. </w:t>
      </w:r>
      <w:r w:rsidR="009F489F">
        <w:t>Current and proposed item descriptors for item</w:t>
      </w:r>
      <w:r>
        <w:t xml:space="preserve"> 71066</w:t>
      </w:r>
      <w:bookmarkEnd w:id="72"/>
    </w:p>
    <w:tbl>
      <w:tblPr>
        <w:tblStyle w:val="TableGrid"/>
        <w:tblW w:w="0" w:type="auto"/>
        <w:tblInd w:w="-5" w:type="dxa"/>
        <w:tblLook w:val="04A0" w:firstRow="1" w:lastRow="0" w:firstColumn="1" w:lastColumn="0" w:noHBand="0" w:noVBand="1"/>
        <w:tblCaption w:val="Table 23: Current and proposed item descriptor for item 71066"/>
        <w:tblDescription w:val="Table 23 lists the current and proposed item descriptors for item 71066. "/>
      </w:tblPr>
      <w:tblGrid>
        <w:gridCol w:w="1701"/>
        <w:gridCol w:w="3660"/>
        <w:gridCol w:w="3660"/>
      </w:tblGrid>
      <w:tr w:rsidR="00686B6D" w14:paraId="2ED6393D" w14:textId="77777777" w:rsidTr="0023110D">
        <w:trPr>
          <w:tblHeader/>
        </w:trPr>
        <w:tc>
          <w:tcPr>
            <w:tcW w:w="1701" w:type="dxa"/>
            <w:shd w:val="clear" w:color="auto" w:fill="EEECE1" w:themeFill="background2"/>
          </w:tcPr>
          <w:p w14:paraId="41C04D77" w14:textId="77777777" w:rsidR="00236526" w:rsidRPr="00686B6D" w:rsidRDefault="00236526" w:rsidP="007B6365">
            <w:pPr>
              <w:pStyle w:val="01Tableheaderrow"/>
            </w:pPr>
            <w:r w:rsidRPr="00686B6D">
              <w:t>Item</w:t>
            </w:r>
          </w:p>
        </w:tc>
        <w:tc>
          <w:tcPr>
            <w:tcW w:w="3660" w:type="dxa"/>
            <w:shd w:val="clear" w:color="auto" w:fill="EEECE1" w:themeFill="background2"/>
          </w:tcPr>
          <w:p w14:paraId="0968A3CD" w14:textId="77777777" w:rsidR="00236526" w:rsidRPr="00686B6D" w:rsidRDefault="00236526" w:rsidP="007B6365">
            <w:pPr>
              <w:pStyle w:val="01Tableheaderrow"/>
            </w:pPr>
            <w:r w:rsidRPr="00686B6D">
              <w:t>Current item descriptor</w:t>
            </w:r>
          </w:p>
        </w:tc>
        <w:tc>
          <w:tcPr>
            <w:tcW w:w="3660" w:type="dxa"/>
            <w:shd w:val="clear" w:color="auto" w:fill="EEECE1" w:themeFill="background2"/>
          </w:tcPr>
          <w:p w14:paraId="0E60B396" w14:textId="77777777" w:rsidR="00236526" w:rsidRPr="00686B6D" w:rsidRDefault="00236526" w:rsidP="007B6365">
            <w:pPr>
              <w:pStyle w:val="01Tableheaderrow"/>
            </w:pPr>
            <w:r w:rsidRPr="00686B6D">
              <w:t>Proposed item descriptor</w:t>
            </w:r>
          </w:p>
        </w:tc>
      </w:tr>
      <w:tr w:rsidR="00686B6D" w14:paraId="615B08F0" w14:textId="77777777" w:rsidTr="007B6365">
        <w:tc>
          <w:tcPr>
            <w:tcW w:w="1701" w:type="dxa"/>
          </w:tcPr>
          <w:p w14:paraId="6B5EB864" w14:textId="77777777" w:rsidR="00236526" w:rsidRDefault="00236526" w:rsidP="007B6365">
            <w:pPr>
              <w:pStyle w:val="02Tabletext"/>
            </w:pPr>
            <w:r w:rsidRPr="00A62888">
              <w:t>71066</w:t>
            </w:r>
          </w:p>
        </w:tc>
        <w:tc>
          <w:tcPr>
            <w:tcW w:w="3660" w:type="dxa"/>
          </w:tcPr>
          <w:p w14:paraId="2BD4CF5D" w14:textId="77777777" w:rsidR="00236526" w:rsidRDefault="00236526" w:rsidP="00410457">
            <w:pPr>
              <w:pStyle w:val="02Tabletext"/>
            </w:pPr>
            <w:r w:rsidRPr="00A62888">
              <w:t xml:space="preserve">Quantitation of total immunoglobulin </w:t>
            </w:r>
            <w:r w:rsidR="00410457">
              <w:t>A</w:t>
            </w:r>
            <w:r w:rsidRPr="00A62888">
              <w:t xml:space="preserve"> by any method in serum, urine or other body fluid – 1 test</w:t>
            </w:r>
          </w:p>
        </w:tc>
        <w:tc>
          <w:tcPr>
            <w:tcW w:w="3660" w:type="dxa"/>
          </w:tcPr>
          <w:p w14:paraId="1E23E027" w14:textId="77777777" w:rsidR="00236526" w:rsidRDefault="00236526" w:rsidP="007B6365">
            <w:pPr>
              <w:pStyle w:val="02Tabletext"/>
            </w:pPr>
            <w:r w:rsidRPr="00236526">
              <w:t xml:space="preserve">Quantitation of total immunoglobulin </w:t>
            </w:r>
            <w:r w:rsidR="00500BD9">
              <w:t>A</w:t>
            </w:r>
            <w:r w:rsidRPr="00236526">
              <w:t xml:space="preserve"> by any method in serum</w:t>
            </w:r>
            <w:r>
              <w:t xml:space="preserve"> </w:t>
            </w:r>
            <w:r w:rsidRPr="00236526">
              <w:t>– 1 test</w:t>
            </w:r>
          </w:p>
        </w:tc>
      </w:tr>
    </w:tbl>
    <w:p w14:paraId="7C72D80B" w14:textId="77777777" w:rsidR="004E1690" w:rsidRDefault="004E1690" w:rsidP="0023110D">
      <w:pPr>
        <w:pStyle w:val="Heading3Numbered"/>
      </w:pPr>
      <w:r>
        <w:t>Rationale</w:t>
      </w:r>
      <w:r w:rsidR="00410457">
        <w:t xml:space="preserve"> 11</w:t>
      </w:r>
    </w:p>
    <w:p w14:paraId="5CD71DAC" w14:textId="77777777" w:rsidR="00AE4C4A" w:rsidRDefault="004E1690">
      <w:pPr>
        <w:pStyle w:val="NormalBulleted"/>
      </w:pPr>
      <w:r>
        <w:t>This test should not be performed in urine or other body fluid.</w:t>
      </w:r>
      <w:r w:rsidR="002B1A60">
        <w:t xml:space="preserve"> </w:t>
      </w:r>
    </w:p>
    <w:p w14:paraId="439A3D1B" w14:textId="77777777" w:rsidR="00AE4C4A" w:rsidRDefault="00AE4C4A">
      <w:pPr>
        <w:pStyle w:val="NormalBulleted"/>
      </w:pPr>
      <w:r>
        <w:t>There is no clinical reason to perform an IgA test on body fluids. Testing for the presence of extractable IgA in samples other than peripheral blood is not recommended because</w:t>
      </w:r>
      <w:r w:rsidR="00C11741">
        <w:t xml:space="preserve"> </w:t>
      </w:r>
      <w:r>
        <w:t>there are no clinically validated indications for such testing</w:t>
      </w:r>
      <w:r w:rsidR="00C11741">
        <w:t xml:space="preserve">, </w:t>
      </w:r>
      <w:r>
        <w:t>and reference intervals cannot be established for such samples, which precludes useful interpretation of such results.</w:t>
      </w:r>
    </w:p>
    <w:p w14:paraId="0F2704AF" w14:textId="77777777" w:rsidR="004E1690" w:rsidRDefault="00AE4C4A" w:rsidP="0023110D">
      <w:pPr>
        <w:pStyle w:val="NormalBulleted"/>
      </w:pPr>
      <w:r>
        <w:t>The proposed change does not have a direct effect on patients</w:t>
      </w:r>
      <w:r w:rsidR="00C11741">
        <w:t>.</w:t>
      </w:r>
    </w:p>
    <w:p w14:paraId="66EB792D" w14:textId="77777777" w:rsidR="004E1690" w:rsidRDefault="004E1690" w:rsidP="00E2562E">
      <w:pPr>
        <w:pStyle w:val="Heading2"/>
      </w:pPr>
      <w:bookmarkStart w:id="73" w:name="_Toc499293047"/>
      <w:r>
        <w:t xml:space="preserve">Quantitation of total </w:t>
      </w:r>
      <w:r w:rsidR="00410457">
        <w:t>i</w:t>
      </w:r>
      <w:r>
        <w:t>mmunoglobulin M: item 71072</w:t>
      </w:r>
      <w:bookmarkEnd w:id="73"/>
    </w:p>
    <w:p w14:paraId="729497C0" w14:textId="77777777" w:rsidR="00660BFE" w:rsidRDefault="00AB6550">
      <w:pPr>
        <w:pStyle w:val="Caption"/>
      </w:pPr>
      <w:bookmarkStart w:id="74" w:name="_Toc499289261"/>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24</w:t>
      </w:r>
      <w:r w:rsidR="0004721F">
        <w:rPr>
          <w:noProof/>
        </w:rPr>
        <w:fldChar w:fldCharType="end"/>
      </w:r>
      <w:r>
        <w:t xml:space="preserve">. </w:t>
      </w:r>
      <w:r w:rsidR="00660BFE">
        <w:t>Item introduction table for item 71072</w:t>
      </w:r>
      <w:bookmarkEnd w:id="74"/>
    </w:p>
    <w:tbl>
      <w:tblPr>
        <w:tblStyle w:val="TableGrid1"/>
        <w:tblW w:w="9039" w:type="dxa"/>
        <w:tblLayout w:type="fixed"/>
        <w:tblLook w:val="04A0" w:firstRow="1" w:lastRow="0" w:firstColumn="1" w:lastColumn="0" w:noHBand="0" w:noVBand="1"/>
        <w:tblCaption w:val="Table 24: Item introduction table for item 71072"/>
        <w:tblDescription w:val="Table 24 contains MBS data for item 71072 for the financial year 2014–2015. The data includes item number, long item descriptor, schedule fee, total volume of services, benefits paid, patient count and services annual average growth as a pecentage over a 5 year period."/>
      </w:tblPr>
      <w:tblGrid>
        <w:gridCol w:w="776"/>
        <w:gridCol w:w="2763"/>
        <w:gridCol w:w="1134"/>
        <w:gridCol w:w="1276"/>
        <w:gridCol w:w="1276"/>
        <w:gridCol w:w="850"/>
        <w:gridCol w:w="964"/>
      </w:tblGrid>
      <w:tr w:rsidR="004E1690" w:rsidRPr="00DD5A29" w14:paraId="2DC91000" w14:textId="77777777" w:rsidTr="004F17D1">
        <w:trPr>
          <w:trHeight w:val="729"/>
          <w:tblHeader/>
        </w:trPr>
        <w:tc>
          <w:tcPr>
            <w:tcW w:w="776" w:type="dxa"/>
            <w:shd w:val="clear" w:color="auto" w:fill="EEECE1" w:themeFill="background2"/>
            <w:vAlign w:val="bottom"/>
            <w:hideMark/>
          </w:tcPr>
          <w:p w14:paraId="498E89E0" w14:textId="77777777" w:rsidR="004E1690" w:rsidRPr="00DD5A29" w:rsidRDefault="004E1690" w:rsidP="004F17D1">
            <w:pPr>
              <w:pStyle w:val="01Tableheaderrow"/>
              <w:rPr>
                <w:lang w:val="en-GB"/>
              </w:rPr>
            </w:pPr>
            <w:r w:rsidRPr="00C70F36">
              <w:rPr>
                <w:lang w:val="en-GB"/>
              </w:rPr>
              <w:t>Item</w:t>
            </w:r>
          </w:p>
        </w:tc>
        <w:tc>
          <w:tcPr>
            <w:tcW w:w="2763" w:type="dxa"/>
            <w:shd w:val="clear" w:color="auto" w:fill="EEECE1" w:themeFill="background2"/>
            <w:vAlign w:val="bottom"/>
            <w:hideMark/>
          </w:tcPr>
          <w:p w14:paraId="7C4C2A37" w14:textId="77777777" w:rsidR="004E1690" w:rsidRPr="00DD5A29" w:rsidRDefault="004E1690" w:rsidP="004F17D1">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134" w:type="dxa"/>
            <w:shd w:val="clear" w:color="auto" w:fill="EEECE1" w:themeFill="background2"/>
            <w:vAlign w:val="bottom"/>
            <w:hideMark/>
          </w:tcPr>
          <w:p w14:paraId="10FC8A00" w14:textId="77777777" w:rsidR="004E1690" w:rsidRPr="00256B04" w:rsidRDefault="004E1690" w:rsidP="004F17D1">
            <w:pPr>
              <w:pStyle w:val="01Tableheaderrow"/>
              <w:rPr>
                <w:lang w:val="en-GB"/>
              </w:rPr>
            </w:pPr>
            <w:r w:rsidRPr="00C70F36">
              <w:rPr>
                <w:lang w:val="en-GB"/>
              </w:rPr>
              <w:t>Schedule fee</w:t>
            </w:r>
          </w:p>
        </w:tc>
        <w:tc>
          <w:tcPr>
            <w:tcW w:w="1276" w:type="dxa"/>
            <w:shd w:val="clear" w:color="auto" w:fill="EEECE1" w:themeFill="background2"/>
            <w:vAlign w:val="bottom"/>
            <w:hideMark/>
          </w:tcPr>
          <w:p w14:paraId="4346EBF4" w14:textId="77777777" w:rsidR="004E1690" w:rsidRPr="00DD5A29" w:rsidRDefault="004E1690" w:rsidP="004F17D1">
            <w:pPr>
              <w:pStyle w:val="01Tableheaderrow"/>
              <w:rPr>
                <w:lang w:val="en-GB"/>
              </w:rPr>
            </w:pPr>
            <w:r w:rsidRPr="00C70F36">
              <w:rPr>
                <w:lang w:val="en-GB"/>
              </w:rPr>
              <w:t xml:space="preserve">Services </w:t>
            </w:r>
            <w:r w:rsidR="007D6844">
              <w:rPr>
                <w:lang w:val="en-GB"/>
              </w:rPr>
              <w:t>FY 2014–15</w:t>
            </w:r>
          </w:p>
        </w:tc>
        <w:tc>
          <w:tcPr>
            <w:tcW w:w="1276" w:type="dxa"/>
            <w:shd w:val="clear" w:color="auto" w:fill="EEECE1" w:themeFill="background2"/>
            <w:vAlign w:val="bottom"/>
          </w:tcPr>
          <w:p w14:paraId="12D6D433" w14:textId="77777777" w:rsidR="004E1690" w:rsidRPr="00DD5A29" w:rsidRDefault="004E1690" w:rsidP="004F17D1">
            <w:pPr>
              <w:pStyle w:val="01Tableheaderrow"/>
              <w:rPr>
                <w:lang w:val="en-GB"/>
              </w:rPr>
            </w:pPr>
            <w:r w:rsidRPr="00C70F36">
              <w:rPr>
                <w:lang w:val="en-GB"/>
              </w:rPr>
              <w:t xml:space="preserve">Benefits </w:t>
            </w:r>
            <w:r w:rsidR="007D6844">
              <w:rPr>
                <w:lang w:val="en-GB"/>
              </w:rPr>
              <w:t>FY 2014–15</w:t>
            </w:r>
          </w:p>
        </w:tc>
        <w:tc>
          <w:tcPr>
            <w:tcW w:w="850" w:type="dxa"/>
            <w:shd w:val="clear" w:color="auto" w:fill="EEECE1" w:themeFill="background2"/>
            <w:vAlign w:val="bottom"/>
            <w:hideMark/>
          </w:tcPr>
          <w:p w14:paraId="569752DC" w14:textId="77777777" w:rsidR="004E1690" w:rsidRPr="00DD5A29" w:rsidRDefault="004E1690" w:rsidP="004F17D1">
            <w:pPr>
              <w:pStyle w:val="01Tableheaderrow"/>
              <w:rPr>
                <w:lang w:val="en-GB"/>
              </w:rPr>
            </w:pPr>
            <w:r w:rsidRPr="00C70F36">
              <w:rPr>
                <w:lang w:val="en-GB"/>
              </w:rPr>
              <w:t>Patient count</w:t>
            </w:r>
          </w:p>
        </w:tc>
        <w:tc>
          <w:tcPr>
            <w:tcW w:w="964" w:type="dxa"/>
            <w:shd w:val="clear" w:color="auto" w:fill="EEECE1" w:themeFill="background2"/>
            <w:vAlign w:val="bottom"/>
            <w:hideMark/>
          </w:tcPr>
          <w:p w14:paraId="0652B3D1" w14:textId="77777777" w:rsidR="004E1690" w:rsidRPr="00DD5A29" w:rsidRDefault="004E1690" w:rsidP="004F17D1">
            <w:pPr>
              <w:pStyle w:val="01Tableheaderrow"/>
              <w:rPr>
                <w:lang w:val="en-GB"/>
              </w:rPr>
            </w:pPr>
            <w:r w:rsidRPr="00C70F36">
              <w:rPr>
                <w:lang w:val="en-GB"/>
              </w:rPr>
              <w:t xml:space="preserve">Services 5-year </w:t>
            </w:r>
            <w:r w:rsidR="007D6844">
              <w:rPr>
                <w:lang w:val="en-GB"/>
              </w:rPr>
              <w:t>annual average growth</w:t>
            </w:r>
          </w:p>
        </w:tc>
      </w:tr>
      <w:tr w:rsidR="004E1690" w:rsidRPr="00DD5A29" w14:paraId="3978DFB3" w14:textId="77777777" w:rsidTr="004F17D1">
        <w:trPr>
          <w:trHeight w:val="300"/>
        </w:trPr>
        <w:tc>
          <w:tcPr>
            <w:tcW w:w="776" w:type="dxa"/>
            <w:noWrap/>
            <w:hideMark/>
          </w:tcPr>
          <w:p w14:paraId="157796E3" w14:textId="77777777" w:rsidR="004E1690" w:rsidRPr="00DD5A29" w:rsidRDefault="004E1690" w:rsidP="004F17D1">
            <w:pPr>
              <w:pStyle w:val="02Tabletext"/>
              <w:rPr>
                <w:color w:val="000000"/>
                <w:lang w:val="en-GB"/>
              </w:rPr>
            </w:pPr>
            <w:r w:rsidRPr="004E1690">
              <w:rPr>
                <w:color w:val="000000"/>
                <w:lang w:val="en-GB"/>
              </w:rPr>
              <w:t>71072</w:t>
            </w:r>
          </w:p>
        </w:tc>
        <w:tc>
          <w:tcPr>
            <w:tcW w:w="2763" w:type="dxa"/>
            <w:noWrap/>
            <w:hideMark/>
          </w:tcPr>
          <w:p w14:paraId="27E42F80" w14:textId="77777777" w:rsidR="004E1690" w:rsidRPr="001E531E" w:rsidRDefault="004E1690" w:rsidP="00410457">
            <w:pPr>
              <w:pStyle w:val="02Tabletext"/>
              <w:rPr>
                <w:color w:val="000000"/>
                <w:lang w:val="en-GB"/>
              </w:rPr>
            </w:pPr>
            <w:r w:rsidRPr="004E1690">
              <w:rPr>
                <w:color w:val="000000"/>
                <w:lang w:val="en-GB"/>
              </w:rPr>
              <w:t xml:space="preserve">Quantitation of total immunoglobulin </w:t>
            </w:r>
            <w:r w:rsidR="00410457">
              <w:rPr>
                <w:color w:val="000000"/>
                <w:lang w:val="en-GB"/>
              </w:rPr>
              <w:t>M</w:t>
            </w:r>
            <w:r w:rsidRPr="004E1690">
              <w:rPr>
                <w:color w:val="000000"/>
                <w:lang w:val="en-GB"/>
              </w:rPr>
              <w:t xml:space="preserve"> by any method in serum, urine or other body fluid - 1 test</w:t>
            </w:r>
          </w:p>
        </w:tc>
        <w:tc>
          <w:tcPr>
            <w:tcW w:w="1134" w:type="dxa"/>
            <w:noWrap/>
            <w:hideMark/>
          </w:tcPr>
          <w:p w14:paraId="77FEFB57" w14:textId="77777777" w:rsidR="004E1690" w:rsidRPr="001E531E" w:rsidRDefault="004E1690" w:rsidP="004F17D1">
            <w:pPr>
              <w:pStyle w:val="02Tabletext"/>
              <w:jc w:val="right"/>
              <w:rPr>
                <w:color w:val="000000"/>
                <w:lang w:val="en-GB"/>
              </w:rPr>
            </w:pPr>
            <w:r>
              <w:rPr>
                <w:color w:val="000000"/>
                <w:lang w:val="en-GB"/>
              </w:rPr>
              <w:t>$14.55</w:t>
            </w:r>
          </w:p>
        </w:tc>
        <w:tc>
          <w:tcPr>
            <w:tcW w:w="1276" w:type="dxa"/>
            <w:noWrap/>
            <w:hideMark/>
          </w:tcPr>
          <w:p w14:paraId="0BFD4181" w14:textId="77777777" w:rsidR="004E1690" w:rsidRPr="001E531E" w:rsidRDefault="004E1690" w:rsidP="004F17D1">
            <w:pPr>
              <w:pStyle w:val="02Tabletext"/>
              <w:jc w:val="right"/>
              <w:rPr>
                <w:color w:val="000000"/>
                <w:lang w:val="en-GB"/>
              </w:rPr>
            </w:pPr>
            <w:r w:rsidRPr="004E1690">
              <w:rPr>
                <w:color w:val="000000"/>
                <w:lang w:val="en-GB"/>
              </w:rPr>
              <w:t>1004</w:t>
            </w:r>
          </w:p>
        </w:tc>
        <w:tc>
          <w:tcPr>
            <w:tcW w:w="1276" w:type="dxa"/>
          </w:tcPr>
          <w:p w14:paraId="0DC69FF3" w14:textId="77777777" w:rsidR="004E1690" w:rsidRPr="001E531E" w:rsidRDefault="004E1690" w:rsidP="004F17D1">
            <w:pPr>
              <w:pStyle w:val="02Tabletext"/>
              <w:jc w:val="right"/>
              <w:rPr>
                <w:color w:val="000000"/>
                <w:lang w:val="en-GB"/>
              </w:rPr>
            </w:pPr>
            <w:r w:rsidRPr="004E1690">
              <w:rPr>
                <w:color w:val="000000"/>
                <w:lang w:val="en-GB"/>
              </w:rPr>
              <w:t>$12,340</w:t>
            </w:r>
          </w:p>
        </w:tc>
        <w:tc>
          <w:tcPr>
            <w:tcW w:w="850" w:type="dxa"/>
            <w:noWrap/>
            <w:hideMark/>
          </w:tcPr>
          <w:p w14:paraId="17F2D597" w14:textId="77777777" w:rsidR="004E1690" w:rsidRPr="001E531E" w:rsidRDefault="004E1690" w:rsidP="004F17D1">
            <w:pPr>
              <w:pStyle w:val="02Tabletext"/>
              <w:jc w:val="right"/>
              <w:rPr>
                <w:color w:val="000000"/>
                <w:lang w:val="en-GB"/>
              </w:rPr>
            </w:pPr>
            <w:r w:rsidRPr="004E1690">
              <w:rPr>
                <w:color w:val="000000"/>
                <w:lang w:val="en-GB"/>
              </w:rPr>
              <w:t>708</w:t>
            </w:r>
          </w:p>
        </w:tc>
        <w:tc>
          <w:tcPr>
            <w:tcW w:w="964" w:type="dxa"/>
            <w:noWrap/>
            <w:hideMark/>
          </w:tcPr>
          <w:p w14:paraId="59F8D10E" w14:textId="77777777" w:rsidR="004E1690" w:rsidRPr="001E531E" w:rsidRDefault="004E1690" w:rsidP="004F17D1">
            <w:pPr>
              <w:pStyle w:val="02Tabletext"/>
              <w:jc w:val="right"/>
              <w:rPr>
                <w:color w:val="000000"/>
                <w:lang w:val="en-GB"/>
              </w:rPr>
            </w:pPr>
            <w:r>
              <w:rPr>
                <w:color w:val="000000"/>
                <w:lang w:val="en-GB"/>
              </w:rPr>
              <w:t>–17.7%</w:t>
            </w:r>
          </w:p>
        </w:tc>
      </w:tr>
    </w:tbl>
    <w:p w14:paraId="6D2AB928" w14:textId="77777777" w:rsidR="004E1690" w:rsidRDefault="004E1690" w:rsidP="0023110D">
      <w:pPr>
        <w:pStyle w:val="Heading3Numbered"/>
      </w:pPr>
      <w:r>
        <w:t>Recommendation</w:t>
      </w:r>
      <w:r w:rsidR="00410457">
        <w:t xml:space="preserve"> 12</w:t>
      </w:r>
    </w:p>
    <w:p w14:paraId="1B0E1949" w14:textId="77777777" w:rsidR="004E1690" w:rsidRDefault="00437397">
      <w:pPr>
        <w:pStyle w:val="NormalBulleted"/>
      </w:pPr>
      <w:r>
        <w:t>R</w:t>
      </w:r>
      <w:r w:rsidR="004E1690">
        <w:t>emove the words ‘urine or other body fluid’ from item 71072</w:t>
      </w:r>
      <w:r>
        <w:t>.</w:t>
      </w:r>
    </w:p>
    <w:p w14:paraId="06ECD2C6" w14:textId="77777777" w:rsidR="00660BFE" w:rsidRDefault="004E3C33">
      <w:pPr>
        <w:pStyle w:val="Caption"/>
      </w:pPr>
      <w:bookmarkStart w:id="75" w:name="_Toc485132208"/>
      <w:bookmarkStart w:id="76" w:name="_Toc499289262"/>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25</w:t>
      </w:r>
      <w:r w:rsidR="0004721F">
        <w:rPr>
          <w:noProof/>
        </w:rPr>
        <w:fldChar w:fldCharType="end"/>
      </w:r>
      <w:r>
        <w:t xml:space="preserve">. </w:t>
      </w:r>
      <w:r w:rsidR="00660BFE">
        <w:t>Current and proposed item descriptors for item 71072</w:t>
      </w:r>
      <w:bookmarkEnd w:id="75"/>
      <w:bookmarkEnd w:id="76"/>
    </w:p>
    <w:tbl>
      <w:tblPr>
        <w:tblStyle w:val="TableGrid"/>
        <w:tblW w:w="0" w:type="auto"/>
        <w:tblLook w:val="04A0" w:firstRow="1" w:lastRow="0" w:firstColumn="1" w:lastColumn="0" w:noHBand="0" w:noVBand="1"/>
        <w:tblCaption w:val="Current and proposed item descriptors for item 71072"/>
        <w:tblDescription w:val="Table 25 has 3 columns. Column 1 lsis the item number, column 2 lists the current descriptor and column 3 lists the proposed descriptor"/>
      </w:tblPr>
      <w:tblGrid>
        <w:gridCol w:w="1696"/>
        <w:gridCol w:w="3544"/>
        <w:gridCol w:w="3776"/>
      </w:tblGrid>
      <w:tr w:rsidR="00236526" w14:paraId="758756D0" w14:textId="77777777" w:rsidTr="0023110D">
        <w:trPr>
          <w:tblHeader/>
        </w:trPr>
        <w:tc>
          <w:tcPr>
            <w:tcW w:w="1696" w:type="dxa"/>
            <w:shd w:val="clear" w:color="auto" w:fill="EEECE1" w:themeFill="background2"/>
          </w:tcPr>
          <w:p w14:paraId="465EB3D2" w14:textId="77777777" w:rsidR="00236526" w:rsidRPr="00236526" w:rsidRDefault="00236526" w:rsidP="004F17D1">
            <w:pPr>
              <w:pStyle w:val="01Tableheaderrow"/>
            </w:pPr>
            <w:r w:rsidRPr="00236526">
              <w:t>Item</w:t>
            </w:r>
          </w:p>
        </w:tc>
        <w:tc>
          <w:tcPr>
            <w:tcW w:w="3544" w:type="dxa"/>
            <w:shd w:val="clear" w:color="auto" w:fill="EEECE1" w:themeFill="background2"/>
          </w:tcPr>
          <w:p w14:paraId="3A255A7A" w14:textId="77777777" w:rsidR="00236526" w:rsidRPr="00236526" w:rsidRDefault="00236526" w:rsidP="004F17D1">
            <w:pPr>
              <w:pStyle w:val="01Tableheaderrow"/>
            </w:pPr>
            <w:r w:rsidRPr="00236526">
              <w:t>Current item descriptor</w:t>
            </w:r>
          </w:p>
        </w:tc>
        <w:tc>
          <w:tcPr>
            <w:tcW w:w="3776" w:type="dxa"/>
            <w:shd w:val="clear" w:color="auto" w:fill="EEECE1" w:themeFill="background2"/>
          </w:tcPr>
          <w:p w14:paraId="460CD655" w14:textId="77777777" w:rsidR="00236526" w:rsidRPr="00236526" w:rsidRDefault="00236526" w:rsidP="004F17D1">
            <w:pPr>
              <w:pStyle w:val="01Tableheaderrow"/>
            </w:pPr>
            <w:r w:rsidRPr="00236526">
              <w:t>Proposed item descriptor</w:t>
            </w:r>
          </w:p>
        </w:tc>
      </w:tr>
      <w:tr w:rsidR="00236526" w14:paraId="500AE307" w14:textId="77777777" w:rsidTr="004D7AF7">
        <w:tc>
          <w:tcPr>
            <w:tcW w:w="1696" w:type="dxa"/>
          </w:tcPr>
          <w:p w14:paraId="641A64E5" w14:textId="77777777" w:rsidR="00236526" w:rsidRDefault="00236526" w:rsidP="004F17D1">
            <w:pPr>
              <w:pStyle w:val="02Tabletext"/>
            </w:pPr>
            <w:r w:rsidRPr="0003319D">
              <w:t>71072</w:t>
            </w:r>
          </w:p>
        </w:tc>
        <w:tc>
          <w:tcPr>
            <w:tcW w:w="3544" w:type="dxa"/>
          </w:tcPr>
          <w:p w14:paraId="639D7E6E" w14:textId="77777777" w:rsidR="00236526" w:rsidRDefault="00236526" w:rsidP="00410457">
            <w:pPr>
              <w:pStyle w:val="02Tabletext"/>
            </w:pPr>
            <w:r w:rsidRPr="0003319D">
              <w:t xml:space="preserve">Quantitation of total immunoglobulin </w:t>
            </w:r>
            <w:r w:rsidR="00410457">
              <w:t>M</w:t>
            </w:r>
            <w:r w:rsidRPr="0003319D">
              <w:t xml:space="preserve"> by any method in serum, urine or other body fluid - 1 test</w:t>
            </w:r>
          </w:p>
        </w:tc>
        <w:tc>
          <w:tcPr>
            <w:tcW w:w="3776" w:type="dxa"/>
          </w:tcPr>
          <w:p w14:paraId="2C08289D" w14:textId="77777777" w:rsidR="00236526" w:rsidRDefault="00236526" w:rsidP="004F17D1">
            <w:pPr>
              <w:pStyle w:val="02Tabletext"/>
            </w:pPr>
            <w:r w:rsidRPr="00236526">
              <w:t xml:space="preserve">Quantitation of total immunoglobulin </w:t>
            </w:r>
            <w:r w:rsidR="00500BD9">
              <w:t>M</w:t>
            </w:r>
            <w:r w:rsidRPr="00236526">
              <w:t xml:space="preserve"> by any method in serum - 1 test</w:t>
            </w:r>
          </w:p>
        </w:tc>
      </w:tr>
    </w:tbl>
    <w:p w14:paraId="4CB47522" w14:textId="77777777" w:rsidR="004E1690" w:rsidRDefault="004E1690" w:rsidP="0023110D">
      <w:pPr>
        <w:pStyle w:val="Heading3Numbered"/>
      </w:pPr>
      <w:r>
        <w:t>Rationale</w:t>
      </w:r>
      <w:r w:rsidR="00410457">
        <w:t xml:space="preserve"> 12</w:t>
      </w:r>
    </w:p>
    <w:p w14:paraId="41FE8147" w14:textId="77777777" w:rsidR="00AE4C4A" w:rsidRDefault="004E1690">
      <w:pPr>
        <w:pStyle w:val="NormalBulleted"/>
      </w:pPr>
      <w:r w:rsidRPr="004E1690">
        <w:t>This test should not be performed in urine or other body fluid.</w:t>
      </w:r>
      <w:r w:rsidR="00AE4C4A" w:rsidRPr="00AE4C4A">
        <w:t xml:space="preserve"> </w:t>
      </w:r>
      <w:r w:rsidR="00AE4C4A">
        <w:t xml:space="preserve">There is no clinical reason to perform an IgM test on body fluids. Testing for the presence of extractable IgM in samples other than peripheral blood is not recommended because there are no clinically validated </w:t>
      </w:r>
      <w:r w:rsidR="00AE4C4A">
        <w:lastRenderedPageBreak/>
        <w:t>indications for such testing</w:t>
      </w:r>
      <w:r w:rsidR="004873F1">
        <w:t xml:space="preserve">, </w:t>
      </w:r>
      <w:r w:rsidR="00AE4C4A">
        <w:t>and reference intervals cannot be established for such samples, which precludes useful interpretation of such results.</w:t>
      </w:r>
    </w:p>
    <w:p w14:paraId="5BB25828" w14:textId="77777777" w:rsidR="00AE4C4A" w:rsidRDefault="00AE4C4A">
      <w:pPr>
        <w:pStyle w:val="NormalBulleted"/>
      </w:pPr>
      <w:r>
        <w:t>The proposed change does not have a direct effect on patients</w:t>
      </w:r>
      <w:r w:rsidR="00E61B11">
        <w:t>.</w:t>
      </w:r>
    </w:p>
    <w:p w14:paraId="63ECEECA" w14:textId="77777777" w:rsidR="004E1690" w:rsidRDefault="004E1690" w:rsidP="00E2562E">
      <w:pPr>
        <w:pStyle w:val="Heading2"/>
      </w:pPr>
      <w:bookmarkStart w:id="77" w:name="_Toc494876873"/>
      <w:bookmarkStart w:id="78" w:name="_Toc494913179"/>
      <w:bookmarkStart w:id="79" w:name="_Toc494913523"/>
      <w:bookmarkStart w:id="80" w:name="_Toc499293048"/>
      <w:bookmarkEnd w:id="77"/>
      <w:bookmarkEnd w:id="78"/>
      <w:bookmarkEnd w:id="79"/>
      <w:r>
        <w:t xml:space="preserve">Quantitation of total </w:t>
      </w:r>
      <w:r w:rsidR="00410457">
        <w:t>i</w:t>
      </w:r>
      <w:r>
        <w:t>mmunoglobulin D: item 71074</w:t>
      </w:r>
      <w:bookmarkEnd w:id="80"/>
    </w:p>
    <w:p w14:paraId="1391A9AE" w14:textId="77777777" w:rsidR="00E61B11" w:rsidRDefault="004E3C33">
      <w:pPr>
        <w:pStyle w:val="Caption"/>
      </w:pPr>
      <w:bookmarkStart w:id="81" w:name="_Toc485132209"/>
      <w:bookmarkStart w:id="82" w:name="_Toc499289263"/>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26</w:t>
      </w:r>
      <w:r w:rsidR="0004721F">
        <w:rPr>
          <w:noProof/>
        </w:rPr>
        <w:fldChar w:fldCharType="end"/>
      </w:r>
      <w:r>
        <w:t xml:space="preserve">. </w:t>
      </w:r>
      <w:r w:rsidR="00E61B11">
        <w:t>Item introduction table for item 71074</w:t>
      </w:r>
      <w:bookmarkEnd w:id="81"/>
      <w:bookmarkEnd w:id="82"/>
    </w:p>
    <w:tbl>
      <w:tblPr>
        <w:tblStyle w:val="TableGrid1"/>
        <w:tblW w:w="9039" w:type="dxa"/>
        <w:tblLayout w:type="fixed"/>
        <w:tblLook w:val="04A0" w:firstRow="1" w:lastRow="0" w:firstColumn="1" w:lastColumn="0" w:noHBand="0" w:noVBand="1"/>
        <w:tblCaption w:val="Table 26: Item introduction table for item 71074"/>
        <w:tblDescription w:val="Table 26 contains MBS data for item 71074 for the finanical year 2014–2015. The data includes item number, long item descriptor, schedule fee, total volume of services, benefits paid, patient count and services annual average growth as a pecentage over a 5 year period."/>
      </w:tblPr>
      <w:tblGrid>
        <w:gridCol w:w="776"/>
        <w:gridCol w:w="2763"/>
        <w:gridCol w:w="1134"/>
        <w:gridCol w:w="1276"/>
        <w:gridCol w:w="1276"/>
        <w:gridCol w:w="850"/>
        <w:gridCol w:w="964"/>
      </w:tblGrid>
      <w:tr w:rsidR="004E1690" w:rsidRPr="00DD5A29" w14:paraId="556983D2" w14:textId="77777777" w:rsidTr="004F17D1">
        <w:trPr>
          <w:trHeight w:val="729"/>
          <w:tblHeader/>
        </w:trPr>
        <w:tc>
          <w:tcPr>
            <w:tcW w:w="776" w:type="dxa"/>
            <w:shd w:val="clear" w:color="auto" w:fill="EEECE1" w:themeFill="background2"/>
            <w:vAlign w:val="bottom"/>
            <w:hideMark/>
          </w:tcPr>
          <w:p w14:paraId="56273A12" w14:textId="77777777" w:rsidR="004E1690" w:rsidRPr="00DD5A29" w:rsidRDefault="004E1690" w:rsidP="004F17D1">
            <w:pPr>
              <w:pStyle w:val="01Tableheaderrow"/>
              <w:rPr>
                <w:lang w:val="en-GB"/>
              </w:rPr>
            </w:pPr>
            <w:r w:rsidRPr="00C70F36">
              <w:rPr>
                <w:lang w:val="en-GB"/>
              </w:rPr>
              <w:t>Item</w:t>
            </w:r>
          </w:p>
        </w:tc>
        <w:tc>
          <w:tcPr>
            <w:tcW w:w="2763" w:type="dxa"/>
            <w:shd w:val="clear" w:color="auto" w:fill="EEECE1" w:themeFill="background2"/>
            <w:vAlign w:val="bottom"/>
            <w:hideMark/>
          </w:tcPr>
          <w:p w14:paraId="39EBB7C8" w14:textId="77777777" w:rsidR="004E1690" w:rsidRPr="00DD5A29" w:rsidRDefault="004E1690" w:rsidP="004F17D1">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134" w:type="dxa"/>
            <w:shd w:val="clear" w:color="auto" w:fill="EEECE1" w:themeFill="background2"/>
            <w:vAlign w:val="bottom"/>
            <w:hideMark/>
          </w:tcPr>
          <w:p w14:paraId="22F63512" w14:textId="77777777" w:rsidR="004E1690" w:rsidRPr="00256B04" w:rsidRDefault="004E1690" w:rsidP="004F17D1">
            <w:pPr>
              <w:pStyle w:val="01Tableheaderrow"/>
              <w:rPr>
                <w:lang w:val="en-GB"/>
              </w:rPr>
            </w:pPr>
            <w:r w:rsidRPr="00C70F36">
              <w:rPr>
                <w:lang w:val="en-GB"/>
              </w:rPr>
              <w:t>Schedule fee</w:t>
            </w:r>
          </w:p>
        </w:tc>
        <w:tc>
          <w:tcPr>
            <w:tcW w:w="1276" w:type="dxa"/>
            <w:shd w:val="clear" w:color="auto" w:fill="EEECE1" w:themeFill="background2"/>
            <w:vAlign w:val="bottom"/>
            <w:hideMark/>
          </w:tcPr>
          <w:p w14:paraId="5A5EBCF8" w14:textId="77777777" w:rsidR="004E1690" w:rsidRPr="00DD5A29" w:rsidRDefault="004E1690" w:rsidP="004F17D1">
            <w:pPr>
              <w:pStyle w:val="01Tableheaderrow"/>
              <w:rPr>
                <w:lang w:val="en-GB"/>
              </w:rPr>
            </w:pPr>
            <w:r w:rsidRPr="00C70F36">
              <w:rPr>
                <w:lang w:val="en-GB"/>
              </w:rPr>
              <w:t xml:space="preserve">Services </w:t>
            </w:r>
            <w:r w:rsidR="007D6844">
              <w:rPr>
                <w:lang w:val="en-GB"/>
              </w:rPr>
              <w:t>FY 2014–15</w:t>
            </w:r>
          </w:p>
        </w:tc>
        <w:tc>
          <w:tcPr>
            <w:tcW w:w="1276" w:type="dxa"/>
            <w:shd w:val="clear" w:color="auto" w:fill="EEECE1" w:themeFill="background2"/>
            <w:vAlign w:val="bottom"/>
          </w:tcPr>
          <w:p w14:paraId="7F84503B" w14:textId="77777777" w:rsidR="004E1690" w:rsidRPr="00DD5A29" w:rsidRDefault="004E1690" w:rsidP="004F17D1">
            <w:pPr>
              <w:pStyle w:val="01Tableheaderrow"/>
              <w:rPr>
                <w:lang w:val="en-GB"/>
              </w:rPr>
            </w:pPr>
            <w:r w:rsidRPr="00C70F36">
              <w:rPr>
                <w:lang w:val="en-GB"/>
              </w:rPr>
              <w:t xml:space="preserve">Benefits </w:t>
            </w:r>
            <w:r w:rsidR="007D6844">
              <w:rPr>
                <w:lang w:val="en-GB"/>
              </w:rPr>
              <w:t>FY 2014–15</w:t>
            </w:r>
          </w:p>
        </w:tc>
        <w:tc>
          <w:tcPr>
            <w:tcW w:w="850" w:type="dxa"/>
            <w:shd w:val="clear" w:color="auto" w:fill="EEECE1" w:themeFill="background2"/>
            <w:vAlign w:val="bottom"/>
            <w:hideMark/>
          </w:tcPr>
          <w:p w14:paraId="1206D4FB" w14:textId="77777777" w:rsidR="004E1690" w:rsidRPr="00DD5A29" w:rsidRDefault="004E1690" w:rsidP="004F17D1">
            <w:pPr>
              <w:pStyle w:val="01Tableheaderrow"/>
              <w:rPr>
                <w:lang w:val="en-GB"/>
              </w:rPr>
            </w:pPr>
            <w:r w:rsidRPr="00C70F36">
              <w:rPr>
                <w:lang w:val="en-GB"/>
              </w:rPr>
              <w:t>Patient count</w:t>
            </w:r>
          </w:p>
        </w:tc>
        <w:tc>
          <w:tcPr>
            <w:tcW w:w="964" w:type="dxa"/>
            <w:shd w:val="clear" w:color="auto" w:fill="EEECE1" w:themeFill="background2"/>
            <w:vAlign w:val="bottom"/>
            <w:hideMark/>
          </w:tcPr>
          <w:p w14:paraId="2B256A3E" w14:textId="77777777" w:rsidR="004E1690" w:rsidRPr="00DD5A29" w:rsidRDefault="004E1690" w:rsidP="004F17D1">
            <w:pPr>
              <w:pStyle w:val="01Tableheaderrow"/>
              <w:rPr>
                <w:lang w:val="en-GB"/>
              </w:rPr>
            </w:pPr>
            <w:r w:rsidRPr="00C70F36">
              <w:rPr>
                <w:lang w:val="en-GB"/>
              </w:rPr>
              <w:t xml:space="preserve">Services 5-year </w:t>
            </w:r>
            <w:r w:rsidR="007D6844">
              <w:rPr>
                <w:lang w:val="en-GB"/>
              </w:rPr>
              <w:t>annual average growth</w:t>
            </w:r>
          </w:p>
        </w:tc>
      </w:tr>
      <w:tr w:rsidR="004E1690" w:rsidRPr="00DD5A29" w14:paraId="03E60C1E" w14:textId="77777777" w:rsidTr="004F17D1">
        <w:trPr>
          <w:trHeight w:val="300"/>
        </w:trPr>
        <w:tc>
          <w:tcPr>
            <w:tcW w:w="776" w:type="dxa"/>
            <w:noWrap/>
            <w:hideMark/>
          </w:tcPr>
          <w:p w14:paraId="4BF2EB13" w14:textId="77777777" w:rsidR="004E1690" w:rsidRPr="00DD5A29" w:rsidRDefault="004E1690" w:rsidP="004F17D1">
            <w:pPr>
              <w:pStyle w:val="02Tabletext"/>
              <w:rPr>
                <w:color w:val="000000"/>
                <w:lang w:val="en-GB"/>
              </w:rPr>
            </w:pPr>
            <w:r w:rsidRPr="004E1690">
              <w:rPr>
                <w:color w:val="000000"/>
                <w:lang w:val="en-GB"/>
              </w:rPr>
              <w:t>7107</w:t>
            </w:r>
            <w:r>
              <w:rPr>
                <w:color w:val="000000"/>
                <w:lang w:val="en-GB"/>
              </w:rPr>
              <w:t>4</w:t>
            </w:r>
          </w:p>
        </w:tc>
        <w:tc>
          <w:tcPr>
            <w:tcW w:w="2763" w:type="dxa"/>
            <w:noWrap/>
            <w:hideMark/>
          </w:tcPr>
          <w:p w14:paraId="4131254C" w14:textId="77777777" w:rsidR="004E1690" w:rsidRPr="001E531E" w:rsidRDefault="004E1690" w:rsidP="00410457">
            <w:pPr>
              <w:pStyle w:val="02Tabletext"/>
              <w:rPr>
                <w:color w:val="000000"/>
                <w:lang w:val="en-GB"/>
              </w:rPr>
            </w:pPr>
            <w:r w:rsidRPr="004E1690">
              <w:rPr>
                <w:color w:val="000000"/>
                <w:lang w:val="en-GB"/>
              </w:rPr>
              <w:t xml:space="preserve">Quantitation of total immunoglobulin </w:t>
            </w:r>
            <w:r w:rsidR="00410457">
              <w:rPr>
                <w:color w:val="000000"/>
                <w:lang w:val="en-GB"/>
              </w:rPr>
              <w:t>D</w:t>
            </w:r>
            <w:r w:rsidRPr="004E1690">
              <w:rPr>
                <w:color w:val="000000"/>
                <w:lang w:val="en-GB"/>
              </w:rPr>
              <w:t xml:space="preserve"> by any method in serum, urine or other body fluid - 1 test</w:t>
            </w:r>
          </w:p>
        </w:tc>
        <w:tc>
          <w:tcPr>
            <w:tcW w:w="1134" w:type="dxa"/>
            <w:noWrap/>
            <w:hideMark/>
          </w:tcPr>
          <w:p w14:paraId="1570B5F2" w14:textId="77777777" w:rsidR="004E1690" w:rsidRPr="001E531E" w:rsidRDefault="004E1690" w:rsidP="004F17D1">
            <w:pPr>
              <w:pStyle w:val="02Tabletext"/>
              <w:jc w:val="right"/>
              <w:rPr>
                <w:color w:val="000000"/>
                <w:lang w:val="en-GB"/>
              </w:rPr>
            </w:pPr>
            <w:r>
              <w:rPr>
                <w:color w:val="000000"/>
                <w:lang w:val="en-GB"/>
              </w:rPr>
              <w:t>$14.55</w:t>
            </w:r>
          </w:p>
        </w:tc>
        <w:tc>
          <w:tcPr>
            <w:tcW w:w="1276" w:type="dxa"/>
            <w:noWrap/>
            <w:hideMark/>
          </w:tcPr>
          <w:p w14:paraId="2000B685" w14:textId="77777777" w:rsidR="004E1690" w:rsidRPr="001E531E" w:rsidRDefault="004E1690" w:rsidP="004F17D1">
            <w:pPr>
              <w:pStyle w:val="02Tabletext"/>
              <w:jc w:val="right"/>
              <w:rPr>
                <w:color w:val="000000"/>
                <w:lang w:val="en-GB"/>
              </w:rPr>
            </w:pPr>
            <w:r w:rsidRPr="004E1690">
              <w:rPr>
                <w:color w:val="000000"/>
                <w:lang w:val="en-GB"/>
              </w:rPr>
              <w:t>250</w:t>
            </w:r>
          </w:p>
        </w:tc>
        <w:tc>
          <w:tcPr>
            <w:tcW w:w="1276" w:type="dxa"/>
          </w:tcPr>
          <w:p w14:paraId="5666C93B" w14:textId="77777777" w:rsidR="004E1690" w:rsidRPr="001E531E" w:rsidRDefault="004E1690" w:rsidP="004F17D1">
            <w:pPr>
              <w:pStyle w:val="02Tabletext"/>
              <w:jc w:val="right"/>
              <w:rPr>
                <w:color w:val="000000"/>
                <w:lang w:val="en-GB"/>
              </w:rPr>
            </w:pPr>
            <w:r w:rsidRPr="004E1690">
              <w:rPr>
                <w:color w:val="000000"/>
                <w:lang w:val="en-GB"/>
              </w:rPr>
              <w:t>$3,054</w:t>
            </w:r>
          </w:p>
        </w:tc>
        <w:tc>
          <w:tcPr>
            <w:tcW w:w="850" w:type="dxa"/>
            <w:noWrap/>
            <w:hideMark/>
          </w:tcPr>
          <w:p w14:paraId="4042D020" w14:textId="77777777" w:rsidR="004E1690" w:rsidRPr="001E531E" w:rsidRDefault="004E1690" w:rsidP="004F17D1">
            <w:pPr>
              <w:pStyle w:val="02Tabletext"/>
              <w:jc w:val="right"/>
              <w:rPr>
                <w:color w:val="000000"/>
                <w:lang w:val="en-GB"/>
              </w:rPr>
            </w:pPr>
            <w:r w:rsidRPr="004E1690">
              <w:rPr>
                <w:color w:val="000000"/>
                <w:lang w:val="en-GB"/>
              </w:rPr>
              <w:t>226</w:t>
            </w:r>
          </w:p>
        </w:tc>
        <w:tc>
          <w:tcPr>
            <w:tcW w:w="964" w:type="dxa"/>
            <w:noWrap/>
            <w:hideMark/>
          </w:tcPr>
          <w:p w14:paraId="5E37207C" w14:textId="77777777" w:rsidR="004E1690" w:rsidRPr="001E531E" w:rsidRDefault="004E1690" w:rsidP="004F17D1">
            <w:pPr>
              <w:pStyle w:val="02Tabletext"/>
              <w:jc w:val="right"/>
              <w:rPr>
                <w:color w:val="000000"/>
                <w:lang w:val="en-GB"/>
              </w:rPr>
            </w:pPr>
            <w:r>
              <w:rPr>
                <w:color w:val="000000"/>
                <w:lang w:val="en-GB"/>
              </w:rPr>
              <w:t>–0.8%</w:t>
            </w:r>
          </w:p>
        </w:tc>
      </w:tr>
    </w:tbl>
    <w:p w14:paraId="2B6B90EC" w14:textId="77777777" w:rsidR="004E1690" w:rsidRDefault="004E1690" w:rsidP="0023110D">
      <w:pPr>
        <w:pStyle w:val="Heading3Numbered"/>
      </w:pPr>
      <w:r>
        <w:t>Recommendation</w:t>
      </w:r>
      <w:r w:rsidR="00410457">
        <w:t xml:space="preserve"> 13</w:t>
      </w:r>
    </w:p>
    <w:p w14:paraId="58A38626" w14:textId="77777777" w:rsidR="004E1690" w:rsidRDefault="00437397">
      <w:pPr>
        <w:pStyle w:val="NormalBulleted"/>
      </w:pPr>
      <w:r>
        <w:t>R</w:t>
      </w:r>
      <w:r w:rsidR="004E1690">
        <w:t>emove the words ‘urine or other body fluid’ from item 71074</w:t>
      </w:r>
      <w:r w:rsidR="00230A3E">
        <w:t>.</w:t>
      </w:r>
    </w:p>
    <w:p w14:paraId="145E4689" w14:textId="77777777" w:rsidR="00E61B11" w:rsidRDefault="004E3C33">
      <w:pPr>
        <w:pStyle w:val="Caption"/>
      </w:pPr>
      <w:bookmarkStart w:id="83" w:name="_Toc485132210"/>
      <w:bookmarkStart w:id="84" w:name="_Toc499289264"/>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27</w:t>
      </w:r>
      <w:r w:rsidR="0004721F">
        <w:rPr>
          <w:noProof/>
        </w:rPr>
        <w:fldChar w:fldCharType="end"/>
      </w:r>
      <w:r>
        <w:t xml:space="preserve">. </w:t>
      </w:r>
      <w:r w:rsidR="00E61B11">
        <w:t>Current and proposed item descriptor</w:t>
      </w:r>
      <w:r w:rsidR="00671E54">
        <w:t>s</w:t>
      </w:r>
      <w:r w:rsidR="00E61B11">
        <w:t xml:space="preserve"> for item 71074</w:t>
      </w:r>
      <w:bookmarkEnd w:id="83"/>
      <w:bookmarkEnd w:id="84"/>
    </w:p>
    <w:tbl>
      <w:tblPr>
        <w:tblStyle w:val="TableGrid"/>
        <w:tblW w:w="0" w:type="auto"/>
        <w:tblLook w:val="04A0" w:firstRow="1" w:lastRow="0" w:firstColumn="1" w:lastColumn="0" w:noHBand="0" w:noVBand="1"/>
        <w:tblCaption w:val="Table 27: Current and proposed item descriptors for item 71074"/>
        <w:tblDescription w:val="Table 27 lists the current and proposed item descriptors for item 71074."/>
      </w:tblPr>
      <w:tblGrid>
        <w:gridCol w:w="1696"/>
        <w:gridCol w:w="3660"/>
        <w:gridCol w:w="3660"/>
      </w:tblGrid>
      <w:tr w:rsidR="00236526" w14:paraId="1DA654BF" w14:textId="77777777" w:rsidTr="0023110D">
        <w:trPr>
          <w:tblHeader/>
        </w:trPr>
        <w:tc>
          <w:tcPr>
            <w:tcW w:w="1696" w:type="dxa"/>
            <w:shd w:val="clear" w:color="auto" w:fill="EEECE1" w:themeFill="background2"/>
          </w:tcPr>
          <w:p w14:paraId="7FC4AA5E" w14:textId="77777777" w:rsidR="00236526" w:rsidRPr="00686B6D" w:rsidRDefault="00236526" w:rsidP="004F17D1">
            <w:pPr>
              <w:pStyle w:val="01Tableheaderrow"/>
            </w:pPr>
            <w:r w:rsidRPr="00686B6D">
              <w:t>Item</w:t>
            </w:r>
          </w:p>
        </w:tc>
        <w:tc>
          <w:tcPr>
            <w:tcW w:w="3660" w:type="dxa"/>
            <w:shd w:val="clear" w:color="auto" w:fill="EEECE1" w:themeFill="background2"/>
          </w:tcPr>
          <w:p w14:paraId="36C8C59F" w14:textId="77777777" w:rsidR="00236526" w:rsidRPr="00686B6D" w:rsidRDefault="00236526" w:rsidP="004F17D1">
            <w:pPr>
              <w:pStyle w:val="01Tableheaderrow"/>
            </w:pPr>
            <w:r w:rsidRPr="00686B6D">
              <w:t>Current item descriptor</w:t>
            </w:r>
          </w:p>
        </w:tc>
        <w:tc>
          <w:tcPr>
            <w:tcW w:w="3660" w:type="dxa"/>
            <w:shd w:val="clear" w:color="auto" w:fill="EEECE1" w:themeFill="background2"/>
          </w:tcPr>
          <w:p w14:paraId="4F5226C6" w14:textId="77777777" w:rsidR="00236526" w:rsidRPr="00686B6D" w:rsidRDefault="00236526" w:rsidP="004F17D1">
            <w:pPr>
              <w:pStyle w:val="01Tableheaderrow"/>
            </w:pPr>
            <w:r w:rsidRPr="00686B6D">
              <w:t>Proposed item descriptor</w:t>
            </w:r>
          </w:p>
        </w:tc>
      </w:tr>
      <w:tr w:rsidR="00236526" w14:paraId="6A1DE553" w14:textId="77777777" w:rsidTr="00A64925">
        <w:tc>
          <w:tcPr>
            <w:tcW w:w="1696" w:type="dxa"/>
          </w:tcPr>
          <w:p w14:paraId="110DDC8F" w14:textId="77777777" w:rsidR="00236526" w:rsidRDefault="00236526" w:rsidP="004F17D1">
            <w:pPr>
              <w:pStyle w:val="02Tabletext"/>
            </w:pPr>
            <w:r w:rsidRPr="00BA1EE0">
              <w:t>71074</w:t>
            </w:r>
          </w:p>
        </w:tc>
        <w:tc>
          <w:tcPr>
            <w:tcW w:w="3660" w:type="dxa"/>
          </w:tcPr>
          <w:p w14:paraId="5BD32420" w14:textId="77777777" w:rsidR="00236526" w:rsidRDefault="00236526" w:rsidP="00410457">
            <w:pPr>
              <w:pStyle w:val="02Tabletext"/>
            </w:pPr>
            <w:r w:rsidRPr="00BA1EE0">
              <w:t xml:space="preserve">Quantitation of total immunoglobulin </w:t>
            </w:r>
            <w:r w:rsidR="00410457">
              <w:t>D</w:t>
            </w:r>
            <w:r w:rsidRPr="00BA1EE0">
              <w:t xml:space="preserve"> by any method in serum, urine or other body fluid - 1 test</w:t>
            </w:r>
          </w:p>
        </w:tc>
        <w:tc>
          <w:tcPr>
            <w:tcW w:w="3660" w:type="dxa"/>
          </w:tcPr>
          <w:p w14:paraId="4E1DD915" w14:textId="77777777" w:rsidR="00236526" w:rsidRDefault="00236526" w:rsidP="004F17D1">
            <w:pPr>
              <w:pStyle w:val="02Tabletext"/>
            </w:pPr>
            <w:r w:rsidRPr="00236526">
              <w:t xml:space="preserve">Quantitation of total immunoglobulin </w:t>
            </w:r>
            <w:r w:rsidR="00500BD9">
              <w:t>D</w:t>
            </w:r>
            <w:r w:rsidRPr="00236526">
              <w:t xml:space="preserve"> by any method in serum - 1 test</w:t>
            </w:r>
          </w:p>
        </w:tc>
      </w:tr>
    </w:tbl>
    <w:p w14:paraId="17F3942C" w14:textId="77777777" w:rsidR="004E1690" w:rsidRDefault="004E1690" w:rsidP="0023110D">
      <w:pPr>
        <w:pStyle w:val="Heading3Numbered"/>
      </w:pPr>
      <w:r>
        <w:t>Rationale</w:t>
      </w:r>
      <w:r w:rsidR="00410457">
        <w:t xml:space="preserve"> 13</w:t>
      </w:r>
    </w:p>
    <w:p w14:paraId="7688087D" w14:textId="77777777" w:rsidR="00AE4C4A" w:rsidRDefault="004E1690">
      <w:pPr>
        <w:pStyle w:val="NormalBulleted"/>
      </w:pPr>
      <w:r w:rsidRPr="004E1690">
        <w:t>This test should not be performed in urine or other body fluid.</w:t>
      </w:r>
      <w:r w:rsidR="00AE4C4A" w:rsidRPr="00AE4C4A">
        <w:t xml:space="preserve"> </w:t>
      </w:r>
      <w:r w:rsidR="00AE4C4A">
        <w:t>There is no clinical reason to perform an Ig</w:t>
      </w:r>
      <w:r w:rsidR="00410457">
        <w:t>D</w:t>
      </w:r>
      <w:r w:rsidR="00AE4C4A">
        <w:t xml:space="preserve"> test on body fluids. Testing for the presence of extractable Ig</w:t>
      </w:r>
      <w:r w:rsidR="00410457">
        <w:t>D</w:t>
      </w:r>
      <w:r w:rsidR="00AE4C4A">
        <w:t xml:space="preserve"> in samples other than peripheral blood is not recommended because</w:t>
      </w:r>
      <w:r w:rsidR="00230A3E">
        <w:t xml:space="preserve"> </w:t>
      </w:r>
      <w:r w:rsidR="00AE4C4A">
        <w:t>there are no clinically validated indications for such testing</w:t>
      </w:r>
      <w:r w:rsidR="00230A3E">
        <w:t xml:space="preserve">, </w:t>
      </w:r>
      <w:r w:rsidR="00AE4C4A">
        <w:t>and reference intervals cannot be established for such samples, which precludes useful interpretation of such results.</w:t>
      </w:r>
    </w:p>
    <w:p w14:paraId="5BBA9F91" w14:textId="77777777" w:rsidR="004E1690" w:rsidRPr="004E1690" w:rsidRDefault="00AE4C4A" w:rsidP="0023110D">
      <w:pPr>
        <w:pStyle w:val="NormalBulleted"/>
      </w:pPr>
      <w:r>
        <w:t xml:space="preserve">The proposed change does not have a direct effect on </w:t>
      </w:r>
      <w:r w:rsidRPr="00410457">
        <w:t>patients</w:t>
      </w:r>
      <w:r w:rsidR="00E61B11">
        <w:t>.</w:t>
      </w:r>
    </w:p>
    <w:p w14:paraId="218856C5" w14:textId="77777777" w:rsidR="00D51A04" w:rsidRDefault="009C6383" w:rsidP="00E2562E">
      <w:pPr>
        <w:pStyle w:val="Heading2"/>
      </w:pPr>
      <w:bookmarkStart w:id="85" w:name="_Toc499293049"/>
      <w:r>
        <w:t>C</w:t>
      </w:r>
      <w:r w:rsidR="00D51A04" w:rsidRPr="00D51A04">
        <w:t>ryoglobulins or cryofibrinogen</w:t>
      </w:r>
      <w:r w:rsidR="00D51A04">
        <w:t>: item 71064</w:t>
      </w:r>
      <w:bookmarkEnd w:id="85"/>
    </w:p>
    <w:p w14:paraId="067575EC" w14:textId="77777777" w:rsidR="00341913" w:rsidRPr="003744BA" w:rsidRDefault="004E3C33">
      <w:pPr>
        <w:pStyle w:val="Caption"/>
      </w:pPr>
      <w:bookmarkStart w:id="86" w:name="_Toc499289265"/>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28</w:t>
      </w:r>
      <w:r w:rsidR="0004721F">
        <w:rPr>
          <w:noProof/>
        </w:rPr>
        <w:fldChar w:fldCharType="end"/>
      </w:r>
      <w:r>
        <w:t xml:space="preserve">. </w:t>
      </w:r>
      <w:r w:rsidR="00341913" w:rsidRPr="003744BA">
        <w:t>Item introduction table for item</w:t>
      </w:r>
      <w:r w:rsidR="00341913">
        <w:t xml:space="preserve"> </w:t>
      </w:r>
      <w:r w:rsidR="006A778F">
        <w:t>71064</w:t>
      </w:r>
      <w:bookmarkEnd w:id="86"/>
    </w:p>
    <w:tbl>
      <w:tblPr>
        <w:tblStyle w:val="TableGrid1"/>
        <w:tblW w:w="9039" w:type="dxa"/>
        <w:tblLayout w:type="fixed"/>
        <w:tblLook w:val="04A0" w:firstRow="1" w:lastRow="0" w:firstColumn="1" w:lastColumn="0" w:noHBand="0" w:noVBand="1"/>
        <w:tblCaption w:val="Table 28: Item introduction table for item 71064"/>
        <w:tblDescription w:val="Table 28 contains MBS data for item 71064 for the financial year 2014–2015. The data includes item number, long item descriptor, schedule fee, total volume of services, benefits paid, patient count and services annual average growth as a pecentage over a 5 year period."/>
      </w:tblPr>
      <w:tblGrid>
        <w:gridCol w:w="776"/>
        <w:gridCol w:w="2621"/>
        <w:gridCol w:w="1134"/>
        <w:gridCol w:w="1276"/>
        <w:gridCol w:w="1276"/>
        <w:gridCol w:w="850"/>
        <w:gridCol w:w="1106"/>
      </w:tblGrid>
      <w:tr w:rsidR="00E52A61" w:rsidRPr="00DD5A29" w14:paraId="64BD735F" w14:textId="77777777" w:rsidTr="004F17D1">
        <w:trPr>
          <w:trHeight w:val="729"/>
          <w:tblHeader/>
        </w:trPr>
        <w:tc>
          <w:tcPr>
            <w:tcW w:w="776" w:type="dxa"/>
            <w:shd w:val="clear" w:color="auto" w:fill="EEECE1" w:themeFill="background2"/>
            <w:vAlign w:val="bottom"/>
            <w:hideMark/>
          </w:tcPr>
          <w:p w14:paraId="6339949B" w14:textId="77777777" w:rsidR="00E52A61" w:rsidRPr="00DD5A29" w:rsidRDefault="00E52A61" w:rsidP="004F17D1">
            <w:pPr>
              <w:pStyle w:val="01Tableheaderrow"/>
              <w:rPr>
                <w:lang w:val="en-GB"/>
              </w:rPr>
            </w:pPr>
            <w:r w:rsidRPr="00C70F36">
              <w:rPr>
                <w:lang w:val="en-GB"/>
              </w:rPr>
              <w:t>Item</w:t>
            </w:r>
          </w:p>
        </w:tc>
        <w:tc>
          <w:tcPr>
            <w:tcW w:w="2621" w:type="dxa"/>
            <w:shd w:val="clear" w:color="auto" w:fill="EEECE1" w:themeFill="background2"/>
            <w:vAlign w:val="bottom"/>
            <w:hideMark/>
          </w:tcPr>
          <w:p w14:paraId="3306EF27" w14:textId="77777777" w:rsidR="00E52A61" w:rsidRPr="00DD5A29" w:rsidRDefault="00E52A61" w:rsidP="004F17D1">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134" w:type="dxa"/>
            <w:shd w:val="clear" w:color="auto" w:fill="EEECE1" w:themeFill="background2"/>
            <w:vAlign w:val="bottom"/>
            <w:hideMark/>
          </w:tcPr>
          <w:p w14:paraId="2C1173C6" w14:textId="77777777" w:rsidR="00E52A61" w:rsidRPr="00256B04" w:rsidRDefault="00E52A61" w:rsidP="004F17D1">
            <w:pPr>
              <w:pStyle w:val="01Tableheaderrow"/>
              <w:rPr>
                <w:lang w:val="en-GB"/>
              </w:rPr>
            </w:pPr>
            <w:r w:rsidRPr="00C70F36">
              <w:rPr>
                <w:lang w:val="en-GB"/>
              </w:rPr>
              <w:t>Schedule fee</w:t>
            </w:r>
          </w:p>
        </w:tc>
        <w:tc>
          <w:tcPr>
            <w:tcW w:w="1276" w:type="dxa"/>
            <w:shd w:val="clear" w:color="auto" w:fill="EEECE1" w:themeFill="background2"/>
            <w:vAlign w:val="bottom"/>
            <w:hideMark/>
          </w:tcPr>
          <w:p w14:paraId="34934D25" w14:textId="77777777" w:rsidR="00E52A61" w:rsidRPr="00DD5A29" w:rsidRDefault="00E52A61" w:rsidP="004F17D1">
            <w:pPr>
              <w:pStyle w:val="01Tableheaderrow"/>
              <w:rPr>
                <w:lang w:val="en-GB"/>
              </w:rPr>
            </w:pPr>
            <w:r w:rsidRPr="00C70F36">
              <w:rPr>
                <w:lang w:val="en-GB"/>
              </w:rPr>
              <w:t xml:space="preserve">Services </w:t>
            </w:r>
            <w:r w:rsidR="007D6844">
              <w:rPr>
                <w:lang w:val="en-GB"/>
              </w:rPr>
              <w:t>FY 2014–15</w:t>
            </w:r>
          </w:p>
        </w:tc>
        <w:tc>
          <w:tcPr>
            <w:tcW w:w="1276" w:type="dxa"/>
            <w:shd w:val="clear" w:color="auto" w:fill="EEECE1" w:themeFill="background2"/>
            <w:vAlign w:val="bottom"/>
          </w:tcPr>
          <w:p w14:paraId="12035298" w14:textId="77777777" w:rsidR="00E52A61" w:rsidRPr="00DD5A29" w:rsidRDefault="00E52A61" w:rsidP="004F17D1">
            <w:pPr>
              <w:pStyle w:val="01Tableheaderrow"/>
              <w:rPr>
                <w:lang w:val="en-GB"/>
              </w:rPr>
            </w:pPr>
            <w:r w:rsidRPr="00C70F36">
              <w:rPr>
                <w:lang w:val="en-GB"/>
              </w:rPr>
              <w:t xml:space="preserve">Benefits </w:t>
            </w:r>
            <w:r w:rsidR="007D6844">
              <w:rPr>
                <w:lang w:val="en-GB"/>
              </w:rPr>
              <w:t>FY 2014–15</w:t>
            </w:r>
          </w:p>
        </w:tc>
        <w:tc>
          <w:tcPr>
            <w:tcW w:w="850" w:type="dxa"/>
            <w:shd w:val="clear" w:color="auto" w:fill="EEECE1" w:themeFill="background2"/>
            <w:vAlign w:val="bottom"/>
            <w:hideMark/>
          </w:tcPr>
          <w:p w14:paraId="24845601" w14:textId="77777777" w:rsidR="00E52A61" w:rsidRPr="00DD5A29" w:rsidRDefault="00E52A61" w:rsidP="004F17D1">
            <w:pPr>
              <w:pStyle w:val="01Tableheaderrow"/>
              <w:rPr>
                <w:lang w:val="en-GB"/>
              </w:rPr>
            </w:pPr>
            <w:r w:rsidRPr="00C70F36">
              <w:rPr>
                <w:lang w:val="en-GB"/>
              </w:rPr>
              <w:t>Patient count</w:t>
            </w:r>
          </w:p>
        </w:tc>
        <w:tc>
          <w:tcPr>
            <w:tcW w:w="1106" w:type="dxa"/>
            <w:shd w:val="clear" w:color="auto" w:fill="EEECE1" w:themeFill="background2"/>
            <w:vAlign w:val="bottom"/>
            <w:hideMark/>
          </w:tcPr>
          <w:p w14:paraId="03E43477" w14:textId="77777777" w:rsidR="00E52A61" w:rsidRPr="00DD5A29" w:rsidRDefault="00E52A61" w:rsidP="004F17D1">
            <w:pPr>
              <w:pStyle w:val="01Tableheaderrow"/>
              <w:rPr>
                <w:lang w:val="en-GB"/>
              </w:rPr>
            </w:pPr>
            <w:r w:rsidRPr="00C70F36">
              <w:rPr>
                <w:lang w:val="en-GB"/>
              </w:rPr>
              <w:t xml:space="preserve">Services 5-year </w:t>
            </w:r>
            <w:r w:rsidR="007D6844">
              <w:rPr>
                <w:lang w:val="en-GB"/>
              </w:rPr>
              <w:t>annual average growth</w:t>
            </w:r>
          </w:p>
        </w:tc>
      </w:tr>
      <w:tr w:rsidR="00E52A61" w:rsidRPr="00DD5A29" w14:paraId="4B1DBE56" w14:textId="77777777" w:rsidTr="004F17D1">
        <w:trPr>
          <w:trHeight w:val="300"/>
        </w:trPr>
        <w:tc>
          <w:tcPr>
            <w:tcW w:w="776" w:type="dxa"/>
            <w:noWrap/>
            <w:hideMark/>
          </w:tcPr>
          <w:p w14:paraId="530001EA" w14:textId="77777777" w:rsidR="00E52A61" w:rsidRPr="00DD5A29" w:rsidRDefault="001E531E" w:rsidP="004F17D1">
            <w:pPr>
              <w:pStyle w:val="02Tabletext"/>
              <w:rPr>
                <w:color w:val="000000"/>
                <w:lang w:val="en-GB"/>
              </w:rPr>
            </w:pPr>
            <w:r>
              <w:rPr>
                <w:color w:val="000000"/>
                <w:lang w:val="en-GB"/>
              </w:rPr>
              <w:t>71064</w:t>
            </w:r>
          </w:p>
        </w:tc>
        <w:tc>
          <w:tcPr>
            <w:tcW w:w="2621" w:type="dxa"/>
            <w:noWrap/>
            <w:hideMark/>
          </w:tcPr>
          <w:p w14:paraId="42565842" w14:textId="77777777" w:rsidR="00E52A61" w:rsidRPr="001E531E" w:rsidRDefault="001E531E" w:rsidP="004F17D1">
            <w:pPr>
              <w:pStyle w:val="02Tabletext"/>
              <w:rPr>
                <w:color w:val="000000"/>
                <w:lang w:val="en-GB"/>
              </w:rPr>
            </w:pPr>
            <w:r w:rsidRPr="001E531E">
              <w:rPr>
                <w:color w:val="000000"/>
                <w:lang w:val="en-GB"/>
              </w:rPr>
              <w:t>Detection and quantitation of cryoglobulins or cryofibrinogen - 1 or more tests</w:t>
            </w:r>
          </w:p>
        </w:tc>
        <w:tc>
          <w:tcPr>
            <w:tcW w:w="1134" w:type="dxa"/>
            <w:noWrap/>
            <w:hideMark/>
          </w:tcPr>
          <w:p w14:paraId="0584A52F" w14:textId="77777777" w:rsidR="00E52A61" w:rsidRPr="001E531E" w:rsidRDefault="008E5F19" w:rsidP="004F17D1">
            <w:pPr>
              <w:pStyle w:val="02Tabletext"/>
              <w:jc w:val="right"/>
              <w:rPr>
                <w:color w:val="000000"/>
                <w:lang w:val="en-GB"/>
              </w:rPr>
            </w:pPr>
            <w:r>
              <w:rPr>
                <w:color w:val="000000"/>
                <w:lang w:val="en-GB"/>
              </w:rPr>
              <w:t>$</w:t>
            </w:r>
            <w:r w:rsidR="001E531E" w:rsidRPr="001E531E">
              <w:rPr>
                <w:color w:val="000000"/>
                <w:lang w:val="en-GB"/>
              </w:rPr>
              <w:t>20.75</w:t>
            </w:r>
          </w:p>
        </w:tc>
        <w:tc>
          <w:tcPr>
            <w:tcW w:w="1276" w:type="dxa"/>
            <w:noWrap/>
            <w:hideMark/>
          </w:tcPr>
          <w:p w14:paraId="4CC1C14F" w14:textId="77777777" w:rsidR="00E52A61" w:rsidRPr="001E531E" w:rsidRDefault="001E531E" w:rsidP="004F17D1">
            <w:pPr>
              <w:pStyle w:val="02Tabletext"/>
              <w:jc w:val="right"/>
              <w:rPr>
                <w:color w:val="000000"/>
                <w:lang w:val="en-GB"/>
              </w:rPr>
            </w:pPr>
            <w:r w:rsidRPr="001E531E">
              <w:rPr>
                <w:color w:val="000000"/>
                <w:lang w:val="en-GB"/>
              </w:rPr>
              <w:t>7302</w:t>
            </w:r>
          </w:p>
        </w:tc>
        <w:tc>
          <w:tcPr>
            <w:tcW w:w="1276" w:type="dxa"/>
          </w:tcPr>
          <w:p w14:paraId="4021C73F" w14:textId="77777777" w:rsidR="00E52A61" w:rsidRPr="001E531E" w:rsidRDefault="001E531E" w:rsidP="004F17D1">
            <w:pPr>
              <w:pStyle w:val="02Tabletext"/>
              <w:jc w:val="right"/>
              <w:rPr>
                <w:color w:val="000000"/>
                <w:lang w:val="en-GB"/>
              </w:rPr>
            </w:pPr>
            <w:r w:rsidRPr="001E531E">
              <w:rPr>
                <w:color w:val="000000"/>
                <w:lang w:val="en-GB"/>
              </w:rPr>
              <w:t>$126,810</w:t>
            </w:r>
          </w:p>
        </w:tc>
        <w:tc>
          <w:tcPr>
            <w:tcW w:w="850" w:type="dxa"/>
            <w:noWrap/>
            <w:hideMark/>
          </w:tcPr>
          <w:p w14:paraId="6AE583AA" w14:textId="77777777" w:rsidR="00E52A61" w:rsidRPr="001E531E" w:rsidRDefault="001E531E" w:rsidP="004F17D1">
            <w:pPr>
              <w:pStyle w:val="02Tabletext"/>
              <w:jc w:val="right"/>
              <w:rPr>
                <w:color w:val="000000"/>
                <w:lang w:val="en-GB"/>
              </w:rPr>
            </w:pPr>
            <w:r w:rsidRPr="001E531E">
              <w:rPr>
                <w:color w:val="000000"/>
                <w:lang w:val="en-GB"/>
              </w:rPr>
              <w:t>6579</w:t>
            </w:r>
          </w:p>
        </w:tc>
        <w:tc>
          <w:tcPr>
            <w:tcW w:w="1106" w:type="dxa"/>
            <w:noWrap/>
            <w:hideMark/>
          </w:tcPr>
          <w:p w14:paraId="01F9116A" w14:textId="77777777" w:rsidR="00E52A61" w:rsidRPr="001E531E" w:rsidRDefault="001E531E" w:rsidP="004F17D1">
            <w:pPr>
              <w:pStyle w:val="02Tabletext"/>
              <w:jc w:val="right"/>
              <w:rPr>
                <w:color w:val="000000"/>
                <w:lang w:val="en-GB"/>
              </w:rPr>
            </w:pPr>
            <w:r w:rsidRPr="001E531E">
              <w:rPr>
                <w:color w:val="000000"/>
                <w:lang w:val="en-GB"/>
              </w:rPr>
              <w:t>7.5%</w:t>
            </w:r>
          </w:p>
        </w:tc>
      </w:tr>
    </w:tbl>
    <w:p w14:paraId="4F1BD73D" w14:textId="77777777" w:rsidR="00AA190A" w:rsidRDefault="00AA190A" w:rsidP="0023110D">
      <w:pPr>
        <w:pStyle w:val="Heading3Numbered"/>
      </w:pPr>
      <w:r>
        <w:t>Recommendation</w:t>
      </w:r>
      <w:r w:rsidR="004A7CC2">
        <w:t xml:space="preserve"> 14</w:t>
      </w:r>
    </w:p>
    <w:p w14:paraId="7A1D2283" w14:textId="77777777" w:rsidR="00AA190A" w:rsidRDefault="00437397">
      <w:pPr>
        <w:pStyle w:val="NormalBulleted"/>
      </w:pPr>
      <w:r>
        <w:t>I</w:t>
      </w:r>
      <w:r w:rsidR="00AA190A">
        <w:t xml:space="preserve">ncrease the </w:t>
      </w:r>
      <w:r w:rsidR="0041508C">
        <w:t xml:space="preserve">MBS </w:t>
      </w:r>
      <w:r w:rsidR="00AA190A">
        <w:t>fee for item 71064</w:t>
      </w:r>
      <w:r w:rsidR="00C66AF4">
        <w:t>.</w:t>
      </w:r>
    </w:p>
    <w:p w14:paraId="4AC1F63F" w14:textId="77777777" w:rsidR="004A19F9" w:rsidRDefault="004A19F9" w:rsidP="0023110D">
      <w:pPr>
        <w:pStyle w:val="NormalBulleted"/>
      </w:pPr>
      <w:r>
        <w:t>The Committee has referred</w:t>
      </w:r>
      <w:r w:rsidR="00D90361">
        <w:t xml:space="preserve"> this recommendation to the Pathology Business Group.</w:t>
      </w:r>
    </w:p>
    <w:p w14:paraId="0E10B611" w14:textId="77777777" w:rsidR="00AA190A" w:rsidRDefault="00AA190A" w:rsidP="0023110D">
      <w:pPr>
        <w:pStyle w:val="Heading3Numbered"/>
      </w:pPr>
      <w:r>
        <w:lastRenderedPageBreak/>
        <w:t>Rationale</w:t>
      </w:r>
      <w:r w:rsidR="004A7CC2">
        <w:t xml:space="preserve"> 14</w:t>
      </w:r>
    </w:p>
    <w:p w14:paraId="32256239" w14:textId="77777777" w:rsidR="00EF7B93" w:rsidRPr="004F17D1" w:rsidRDefault="00333B9E">
      <w:pPr>
        <w:pStyle w:val="NormalBulleted"/>
        <w:rPr>
          <w:lang w:val="en-US"/>
        </w:rPr>
      </w:pPr>
      <w:r>
        <w:t>Item 71064 is a test used to determine whether symptoms such as sensitivity of extremities to cold is due to the presence of abnormal proteins called cryoglobulins</w:t>
      </w:r>
      <w:r w:rsidR="00D674B7">
        <w:t>. Cryoglobulins tend to clump together when exposed to cold temperatures and dissolve when exposed to warm temperatures; they are present in high levels in abnormal protein production in some autoimmune, infectious and blood diseases.</w:t>
      </w:r>
    </w:p>
    <w:p w14:paraId="5F35F973" w14:textId="77777777" w:rsidR="00EF7B93" w:rsidRDefault="00B43714">
      <w:pPr>
        <w:pStyle w:val="NormalBulleted"/>
        <w:rPr>
          <w:lang w:val="en-US"/>
        </w:rPr>
      </w:pPr>
      <w:r>
        <w:t xml:space="preserve">Currently, the </w:t>
      </w:r>
      <w:r w:rsidR="00437397">
        <w:t xml:space="preserve">MBS </w:t>
      </w:r>
      <w:r>
        <w:t>fee</w:t>
      </w:r>
      <w:r w:rsidR="00AA190A" w:rsidRPr="00AA190A">
        <w:t xml:space="preserve"> does not reflect the costs associated with </w:t>
      </w:r>
      <w:r w:rsidR="00FB1D67">
        <w:t>this test</w:t>
      </w:r>
      <w:r w:rsidR="00746C0F">
        <w:t>.</w:t>
      </w:r>
      <w:r w:rsidR="00AA190A" w:rsidRPr="00AA190A">
        <w:t xml:space="preserve"> </w:t>
      </w:r>
      <w:r w:rsidR="00746C0F">
        <w:t>C</w:t>
      </w:r>
      <w:r w:rsidR="00AA190A" w:rsidRPr="00AA190A">
        <w:t>ryoglobulins are very expensive to collect and transport; this item is often</w:t>
      </w:r>
      <w:r w:rsidR="001536A4">
        <w:t xml:space="preserve"> billed with 71062</w:t>
      </w:r>
      <w:r w:rsidR="00AA190A" w:rsidRPr="00AA190A">
        <w:t>.</w:t>
      </w:r>
      <w:r w:rsidR="004A19F9">
        <w:t xml:space="preserve"> </w:t>
      </w:r>
      <w:r w:rsidR="00746C0F">
        <w:rPr>
          <w:lang w:val="en-US"/>
        </w:rPr>
        <w:t>W</w:t>
      </w:r>
      <w:r w:rsidR="004A19F9">
        <w:rPr>
          <w:lang w:val="en-US"/>
        </w:rPr>
        <w:t>hen a patient attends a laboratory the ‘hot box’ equipment is available; this is particularly important issue for remote patients who have to travel to the laboratory.</w:t>
      </w:r>
    </w:p>
    <w:p w14:paraId="34AF9B54" w14:textId="77777777" w:rsidR="00EF7B93" w:rsidRDefault="00FB7CA2">
      <w:pPr>
        <w:pStyle w:val="NormalBulleted"/>
        <w:rPr>
          <w:lang w:val="en-US"/>
        </w:rPr>
      </w:pPr>
      <w:r w:rsidRPr="00746C0F">
        <w:rPr>
          <w:lang w:val="en-US"/>
        </w:rPr>
        <w:t xml:space="preserve">The analysis includes storage of samples at different temperatures and then determination of proportional precipitation day(s) later. </w:t>
      </w:r>
      <w:r w:rsidR="00D674B7">
        <w:t>Cryoglobulin testing involves the collection of blood in a pre-warmed tube and keeping</w:t>
      </w:r>
      <w:r w:rsidRPr="00746C0F">
        <w:rPr>
          <w:lang w:val="en-US"/>
        </w:rPr>
        <w:t xml:space="preserve"> </w:t>
      </w:r>
      <w:r w:rsidR="00D674B7" w:rsidRPr="00746C0F">
        <w:rPr>
          <w:lang w:val="en-US"/>
        </w:rPr>
        <w:t xml:space="preserve">the blood sample at body temperature during preparation for testing. </w:t>
      </w:r>
      <w:r w:rsidRPr="00746C0F">
        <w:rPr>
          <w:lang w:val="en-US"/>
        </w:rPr>
        <w:t xml:space="preserve">If samples are not kept at body temperature </w:t>
      </w:r>
      <w:r w:rsidR="00EF7B93">
        <w:rPr>
          <w:lang w:val="en-US"/>
        </w:rPr>
        <w:t xml:space="preserve">after </w:t>
      </w:r>
      <w:r w:rsidRPr="00746C0F">
        <w:rPr>
          <w:lang w:val="en-US"/>
        </w:rPr>
        <w:t>venepuncture until analysis</w:t>
      </w:r>
      <w:r w:rsidR="00EF7B93">
        <w:rPr>
          <w:lang w:val="en-US"/>
        </w:rPr>
        <w:t>,</w:t>
      </w:r>
      <w:r w:rsidRPr="00746C0F">
        <w:rPr>
          <w:lang w:val="en-US"/>
        </w:rPr>
        <w:t xml:space="preserve"> the results will vary widely.</w:t>
      </w:r>
    </w:p>
    <w:p w14:paraId="4FE6A43B" w14:textId="77777777" w:rsidR="00FB7CA2" w:rsidRPr="00746C0F" w:rsidRDefault="00FB7CA2">
      <w:pPr>
        <w:pStyle w:val="NormalBulleted"/>
        <w:rPr>
          <w:lang w:val="en-US"/>
        </w:rPr>
      </w:pPr>
      <w:r w:rsidRPr="00746C0F">
        <w:rPr>
          <w:lang w:val="en-US"/>
        </w:rPr>
        <w:t xml:space="preserve">The complexity of this </w:t>
      </w:r>
      <w:r w:rsidR="00EF7B93">
        <w:rPr>
          <w:lang w:val="en-US"/>
        </w:rPr>
        <w:t>‘</w:t>
      </w:r>
      <w:r w:rsidRPr="00746C0F">
        <w:rPr>
          <w:lang w:val="en-US"/>
        </w:rPr>
        <w:t>pre-analytical</w:t>
      </w:r>
      <w:r w:rsidR="00EF7B93">
        <w:rPr>
          <w:lang w:val="en-US"/>
        </w:rPr>
        <w:t>’</w:t>
      </w:r>
      <w:r w:rsidR="00EF7B93" w:rsidRPr="00746C0F">
        <w:rPr>
          <w:lang w:val="en-US"/>
        </w:rPr>
        <w:t xml:space="preserve"> </w:t>
      </w:r>
      <w:r w:rsidRPr="00746C0F">
        <w:rPr>
          <w:lang w:val="en-US"/>
        </w:rPr>
        <w:t>phase requires significant resource</w:t>
      </w:r>
      <w:r w:rsidR="00EF7B93">
        <w:rPr>
          <w:lang w:val="en-US"/>
        </w:rPr>
        <w:t>s—</w:t>
      </w:r>
      <w:r w:rsidRPr="00746C0F">
        <w:rPr>
          <w:lang w:val="en-US"/>
        </w:rPr>
        <w:t>equipment, staff and education</w:t>
      </w:r>
      <w:r w:rsidR="00EF7B93">
        <w:rPr>
          <w:lang w:val="en-US"/>
        </w:rPr>
        <w:t>—</w:t>
      </w:r>
      <w:r w:rsidRPr="00746C0F">
        <w:rPr>
          <w:lang w:val="en-US"/>
        </w:rPr>
        <w:t xml:space="preserve">factors not covered by routine </w:t>
      </w:r>
      <w:r w:rsidR="0023110D">
        <w:rPr>
          <w:lang w:val="en-US"/>
        </w:rPr>
        <w:t xml:space="preserve">patient episode initiation </w:t>
      </w:r>
      <w:r w:rsidRPr="00746C0F">
        <w:rPr>
          <w:lang w:val="en-US"/>
        </w:rPr>
        <w:t xml:space="preserve">or </w:t>
      </w:r>
      <w:r w:rsidR="004A7CC2">
        <w:rPr>
          <w:lang w:val="en-US"/>
        </w:rPr>
        <w:t xml:space="preserve">the </w:t>
      </w:r>
      <w:r w:rsidRPr="00746C0F">
        <w:rPr>
          <w:lang w:val="en-US"/>
        </w:rPr>
        <w:t>current</w:t>
      </w:r>
      <w:r w:rsidR="004A7CC2">
        <w:rPr>
          <w:lang w:val="en-US"/>
        </w:rPr>
        <w:t xml:space="preserve"> fee for</w:t>
      </w:r>
      <w:r w:rsidRPr="00746C0F">
        <w:rPr>
          <w:lang w:val="en-US"/>
        </w:rPr>
        <w:t xml:space="preserve"> </w:t>
      </w:r>
      <w:r w:rsidR="00EF7B93">
        <w:rPr>
          <w:lang w:val="en-US"/>
        </w:rPr>
        <w:t xml:space="preserve">item </w:t>
      </w:r>
      <w:r w:rsidRPr="00746C0F">
        <w:rPr>
          <w:lang w:val="en-US"/>
        </w:rPr>
        <w:t>71064</w:t>
      </w:r>
      <w:r w:rsidR="00AF33D6" w:rsidRPr="00746C0F">
        <w:rPr>
          <w:lang w:val="en-US"/>
        </w:rPr>
        <w:t>. Increasing the fee for item 71064 will allow for correct collection and quality results for patients.</w:t>
      </w:r>
    </w:p>
    <w:p w14:paraId="5E37468B" w14:textId="77777777" w:rsidR="007F3BDD" w:rsidRDefault="007F3BDD">
      <w:pPr>
        <w:pStyle w:val="NormalBulleted"/>
        <w:rPr>
          <w:lang w:val="en-US"/>
        </w:rPr>
      </w:pPr>
      <w:r>
        <w:rPr>
          <w:lang w:val="en-US"/>
        </w:rPr>
        <w:t xml:space="preserve">The proposed changes will improve access for patients, </w:t>
      </w:r>
      <w:r w:rsidR="00AB7038">
        <w:t>reduce rates of unnecessary venepuncture</w:t>
      </w:r>
      <w:r>
        <w:rPr>
          <w:lang w:val="en-US"/>
        </w:rPr>
        <w:t>, improve how blood samples are collected and increase accuracy of test results.</w:t>
      </w:r>
    </w:p>
    <w:p w14:paraId="099A3DE8" w14:textId="77777777" w:rsidR="00A0392F" w:rsidRDefault="00A0392F" w:rsidP="00E2562E">
      <w:pPr>
        <w:pStyle w:val="Heading2"/>
      </w:pPr>
      <w:bookmarkStart w:id="87" w:name="_Toc499293050"/>
      <w:r w:rsidRPr="00A0392F">
        <w:t>Rheumatoid factor</w:t>
      </w:r>
      <w:r>
        <w:t>: item 71106</w:t>
      </w:r>
      <w:bookmarkEnd w:id="87"/>
    </w:p>
    <w:p w14:paraId="7D45A6F9" w14:textId="77777777" w:rsidR="00B82189" w:rsidRPr="00341913" w:rsidRDefault="004E3C33">
      <w:pPr>
        <w:pStyle w:val="Caption"/>
      </w:pPr>
      <w:bookmarkStart w:id="88" w:name="_Toc499289266"/>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29</w:t>
      </w:r>
      <w:r w:rsidR="0004721F">
        <w:rPr>
          <w:noProof/>
        </w:rPr>
        <w:fldChar w:fldCharType="end"/>
      </w:r>
      <w:r>
        <w:t xml:space="preserve">. </w:t>
      </w:r>
      <w:r w:rsidR="00341913" w:rsidRPr="003744BA">
        <w:t>Item introduction table for item</w:t>
      </w:r>
      <w:r w:rsidR="00341913">
        <w:t xml:space="preserve"> </w:t>
      </w:r>
      <w:r w:rsidR="00D53BB1">
        <w:t>71106</w:t>
      </w:r>
      <w:bookmarkEnd w:id="88"/>
    </w:p>
    <w:tbl>
      <w:tblPr>
        <w:tblStyle w:val="TableGrid1"/>
        <w:tblW w:w="9039" w:type="dxa"/>
        <w:tblLayout w:type="fixed"/>
        <w:tblLook w:val="04A0" w:firstRow="1" w:lastRow="0" w:firstColumn="1" w:lastColumn="0" w:noHBand="0" w:noVBand="1"/>
        <w:tblCaption w:val="Table 29: Item introduction table for item 71106"/>
        <w:tblDescription w:val="Table 29 contains MBS data for item 71106 for the finanical year 2014–2015. The data includes item number, long item descriptor, schedule fee, total volume of services, benefits paid, patient count and services annual average growth as a pecentage over a 5 year period."/>
      </w:tblPr>
      <w:tblGrid>
        <w:gridCol w:w="776"/>
        <w:gridCol w:w="2621"/>
        <w:gridCol w:w="1134"/>
        <w:gridCol w:w="1276"/>
        <w:gridCol w:w="1276"/>
        <w:gridCol w:w="992"/>
        <w:gridCol w:w="964"/>
      </w:tblGrid>
      <w:tr w:rsidR="00B82189" w:rsidRPr="00DD5A29" w14:paraId="018412B8" w14:textId="77777777" w:rsidTr="004F17D1">
        <w:trPr>
          <w:trHeight w:val="729"/>
          <w:tblHeader/>
        </w:trPr>
        <w:tc>
          <w:tcPr>
            <w:tcW w:w="776" w:type="dxa"/>
            <w:shd w:val="clear" w:color="auto" w:fill="EEECE1" w:themeFill="background2"/>
            <w:vAlign w:val="bottom"/>
            <w:hideMark/>
          </w:tcPr>
          <w:p w14:paraId="74239969" w14:textId="77777777" w:rsidR="00B82189" w:rsidRPr="00DD5A29" w:rsidRDefault="00B82189" w:rsidP="004F17D1">
            <w:pPr>
              <w:pStyle w:val="01Tableheaderrow"/>
              <w:rPr>
                <w:lang w:val="en-GB"/>
              </w:rPr>
            </w:pPr>
            <w:r w:rsidRPr="00C70F36">
              <w:rPr>
                <w:lang w:val="en-GB"/>
              </w:rPr>
              <w:t>Item</w:t>
            </w:r>
          </w:p>
        </w:tc>
        <w:tc>
          <w:tcPr>
            <w:tcW w:w="2621" w:type="dxa"/>
            <w:shd w:val="clear" w:color="auto" w:fill="EEECE1" w:themeFill="background2"/>
            <w:vAlign w:val="bottom"/>
            <w:hideMark/>
          </w:tcPr>
          <w:p w14:paraId="14C15432" w14:textId="77777777" w:rsidR="00B82189" w:rsidRPr="00DD5A29" w:rsidRDefault="00B82189" w:rsidP="004F17D1">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134" w:type="dxa"/>
            <w:shd w:val="clear" w:color="auto" w:fill="EEECE1" w:themeFill="background2"/>
            <w:vAlign w:val="bottom"/>
            <w:hideMark/>
          </w:tcPr>
          <w:p w14:paraId="57C7D02A" w14:textId="77777777" w:rsidR="00B82189" w:rsidRPr="00256B04" w:rsidRDefault="00B82189" w:rsidP="004F17D1">
            <w:pPr>
              <w:pStyle w:val="01Tableheaderrow"/>
              <w:rPr>
                <w:lang w:val="en-GB"/>
              </w:rPr>
            </w:pPr>
            <w:r w:rsidRPr="00C70F36">
              <w:rPr>
                <w:lang w:val="en-GB"/>
              </w:rPr>
              <w:t>Schedule fee</w:t>
            </w:r>
          </w:p>
        </w:tc>
        <w:tc>
          <w:tcPr>
            <w:tcW w:w="1276" w:type="dxa"/>
            <w:shd w:val="clear" w:color="auto" w:fill="EEECE1" w:themeFill="background2"/>
            <w:vAlign w:val="bottom"/>
            <w:hideMark/>
          </w:tcPr>
          <w:p w14:paraId="2789B878" w14:textId="77777777" w:rsidR="00B82189" w:rsidRPr="00DD5A29" w:rsidRDefault="00B82189" w:rsidP="004F17D1">
            <w:pPr>
              <w:pStyle w:val="01Tableheaderrow"/>
              <w:rPr>
                <w:lang w:val="en-GB"/>
              </w:rPr>
            </w:pPr>
            <w:r w:rsidRPr="00C70F36">
              <w:rPr>
                <w:lang w:val="en-GB"/>
              </w:rPr>
              <w:t xml:space="preserve">Services </w:t>
            </w:r>
            <w:r w:rsidR="007D6844">
              <w:rPr>
                <w:lang w:val="en-GB"/>
              </w:rPr>
              <w:t>FY 2014–15</w:t>
            </w:r>
          </w:p>
        </w:tc>
        <w:tc>
          <w:tcPr>
            <w:tcW w:w="1276" w:type="dxa"/>
            <w:shd w:val="clear" w:color="auto" w:fill="EEECE1" w:themeFill="background2"/>
            <w:vAlign w:val="bottom"/>
          </w:tcPr>
          <w:p w14:paraId="6976ABEF" w14:textId="77777777" w:rsidR="00B82189" w:rsidRPr="00DD5A29" w:rsidRDefault="00B82189" w:rsidP="004F17D1">
            <w:pPr>
              <w:pStyle w:val="01Tableheaderrow"/>
              <w:rPr>
                <w:lang w:val="en-GB"/>
              </w:rPr>
            </w:pPr>
            <w:r w:rsidRPr="00C70F36">
              <w:rPr>
                <w:lang w:val="en-GB"/>
              </w:rPr>
              <w:t xml:space="preserve">Benefits </w:t>
            </w:r>
            <w:r w:rsidR="007D6844">
              <w:rPr>
                <w:lang w:val="en-GB"/>
              </w:rPr>
              <w:t>FY 2014–15</w:t>
            </w:r>
          </w:p>
        </w:tc>
        <w:tc>
          <w:tcPr>
            <w:tcW w:w="992" w:type="dxa"/>
            <w:shd w:val="clear" w:color="auto" w:fill="EEECE1" w:themeFill="background2"/>
            <w:vAlign w:val="bottom"/>
            <w:hideMark/>
          </w:tcPr>
          <w:p w14:paraId="08AECF96" w14:textId="77777777" w:rsidR="00B82189" w:rsidRPr="00DD5A29" w:rsidRDefault="00B82189" w:rsidP="004F17D1">
            <w:pPr>
              <w:pStyle w:val="01Tableheaderrow"/>
              <w:rPr>
                <w:lang w:val="en-GB"/>
              </w:rPr>
            </w:pPr>
            <w:r w:rsidRPr="00C70F36">
              <w:rPr>
                <w:lang w:val="en-GB"/>
              </w:rPr>
              <w:t>Patient count</w:t>
            </w:r>
          </w:p>
        </w:tc>
        <w:tc>
          <w:tcPr>
            <w:tcW w:w="964" w:type="dxa"/>
            <w:shd w:val="clear" w:color="auto" w:fill="EEECE1" w:themeFill="background2"/>
            <w:vAlign w:val="bottom"/>
            <w:hideMark/>
          </w:tcPr>
          <w:p w14:paraId="355E6637" w14:textId="77777777" w:rsidR="00B82189" w:rsidRPr="00DD5A29" w:rsidRDefault="00B82189" w:rsidP="004F17D1">
            <w:pPr>
              <w:pStyle w:val="01Tableheaderrow"/>
              <w:rPr>
                <w:lang w:val="en-GB"/>
              </w:rPr>
            </w:pPr>
            <w:r w:rsidRPr="00C70F36">
              <w:rPr>
                <w:lang w:val="en-GB"/>
              </w:rPr>
              <w:t xml:space="preserve">Services 5-year </w:t>
            </w:r>
            <w:r w:rsidR="007D6844">
              <w:rPr>
                <w:lang w:val="en-GB"/>
              </w:rPr>
              <w:t>annual average growth</w:t>
            </w:r>
          </w:p>
        </w:tc>
      </w:tr>
      <w:tr w:rsidR="00B82189" w:rsidRPr="00DD5A29" w14:paraId="76A6D3BB" w14:textId="77777777" w:rsidTr="004F17D1">
        <w:trPr>
          <w:trHeight w:val="300"/>
        </w:trPr>
        <w:tc>
          <w:tcPr>
            <w:tcW w:w="776" w:type="dxa"/>
            <w:noWrap/>
            <w:hideMark/>
          </w:tcPr>
          <w:p w14:paraId="42CEBBF0" w14:textId="77777777" w:rsidR="00B82189" w:rsidRPr="00DD5A29" w:rsidRDefault="00E3589D" w:rsidP="004F17D1">
            <w:pPr>
              <w:pStyle w:val="02Tabletext"/>
              <w:rPr>
                <w:color w:val="000000"/>
                <w:lang w:val="en-GB"/>
              </w:rPr>
            </w:pPr>
            <w:r>
              <w:rPr>
                <w:color w:val="000000"/>
                <w:lang w:val="en-GB"/>
              </w:rPr>
              <w:t>71106</w:t>
            </w:r>
          </w:p>
        </w:tc>
        <w:tc>
          <w:tcPr>
            <w:tcW w:w="2621" w:type="dxa"/>
            <w:noWrap/>
            <w:hideMark/>
          </w:tcPr>
          <w:p w14:paraId="100CCEA4" w14:textId="77777777" w:rsidR="00B82189" w:rsidRPr="00E3589D" w:rsidRDefault="00E3589D" w:rsidP="004F17D1">
            <w:pPr>
              <w:pStyle w:val="02Tabletext"/>
              <w:rPr>
                <w:color w:val="000000"/>
                <w:lang w:val="en-GB"/>
              </w:rPr>
            </w:pPr>
            <w:r w:rsidRPr="00E3589D">
              <w:rPr>
                <w:color w:val="000000"/>
                <w:lang w:val="en-GB"/>
              </w:rPr>
              <w:t>Rheumatoid factor - detection by any technique in serum or other body fluids, including quantitation if required</w:t>
            </w:r>
          </w:p>
        </w:tc>
        <w:tc>
          <w:tcPr>
            <w:tcW w:w="1134" w:type="dxa"/>
            <w:noWrap/>
            <w:hideMark/>
          </w:tcPr>
          <w:p w14:paraId="56603076" w14:textId="77777777" w:rsidR="00B82189" w:rsidRPr="00E3589D" w:rsidRDefault="008E5F19" w:rsidP="004F17D1">
            <w:pPr>
              <w:pStyle w:val="02Tabletext"/>
              <w:jc w:val="right"/>
              <w:rPr>
                <w:color w:val="000000"/>
                <w:lang w:val="en-GB"/>
              </w:rPr>
            </w:pPr>
            <w:r>
              <w:rPr>
                <w:color w:val="000000"/>
                <w:lang w:val="en-GB"/>
              </w:rPr>
              <w:t>$</w:t>
            </w:r>
            <w:r w:rsidR="00E3589D" w:rsidRPr="00E3589D">
              <w:rPr>
                <w:color w:val="000000"/>
                <w:lang w:val="en-GB"/>
              </w:rPr>
              <w:t>11.30</w:t>
            </w:r>
          </w:p>
        </w:tc>
        <w:tc>
          <w:tcPr>
            <w:tcW w:w="1276" w:type="dxa"/>
            <w:noWrap/>
            <w:hideMark/>
          </w:tcPr>
          <w:p w14:paraId="432FF243" w14:textId="77777777" w:rsidR="00B82189" w:rsidRPr="00E3589D" w:rsidRDefault="00E3589D" w:rsidP="004F17D1">
            <w:pPr>
              <w:pStyle w:val="02Tabletext"/>
              <w:jc w:val="right"/>
              <w:rPr>
                <w:color w:val="000000"/>
                <w:lang w:val="en-GB"/>
              </w:rPr>
            </w:pPr>
            <w:r w:rsidRPr="00E3589D">
              <w:rPr>
                <w:color w:val="000000"/>
                <w:lang w:val="en-GB"/>
              </w:rPr>
              <w:t>151,083</w:t>
            </w:r>
          </w:p>
        </w:tc>
        <w:tc>
          <w:tcPr>
            <w:tcW w:w="1276" w:type="dxa"/>
          </w:tcPr>
          <w:p w14:paraId="216DD48D" w14:textId="77777777" w:rsidR="00B82189" w:rsidRPr="00E3589D" w:rsidRDefault="00E3589D" w:rsidP="004F17D1">
            <w:pPr>
              <w:pStyle w:val="02Tabletext"/>
              <w:jc w:val="right"/>
              <w:rPr>
                <w:color w:val="000000"/>
                <w:lang w:val="en-GB"/>
              </w:rPr>
            </w:pPr>
            <w:r w:rsidRPr="00E3589D">
              <w:rPr>
                <w:color w:val="000000"/>
                <w:lang w:val="en-GB"/>
              </w:rPr>
              <w:t>$1,451,776</w:t>
            </w:r>
          </w:p>
        </w:tc>
        <w:tc>
          <w:tcPr>
            <w:tcW w:w="992" w:type="dxa"/>
            <w:noWrap/>
            <w:hideMark/>
          </w:tcPr>
          <w:p w14:paraId="0D7FE165" w14:textId="77777777" w:rsidR="00B82189" w:rsidRPr="00E3589D" w:rsidRDefault="00E3589D" w:rsidP="004F17D1">
            <w:pPr>
              <w:pStyle w:val="02Tabletext"/>
              <w:jc w:val="right"/>
              <w:rPr>
                <w:color w:val="000000"/>
                <w:lang w:val="en-GB"/>
              </w:rPr>
            </w:pPr>
            <w:r w:rsidRPr="00E3589D">
              <w:rPr>
                <w:color w:val="000000"/>
                <w:lang w:val="en-GB"/>
              </w:rPr>
              <w:t>137,204</w:t>
            </w:r>
          </w:p>
        </w:tc>
        <w:tc>
          <w:tcPr>
            <w:tcW w:w="964" w:type="dxa"/>
            <w:noWrap/>
            <w:hideMark/>
          </w:tcPr>
          <w:p w14:paraId="7DF68DB2" w14:textId="77777777" w:rsidR="00B82189" w:rsidRPr="00E3589D" w:rsidRDefault="00E3589D" w:rsidP="004F17D1">
            <w:pPr>
              <w:pStyle w:val="02Tabletext"/>
              <w:jc w:val="right"/>
              <w:rPr>
                <w:color w:val="000000"/>
                <w:lang w:val="en-GB"/>
              </w:rPr>
            </w:pPr>
            <w:r w:rsidRPr="00E3589D">
              <w:rPr>
                <w:color w:val="000000"/>
                <w:lang w:val="en-GB"/>
              </w:rPr>
              <w:t>1.6%</w:t>
            </w:r>
          </w:p>
        </w:tc>
      </w:tr>
    </w:tbl>
    <w:p w14:paraId="7915A6B0" w14:textId="77777777" w:rsidR="00D90361" w:rsidRDefault="00D90361" w:rsidP="00720034">
      <w:pPr>
        <w:pStyle w:val="Heading3Numbered"/>
      </w:pPr>
      <w:r>
        <w:t>Recommendation</w:t>
      </w:r>
      <w:r w:rsidR="004A7CC2">
        <w:t xml:space="preserve"> 15</w:t>
      </w:r>
    </w:p>
    <w:p w14:paraId="4EA8B495" w14:textId="77777777" w:rsidR="003366E0" w:rsidRDefault="003366E0">
      <w:pPr>
        <w:pStyle w:val="NormalBulleted"/>
        <w:rPr>
          <w:lang w:val="en-US"/>
        </w:rPr>
      </w:pPr>
      <w:r>
        <w:rPr>
          <w:lang w:val="en-US"/>
        </w:rPr>
        <w:t>Remove the words ‘or other body fluids’ from the item descriptor of item 71106</w:t>
      </w:r>
      <w:r w:rsidR="00EF7B93">
        <w:rPr>
          <w:lang w:val="en-US"/>
        </w:rPr>
        <w:t>.</w:t>
      </w:r>
    </w:p>
    <w:p w14:paraId="3924A1B4" w14:textId="77777777" w:rsidR="00FB7CA2" w:rsidRPr="001B0ED1" w:rsidRDefault="001E2B6A">
      <w:pPr>
        <w:pStyle w:val="NormalBulleted"/>
        <w:rPr>
          <w:lang w:val="en-US"/>
        </w:rPr>
      </w:pPr>
      <w:r>
        <w:rPr>
          <w:lang w:val="en-US"/>
        </w:rPr>
        <w:t>D</w:t>
      </w:r>
      <w:r w:rsidR="00FB7CA2">
        <w:rPr>
          <w:lang w:val="en-US"/>
        </w:rPr>
        <w:t>evelop an education program aimed at rheumatologists on how often to request this test in patients with known rheumatoid disease</w:t>
      </w:r>
      <w:r w:rsidR="00EF7B93">
        <w:rPr>
          <w:lang w:val="en-US"/>
        </w:rPr>
        <w:t>.</w:t>
      </w:r>
    </w:p>
    <w:p w14:paraId="4D5C4D9B" w14:textId="77777777" w:rsidR="00A0392F" w:rsidRDefault="00D90361" w:rsidP="00720034">
      <w:pPr>
        <w:pStyle w:val="Heading3Numbered"/>
      </w:pPr>
      <w:r>
        <w:t>Rationale</w:t>
      </w:r>
      <w:r w:rsidR="004A7CC2">
        <w:t xml:space="preserve"> 15</w:t>
      </w:r>
    </w:p>
    <w:p w14:paraId="691A1DA1" w14:textId="77777777" w:rsidR="002243E0" w:rsidRDefault="00D674B7">
      <w:pPr>
        <w:pStyle w:val="NormalBulleted"/>
      </w:pPr>
      <w:r>
        <w:t xml:space="preserve">Item 71106 is a test used to determine the </w:t>
      </w:r>
      <w:r w:rsidR="00720034">
        <w:t xml:space="preserve">levels of </w:t>
      </w:r>
      <w:r>
        <w:t xml:space="preserve">autoantibody </w:t>
      </w:r>
      <w:r w:rsidR="009D3149">
        <w:t>rheumatoid factor. Rheumatoid factor is elevated in chronic and acute inflammation and can be used to monitor inflammation in rheumatoid arthritis</w:t>
      </w:r>
      <w:r w:rsidR="002243E0">
        <w:t xml:space="preserve"> (RA)</w:t>
      </w:r>
      <w:r w:rsidR="009D3149">
        <w:t>.</w:t>
      </w:r>
    </w:p>
    <w:p w14:paraId="29EFA007" w14:textId="77777777" w:rsidR="002243E0" w:rsidRDefault="009D3149">
      <w:pPr>
        <w:pStyle w:val="NormalBulleted"/>
      </w:pPr>
      <w:r>
        <w:t xml:space="preserve">During the financial year 2014–2015, for item 71106, a total of 126,263 patients received the service once, 9214 patients received the service twice, 1359 patients received the service </w:t>
      </w:r>
      <w:r w:rsidR="002243E0">
        <w:t xml:space="preserve">three </w:t>
      </w:r>
      <w:r>
        <w:t xml:space="preserve">times and 314 patients received the service </w:t>
      </w:r>
      <w:r w:rsidR="002243E0">
        <w:t xml:space="preserve">four </w:t>
      </w:r>
      <w:r>
        <w:t xml:space="preserve">times. The maximum number of services received by a single patient was 14 and approximately 212 patients received the service more than </w:t>
      </w:r>
      <w:r w:rsidR="002243E0">
        <w:t xml:space="preserve">four </w:t>
      </w:r>
      <w:r>
        <w:t>times in the year.</w:t>
      </w:r>
    </w:p>
    <w:p w14:paraId="68DAEDA7" w14:textId="77777777" w:rsidR="006774B0" w:rsidRDefault="00500BD9">
      <w:pPr>
        <w:pStyle w:val="NormalBulleted"/>
      </w:pPr>
      <w:r>
        <w:lastRenderedPageBreak/>
        <w:t xml:space="preserve">Other biomarkers are </w:t>
      </w:r>
      <w:r w:rsidR="00746C0F">
        <w:t xml:space="preserve">also </w:t>
      </w:r>
      <w:r>
        <w:t xml:space="preserve">available which are superior for disease monitoring such as </w:t>
      </w:r>
      <w:r w:rsidR="00F238D4">
        <w:t>C-reactive protein (CRP)</w:t>
      </w:r>
      <w:r>
        <w:t xml:space="preserve"> or swollen and/or tender joint count.</w:t>
      </w:r>
      <w:r w:rsidR="003366E0">
        <w:t xml:space="preserve"> </w:t>
      </w:r>
    </w:p>
    <w:p w14:paraId="31DC19F4" w14:textId="77777777" w:rsidR="002243E0" w:rsidRDefault="006774B0">
      <w:pPr>
        <w:pStyle w:val="NormalBulleted"/>
      </w:pPr>
      <w:r>
        <w:t>The Committee used guidelines for RA to extrapolate from the European League Against Rheumatism management guidelines</w:t>
      </w:r>
      <w:r w:rsidR="002243E0">
        <w:t>, which</w:t>
      </w:r>
      <w:r>
        <w:t xml:space="preserve"> state that ‘monitoring should be frequent in active disease (every 1–3 months); if there is no improvement by at most 3 months after the start of treatment or the target has not been reached by 6 months, therapy should be adjusted.’</w:t>
      </w:r>
      <w:r w:rsidR="00C710B8">
        <w:fldChar w:fldCharType="begin">
          <w:fldData xml:space="preserve">PEVuZE5vdGU+PENpdGU+PEF1dGhvcj5TbW9sZW48L0F1dGhvcj48WWVhcj4yMDE3PC9ZZWFyPjxS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</w:fldData>
        </w:fldChar>
      </w:r>
      <w:r w:rsidR="00F304E9">
        <w:instrText xml:space="preserve"> ADDIN EN.CITE </w:instrText>
      </w:r>
      <w:r w:rsidR="00F304E9">
        <w:fldChar w:fldCharType="begin">
          <w:fldData xml:space="preserve">PEVuZE5vdGU+PENpdGU+PEF1dGhvcj5TbW9sZW48L0F1dGhvcj48WWVhcj4yMDE3PC9ZZWFyPjxS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</w:fldData>
        </w:fldChar>
      </w:r>
      <w:r w:rsidR="00F304E9">
        <w:instrText xml:space="preserve"> ADDIN EN.CITE.DATA </w:instrText>
      </w:r>
      <w:r w:rsidR="00F304E9">
        <w:fldChar w:fldCharType="end"/>
      </w:r>
      <w:r w:rsidR="00C710B8">
        <w:fldChar w:fldCharType="separate"/>
      </w:r>
      <w:r w:rsidR="00F304E9">
        <w:rPr>
          <w:noProof/>
        </w:rPr>
        <w:t xml:space="preserve"> [5]</w:t>
      </w:r>
      <w:r w:rsidR="00C710B8">
        <w:fldChar w:fldCharType="end"/>
      </w:r>
    </w:p>
    <w:p w14:paraId="63DC69E6" w14:textId="77777777" w:rsidR="00D90361" w:rsidRDefault="006774B0">
      <w:pPr>
        <w:pStyle w:val="NormalBulleted"/>
      </w:pPr>
      <w:r>
        <w:t xml:space="preserve">The Committee notes that the guidelines refer to monitoring of biomarkers of disease activity, which includes patient pain, patient function, number of swollen </w:t>
      </w:r>
      <w:r w:rsidR="002243E0">
        <w:t xml:space="preserve">or </w:t>
      </w:r>
      <w:r>
        <w:t>tender joints, ultrasound assessment of blood flow around joints, and blood tests for inflammation. The tests the Committee has reviewed are not markers of activity but are rather markers of diagnostic utility and prognostic impact</w:t>
      </w:r>
      <w:r w:rsidR="002243E0">
        <w:t>. T</w:t>
      </w:r>
      <w:r>
        <w:t xml:space="preserve">herefore the antibodies referred to should </w:t>
      </w:r>
      <w:r w:rsidR="002243E0">
        <w:t xml:space="preserve">be </w:t>
      </w:r>
      <w:r>
        <w:t>tested less than the markers of activity.</w:t>
      </w:r>
    </w:p>
    <w:p w14:paraId="19D7889B" w14:textId="77777777" w:rsidR="00B614C1" w:rsidRDefault="00B614C1">
      <w:pPr>
        <w:pStyle w:val="NormalBulleted"/>
      </w:pPr>
      <w:r w:rsidRPr="00B614C1">
        <w:t xml:space="preserve">The Committee proposed a targeted education program for rheumatologists on </w:t>
      </w:r>
      <w:r w:rsidR="00746C0F">
        <w:t xml:space="preserve">utility of the test </w:t>
      </w:r>
      <w:r w:rsidR="00EF47CB">
        <w:t>and alternative biomarkers of disease activity.</w:t>
      </w:r>
    </w:p>
    <w:p w14:paraId="7CA052EF" w14:textId="77777777" w:rsidR="007F3BDD" w:rsidRDefault="007F3BDD">
      <w:pPr>
        <w:pStyle w:val="NormalBulleted"/>
      </w:pPr>
      <w:r>
        <w:t>The Committee proposes to remove other body fluids from the item descriptor because testing in samples other than peripheral blood is not recommended because there are no clinically validated indications for such testing</w:t>
      </w:r>
      <w:r w:rsidR="00AB7038">
        <w:t xml:space="preserve">, and </w:t>
      </w:r>
      <w:r>
        <w:t>reference intervals cannot be established for such samples, which precludes useful interpretation of such results.</w:t>
      </w:r>
    </w:p>
    <w:p w14:paraId="2D9A969B" w14:textId="77777777" w:rsidR="00013426" w:rsidRPr="00A0392F" w:rsidRDefault="00013426">
      <w:pPr>
        <w:pStyle w:val="NormalBulleted"/>
      </w:pPr>
      <w:r>
        <w:t xml:space="preserve">Restricting testing of rheumatoid factor will </w:t>
      </w:r>
      <w:r w:rsidR="003366E0">
        <w:t xml:space="preserve">have no direct impact on patients but may indirectly </w:t>
      </w:r>
      <w:r>
        <w:t>reduce</w:t>
      </w:r>
      <w:r w:rsidR="003366E0">
        <w:t xml:space="preserve"> rates of</w:t>
      </w:r>
      <w:r>
        <w:t xml:space="preserve"> unnecessary venepuncture</w:t>
      </w:r>
      <w:r w:rsidR="003366E0">
        <w:t>, reduce rates of false-positive results and subsequently reduce patient anxiety.</w:t>
      </w:r>
    </w:p>
    <w:p w14:paraId="1E9094D9" w14:textId="77777777" w:rsidR="00E70801" w:rsidRDefault="00E70801" w:rsidP="00E2562E">
      <w:pPr>
        <w:pStyle w:val="Heading2"/>
      </w:pPr>
      <w:bookmarkStart w:id="89" w:name="_Toc499293051"/>
      <w:r>
        <w:t>Antibody to cardiolipin</w:t>
      </w:r>
      <w:r w:rsidR="00E5404D">
        <w:t>: items 71180, 71183, 71186</w:t>
      </w:r>
      <w:bookmarkEnd w:id="89"/>
    </w:p>
    <w:p w14:paraId="2BAB08D3" w14:textId="77777777" w:rsidR="00341913" w:rsidRPr="003744BA" w:rsidRDefault="00C56775">
      <w:pPr>
        <w:pStyle w:val="Caption"/>
      </w:pPr>
      <w:bookmarkStart w:id="90" w:name="_Toc499289267"/>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30</w:t>
      </w:r>
      <w:r w:rsidR="0004721F">
        <w:rPr>
          <w:noProof/>
        </w:rPr>
        <w:fldChar w:fldCharType="end"/>
      </w:r>
      <w:r>
        <w:t xml:space="preserve">. </w:t>
      </w:r>
      <w:r w:rsidR="00341913" w:rsidRPr="003744BA">
        <w:t>Item introduction table for item</w:t>
      </w:r>
      <w:r w:rsidR="005C0872">
        <w:t>s</w:t>
      </w:r>
      <w:r w:rsidR="00341913">
        <w:t xml:space="preserve"> </w:t>
      </w:r>
      <w:r w:rsidR="005C0872" w:rsidRPr="005C0872">
        <w:t>71180, 71183, 71186</w:t>
      </w:r>
      <w:bookmarkEnd w:id="90"/>
    </w:p>
    <w:tbl>
      <w:tblPr>
        <w:tblStyle w:val="TableGrid1"/>
        <w:tblW w:w="9039" w:type="dxa"/>
        <w:tblLayout w:type="fixed"/>
        <w:tblLook w:val="04A0" w:firstRow="1" w:lastRow="0" w:firstColumn="1" w:lastColumn="0" w:noHBand="0" w:noVBand="1"/>
        <w:tblCaption w:val="Table 30: Item introduction table for item 71180, 71183 and 71186"/>
        <w:tblDescription w:val="Table 30 contains MBS data for items 71180, 71183 and 71186 for the finanical year 2014–2015. The data includes item numbers, long item descriptors, schedule fee, total volume of services, benefits paid, patient count and services annual average growth as a pecentage over a 5 year period."/>
      </w:tblPr>
      <w:tblGrid>
        <w:gridCol w:w="776"/>
        <w:gridCol w:w="2763"/>
        <w:gridCol w:w="1134"/>
        <w:gridCol w:w="1276"/>
        <w:gridCol w:w="1276"/>
        <w:gridCol w:w="850"/>
        <w:gridCol w:w="964"/>
      </w:tblGrid>
      <w:tr w:rsidR="00B82189" w:rsidRPr="00DD5A29" w14:paraId="44CD6C3C" w14:textId="77777777" w:rsidTr="007B6365">
        <w:trPr>
          <w:trHeight w:val="729"/>
          <w:tblHeader/>
        </w:trPr>
        <w:tc>
          <w:tcPr>
            <w:tcW w:w="776" w:type="dxa"/>
            <w:shd w:val="clear" w:color="auto" w:fill="EEECE1" w:themeFill="background2"/>
            <w:vAlign w:val="bottom"/>
            <w:hideMark/>
          </w:tcPr>
          <w:p w14:paraId="5B7E3EC6" w14:textId="77777777" w:rsidR="00B82189" w:rsidRPr="00DD5A29" w:rsidRDefault="00B82189" w:rsidP="007B6365">
            <w:pPr>
              <w:pStyle w:val="01Tableheaderrow"/>
              <w:rPr>
                <w:lang w:val="en-GB"/>
              </w:rPr>
            </w:pPr>
            <w:r w:rsidRPr="00C70F36">
              <w:rPr>
                <w:lang w:val="en-GB"/>
              </w:rPr>
              <w:t>Item</w:t>
            </w:r>
          </w:p>
        </w:tc>
        <w:tc>
          <w:tcPr>
            <w:tcW w:w="2763" w:type="dxa"/>
            <w:shd w:val="clear" w:color="auto" w:fill="EEECE1" w:themeFill="background2"/>
            <w:vAlign w:val="bottom"/>
            <w:hideMark/>
          </w:tcPr>
          <w:p w14:paraId="153B0DA5" w14:textId="77777777" w:rsidR="00B82189" w:rsidRPr="00DD5A29" w:rsidRDefault="00B82189" w:rsidP="007B6365">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134" w:type="dxa"/>
            <w:shd w:val="clear" w:color="auto" w:fill="EEECE1" w:themeFill="background2"/>
            <w:vAlign w:val="bottom"/>
            <w:hideMark/>
          </w:tcPr>
          <w:p w14:paraId="15873302" w14:textId="77777777" w:rsidR="00B82189" w:rsidRPr="00256B04" w:rsidRDefault="00B82189" w:rsidP="007B6365">
            <w:pPr>
              <w:pStyle w:val="01Tableheaderrow"/>
              <w:rPr>
                <w:lang w:val="en-GB"/>
              </w:rPr>
            </w:pPr>
            <w:r w:rsidRPr="00C70F36">
              <w:rPr>
                <w:lang w:val="en-GB"/>
              </w:rPr>
              <w:t>Schedule fee</w:t>
            </w:r>
          </w:p>
        </w:tc>
        <w:tc>
          <w:tcPr>
            <w:tcW w:w="1276" w:type="dxa"/>
            <w:shd w:val="clear" w:color="auto" w:fill="EEECE1" w:themeFill="background2"/>
            <w:vAlign w:val="bottom"/>
            <w:hideMark/>
          </w:tcPr>
          <w:p w14:paraId="7EBC92D0" w14:textId="77777777" w:rsidR="00B82189" w:rsidRPr="00DD5A29" w:rsidRDefault="00B82189" w:rsidP="007B6365">
            <w:pPr>
              <w:pStyle w:val="01Tableheaderrow"/>
              <w:rPr>
                <w:lang w:val="en-GB"/>
              </w:rPr>
            </w:pPr>
            <w:r w:rsidRPr="00C70F36">
              <w:rPr>
                <w:lang w:val="en-GB"/>
              </w:rPr>
              <w:t xml:space="preserve">Services </w:t>
            </w:r>
            <w:r w:rsidR="007D6844">
              <w:rPr>
                <w:lang w:val="en-GB"/>
              </w:rPr>
              <w:t>FY 2014–15</w:t>
            </w:r>
          </w:p>
        </w:tc>
        <w:tc>
          <w:tcPr>
            <w:tcW w:w="1276" w:type="dxa"/>
            <w:shd w:val="clear" w:color="auto" w:fill="EEECE1" w:themeFill="background2"/>
            <w:vAlign w:val="bottom"/>
          </w:tcPr>
          <w:p w14:paraId="23593385" w14:textId="77777777" w:rsidR="00B82189" w:rsidRPr="00DD5A29" w:rsidRDefault="00B82189" w:rsidP="007B6365">
            <w:pPr>
              <w:pStyle w:val="01Tableheaderrow"/>
              <w:rPr>
                <w:lang w:val="en-GB"/>
              </w:rPr>
            </w:pPr>
            <w:r w:rsidRPr="00C70F36">
              <w:rPr>
                <w:lang w:val="en-GB"/>
              </w:rPr>
              <w:t xml:space="preserve">Benefits </w:t>
            </w:r>
            <w:r w:rsidR="007D6844">
              <w:rPr>
                <w:lang w:val="en-GB"/>
              </w:rPr>
              <w:t>FY 2014–15</w:t>
            </w:r>
          </w:p>
        </w:tc>
        <w:tc>
          <w:tcPr>
            <w:tcW w:w="850" w:type="dxa"/>
            <w:shd w:val="clear" w:color="auto" w:fill="EEECE1" w:themeFill="background2"/>
            <w:vAlign w:val="bottom"/>
            <w:hideMark/>
          </w:tcPr>
          <w:p w14:paraId="301A35D5" w14:textId="77777777" w:rsidR="00B82189" w:rsidRPr="00DD5A29" w:rsidRDefault="00B82189" w:rsidP="007B6365">
            <w:pPr>
              <w:pStyle w:val="01Tableheaderrow"/>
              <w:rPr>
                <w:lang w:val="en-GB"/>
              </w:rPr>
            </w:pPr>
            <w:r w:rsidRPr="00C70F36">
              <w:rPr>
                <w:lang w:val="en-GB"/>
              </w:rPr>
              <w:t>Patient count</w:t>
            </w:r>
          </w:p>
        </w:tc>
        <w:tc>
          <w:tcPr>
            <w:tcW w:w="964" w:type="dxa"/>
            <w:shd w:val="clear" w:color="auto" w:fill="EEECE1" w:themeFill="background2"/>
            <w:vAlign w:val="bottom"/>
            <w:hideMark/>
          </w:tcPr>
          <w:p w14:paraId="788FEEE9" w14:textId="77777777" w:rsidR="00B82189" w:rsidRPr="00DD5A29" w:rsidRDefault="00B82189" w:rsidP="007B6365">
            <w:pPr>
              <w:pStyle w:val="01Tableheaderrow"/>
              <w:rPr>
                <w:lang w:val="en-GB"/>
              </w:rPr>
            </w:pPr>
            <w:r w:rsidRPr="00C70F36">
              <w:rPr>
                <w:lang w:val="en-GB"/>
              </w:rPr>
              <w:t xml:space="preserve">Services 5-year </w:t>
            </w:r>
            <w:r w:rsidR="007D6844">
              <w:rPr>
                <w:lang w:val="en-GB"/>
              </w:rPr>
              <w:t>annual average growth</w:t>
            </w:r>
          </w:p>
        </w:tc>
      </w:tr>
      <w:tr w:rsidR="00B82189" w:rsidRPr="00DD5A29" w14:paraId="003F079B" w14:textId="77777777" w:rsidTr="007B6365">
        <w:trPr>
          <w:trHeight w:val="300"/>
        </w:trPr>
        <w:tc>
          <w:tcPr>
            <w:tcW w:w="776" w:type="dxa"/>
            <w:noWrap/>
            <w:hideMark/>
          </w:tcPr>
          <w:p w14:paraId="17BE22ED" w14:textId="77777777" w:rsidR="00B82189" w:rsidRPr="00DD5A29" w:rsidRDefault="00E5404D" w:rsidP="007B6365">
            <w:pPr>
              <w:pStyle w:val="02Tabletext"/>
              <w:rPr>
                <w:color w:val="000000"/>
                <w:lang w:val="en-GB"/>
              </w:rPr>
            </w:pPr>
            <w:r w:rsidRPr="00E5404D">
              <w:rPr>
                <w:color w:val="000000"/>
                <w:lang w:val="en-GB"/>
              </w:rPr>
              <w:t>71180</w:t>
            </w:r>
          </w:p>
        </w:tc>
        <w:tc>
          <w:tcPr>
            <w:tcW w:w="2763" w:type="dxa"/>
            <w:noWrap/>
            <w:hideMark/>
          </w:tcPr>
          <w:p w14:paraId="744E8B80" w14:textId="77777777" w:rsidR="00B82189" w:rsidRPr="00FB4263" w:rsidRDefault="00E5404D" w:rsidP="007B6365">
            <w:pPr>
              <w:pStyle w:val="02Tabletext"/>
              <w:rPr>
                <w:color w:val="000000"/>
                <w:lang w:val="en-GB"/>
              </w:rPr>
            </w:pPr>
            <w:r w:rsidRPr="00FB4263">
              <w:rPr>
                <w:color w:val="000000"/>
                <w:lang w:val="en-GB"/>
              </w:rPr>
              <w:t xml:space="preserve">Antibody to cardiolipin or beta-2 glycoprotein </w:t>
            </w:r>
            <w:r w:rsidR="00500BD9">
              <w:rPr>
                <w:color w:val="000000"/>
                <w:lang w:val="en-GB"/>
              </w:rPr>
              <w:t>I</w:t>
            </w:r>
            <w:r w:rsidR="00AB6550">
              <w:rPr>
                <w:color w:val="000000"/>
                <w:lang w:val="en-GB"/>
              </w:rPr>
              <w:t xml:space="preserve"> </w:t>
            </w:r>
            <w:r w:rsidRPr="00FB4263">
              <w:rPr>
                <w:color w:val="000000"/>
                <w:lang w:val="en-GB"/>
              </w:rPr>
              <w:t>detection, including quantitation if required; one antibody specificity (</w:t>
            </w:r>
            <w:r w:rsidR="00500BD9">
              <w:rPr>
                <w:color w:val="000000"/>
                <w:lang w:val="en-GB"/>
              </w:rPr>
              <w:t>IgM</w:t>
            </w:r>
            <w:r w:rsidRPr="00FB4263">
              <w:rPr>
                <w:color w:val="000000"/>
                <w:lang w:val="en-GB"/>
              </w:rPr>
              <w:t xml:space="preserve"> or </w:t>
            </w:r>
            <w:r w:rsidR="00500BD9">
              <w:rPr>
                <w:color w:val="000000"/>
                <w:lang w:val="en-GB"/>
              </w:rPr>
              <w:t>IgG</w:t>
            </w:r>
            <w:r w:rsidRPr="00FB4263">
              <w:rPr>
                <w:color w:val="000000"/>
                <w:lang w:val="en-GB"/>
              </w:rPr>
              <w:t>)</w:t>
            </w:r>
          </w:p>
        </w:tc>
        <w:tc>
          <w:tcPr>
            <w:tcW w:w="1134" w:type="dxa"/>
            <w:noWrap/>
            <w:hideMark/>
          </w:tcPr>
          <w:p w14:paraId="044AB08E" w14:textId="77777777" w:rsidR="00B82189" w:rsidRPr="00FB4263" w:rsidRDefault="008E5F19" w:rsidP="007B6365">
            <w:pPr>
              <w:pStyle w:val="02Tabletext"/>
              <w:jc w:val="right"/>
              <w:rPr>
                <w:color w:val="000000"/>
                <w:lang w:val="en-GB"/>
              </w:rPr>
            </w:pPr>
            <w:r>
              <w:rPr>
                <w:color w:val="000000"/>
                <w:lang w:val="en-GB"/>
              </w:rPr>
              <w:t>$</w:t>
            </w:r>
            <w:r w:rsidR="00E5404D" w:rsidRPr="00FB4263">
              <w:rPr>
                <w:color w:val="000000"/>
                <w:lang w:val="en-GB"/>
              </w:rPr>
              <w:t>34.55</w:t>
            </w:r>
          </w:p>
        </w:tc>
        <w:tc>
          <w:tcPr>
            <w:tcW w:w="1276" w:type="dxa"/>
            <w:noWrap/>
            <w:hideMark/>
          </w:tcPr>
          <w:p w14:paraId="4063DF39" w14:textId="77777777" w:rsidR="00B82189" w:rsidRPr="00FB4263" w:rsidRDefault="00E5404D" w:rsidP="007B6365">
            <w:pPr>
              <w:pStyle w:val="02Tabletext"/>
              <w:jc w:val="right"/>
              <w:rPr>
                <w:color w:val="000000"/>
                <w:lang w:val="en-GB"/>
              </w:rPr>
            </w:pPr>
            <w:r w:rsidRPr="00FB4263">
              <w:rPr>
                <w:color w:val="000000"/>
                <w:lang w:val="en-GB"/>
              </w:rPr>
              <w:t>12,087</w:t>
            </w:r>
          </w:p>
        </w:tc>
        <w:tc>
          <w:tcPr>
            <w:tcW w:w="1276" w:type="dxa"/>
          </w:tcPr>
          <w:p w14:paraId="52776AEB" w14:textId="77777777" w:rsidR="00B82189" w:rsidRPr="00FB4263" w:rsidRDefault="00E5404D" w:rsidP="007B6365">
            <w:pPr>
              <w:pStyle w:val="02Tabletext"/>
              <w:jc w:val="right"/>
              <w:rPr>
                <w:color w:val="000000"/>
                <w:lang w:val="en-GB"/>
              </w:rPr>
            </w:pPr>
            <w:r w:rsidRPr="00FB4263">
              <w:rPr>
                <w:color w:val="000000"/>
                <w:lang w:val="en-GB"/>
              </w:rPr>
              <w:t>$354,643</w:t>
            </w:r>
          </w:p>
        </w:tc>
        <w:tc>
          <w:tcPr>
            <w:tcW w:w="850" w:type="dxa"/>
            <w:noWrap/>
            <w:hideMark/>
          </w:tcPr>
          <w:p w14:paraId="4A4D91B6" w14:textId="77777777" w:rsidR="00B82189" w:rsidRPr="00FB4263" w:rsidRDefault="00E5404D" w:rsidP="007B6365">
            <w:pPr>
              <w:pStyle w:val="02Tabletext"/>
              <w:jc w:val="right"/>
              <w:rPr>
                <w:color w:val="000000"/>
                <w:lang w:val="en-GB"/>
              </w:rPr>
            </w:pPr>
            <w:r w:rsidRPr="00FB4263">
              <w:rPr>
                <w:color w:val="000000"/>
                <w:lang w:val="en-GB"/>
              </w:rPr>
              <w:t>11,239</w:t>
            </w:r>
          </w:p>
        </w:tc>
        <w:tc>
          <w:tcPr>
            <w:tcW w:w="964" w:type="dxa"/>
            <w:noWrap/>
            <w:hideMark/>
          </w:tcPr>
          <w:p w14:paraId="1CDBD2E1" w14:textId="77777777" w:rsidR="00E5404D" w:rsidRPr="00FB4263" w:rsidRDefault="00E5404D" w:rsidP="007B6365">
            <w:pPr>
              <w:pStyle w:val="02Tabletext"/>
              <w:jc w:val="right"/>
              <w:rPr>
                <w:color w:val="000000"/>
                <w:lang w:val="en-GB"/>
              </w:rPr>
            </w:pPr>
            <w:r w:rsidRPr="00FB4263">
              <w:rPr>
                <w:color w:val="000000"/>
                <w:lang w:val="en-GB"/>
              </w:rPr>
              <w:t>0.3%</w:t>
            </w:r>
          </w:p>
          <w:p w14:paraId="3835BA76" w14:textId="77777777" w:rsidR="00B82189" w:rsidRPr="00E52A61" w:rsidRDefault="00B82189" w:rsidP="007B6365">
            <w:pPr>
              <w:pStyle w:val="02Tabletext"/>
              <w:jc w:val="right"/>
              <w:rPr>
                <w:color w:val="000000"/>
                <w:lang w:val="en-GB"/>
              </w:rPr>
            </w:pPr>
          </w:p>
        </w:tc>
      </w:tr>
      <w:tr w:rsidR="00B82189" w:rsidRPr="00DD5A29" w14:paraId="44D076CB" w14:textId="77777777" w:rsidTr="007B6365">
        <w:trPr>
          <w:trHeight w:val="300"/>
        </w:trPr>
        <w:tc>
          <w:tcPr>
            <w:tcW w:w="776" w:type="dxa"/>
            <w:noWrap/>
          </w:tcPr>
          <w:p w14:paraId="0D136468" w14:textId="77777777" w:rsidR="00B82189" w:rsidRPr="006D424F" w:rsidRDefault="00E5404D" w:rsidP="007B6365">
            <w:pPr>
              <w:pStyle w:val="02Tabletext"/>
              <w:rPr>
                <w:rFonts w:ascii="Calibri" w:hAnsi="Calibri"/>
                <w:color w:val="000000"/>
              </w:rPr>
            </w:pPr>
            <w:r w:rsidRPr="00E5404D">
              <w:rPr>
                <w:color w:val="000000"/>
                <w:lang w:val="en-GB"/>
              </w:rPr>
              <w:t>71183</w:t>
            </w:r>
          </w:p>
        </w:tc>
        <w:tc>
          <w:tcPr>
            <w:tcW w:w="2763" w:type="dxa"/>
            <w:noWrap/>
          </w:tcPr>
          <w:p w14:paraId="3BFFABDF" w14:textId="77777777" w:rsidR="00B82189" w:rsidRPr="00FB4263" w:rsidRDefault="00E5404D" w:rsidP="007B6365">
            <w:pPr>
              <w:pStyle w:val="02Tabletext"/>
              <w:rPr>
                <w:color w:val="000000"/>
                <w:lang w:val="en-GB"/>
              </w:rPr>
            </w:pPr>
            <w:r w:rsidRPr="00FB4263">
              <w:rPr>
                <w:color w:val="000000"/>
                <w:lang w:val="en-GB"/>
              </w:rPr>
              <w:t>Detection of two antibodies described in item 71180</w:t>
            </w:r>
          </w:p>
        </w:tc>
        <w:tc>
          <w:tcPr>
            <w:tcW w:w="1134" w:type="dxa"/>
            <w:noWrap/>
          </w:tcPr>
          <w:p w14:paraId="5A7153CE" w14:textId="77777777" w:rsidR="00B82189" w:rsidRPr="00FB4263" w:rsidRDefault="008E5F19" w:rsidP="007B6365">
            <w:pPr>
              <w:pStyle w:val="02Tabletext"/>
              <w:jc w:val="right"/>
              <w:rPr>
                <w:color w:val="000000"/>
                <w:lang w:val="en-GB"/>
              </w:rPr>
            </w:pPr>
            <w:r>
              <w:rPr>
                <w:color w:val="000000"/>
                <w:lang w:val="en-GB"/>
              </w:rPr>
              <w:t>$</w:t>
            </w:r>
            <w:r w:rsidR="00E5404D" w:rsidRPr="00FB4263">
              <w:rPr>
                <w:color w:val="000000"/>
                <w:lang w:val="en-GB"/>
              </w:rPr>
              <w:t>47.45</w:t>
            </w:r>
          </w:p>
        </w:tc>
        <w:tc>
          <w:tcPr>
            <w:tcW w:w="1276" w:type="dxa"/>
            <w:noWrap/>
          </w:tcPr>
          <w:p w14:paraId="48A8F388" w14:textId="77777777" w:rsidR="00B82189" w:rsidRPr="00FB4263" w:rsidRDefault="00E5404D" w:rsidP="007B6365">
            <w:pPr>
              <w:pStyle w:val="02Tabletext"/>
              <w:jc w:val="right"/>
              <w:rPr>
                <w:color w:val="000000"/>
                <w:lang w:val="en-GB"/>
              </w:rPr>
            </w:pPr>
            <w:r w:rsidRPr="00FB4263">
              <w:rPr>
                <w:color w:val="000000"/>
                <w:lang w:val="en-GB"/>
              </w:rPr>
              <w:t>37,334</w:t>
            </w:r>
          </w:p>
        </w:tc>
        <w:tc>
          <w:tcPr>
            <w:tcW w:w="1276" w:type="dxa"/>
          </w:tcPr>
          <w:p w14:paraId="14937F40" w14:textId="77777777" w:rsidR="00B82189" w:rsidRPr="00FB4263" w:rsidRDefault="00E5404D" w:rsidP="007B6365">
            <w:pPr>
              <w:pStyle w:val="02Tabletext"/>
              <w:jc w:val="right"/>
              <w:rPr>
                <w:color w:val="000000"/>
                <w:lang w:val="en-GB"/>
              </w:rPr>
            </w:pPr>
            <w:r w:rsidRPr="00FB4263">
              <w:rPr>
                <w:color w:val="000000"/>
                <w:lang w:val="en-GB"/>
              </w:rPr>
              <w:t>$1,500,999</w:t>
            </w:r>
          </w:p>
        </w:tc>
        <w:tc>
          <w:tcPr>
            <w:tcW w:w="850" w:type="dxa"/>
            <w:noWrap/>
          </w:tcPr>
          <w:p w14:paraId="798581BA" w14:textId="77777777" w:rsidR="00B82189" w:rsidRPr="00FB4263" w:rsidRDefault="00E5404D" w:rsidP="007B6365">
            <w:pPr>
              <w:pStyle w:val="02Tabletext"/>
              <w:jc w:val="right"/>
              <w:rPr>
                <w:color w:val="000000"/>
                <w:lang w:val="en-GB"/>
              </w:rPr>
            </w:pPr>
            <w:r w:rsidRPr="00FB4263">
              <w:rPr>
                <w:color w:val="000000"/>
                <w:lang w:val="en-GB"/>
              </w:rPr>
              <w:t>35,157</w:t>
            </w:r>
          </w:p>
        </w:tc>
        <w:tc>
          <w:tcPr>
            <w:tcW w:w="964" w:type="dxa"/>
            <w:noWrap/>
          </w:tcPr>
          <w:p w14:paraId="11CEC7B7" w14:textId="77777777" w:rsidR="00B82189" w:rsidRPr="00FB4263" w:rsidRDefault="00E5404D" w:rsidP="007B6365">
            <w:pPr>
              <w:pStyle w:val="02Tabletext"/>
              <w:jc w:val="right"/>
              <w:rPr>
                <w:color w:val="000000"/>
                <w:lang w:val="en-GB"/>
              </w:rPr>
            </w:pPr>
            <w:r w:rsidRPr="00FB4263">
              <w:rPr>
                <w:color w:val="000000"/>
                <w:lang w:val="en-GB"/>
              </w:rPr>
              <w:t>3.3%</w:t>
            </w:r>
          </w:p>
        </w:tc>
      </w:tr>
      <w:tr w:rsidR="00E5404D" w:rsidRPr="00DD5A29" w14:paraId="72DF94B6" w14:textId="77777777" w:rsidTr="007B6365">
        <w:trPr>
          <w:trHeight w:val="300"/>
        </w:trPr>
        <w:tc>
          <w:tcPr>
            <w:tcW w:w="776" w:type="dxa"/>
            <w:noWrap/>
          </w:tcPr>
          <w:p w14:paraId="0C6A363F" w14:textId="77777777" w:rsidR="00E5404D" w:rsidRPr="006D424F" w:rsidRDefault="00E5404D" w:rsidP="007B6365">
            <w:pPr>
              <w:pStyle w:val="02Tabletext"/>
              <w:rPr>
                <w:rFonts w:ascii="Calibri" w:hAnsi="Calibri"/>
                <w:color w:val="000000"/>
              </w:rPr>
            </w:pPr>
            <w:r w:rsidRPr="00E5404D">
              <w:rPr>
                <w:color w:val="000000"/>
                <w:lang w:val="en-GB"/>
              </w:rPr>
              <w:t>71186</w:t>
            </w:r>
          </w:p>
        </w:tc>
        <w:tc>
          <w:tcPr>
            <w:tcW w:w="2763" w:type="dxa"/>
            <w:noWrap/>
          </w:tcPr>
          <w:p w14:paraId="61AFC2F6" w14:textId="77777777" w:rsidR="00E5404D" w:rsidRPr="00FB4263" w:rsidRDefault="00E5404D" w:rsidP="007B6365">
            <w:pPr>
              <w:pStyle w:val="02Tabletext"/>
              <w:rPr>
                <w:color w:val="000000"/>
                <w:lang w:val="en-GB"/>
              </w:rPr>
            </w:pPr>
            <w:r w:rsidRPr="00FB4263">
              <w:rPr>
                <w:color w:val="000000"/>
                <w:lang w:val="en-GB"/>
              </w:rPr>
              <w:t>Detection of three or more antibodies described in item 71180</w:t>
            </w:r>
          </w:p>
        </w:tc>
        <w:tc>
          <w:tcPr>
            <w:tcW w:w="1134" w:type="dxa"/>
            <w:noWrap/>
          </w:tcPr>
          <w:p w14:paraId="2ED73A6C" w14:textId="77777777" w:rsidR="00E5404D" w:rsidRPr="00FB4263" w:rsidRDefault="008E5F19" w:rsidP="007B6365">
            <w:pPr>
              <w:pStyle w:val="02Tabletext"/>
              <w:jc w:val="right"/>
              <w:rPr>
                <w:color w:val="000000"/>
                <w:lang w:val="en-GB"/>
              </w:rPr>
            </w:pPr>
            <w:r>
              <w:rPr>
                <w:color w:val="000000"/>
                <w:lang w:val="en-GB"/>
              </w:rPr>
              <w:t>$</w:t>
            </w:r>
            <w:r w:rsidR="00E5404D" w:rsidRPr="00FB4263">
              <w:rPr>
                <w:color w:val="000000"/>
                <w:lang w:val="en-GB"/>
              </w:rPr>
              <w:t>60.30</w:t>
            </w:r>
          </w:p>
        </w:tc>
        <w:tc>
          <w:tcPr>
            <w:tcW w:w="1276" w:type="dxa"/>
            <w:noWrap/>
          </w:tcPr>
          <w:p w14:paraId="11E92006" w14:textId="77777777" w:rsidR="00E5404D" w:rsidRPr="00FB4263" w:rsidRDefault="00E5404D" w:rsidP="007B6365">
            <w:pPr>
              <w:pStyle w:val="02Tabletext"/>
              <w:jc w:val="right"/>
              <w:rPr>
                <w:color w:val="000000"/>
                <w:lang w:val="en-GB"/>
              </w:rPr>
            </w:pPr>
            <w:r w:rsidRPr="00FB4263">
              <w:rPr>
                <w:color w:val="000000"/>
                <w:lang w:val="en-GB"/>
              </w:rPr>
              <w:t>27,236</w:t>
            </w:r>
          </w:p>
        </w:tc>
        <w:tc>
          <w:tcPr>
            <w:tcW w:w="1276" w:type="dxa"/>
          </w:tcPr>
          <w:p w14:paraId="377E310A" w14:textId="77777777" w:rsidR="00E5404D" w:rsidRPr="00FB4263" w:rsidRDefault="00E5404D" w:rsidP="007B6365">
            <w:pPr>
              <w:pStyle w:val="02Tabletext"/>
              <w:jc w:val="right"/>
              <w:rPr>
                <w:color w:val="000000"/>
                <w:lang w:val="en-GB"/>
              </w:rPr>
            </w:pPr>
            <w:r w:rsidRPr="00FB4263">
              <w:rPr>
                <w:color w:val="000000"/>
                <w:lang w:val="en-GB"/>
              </w:rPr>
              <w:t>$1,397,535</w:t>
            </w:r>
          </w:p>
        </w:tc>
        <w:tc>
          <w:tcPr>
            <w:tcW w:w="850" w:type="dxa"/>
            <w:noWrap/>
          </w:tcPr>
          <w:p w14:paraId="7F2C2292" w14:textId="77777777" w:rsidR="00E5404D" w:rsidRPr="00FB4263" w:rsidRDefault="00E5404D" w:rsidP="007B6365">
            <w:pPr>
              <w:pStyle w:val="02Tabletext"/>
              <w:jc w:val="right"/>
              <w:rPr>
                <w:color w:val="000000"/>
                <w:lang w:val="en-GB"/>
              </w:rPr>
            </w:pPr>
            <w:r w:rsidRPr="00FB4263">
              <w:rPr>
                <w:color w:val="000000"/>
                <w:lang w:val="en-GB"/>
              </w:rPr>
              <w:t>25,474</w:t>
            </w:r>
          </w:p>
        </w:tc>
        <w:tc>
          <w:tcPr>
            <w:tcW w:w="964" w:type="dxa"/>
            <w:noWrap/>
          </w:tcPr>
          <w:p w14:paraId="5B37485A" w14:textId="77777777" w:rsidR="00E5404D" w:rsidRPr="00FB4263" w:rsidRDefault="00E5404D" w:rsidP="007B6365">
            <w:pPr>
              <w:pStyle w:val="02Tabletext"/>
              <w:jc w:val="right"/>
              <w:rPr>
                <w:color w:val="000000"/>
                <w:lang w:val="en-GB"/>
              </w:rPr>
            </w:pPr>
            <w:r w:rsidRPr="00FB4263">
              <w:rPr>
                <w:color w:val="000000"/>
                <w:lang w:val="en-GB"/>
              </w:rPr>
              <w:t>6.9%</w:t>
            </w:r>
          </w:p>
        </w:tc>
      </w:tr>
    </w:tbl>
    <w:p w14:paraId="0658F92A" w14:textId="77777777" w:rsidR="00D50F5A" w:rsidRPr="00D50F5A" w:rsidRDefault="003D6ACA" w:rsidP="00463C3C">
      <w:pPr>
        <w:pStyle w:val="Heading3Numbered"/>
      </w:pPr>
      <w:r>
        <w:t>Recommendation</w:t>
      </w:r>
      <w:r w:rsidR="00A668CD">
        <w:t xml:space="preserve"> 16</w:t>
      </w:r>
    </w:p>
    <w:p w14:paraId="1E5B7B3B" w14:textId="77777777" w:rsidR="003D6ACA" w:rsidRDefault="001E2B6A">
      <w:pPr>
        <w:pStyle w:val="NormalBulleted"/>
      </w:pPr>
      <w:r>
        <w:t xml:space="preserve">Amend </w:t>
      </w:r>
      <w:r w:rsidR="003D6ACA">
        <w:t xml:space="preserve">the wording of the item descriptor of </w:t>
      </w:r>
      <w:r w:rsidR="007E6757">
        <w:t>71180</w:t>
      </w:r>
      <w:r w:rsidR="003D6ACA">
        <w:t xml:space="preserve"> to include IgA</w:t>
      </w:r>
      <w:r w:rsidR="00CE15DA">
        <w:t>.</w:t>
      </w:r>
    </w:p>
    <w:p w14:paraId="36933809" w14:textId="77777777" w:rsidR="003D6ACA" w:rsidRPr="003D7E1D" w:rsidRDefault="001E2B6A">
      <w:pPr>
        <w:pStyle w:val="NormalBulleted"/>
      </w:pPr>
      <w:r>
        <w:t>L</w:t>
      </w:r>
      <w:r w:rsidR="003D6ACA">
        <w:t>imit this item by restricting it to four tests within a 12-month period</w:t>
      </w:r>
      <w:r w:rsidR="00CE15DA">
        <w:t>.</w:t>
      </w:r>
    </w:p>
    <w:p w14:paraId="48D9948D" w14:textId="77777777" w:rsidR="003D6ACA" w:rsidRDefault="003D6ACA" w:rsidP="00463C3C">
      <w:pPr>
        <w:pStyle w:val="Heading3Numbered"/>
      </w:pPr>
      <w:r>
        <w:t>Rationale</w:t>
      </w:r>
      <w:r w:rsidR="00A668CD">
        <w:t xml:space="preserve"> 16</w:t>
      </w:r>
    </w:p>
    <w:p w14:paraId="5E24B28C" w14:textId="77777777" w:rsidR="000332C3" w:rsidRDefault="00531084">
      <w:pPr>
        <w:pStyle w:val="NormalBulleted"/>
      </w:pPr>
      <w:r>
        <w:t>Items 71180, 71183 and 71186</w:t>
      </w:r>
      <w:r w:rsidR="00BE7CA7">
        <w:t xml:space="preserve"> are tests for beta-2 glycoprotein I and cardiolipin antibodies; testing for these antibodies is used to help diagnose antiphospholipid syndrome.</w:t>
      </w:r>
      <w:r w:rsidR="00A60D43">
        <w:t xml:space="preserve"> Beta-2 glycoprotein and cardiolipin antibody tests detect the presence of three classes: IgG, IgM and/or IgA.</w:t>
      </w:r>
      <w:r w:rsidR="00BE7CA7">
        <w:t xml:space="preserve"> </w:t>
      </w:r>
      <w:r w:rsidR="000332C3" w:rsidRPr="000332C3">
        <w:t xml:space="preserve">IgA testing for </w:t>
      </w:r>
      <w:r w:rsidR="007E6757">
        <w:t xml:space="preserve">beta-2 glycoprotein I antibody </w:t>
      </w:r>
      <w:r w:rsidR="000332C3" w:rsidRPr="000332C3">
        <w:t xml:space="preserve">and cardiolipin has superior positive predictive value than IgM testing for the same antigens. IgG antibodies are more prevalent, so </w:t>
      </w:r>
      <w:r w:rsidR="000332C3" w:rsidRPr="000332C3">
        <w:lastRenderedPageBreak/>
        <w:t>IgG antibodies have a higher</w:t>
      </w:r>
      <w:r w:rsidR="00D83AA1">
        <w:t xml:space="preserve"> overall</w:t>
      </w:r>
      <w:r w:rsidR="000332C3" w:rsidRPr="000332C3">
        <w:t xml:space="preserve"> sensitivity than IgA antibodies. IgM testing is present in 71180, but IgA</w:t>
      </w:r>
      <w:r w:rsidR="007E6757">
        <w:t xml:space="preserve"> is not, and should be included in this item. </w:t>
      </w:r>
    </w:p>
    <w:p w14:paraId="40E29015" w14:textId="77777777" w:rsidR="000332C3" w:rsidRPr="000332C3" w:rsidRDefault="000332C3">
      <w:pPr>
        <w:pStyle w:val="NormalBulleted"/>
      </w:pPr>
      <w:r w:rsidRPr="000332C3">
        <w:t xml:space="preserve">The clinical utility of IgM cardiolipin antibodies is </w:t>
      </w:r>
      <w:r w:rsidR="00EC1AD1">
        <w:t>being debated internationally</w:t>
      </w:r>
      <w:r w:rsidRPr="000332C3">
        <w:t>, but the evidence is not definite, and if published guidelines for antiphospholipid syndrome criteria</w:t>
      </w:r>
      <w:r w:rsidR="004968DD">
        <w:fldChar w:fldCharType="begin">
          <w:fldData xml:space="preserve">PEVuZE5vdGU+PENpdGU+PEF1dGhvcj5NaXlha2lzPC9BdXRob3I+PFllYXI+MjAwNjwvWWVhcj48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</w:fldData>
        </w:fldChar>
      </w:r>
      <w:r w:rsidR="00F304E9">
        <w:instrText xml:space="preserve"> ADDIN EN.CITE </w:instrText>
      </w:r>
      <w:r w:rsidR="00F304E9">
        <w:fldChar w:fldCharType="begin">
          <w:fldData xml:space="preserve">PEVuZE5vdGU+PENpdGU+PEF1dGhvcj5NaXlha2lzPC9BdXRob3I+PFllYXI+MjAwNjwvWWVhcj48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</w:fldData>
        </w:fldChar>
      </w:r>
      <w:r w:rsidR="00F304E9">
        <w:instrText xml:space="preserve"> ADDIN EN.CITE.DATA </w:instrText>
      </w:r>
      <w:r w:rsidR="00F304E9">
        <w:fldChar w:fldCharType="end"/>
      </w:r>
      <w:r w:rsidR="004968DD">
        <w:fldChar w:fldCharType="separate"/>
      </w:r>
      <w:r w:rsidR="00F304E9">
        <w:rPr>
          <w:noProof/>
        </w:rPr>
        <w:t xml:space="preserve"> [6]</w:t>
      </w:r>
      <w:r w:rsidR="004968DD">
        <w:fldChar w:fldCharType="end"/>
      </w:r>
      <w:r w:rsidR="00BE7CA7">
        <w:t xml:space="preserve"> </w:t>
      </w:r>
      <w:r w:rsidRPr="000332C3">
        <w:t xml:space="preserve">are followed, </w:t>
      </w:r>
      <w:r w:rsidR="007E6757">
        <w:t xml:space="preserve">this is rarely a problem. </w:t>
      </w:r>
      <w:r w:rsidRPr="000332C3">
        <w:t xml:space="preserve">IgM testing </w:t>
      </w:r>
      <w:r w:rsidR="007E6757">
        <w:t xml:space="preserve">should </w:t>
      </w:r>
      <w:r w:rsidRPr="000332C3">
        <w:t>remain</w:t>
      </w:r>
      <w:r w:rsidR="007E6757">
        <w:t xml:space="preserve"> in the item</w:t>
      </w:r>
      <w:r w:rsidR="00EC1AD1">
        <w:t xml:space="preserve"> while it is still being mentioned in international guidelines</w:t>
      </w:r>
      <w:r w:rsidR="007E6757">
        <w:t>.</w:t>
      </w:r>
    </w:p>
    <w:p w14:paraId="4EBE4CB2" w14:textId="77777777" w:rsidR="005C0872" w:rsidRDefault="00C56775">
      <w:pPr>
        <w:pStyle w:val="Caption"/>
      </w:pPr>
      <w:bookmarkStart w:id="91" w:name="_Toc499289268"/>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31</w:t>
      </w:r>
      <w:r w:rsidR="0004721F">
        <w:rPr>
          <w:noProof/>
        </w:rPr>
        <w:fldChar w:fldCharType="end"/>
      </w:r>
      <w:r>
        <w:t xml:space="preserve">. </w:t>
      </w:r>
      <w:r w:rsidR="005C0872">
        <w:t>Current and proposed item descriptor</w:t>
      </w:r>
      <w:r w:rsidR="00671E54">
        <w:t>s</w:t>
      </w:r>
      <w:r w:rsidR="003D4772">
        <w:t xml:space="preserve"> for item 71180</w:t>
      </w:r>
      <w:bookmarkEnd w:id="91"/>
    </w:p>
    <w:tbl>
      <w:tblPr>
        <w:tblStyle w:val="TableGrid"/>
        <w:tblW w:w="0" w:type="auto"/>
        <w:tblLook w:val="04A0" w:firstRow="1" w:lastRow="0" w:firstColumn="1" w:lastColumn="0" w:noHBand="0" w:noVBand="1"/>
        <w:tblCaption w:val="Table 31: Current and proposed item descriptors for item 71180"/>
        <w:tblDescription w:val="Table 31 lists the current and proposed item descriptors for item 71180."/>
      </w:tblPr>
      <w:tblGrid>
        <w:gridCol w:w="1696"/>
        <w:gridCol w:w="3402"/>
        <w:gridCol w:w="3918"/>
      </w:tblGrid>
      <w:tr w:rsidR="005C0872" w14:paraId="716D5703" w14:textId="77777777" w:rsidTr="007B6365">
        <w:trPr>
          <w:tblHeader/>
        </w:trPr>
        <w:tc>
          <w:tcPr>
            <w:tcW w:w="1696" w:type="dxa"/>
            <w:shd w:val="clear" w:color="auto" w:fill="EEECE1" w:themeFill="background2"/>
          </w:tcPr>
          <w:p w14:paraId="7591250C" w14:textId="77777777" w:rsidR="005C0872" w:rsidRPr="00EE32B9" w:rsidRDefault="005C0872" w:rsidP="007B6365">
            <w:pPr>
              <w:pStyle w:val="01Tableheaderrow"/>
            </w:pPr>
            <w:r w:rsidRPr="00EE32B9">
              <w:t>Item</w:t>
            </w:r>
          </w:p>
        </w:tc>
        <w:tc>
          <w:tcPr>
            <w:tcW w:w="3402" w:type="dxa"/>
            <w:shd w:val="clear" w:color="auto" w:fill="EEECE1" w:themeFill="background2"/>
          </w:tcPr>
          <w:p w14:paraId="5C473C23" w14:textId="77777777" w:rsidR="005C0872" w:rsidRPr="00EE32B9" w:rsidRDefault="005C0872" w:rsidP="007B6365">
            <w:pPr>
              <w:pStyle w:val="01Tableheaderrow"/>
            </w:pPr>
            <w:r w:rsidRPr="00EE32B9">
              <w:t>Current item descriptor</w:t>
            </w:r>
          </w:p>
        </w:tc>
        <w:tc>
          <w:tcPr>
            <w:tcW w:w="3918" w:type="dxa"/>
            <w:shd w:val="clear" w:color="auto" w:fill="EEECE1" w:themeFill="background2"/>
          </w:tcPr>
          <w:p w14:paraId="33DAF171" w14:textId="77777777" w:rsidR="005C0872" w:rsidRPr="00EE32B9" w:rsidRDefault="005C0872" w:rsidP="007B6365">
            <w:pPr>
              <w:pStyle w:val="01Tableheaderrow"/>
            </w:pPr>
            <w:r w:rsidRPr="00EE32B9">
              <w:t>Proposed item descriptor</w:t>
            </w:r>
          </w:p>
        </w:tc>
      </w:tr>
      <w:tr w:rsidR="005C0872" w14:paraId="18593244" w14:textId="77777777" w:rsidTr="00605578">
        <w:tc>
          <w:tcPr>
            <w:tcW w:w="1696" w:type="dxa"/>
          </w:tcPr>
          <w:p w14:paraId="0AAFFB90" w14:textId="77777777" w:rsidR="005C0872" w:rsidRDefault="005C0872" w:rsidP="007B6365">
            <w:pPr>
              <w:pStyle w:val="02Tabletext"/>
            </w:pPr>
            <w:r w:rsidRPr="00B772E5">
              <w:t>71180</w:t>
            </w:r>
          </w:p>
        </w:tc>
        <w:tc>
          <w:tcPr>
            <w:tcW w:w="3402" w:type="dxa"/>
          </w:tcPr>
          <w:p w14:paraId="1C528554" w14:textId="77777777" w:rsidR="005C0872" w:rsidRDefault="005C0872" w:rsidP="007B6365">
            <w:pPr>
              <w:pStyle w:val="02Tabletext"/>
            </w:pPr>
            <w:r w:rsidRPr="00B772E5">
              <w:t>Antibody to cardiolipin or beta-2 glycoprotein i</w:t>
            </w:r>
            <w:r w:rsidR="00AB6550">
              <w:t xml:space="preserve"> </w:t>
            </w:r>
            <w:r w:rsidRPr="00B772E5">
              <w:t>detection, including quantitation if required; one antibody specificity (</w:t>
            </w:r>
            <w:r w:rsidR="001E2B6A">
              <w:t>IgG</w:t>
            </w:r>
            <w:r w:rsidRPr="00B772E5">
              <w:t xml:space="preserve"> or </w:t>
            </w:r>
            <w:r w:rsidR="001E2B6A">
              <w:t>IgM</w:t>
            </w:r>
            <w:r w:rsidRPr="00B772E5">
              <w:t>)</w:t>
            </w:r>
          </w:p>
        </w:tc>
        <w:tc>
          <w:tcPr>
            <w:tcW w:w="3918" w:type="dxa"/>
          </w:tcPr>
          <w:p w14:paraId="24D19BF8" w14:textId="77777777" w:rsidR="005C0872" w:rsidRDefault="005C0872" w:rsidP="007B6365">
            <w:pPr>
              <w:pStyle w:val="02Tabletext"/>
            </w:pPr>
            <w:r w:rsidRPr="005C0872">
              <w:t xml:space="preserve">Antibody to cardiolipin or beta-2 glycoprotein </w:t>
            </w:r>
            <w:r w:rsidR="00500BD9">
              <w:t>I</w:t>
            </w:r>
            <w:r w:rsidRPr="005C0872">
              <w:t xml:space="preserve"> detection, including quantitation if required; one antibody specificity (</w:t>
            </w:r>
            <w:r>
              <w:t>I</w:t>
            </w:r>
            <w:r w:rsidRPr="005C0872">
              <w:t>g</w:t>
            </w:r>
            <w:r>
              <w:t>G</w:t>
            </w:r>
            <w:r w:rsidRPr="005C0872">
              <w:t xml:space="preserve"> or</w:t>
            </w:r>
            <w:r>
              <w:t xml:space="preserve"> IgM or </w:t>
            </w:r>
            <w:r w:rsidRPr="007E6757">
              <w:rPr>
                <w:i/>
              </w:rPr>
              <w:t>IgA</w:t>
            </w:r>
            <w:r w:rsidRPr="005C0872">
              <w:t>)</w:t>
            </w:r>
            <w:r>
              <w:t xml:space="preserve"> </w:t>
            </w:r>
            <w:r w:rsidRPr="007E6757">
              <w:rPr>
                <w:i/>
              </w:rPr>
              <w:t>item subject to rule 25</w:t>
            </w:r>
          </w:p>
        </w:tc>
      </w:tr>
    </w:tbl>
    <w:p w14:paraId="30EA24E2" w14:textId="77777777" w:rsidR="00D50F5A" w:rsidRDefault="00D50F5A" w:rsidP="00E2562E">
      <w:pPr>
        <w:pStyle w:val="Heading2"/>
      </w:pPr>
      <w:bookmarkStart w:id="92" w:name="_Toc499293052"/>
      <w:r>
        <w:t>Free kappa and lambda light chains</w:t>
      </w:r>
      <w:r w:rsidR="00FB4263">
        <w:t>: item 71200</w:t>
      </w:r>
      <w:bookmarkEnd w:id="92"/>
    </w:p>
    <w:p w14:paraId="2195C533" w14:textId="77777777" w:rsidR="00341913" w:rsidRPr="003744BA" w:rsidRDefault="00C56775">
      <w:pPr>
        <w:pStyle w:val="Caption"/>
      </w:pPr>
      <w:bookmarkStart w:id="93" w:name="_Toc499289269"/>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32</w:t>
      </w:r>
      <w:r w:rsidR="0004721F">
        <w:rPr>
          <w:noProof/>
        </w:rPr>
        <w:fldChar w:fldCharType="end"/>
      </w:r>
      <w:r>
        <w:t xml:space="preserve">. </w:t>
      </w:r>
      <w:r w:rsidR="00341913" w:rsidRPr="003744BA">
        <w:t>Item introduction table for item</w:t>
      </w:r>
      <w:r w:rsidR="00341913">
        <w:t xml:space="preserve"> </w:t>
      </w:r>
      <w:r w:rsidR="005C0872" w:rsidRPr="005C0872">
        <w:t>71200</w:t>
      </w:r>
      <w:bookmarkEnd w:id="93"/>
    </w:p>
    <w:tbl>
      <w:tblPr>
        <w:tblStyle w:val="TableGrid1"/>
        <w:tblW w:w="9039" w:type="dxa"/>
        <w:tblLayout w:type="fixed"/>
        <w:tblLook w:val="04A0" w:firstRow="1" w:lastRow="0" w:firstColumn="1" w:lastColumn="0" w:noHBand="0" w:noVBand="1"/>
        <w:tblCaption w:val="Table 32: Item introduction table for item 71200"/>
        <w:tblDescription w:val="Table 32 contains MBS data for item 71200 for the finanical year 2014–2015. The data includes item numbers, long item descriptors, schedule fee, total volume of services, benefits paid, patient count and services annual average growth as a pecentage over a 5 year period."/>
      </w:tblPr>
      <w:tblGrid>
        <w:gridCol w:w="776"/>
        <w:gridCol w:w="2763"/>
        <w:gridCol w:w="1134"/>
        <w:gridCol w:w="1276"/>
        <w:gridCol w:w="1276"/>
        <w:gridCol w:w="850"/>
        <w:gridCol w:w="964"/>
      </w:tblGrid>
      <w:tr w:rsidR="00B82189" w:rsidRPr="00DD5A29" w14:paraId="7673952F" w14:textId="77777777" w:rsidTr="007B6365">
        <w:trPr>
          <w:trHeight w:val="729"/>
          <w:tblHeader/>
        </w:trPr>
        <w:tc>
          <w:tcPr>
            <w:tcW w:w="776" w:type="dxa"/>
            <w:shd w:val="clear" w:color="auto" w:fill="EEECE1" w:themeFill="background2"/>
            <w:vAlign w:val="bottom"/>
            <w:hideMark/>
          </w:tcPr>
          <w:p w14:paraId="09BAF9DE" w14:textId="77777777" w:rsidR="00B82189" w:rsidRPr="00DD5A29" w:rsidRDefault="00B82189" w:rsidP="007B6365">
            <w:pPr>
              <w:pStyle w:val="01Tableheaderrow"/>
              <w:rPr>
                <w:lang w:val="en-GB"/>
              </w:rPr>
            </w:pPr>
            <w:r w:rsidRPr="00C70F36">
              <w:rPr>
                <w:lang w:val="en-GB"/>
              </w:rPr>
              <w:t>Item</w:t>
            </w:r>
          </w:p>
        </w:tc>
        <w:tc>
          <w:tcPr>
            <w:tcW w:w="2763" w:type="dxa"/>
            <w:shd w:val="clear" w:color="auto" w:fill="EEECE1" w:themeFill="background2"/>
            <w:vAlign w:val="bottom"/>
            <w:hideMark/>
          </w:tcPr>
          <w:p w14:paraId="65105FEF" w14:textId="77777777" w:rsidR="00B82189" w:rsidRPr="00DD5A29" w:rsidRDefault="00B82189" w:rsidP="007B6365">
            <w:pPr>
              <w:pStyle w:val="01Tableheaderrow"/>
              <w:rPr>
                <w:lang w:val="en-GB"/>
              </w:rPr>
            </w:pPr>
            <w:r w:rsidRPr="00C70F36">
              <w:rPr>
                <w:lang w:val="en-GB"/>
              </w:rPr>
              <w:t xml:space="preserve">Long </w:t>
            </w:r>
            <w:r>
              <w:rPr>
                <w:lang w:val="en-GB"/>
              </w:rPr>
              <w:t xml:space="preserve">item </w:t>
            </w:r>
            <w:r w:rsidRPr="00C70F36">
              <w:rPr>
                <w:lang w:val="en-GB"/>
              </w:rPr>
              <w:t>descriptor</w:t>
            </w:r>
          </w:p>
        </w:tc>
        <w:tc>
          <w:tcPr>
            <w:tcW w:w="1134" w:type="dxa"/>
            <w:shd w:val="clear" w:color="auto" w:fill="EEECE1" w:themeFill="background2"/>
            <w:vAlign w:val="bottom"/>
            <w:hideMark/>
          </w:tcPr>
          <w:p w14:paraId="403D4D0F" w14:textId="77777777" w:rsidR="00B82189" w:rsidRPr="00256B04" w:rsidRDefault="00B82189" w:rsidP="007B6365">
            <w:pPr>
              <w:pStyle w:val="01Tableheaderrow"/>
              <w:rPr>
                <w:lang w:val="en-GB"/>
              </w:rPr>
            </w:pPr>
            <w:r w:rsidRPr="00C70F36">
              <w:rPr>
                <w:lang w:val="en-GB"/>
              </w:rPr>
              <w:t>Schedule fee</w:t>
            </w:r>
          </w:p>
        </w:tc>
        <w:tc>
          <w:tcPr>
            <w:tcW w:w="1276" w:type="dxa"/>
            <w:shd w:val="clear" w:color="auto" w:fill="EEECE1" w:themeFill="background2"/>
            <w:vAlign w:val="bottom"/>
            <w:hideMark/>
          </w:tcPr>
          <w:p w14:paraId="0AC20E3F" w14:textId="77777777" w:rsidR="00B82189" w:rsidRPr="00DD5A29" w:rsidRDefault="00B82189" w:rsidP="007B6365">
            <w:pPr>
              <w:pStyle w:val="01Tableheaderrow"/>
              <w:rPr>
                <w:lang w:val="en-GB"/>
              </w:rPr>
            </w:pPr>
            <w:r w:rsidRPr="00C70F36">
              <w:rPr>
                <w:lang w:val="en-GB"/>
              </w:rPr>
              <w:t xml:space="preserve">Services </w:t>
            </w:r>
            <w:r w:rsidR="007D6844">
              <w:rPr>
                <w:lang w:val="en-GB"/>
              </w:rPr>
              <w:t>FY 2014–15</w:t>
            </w:r>
          </w:p>
        </w:tc>
        <w:tc>
          <w:tcPr>
            <w:tcW w:w="1276" w:type="dxa"/>
            <w:shd w:val="clear" w:color="auto" w:fill="EEECE1" w:themeFill="background2"/>
            <w:vAlign w:val="bottom"/>
          </w:tcPr>
          <w:p w14:paraId="51A9398A" w14:textId="77777777" w:rsidR="00B82189" w:rsidRPr="00DD5A29" w:rsidRDefault="00B82189" w:rsidP="007B6365">
            <w:pPr>
              <w:pStyle w:val="01Tableheaderrow"/>
              <w:rPr>
                <w:lang w:val="en-GB"/>
              </w:rPr>
            </w:pPr>
            <w:r w:rsidRPr="00C70F36">
              <w:rPr>
                <w:lang w:val="en-GB"/>
              </w:rPr>
              <w:t xml:space="preserve">Benefits </w:t>
            </w:r>
            <w:r w:rsidR="007D6844">
              <w:rPr>
                <w:lang w:val="en-GB"/>
              </w:rPr>
              <w:t>FY 2014–15</w:t>
            </w:r>
          </w:p>
        </w:tc>
        <w:tc>
          <w:tcPr>
            <w:tcW w:w="850" w:type="dxa"/>
            <w:shd w:val="clear" w:color="auto" w:fill="EEECE1" w:themeFill="background2"/>
            <w:vAlign w:val="bottom"/>
            <w:hideMark/>
          </w:tcPr>
          <w:p w14:paraId="641134E1" w14:textId="77777777" w:rsidR="00B82189" w:rsidRPr="00DD5A29" w:rsidRDefault="00B82189" w:rsidP="007B6365">
            <w:pPr>
              <w:pStyle w:val="01Tableheaderrow"/>
              <w:rPr>
                <w:lang w:val="en-GB"/>
              </w:rPr>
            </w:pPr>
            <w:r w:rsidRPr="00C70F36">
              <w:rPr>
                <w:lang w:val="en-GB"/>
              </w:rPr>
              <w:t>Patient count</w:t>
            </w:r>
          </w:p>
        </w:tc>
        <w:tc>
          <w:tcPr>
            <w:tcW w:w="964" w:type="dxa"/>
            <w:shd w:val="clear" w:color="auto" w:fill="EEECE1" w:themeFill="background2"/>
            <w:vAlign w:val="bottom"/>
            <w:hideMark/>
          </w:tcPr>
          <w:p w14:paraId="03267C1A" w14:textId="77777777" w:rsidR="00B82189" w:rsidRPr="00DD5A29" w:rsidRDefault="00B82189" w:rsidP="007B6365">
            <w:pPr>
              <w:pStyle w:val="01Tableheaderrow"/>
              <w:rPr>
                <w:lang w:val="en-GB"/>
              </w:rPr>
            </w:pPr>
            <w:r w:rsidRPr="00C70F36">
              <w:rPr>
                <w:lang w:val="en-GB"/>
              </w:rPr>
              <w:t xml:space="preserve">Services 5-year </w:t>
            </w:r>
            <w:r w:rsidR="007D6844">
              <w:rPr>
                <w:lang w:val="en-GB"/>
              </w:rPr>
              <w:t>annual average growth</w:t>
            </w:r>
          </w:p>
        </w:tc>
      </w:tr>
      <w:tr w:rsidR="00B82189" w:rsidRPr="00DD5A29" w14:paraId="02BB4B07" w14:textId="77777777" w:rsidTr="007B6365">
        <w:trPr>
          <w:trHeight w:val="911"/>
        </w:trPr>
        <w:tc>
          <w:tcPr>
            <w:tcW w:w="776" w:type="dxa"/>
            <w:noWrap/>
            <w:hideMark/>
          </w:tcPr>
          <w:p w14:paraId="4B2F1E91" w14:textId="77777777" w:rsidR="00B82189" w:rsidRPr="00DD5A29" w:rsidRDefault="00FB4263" w:rsidP="007B6365">
            <w:pPr>
              <w:pStyle w:val="02Tabletext"/>
              <w:rPr>
                <w:color w:val="000000"/>
                <w:lang w:val="en-GB"/>
              </w:rPr>
            </w:pPr>
            <w:r>
              <w:rPr>
                <w:color w:val="000000"/>
                <w:lang w:val="en-GB"/>
              </w:rPr>
              <w:t>71200</w:t>
            </w:r>
          </w:p>
        </w:tc>
        <w:tc>
          <w:tcPr>
            <w:tcW w:w="2763" w:type="dxa"/>
            <w:noWrap/>
            <w:hideMark/>
          </w:tcPr>
          <w:p w14:paraId="69B48035" w14:textId="77777777" w:rsidR="00B82189" w:rsidRPr="00FB4263" w:rsidRDefault="00FB4263" w:rsidP="007B6365">
            <w:pPr>
              <w:pStyle w:val="02Tabletext"/>
              <w:rPr>
                <w:color w:val="000000"/>
                <w:lang w:val="en-GB"/>
              </w:rPr>
            </w:pPr>
            <w:r w:rsidRPr="00FB4263">
              <w:rPr>
                <w:color w:val="000000"/>
                <w:lang w:val="en-GB"/>
              </w:rPr>
              <w:t>Detection and quantitation, if present, of free kappa and lambda light chains in serum for the diagnosis or monitoring of amyloidosis, myeloma or plasma cell dyscrasias.</w:t>
            </w:r>
          </w:p>
        </w:tc>
        <w:tc>
          <w:tcPr>
            <w:tcW w:w="1134" w:type="dxa"/>
            <w:noWrap/>
            <w:hideMark/>
          </w:tcPr>
          <w:p w14:paraId="4CA761CC" w14:textId="77777777" w:rsidR="00B82189" w:rsidRPr="00FB4263" w:rsidRDefault="008E5F19" w:rsidP="007B6365">
            <w:pPr>
              <w:pStyle w:val="02Tabletext"/>
              <w:jc w:val="right"/>
              <w:rPr>
                <w:color w:val="000000"/>
                <w:lang w:val="en-GB"/>
              </w:rPr>
            </w:pPr>
            <w:r>
              <w:rPr>
                <w:color w:val="000000"/>
                <w:lang w:val="en-GB"/>
              </w:rPr>
              <w:t>$</w:t>
            </w:r>
            <w:r w:rsidR="00FB4263" w:rsidRPr="00FB4263">
              <w:rPr>
                <w:color w:val="000000"/>
                <w:lang w:val="en-GB"/>
              </w:rPr>
              <w:t>59.60</w:t>
            </w:r>
          </w:p>
        </w:tc>
        <w:tc>
          <w:tcPr>
            <w:tcW w:w="1276" w:type="dxa"/>
            <w:noWrap/>
            <w:hideMark/>
          </w:tcPr>
          <w:p w14:paraId="4C5FA234" w14:textId="77777777" w:rsidR="00B82189" w:rsidRPr="00FB4263" w:rsidRDefault="00FB4263" w:rsidP="007B6365">
            <w:pPr>
              <w:pStyle w:val="02Tabletext"/>
              <w:jc w:val="right"/>
              <w:rPr>
                <w:color w:val="000000"/>
                <w:lang w:val="en-GB"/>
              </w:rPr>
            </w:pPr>
            <w:r w:rsidRPr="00FB4263">
              <w:rPr>
                <w:color w:val="000000"/>
                <w:lang w:val="en-GB"/>
              </w:rPr>
              <w:t>103,074</w:t>
            </w:r>
          </w:p>
        </w:tc>
        <w:tc>
          <w:tcPr>
            <w:tcW w:w="1276" w:type="dxa"/>
          </w:tcPr>
          <w:p w14:paraId="0BDE8F98" w14:textId="77777777" w:rsidR="00B82189" w:rsidRPr="00FB4263" w:rsidRDefault="00FB4263" w:rsidP="007B6365">
            <w:pPr>
              <w:pStyle w:val="02Tabletext"/>
              <w:jc w:val="right"/>
              <w:rPr>
                <w:color w:val="000000"/>
                <w:lang w:val="en-GB"/>
              </w:rPr>
            </w:pPr>
            <w:r w:rsidRPr="00FB4263">
              <w:rPr>
                <w:color w:val="000000"/>
                <w:lang w:val="en-GB"/>
              </w:rPr>
              <w:t>$5,197,217</w:t>
            </w:r>
          </w:p>
        </w:tc>
        <w:tc>
          <w:tcPr>
            <w:tcW w:w="850" w:type="dxa"/>
            <w:noWrap/>
            <w:hideMark/>
          </w:tcPr>
          <w:p w14:paraId="74376081" w14:textId="77777777" w:rsidR="00B82189" w:rsidRPr="00FB4263" w:rsidRDefault="00FB4263" w:rsidP="007B6365">
            <w:pPr>
              <w:pStyle w:val="02Tabletext"/>
              <w:jc w:val="right"/>
              <w:rPr>
                <w:color w:val="000000"/>
                <w:lang w:val="en-GB"/>
              </w:rPr>
            </w:pPr>
            <w:r w:rsidRPr="00FB4263">
              <w:rPr>
                <w:color w:val="000000"/>
                <w:lang w:val="en-GB"/>
              </w:rPr>
              <w:t>52,277</w:t>
            </w:r>
          </w:p>
        </w:tc>
        <w:tc>
          <w:tcPr>
            <w:tcW w:w="964" w:type="dxa"/>
            <w:noWrap/>
            <w:hideMark/>
          </w:tcPr>
          <w:p w14:paraId="0B7E2E1A" w14:textId="77777777" w:rsidR="00B82189" w:rsidRPr="00FB4263" w:rsidRDefault="00FB4263" w:rsidP="007B6365">
            <w:pPr>
              <w:pStyle w:val="02Tabletext"/>
              <w:jc w:val="right"/>
              <w:rPr>
                <w:color w:val="000000"/>
                <w:lang w:val="en-GB"/>
              </w:rPr>
            </w:pPr>
            <w:r w:rsidRPr="00FB4263">
              <w:rPr>
                <w:color w:val="000000"/>
                <w:lang w:val="en-GB"/>
              </w:rPr>
              <w:t>27.6%</w:t>
            </w:r>
          </w:p>
        </w:tc>
      </w:tr>
    </w:tbl>
    <w:p w14:paraId="663A0C21" w14:textId="77777777" w:rsidR="00D50F5A" w:rsidRDefault="00160F61" w:rsidP="00463C3C">
      <w:pPr>
        <w:pStyle w:val="Heading3Numbered"/>
      </w:pPr>
      <w:r>
        <w:t>Recommendation</w:t>
      </w:r>
      <w:r w:rsidR="00A668CD">
        <w:t xml:space="preserve"> 17</w:t>
      </w:r>
    </w:p>
    <w:p w14:paraId="5BF03DDB" w14:textId="77777777" w:rsidR="005C0872" w:rsidRDefault="0031626C">
      <w:pPr>
        <w:pStyle w:val="NormalBulleted"/>
      </w:pPr>
      <w:r>
        <w:t>Amend</w:t>
      </w:r>
      <w:r w:rsidR="005C0872">
        <w:t xml:space="preserve"> the item descriptor by including the wording: ‘this test is not to be used for the diagnosis or monitoring of lymphoma’</w:t>
      </w:r>
      <w:r>
        <w:t>.</w:t>
      </w:r>
    </w:p>
    <w:p w14:paraId="2A81F2AC" w14:textId="77777777" w:rsidR="006207A7" w:rsidRDefault="00C56775">
      <w:pPr>
        <w:pStyle w:val="Caption"/>
      </w:pPr>
      <w:bookmarkStart w:id="94" w:name="_Toc499289270"/>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33</w:t>
      </w:r>
      <w:r w:rsidR="0004721F">
        <w:rPr>
          <w:noProof/>
        </w:rPr>
        <w:fldChar w:fldCharType="end"/>
      </w:r>
      <w:r>
        <w:t xml:space="preserve">. </w:t>
      </w:r>
      <w:r w:rsidR="006207A7">
        <w:t>Current and proposed item descriptor</w:t>
      </w:r>
      <w:r w:rsidR="00117420">
        <w:t>s</w:t>
      </w:r>
      <w:r w:rsidR="006207A7">
        <w:t xml:space="preserve"> for item 71200</w:t>
      </w:r>
      <w:bookmarkEnd w:id="94"/>
    </w:p>
    <w:tbl>
      <w:tblPr>
        <w:tblStyle w:val="TableGrid"/>
        <w:tblW w:w="0" w:type="auto"/>
        <w:tblLook w:val="04A0" w:firstRow="1" w:lastRow="0" w:firstColumn="1" w:lastColumn="0" w:noHBand="0" w:noVBand="1"/>
        <w:tblCaption w:val="Table 33: Current and proposed item descriptor for item 71200"/>
        <w:tblDescription w:val="Table 33 lists the current and proposed item descriptors for item 71200."/>
      </w:tblPr>
      <w:tblGrid>
        <w:gridCol w:w="1696"/>
        <w:gridCol w:w="3402"/>
        <w:gridCol w:w="3918"/>
      </w:tblGrid>
      <w:tr w:rsidR="00AF4170" w14:paraId="565BA10B" w14:textId="77777777" w:rsidTr="00463C3C">
        <w:trPr>
          <w:tblHeader/>
        </w:trPr>
        <w:tc>
          <w:tcPr>
            <w:tcW w:w="1696" w:type="dxa"/>
            <w:shd w:val="clear" w:color="auto" w:fill="EEECE1" w:themeFill="background2"/>
          </w:tcPr>
          <w:p w14:paraId="56476A7A" w14:textId="77777777" w:rsidR="00AF4170" w:rsidRPr="003D56B4" w:rsidRDefault="00AF4170" w:rsidP="007B6365">
            <w:pPr>
              <w:pStyle w:val="01Tableheaderrow"/>
            </w:pPr>
            <w:r w:rsidRPr="003D56B4">
              <w:t>Item</w:t>
            </w:r>
          </w:p>
        </w:tc>
        <w:tc>
          <w:tcPr>
            <w:tcW w:w="3402" w:type="dxa"/>
            <w:shd w:val="clear" w:color="auto" w:fill="EEECE1" w:themeFill="background2"/>
          </w:tcPr>
          <w:p w14:paraId="0CCCBACB" w14:textId="77777777" w:rsidR="00AF4170" w:rsidRPr="003D56B4" w:rsidRDefault="00AF4170" w:rsidP="007B6365">
            <w:pPr>
              <w:pStyle w:val="01Tableheaderrow"/>
            </w:pPr>
            <w:r w:rsidRPr="003D56B4">
              <w:t>Current item descriptor</w:t>
            </w:r>
          </w:p>
        </w:tc>
        <w:tc>
          <w:tcPr>
            <w:tcW w:w="3918" w:type="dxa"/>
            <w:shd w:val="clear" w:color="auto" w:fill="EEECE1" w:themeFill="background2"/>
          </w:tcPr>
          <w:p w14:paraId="2526A383" w14:textId="77777777" w:rsidR="00AF4170" w:rsidRPr="003D56B4" w:rsidRDefault="00AF4170" w:rsidP="007B6365">
            <w:pPr>
              <w:pStyle w:val="01Tableheaderrow"/>
            </w:pPr>
            <w:r w:rsidRPr="003D56B4">
              <w:t>Proposed item descriptor</w:t>
            </w:r>
          </w:p>
        </w:tc>
      </w:tr>
      <w:tr w:rsidR="00AF4170" w14:paraId="58F80EE5" w14:textId="77777777" w:rsidTr="009D49A8">
        <w:tc>
          <w:tcPr>
            <w:tcW w:w="1696" w:type="dxa"/>
          </w:tcPr>
          <w:p w14:paraId="143E15A4" w14:textId="77777777" w:rsidR="00AF4170" w:rsidRDefault="00AF4170" w:rsidP="007B6365">
            <w:pPr>
              <w:pStyle w:val="02Tabletext"/>
            </w:pPr>
            <w:r w:rsidRPr="00B82ED1">
              <w:t>71200</w:t>
            </w:r>
          </w:p>
        </w:tc>
        <w:tc>
          <w:tcPr>
            <w:tcW w:w="3402" w:type="dxa"/>
          </w:tcPr>
          <w:p w14:paraId="2CD0E49C" w14:textId="77777777" w:rsidR="00AF4170" w:rsidRDefault="00AF4170" w:rsidP="007B6365">
            <w:pPr>
              <w:pStyle w:val="02Tabletext"/>
            </w:pPr>
            <w:r w:rsidRPr="00B82ED1">
              <w:t>Detection and quantitation, if present, of free kappa and lambda light chains in serum for the diagnosis or monitoring of amyloidosis, myeloma or plasma cell dyscrasias.</w:t>
            </w:r>
          </w:p>
        </w:tc>
        <w:tc>
          <w:tcPr>
            <w:tcW w:w="3918" w:type="dxa"/>
          </w:tcPr>
          <w:p w14:paraId="64DEF8B4" w14:textId="77777777" w:rsidR="00AF4170" w:rsidRPr="00AF4170" w:rsidRDefault="00AF4170" w:rsidP="007B6365">
            <w:pPr>
              <w:pStyle w:val="02Tabletext"/>
              <w:rPr>
                <w:i/>
              </w:rPr>
            </w:pPr>
            <w:r w:rsidRPr="00AF4170">
              <w:t>Detection and quantitation, if present, of free kappa and lambda light chains in serum for the diagnosis or monitoring of amyloidosis, myeloma or plasma cell dyscrasias.</w:t>
            </w:r>
            <w:r>
              <w:t xml:space="preserve"> </w:t>
            </w:r>
            <w:r w:rsidRPr="009B1A40">
              <w:t>This test is not to be used for the diagnosis or monitoring of lymphoma.</w:t>
            </w:r>
          </w:p>
        </w:tc>
      </w:tr>
    </w:tbl>
    <w:p w14:paraId="3F604A8C" w14:textId="77777777" w:rsidR="00E70801" w:rsidRDefault="00FA523E" w:rsidP="00463C3C">
      <w:pPr>
        <w:pStyle w:val="Heading3Numbered"/>
      </w:pPr>
      <w:r>
        <w:t>Rationale</w:t>
      </w:r>
      <w:r w:rsidR="00A668CD">
        <w:t xml:space="preserve"> 17</w:t>
      </w:r>
    </w:p>
    <w:p w14:paraId="6C18B127" w14:textId="77777777" w:rsidR="00EC1AD1" w:rsidRDefault="000857C0">
      <w:pPr>
        <w:pStyle w:val="NormalBulleted"/>
      </w:pPr>
      <w:r>
        <w:t xml:space="preserve">Item 71200 is </w:t>
      </w:r>
      <w:r w:rsidR="001B019B">
        <w:t>serum free light</w:t>
      </w:r>
      <w:r w:rsidR="00CE15DA">
        <w:t>-chain</w:t>
      </w:r>
      <w:r w:rsidR="001B019B">
        <w:t xml:space="preserve"> testing used to help diagnose plasma cell disorders (dyscrasias) including myeloma and primary amyloidosis. </w:t>
      </w:r>
      <w:r w:rsidR="005C373A">
        <w:t xml:space="preserve">The utilisation of item 71200 appears to be equal across the </w:t>
      </w:r>
      <w:r w:rsidR="00CE15DA">
        <w:t xml:space="preserve">states </w:t>
      </w:r>
      <w:r w:rsidR="005C373A">
        <w:t xml:space="preserve">and </w:t>
      </w:r>
      <w:r w:rsidR="00CE15DA">
        <w:t>territories</w:t>
      </w:r>
      <w:r w:rsidR="00867216">
        <w:t>.</w:t>
      </w:r>
      <w:r w:rsidR="005C373A">
        <w:t xml:space="preserve"> </w:t>
      </w:r>
      <w:r w:rsidR="00FA523E">
        <w:t>The Committee recognises that the utilisation of item 71200 is increasing. This is a test mainly requested by haematologists.</w:t>
      </w:r>
      <w:r w:rsidR="00A21174">
        <w:t xml:space="preserve"> </w:t>
      </w:r>
      <w:r w:rsidR="00FA523E">
        <w:t>This item cannot be restricted within a 12-month period</w:t>
      </w:r>
      <w:r w:rsidR="00CE15DA">
        <w:t>,</w:t>
      </w:r>
      <w:r w:rsidR="00FA523E">
        <w:t xml:space="preserve"> as </w:t>
      </w:r>
      <w:r w:rsidR="00500BD9">
        <w:t xml:space="preserve">some patients are treated with particular </w:t>
      </w:r>
      <w:r w:rsidR="00FA523E">
        <w:t xml:space="preserve">dialysis </w:t>
      </w:r>
      <w:r w:rsidR="00500BD9">
        <w:t xml:space="preserve">therapy. Such </w:t>
      </w:r>
      <w:r w:rsidR="00FA523E">
        <w:t xml:space="preserve">patients will require this test every time they undergo dialysis. </w:t>
      </w:r>
    </w:p>
    <w:p w14:paraId="0A510C46" w14:textId="77777777" w:rsidR="001621DC" w:rsidRDefault="00FA523E">
      <w:pPr>
        <w:pStyle w:val="NormalBulleted"/>
      </w:pPr>
      <w:r w:rsidRPr="0036449C">
        <w:t xml:space="preserve">The Committee recommends a change to the item descriptor wording to specifically exclude the use of this test in lymphoma to </w:t>
      </w:r>
      <w:r w:rsidR="00500BD9" w:rsidRPr="0036449C">
        <w:t>reinforce that the clinical utility of these tests are in the assessment of plasma cell disorders only</w:t>
      </w:r>
      <w:r w:rsidRPr="0036449C">
        <w:t>.</w:t>
      </w:r>
      <w:r w:rsidR="00195DC8" w:rsidRPr="0036449C">
        <w:t xml:space="preserve"> Lymphoma is specifically excluded from this item</w:t>
      </w:r>
      <w:r w:rsidR="00CE15DA">
        <w:t>,</w:t>
      </w:r>
      <w:r w:rsidR="00195DC8" w:rsidRPr="0036449C">
        <w:t xml:space="preserve"> </w:t>
      </w:r>
      <w:r w:rsidR="0036449C" w:rsidRPr="0036449C">
        <w:t>as the</w:t>
      </w:r>
      <w:r w:rsidR="00195DC8" w:rsidRPr="0036449C">
        <w:t xml:space="preserve"> diagnosis and management of lymphoma</w:t>
      </w:r>
      <w:r w:rsidR="00EF47CB" w:rsidRPr="0036449C">
        <w:t xml:space="preserve"> does not require </w:t>
      </w:r>
      <w:r w:rsidR="00CE15DA" w:rsidRPr="0036449C">
        <w:t xml:space="preserve">measurement </w:t>
      </w:r>
      <w:r w:rsidR="00CE15DA">
        <w:t xml:space="preserve">of </w:t>
      </w:r>
      <w:r w:rsidR="00EF47CB" w:rsidRPr="0036449C">
        <w:t>light chains.</w:t>
      </w:r>
    </w:p>
    <w:p w14:paraId="62508A82" w14:textId="77777777" w:rsidR="00AC483F" w:rsidRDefault="00AC483F" w:rsidP="00E2562E">
      <w:pPr>
        <w:pStyle w:val="Heading2"/>
      </w:pPr>
      <w:bookmarkStart w:id="95" w:name="_Toc499293053"/>
      <w:r>
        <w:lastRenderedPageBreak/>
        <w:t>Items to be deleted</w:t>
      </w:r>
      <w:bookmarkEnd w:id="95"/>
    </w:p>
    <w:p w14:paraId="46DE7617" w14:textId="77777777" w:rsidR="00A96772" w:rsidRDefault="00A96772" w:rsidP="00463C3C">
      <w:pPr>
        <w:pStyle w:val="Heading3Numbered"/>
      </w:pPr>
      <w:r>
        <w:t>Recommendation 18</w:t>
      </w:r>
    </w:p>
    <w:p w14:paraId="5F653A87" w14:textId="77777777" w:rsidR="00AC483F" w:rsidRDefault="00AC483F" w:rsidP="00AC483F">
      <w:pPr>
        <w:rPr>
          <w:lang w:val="en-US" w:eastAsia="en-US"/>
        </w:rPr>
      </w:pPr>
      <w:r>
        <w:rPr>
          <w:lang w:val="en-US" w:eastAsia="en-US"/>
        </w:rPr>
        <w:t>The following items are to be deleted from the MBS as the items are obsolete and are no longer used in clinical practice. These items are not supported by current treatment strategies.</w:t>
      </w:r>
    </w:p>
    <w:p w14:paraId="498335A5" w14:textId="77777777" w:rsidR="00671E54" w:rsidRPr="009A547D" w:rsidRDefault="00671E54" w:rsidP="007B6365">
      <w:pPr>
        <w:pStyle w:val="Caption"/>
        <w:rPr>
          <w:lang w:val="en-US"/>
        </w:rPr>
      </w:pPr>
      <w:bookmarkStart w:id="96" w:name="_Toc499289271"/>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34</w:t>
      </w:r>
      <w:r w:rsidR="0004721F">
        <w:rPr>
          <w:noProof/>
        </w:rPr>
        <w:fldChar w:fldCharType="end"/>
      </w:r>
      <w:r>
        <w:t>. Items to be deleted</w:t>
      </w:r>
      <w:bookmarkEnd w:id="96"/>
    </w:p>
    <w:tbl>
      <w:tblPr>
        <w:tblStyle w:val="TableGrid"/>
        <w:tblW w:w="9322" w:type="dxa"/>
        <w:tblLayout w:type="fixed"/>
        <w:tblLook w:val="04A0" w:firstRow="1" w:lastRow="0" w:firstColumn="1" w:lastColumn="0" w:noHBand="0" w:noVBand="1"/>
        <w:tblCaption w:val="Table 34: Items to be deleted"/>
        <w:tblDescription w:val="Table 34 contains MBS data for the finanical year 2014–2015 for items to be deleted. The data includes item number, item descriptor, schedule fee and number of services."/>
      </w:tblPr>
      <w:tblGrid>
        <w:gridCol w:w="1271"/>
        <w:gridCol w:w="5245"/>
        <w:gridCol w:w="1672"/>
        <w:gridCol w:w="1134"/>
      </w:tblGrid>
      <w:tr w:rsidR="00AC483F" w:rsidRPr="001F0952" w14:paraId="42A268CD" w14:textId="77777777" w:rsidTr="007B6365">
        <w:trPr>
          <w:tblHeader/>
        </w:trPr>
        <w:tc>
          <w:tcPr>
            <w:tcW w:w="1271" w:type="dxa"/>
            <w:shd w:val="clear" w:color="auto" w:fill="EEECE1" w:themeFill="background2"/>
            <w:vAlign w:val="bottom"/>
          </w:tcPr>
          <w:p w14:paraId="49ADC44C" w14:textId="77777777" w:rsidR="00AC483F" w:rsidRPr="008D5E8C" w:rsidRDefault="00AC483F" w:rsidP="005E5484">
            <w:pPr>
              <w:pStyle w:val="01Tableheaderrow"/>
              <w:rPr>
                <w:lang w:val="en-US"/>
              </w:rPr>
            </w:pPr>
            <w:r w:rsidRPr="008D5E8C">
              <w:rPr>
                <w:lang w:val="en-US"/>
              </w:rPr>
              <w:t>Item</w:t>
            </w:r>
          </w:p>
        </w:tc>
        <w:tc>
          <w:tcPr>
            <w:tcW w:w="5245" w:type="dxa"/>
            <w:shd w:val="clear" w:color="auto" w:fill="EEECE1" w:themeFill="background2"/>
            <w:vAlign w:val="bottom"/>
          </w:tcPr>
          <w:p w14:paraId="2A506AC8" w14:textId="77777777" w:rsidR="00AC483F" w:rsidRPr="001F0952" w:rsidRDefault="00AC483F" w:rsidP="005E5484">
            <w:pPr>
              <w:pStyle w:val="01Tableheaderrow"/>
              <w:rPr>
                <w:lang w:val="en-US"/>
              </w:rPr>
            </w:pPr>
            <w:r w:rsidRPr="008D5E8C">
              <w:rPr>
                <w:lang w:val="en-US"/>
              </w:rPr>
              <w:t>Item descriptor</w:t>
            </w:r>
          </w:p>
        </w:tc>
        <w:tc>
          <w:tcPr>
            <w:tcW w:w="1672" w:type="dxa"/>
            <w:shd w:val="clear" w:color="auto" w:fill="EEECE1" w:themeFill="background2"/>
            <w:vAlign w:val="bottom"/>
          </w:tcPr>
          <w:p w14:paraId="6A1D45F5" w14:textId="77777777" w:rsidR="00AC483F" w:rsidRPr="001F0952" w:rsidRDefault="00AC483F" w:rsidP="005E5484">
            <w:pPr>
              <w:pStyle w:val="01Tableheaderrow"/>
              <w:rPr>
                <w:lang w:val="en-US"/>
              </w:rPr>
            </w:pPr>
            <w:r w:rsidRPr="009175F7">
              <w:rPr>
                <w:lang w:val="en-US"/>
              </w:rPr>
              <w:t>Schedule fee</w:t>
            </w:r>
            <w:r>
              <w:rPr>
                <w:lang w:val="en-US"/>
              </w:rPr>
              <w:t xml:space="preserve"> </w:t>
            </w:r>
            <w:r w:rsidRPr="009175F7">
              <w:rPr>
                <w:lang w:val="en-US"/>
              </w:rPr>
              <w:t>($)</w:t>
            </w:r>
          </w:p>
        </w:tc>
        <w:tc>
          <w:tcPr>
            <w:tcW w:w="1134" w:type="dxa"/>
            <w:shd w:val="clear" w:color="auto" w:fill="EEECE1" w:themeFill="background2"/>
            <w:vAlign w:val="bottom"/>
          </w:tcPr>
          <w:p w14:paraId="0011B6E7" w14:textId="77777777" w:rsidR="00AC483F" w:rsidRPr="001F0952" w:rsidRDefault="00AC483F" w:rsidP="005E5484">
            <w:pPr>
              <w:pStyle w:val="01Tableheaderrow"/>
              <w:rPr>
                <w:lang w:val="en-US"/>
              </w:rPr>
            </w:pPr>
            <w:r w:rsidRPr="009175F7">
              <w:rPr>
                <w:lang w:val="en-US"/>
              </w:rPr>
              <w:t>Services</w:t>
            </w:r>
            <w:r>
              <w:rPr>
                <w:lang w:val="en-US"/>
              </w:rPr>
              <w:t xml:space="preserve"> </w:t>
            </w:r>
            <w:r w:rsidRPr="009175F7">
              <w:rPr>
                <w:lang w:val="en-US"/>
              </w:rPr>
              <w:t>(2014</w:t>
            </w:r>
            <w:r>
              <w:rPr>
                <w:lang w:val="en-US"/>
              </w:rPr>
              <w:t>–</w:t>
            </w:r>
            <w:r w:rsidRPr="009175F7">
              <w:rPr>
                <w:lang w:val="en-US"/>
              </w:rPr>
              <w:t>15)</w:t>
            </w:r>
          </w:p>
        </w:tc>
      </w:tr>
      <w:tr w:rsidR="00AC483F" w:rsidRPr="001F0952" w14:paraId="1691B0B0" w14:textId="77777777" w:rsidTr="007B6365">
        <w:trPr>
          <w:tblHeader/>
        </w:trPr>
        <w:tc>
          <w:tcPr>
            <w:tcW w:w="1271" w:type="dxa"/>
          </w:tcPr>
          <w:p w14:paraId="6B9B52BE" w14:textId="77777777" w:rsidR="00AC483F" w:rsidRPr="00FF31A3" w:rsidRDefault="00AC483F" w:rsidP="005E5484">
            <w:pPr>
              <w:pStyle w:val="02Tabletext"/>
              <w:rPr>
                <w:szCs w:val="22"/>
                <w:lang w:val="en-US"/>
              </w:rPr>
            </w:pPr>
            <w:r>
              <w:rPr>
                <w:szCs w:val="22"/>
                <w:lang w:val="en-US"/>
              </w:rPr>
              <w:t>71095</w:t>
            </w:r>
          </w:p>
        </w:tc>
        <w:tc>
          <w:tcPr>
            <w:tcW w:w="5245" w:type="dxa"/>
          </w:tcPr>
          <w:p w14:paraId="40C23B6F" w14:textId="77777777" w:rsidR="00AC483F" w:rsidRPr="0011612F" w:rsidRDefault="00AC483F" w:rsidP="005E5484">
            <w:pPr>
              <w:pStyle w:val="02Tabletext"/>
              <w:rPr>
                <w:szCs w:val="22"/>
                <w:lang w:val="en-US"/>
              </w:rPr>
            </w:pPr>
            <w:r w:rsidRPr="00BD533E">
              <w:rPr>
                <w:szCs w:val="22"/>
                <w:lang w:val="en-US"/>
              </w:rPr>
              <w:t>Quantitation of serum or plasma eosinophil cationic protein, or both, to a maximum of 3 assays in 1 year, for monitoring the response to therapy in corticosteroid treated asthma, in a child aged less than 12 years</w:t>
            </w:r>
          </w:p>
        </w:tc>
        <w:tc>
          <w:tcPr>
            <w:tcW w:w="1672" w:type="dxa"/>
          </w:tcPr>
          <w:p w14:paraId="766EE744" w14:textId="77777777" w:rsidR="00AC483F" w:rsidRDefault="00AC483F" w:rsidP="007B6365">
            <w:pPr>
              <w:pStyle w:val="02Tabletext"/>
              <w:jc w:val="right"/>
              <w:rPr>
                <w:szCs w:val="22"/>
                <w:lang w:val="en-US"/>
              </w:rPr>
            </w:pPr>
            <w:r w:rsidRPr="00BD533E">
              <w:rPr>
                <w:szCs w:val="22"/>
                <w:lang w:val="en-US"/>
              </w:rPr>
              <w:t>40.55</w:t>
            </w:r>
          </w:p>
        </w:tc>
        <w:tc>
          <w:tcPr>
            <w:tcW w:w="1134" w:type="dxa"/>
          </w:tcPr>
          <w:p w14:paraId="17AB02A8" w14:textId="77777777" w:rsidR="00AC483F" w:rsidRDefault="00AC483F" w:rsidP="007B6365">
            <w:pPr>
              <w:pStyle w:val="02Tabletext"/>
              <w:jc w:val="right"/>
              <w:rPr>
                <w:szCs w:val="22"/>
                <w:lang w:val="en-US"/>
              </w:rPr>
            </w:pPr>
            <w:r>
              <w:rPr>
                <w:szCs w:val="22"/>
                <w:lang w:val="en-US"/>
              </w:rPr>
              <w:t>83</w:t>
            </w:r>
          </w:p>
        </w:tc>
      </w:tr>
      <w:tr w:rsidR="00AC483F" w:rsidRPr="001F0952" w14:paraId="5A7F3D8D" w14:textId="77777777" w:rsidTr="007B6365">
        <w:trPr>
          <w:tblHeader/>
        </w:trPr>
        <w:tc>
          <w:tcPr>
            <w:tcW w:w="1271" w:type="dxa"/>
          </w:tcPr>
          <w:p w14:paraId="6E34189E" w14:textId="77777777" w:rsidR="00AC483F" w:rsidRPr="008D5E8C" w:rsidRDefault="00AC483F" w:rsidP="005E5484">
            <w:pPr>
              <w:pStyle w:val="02Tabletext"/>
              <w:rPr>
                <w:szCs w:val="22"/>
                <w:lang w:val="en-US"/>
              </w:rPr>
            </w:pPr>
            <w:r w:rsidRPr="00FF31A3">
              <w:rPr>
                <w:szCs w:val="22"/>
                <w:lang w:val="en-US"/>
              </w:rPr>
              <w:t>710</w:t>
            </w:r>
            <w:r>
              <w:rPr>
                <w:szCs w:val="22"/>
                <w:lang w:val="en-US"/>
              </w:rPr>
              <w:t>96</w:t>
            </w:r>
          </w:p>
        </w:tc>
        <w:tc>
          <w:tcPr>
            <w:tcW w:w="5245" w:type="dxa"/>
          </w:tcPr>
          <w:p w14:paraId="5FA14694" w14:textId="77777777" w:rsidR="00AC483F" w:rsidRPr="001F0952" w:rsidRDefault="00AC483F" w:rsidP="005E5484">
            <w:pPr>
              <w:pStyle w:val="02Tabletext"/>
              <w:rPr>
                <w:szCs w:val="22"/>
                <w:lang w:val="en-US"/>
              </w:rPr>
            </w:pPr>
            <w:r w:rsidRPr="0011612F">
              <w:rPr>
                <w:szCs w:val="22"/>
                <w:lang w:val="en-US"/>
              </w:rPr>
              <w:t>A test described in item 71095 if rendered by a receiving APP, (Item is subject to rule 18)</w:t>
            </w:r>
          </w:p>
        </w:tc>
        <w:tc>
          <w:tcPr>
            <w:tcW w:w="1672" w:type="dxa"/>
          </w:tcPr>
          <w:p w14:paraId="491D8C3C" w14:textId="77777777" w:rsidR="00AC483F" w:rsidRPr="001F0952" w:rsidRDefault="00AC483F" w:rsidP="007B6365">
            <w:pPr>
              <w:pStyle w:val="02Tabletext"/>
              <w:jc w:val="right"/>
              <w:rPr>
                <w:szCs w:val="22"/>
                <w:lang w:val="en-US"/>
              </w:rPr>
            </w:pPr>
            <w:r>
              <w:rPr>
                <w:szCs w:val="22"/>
                <w:lang w:val="en-US"/>
              </w:rPr>
              <w:t>40.55</w:t>
            </w:r>
          </w:p>
        </w:tc>
        <w:tc>
          <w:tcPr>
            <w:tcW w:w="1134" w:type="dxa"/>
          </w:tcPr>
          <w:p w14:paraId="0D99A5ED" w14:textId="77777777" w:rsidR="00AC483F" w:rsidRPr="001F0952" w:rsidRDefault="00AC483F" w:rsidP="007B6365">
            <w:pPr>
              <w:pStyle w:val="02Tabletext"/>
              <w:jc w:val="right"/>
              <w:rPr>
                <w:szCs w:val="22"/>
                <w:lang w:val="en-US"/>
              </w:rPr>
            </w:pPr>
            <w:r>
              <w:rPr>
                <w:szCs w:val="22"/>
                <w:lang w:val="en-US"/>
              </w:rPr>
              <w:t>3</w:t>
            </w:r>
          </w:p>
        </w:tc>
      </w:tr>
      <w:tr w:rsidR="00AC483F" w:rsidRPr="001F0952" w14:paraId="1DA3A6E6" w14:textId="77777777" w:rsidTr="007B6365">
        <w:trPr>
          <w:tblHeader/>
        </w:trPr>
        <w:tc>
          <w:tcPr>
            <w:tcW w:w="1271" w:type="dxa"/>
          </w:tcPr>
          <w:p w14:paraId="5E693CDD" w14:textId="77777777" w:rsidR="00AC483F" w:rsidRPr="008D5E8C" w:rsidRDefault="00AC483F" w:rsidP="005E5484">
            <w:pPr>
              <w:pStyle w:val="02Tabletext"/>
              <w:rPr>
                <w:szCs w:val="22"/>
                <w:lang w:val="en-US"/>
              </w:rPr>
            </w:pPr>
            <w:r w:rsidRPr="00FF31A3">
              <w:rPr>
                <w:szCs w:val="22"/>
                <w:lang w:val="en-US"/>
              </w:rPr>
              <w:t>71</w:t>
            </w:r>
            <w:r>
              <w:rPr>
                <w:szCs w:val="22"/>
                <w:lang w:val="en-US"/>
              </w:rPr>
              <w:t>137</w:t>
            </w:r>
          </w:p>
        </w:tc>
        <w:tc>
          <w:tcPr>
            <w:tcW w:w="5245" w:type="dxa"/>
          </w:tcPr>
          <w:p w14:paraId="0650C0AE" w14:textId="77777777" w:rsidR="00AC483F" w:rsidRPr="001F0952" w:rsidRDefault="00AC483F" w:rsidP="005E5484">
            <w:pPr>
              <w:pStyle w:val="02Tabletext"/>
              <w:rPr>
                <w:color w:val="000000"/>
                <w:szCs w:val="22"/>
              </w:rPr>
            </w:pPr>
            <w:r w:rsidRPr="009A547D">
              <w:rPr>
                <w:szCs w:val="22"/>
                <w:lang w:val="en-US"/>
              </w:rPr>
              <w:t>Quantitation of cell-mediated immunity by multiple antigen delayed type hypersensitivity intradermal skin testing using a minimum of 7 antigens, 1 of this item to a maximum of 2 in a 12 month period</w:t>
            </w:r>
          </w:p>
        </w:tc>
        <w:tc>
          <w:tcPr>
            <w:tcW w:w="1672" w:type="dxa"/>
          </w:tcPr>
          <w:p w14:paraId="62FC973E" w14:textId="77777777" w:rsidR="00AC483F" w:rsidRPr="001F0952" w:rsidRDefault="00AC483F" w:rsidP="007B6365">
            <w:pPr>
              <w:pStyle w:val="02Tabletext"/>
              <w:jc w:val="right"/>
              <w:rPr>
                <w:szCs w:val="22"/>
                <w:lang w:val="en-US"/>
              </w:rPr>
            </w:pPr>
            <w:r>
              <w:rPr>
                <w:szCs w:val="22"/>
                <w:lang w:val="en-US"/>
              </w:rPr>
              <w:t>30.25</w:t>
            </w:r>
          </w:p>
        </w:tc>
        <w:tc>
          <w:tcPr>
            <w:tcW w:w="1134" w:type="dxa"/>
          </w:tcPr>
          <w:p w14:paraId="0F432308" w14:textId="77777777" w:rsidR="00AC483F" w:rsidRPr="001F0952" w:rsidRDefault="00AC483F" w:rsidP="007B6365">
            <w:pPr>
              <w:pStyle w:val="02Tabletext"/>
              <w:jc w:val="right"/>
              <w:rPr>
                <w:szCs w:val="22"/>
                <w:lang w:val="en-US"/>
              </w:rPr>
            </w:pPr>
            <w:r>
              <w:rPr>
                <w:szCs w:val="22"/>
                <w:lang w:val="en-US"/>
              </w:rPr>
              <w:t>0</w:t>
            </w:r>
          </w:p>
        </w:tc>
      </w:tr>
      <w:tr w:rsidR="00AC483F" w:rsidRPr="001F0952" w14:paraId="3AC2B1B8" w14:textId="77777777" w:rsidTr="007B6365">
        <w:trPr>
          <w:tblHeader/>
        </w:trPr>
        <w:tc>
          <w:tcPr>
            <w:tcW w:w="1271" w:type="dxa"/>
          </w:tcPr>
          <w:p w14:paraId="2A4699DA" w14:textId="77777777" w:rsidR="00AC483F" w:rsidRPr="00BA2AA7" w:rsidRDefault="00AC483F" w:rsidP="005E5484">
            <w:pPr>
              <w:pStyle w:val="02Tabletext"/>
              <w:rPr>
                <w:szCs w:val="22"/>
                <w:lang w:val="en-US"/>
              </w:rPr>
            </w:pPr>
            <w:r w:rsidRPr="00BA2AA7">
              <w:t>71203</w:t>
            </w:r>
          </w:p>
        </w:tc>
        <w:tc>
          <w:tcPr>
            <w:tcW w:w="5245" w:type="dxa"/>
          </w:tcPr>
          <w:p w14:paraId="718900EE" w14:textId="77777777" w:rsidR="00AC483F" w:rsidRPr="009A547D" w:rsidRDefault="00AC483F" w:rsidP="005E5484">
            <w:pPr>
              <w:pStyle w:val="02Tabletext"/>
              <w:rPr>
                <w:szCs w:val="22"/>
                <w:lang w:val="en-US"/>
              </w:rPr>
            </w:pPr>
            <w:r w:rsidRPr="00D627B3">
              <w:t>Determination of hlab5701 status by flow cytometry or cytotoxity assay prior to the initiation of abacavir therapy including item 73323 if performed.</w:t>
            </w:r>
          </w:p>
        </w:tc>
        <w:tc>
          <w:tcPr>
            <w:tcW w:w="1672" w:type="dxa"/>
          </w:tcPr>
          <w:p w14:paraId="2FF5A844" w14:textId="77777777" w:rsidR="00AC483F" w:rsidRDefault="00AC483F" w:rsidP="007B6365">
            <w:pPr>
              <w:pStyle w:val="02Tabletext"/>
              <w:jc w:val="right"/>
              <w:rPr>
                <w:szCs w:val="22"/>
                <w:lang w:val="en-US"/>
              </w:rPr>
            </w:pPr>
            <w:r w:rsidRPr="00D627B3">
              <w:t>40.55</w:t>
            </w:r>
          </w:p>
        </w:tc>
        <w:tc>
          <w:tcPr>
            <w:tcW w:w="1134" w:type="dxa"/>
          </w:tcPr>
          <w:p w14:paraId="7E4511A4" w14:textId="77777777" w:rsidR="00AC483F" w:rsidRDefault="00AC483F" w:rsidP="007B6365">
            <w:pPr>
              <w:pStyle w:val="02Tabletext"/>
              <w:jc w:val="right"/>
              <w:rPr>
                <w:szCs w:val="22"/>
                <w:lang w:val="en-US"/>
              </w:rPr>
            </w:pPr>
            <w:r>
              <w:rPr>
                <w:szCs w:val="22"/>
                <w:lang w:val="en-US"/>
              </w:rPr>
              <w:t>0</w:t>
            </w:r>
          </w:p>
        </w:tc>
      </w:tr>
    </w:tbl>
    <w:p w14:paraId="5A28C479" w14:textId="77777777" w:rsidR="001621DC" w:rsidRDefault="001621DC" w:rsidP="00E2562E">
      <w:pPr>
        <w:pStyle w:val="Heading2"/>
      </w:pPr>
      <w:bookmarkStart w:id="97" w:name="_Toc499293054"/>
      <w:r>
        <w:t xml:space="preserve">No </w:t>
      </w:r>
      <w:r w:rsidRPr="00B929F0">
        <w:t>changes</w:t>
      </w:r>
      <w:bookmarkEnd w:id="97"/>
    </w:p>
    <w:p w14:paraId="69062D9F" w14:textId="77777777" w:rsidR="00A96772" w:rsidRDefault="00A96772" w:rsidP="00463C3C">
      <w:pPr>
        <w:pStyle w:val="Heading3Numbered"/>
      </w:pPr>
      <w:r>
        <w:t>Recommendation 19</w:t>
      </w:r>
    </w:p>
    <w:p w14:paraId="2D111A88" w14:textId="77777777" w:rsidR="001621DC" w:rsidRDefault="001621DC" w:rsidP="007B6365">
      <w:pPr>
        <w:rPr>
          <w:lang w:val="en-US"/>
        </w:rPr>
      </w:pPr>
      <w:r w:rsidRPr="001F0952">
        <w:rPr>
          <w:rFonts w:cs="Arial"/>
          <w:color w:val="000000" w:themeColor="text1"/>
          <w:szCs w:val="22"/>
        </w:rPr>
        <w:t xml:space="preserve">The Committee recommends that </w:t>
      </w:r>
      <w:r>
        <w:rPr>
          <w:rFonts w:cs="Arial"/>
          <w:color w:val="000000" w:themeColor="text1"/>
          <w:szCs w:val="22"/>
        </w:rPr>
        <w:t xml:space="preserve">the MBS items listed </w:t>
      </w:r>
      <w:r w:rsidRPr="002345FA">
        <w:rPr>
          <w:rFonts w:cs="Arial"/>
          <w:color w:val="000000" w:themeColor="text1"/>
          <w:szCs w:val="22"/>
        </w:rPr>
        <w:t>in</w:t>
      </w:r>
      <w:r>
        <w:rPr>
          <w:rFonts w:cs="Arial"/>
          <w:color w:val="000000" w:themeColor="text1"/>
          <w:szCs w:val="22"/>
        </w:rPr>
        <w:t xml:space="preserve"> </w:t>
      </w:r>
      <w:r w:rsidR="00A21174">
        <w:rPr>
          <w:rFonts w:cs="Arial"/>
          <w:color w:val="000000" w:themeColor="text1"/>
          <w:szCs w:val="22"/>
        </w:rPr>
        <w:fldChar w:fldCharType="begin"/>
      </w:r>
      <w:r w:rsidR="00A21174">
        <w:rPr>
          <w:rFonts w:cs="Arial"/>
          <w:color w:val="000000" w:themeColor="text1"/>
          <w:szCs w:val="22"/>
        </w:rPr>
        <w:instrText xml:space="preserve"> REF _Ref499290802 \h </w:instrText>
      </w:r>
      <w:r w:rsidR="00A21174">
        <w:rPr>
          <w:rFonts w:cs="Arial"/>
          <w:color w:val="000000" w:themeColor="text1"/>
          <w:szCs w:val="22"/>
        </w:rPr>
      </w:r>
      <w:r w:rsidR="00A21174">
        <w:rPr>
          <w:rFonts w:cs="Arial"/>
          <w:color w:val="000000" w:themeColor="text1"/>
          <w:szCs w:val="22"/>
        </w:rPr>
        <w:fldChar w:fldCharType="separate"/>
      </w:r>
      <w:r w:rsidR="00E95F8E">
        <w:t xml:space="preserve">Table </w:t>
      </w:r>
      <w:r w:rsidR="00E95F8E">
        <w:rPr>
          <w:noProof/>
        </w:rPr>
        <w:t>35</w:t>
      </w:r>
      <w:r w:rsidR="00A21174">
        <w:rPr>
          <w:rFonts w:cs="Arial"/>
          <w:color w:val="000000" w:themeColor="text1"/>
          <w:szCs w:val="22"/>
        </w:rPr>
        <w:fldChar w:fldCharType="end"/>
      </w:r>
      <w:r w:rsidR="00A21174">
        <w:rPr>
          <w:rFonts w:cs="Arial"/>
          <w:color w:val="000000" w:themeColor="text1"/>
          <w:szCs w:val="22"/>
        </w:rPr>
        <w:t xml:space="preserve"> </w:t>
      </w:r>
      <w:r w:rsidRPr="001F0952">
        <w:rPr>
          <w:rFonts w:cs="Arial"/>
          <w:color w:val="000000" w:themeColor="text1"/>
          <w:szCs w:val="22"/>
        </w:rPr>
        <w:t xml:space="preserve">do not require amendment, as they are clinically appropriate. </w:t>
      </w:r>
    </w:p>
    <w:p w14:paraId="0433B138" w14:textId="77777777" w:rsidR="00671E54" w:rsidRPr="00084AF3" w:rsidRDefault="00671E54">
      <w:pPr>
        <w:pStyle w:val="Caption"/>
        <w:rPr>
          <w:lang w:val="en-US"/>
        </w:rPr>
      </w:pPr>
      <w:bookmarkStart w:id="98" w:name="_Ref499290802"/>
      <w:bookmarkStart w:id="99" w:name="_Toc499289272"/>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35</w:t>
      </w:r>
      <w:r w:rsidR="0004721F">
        <w:rPr>
          <w:noProof/>
        </w:rPr>
        <w:fldChar w:fldCharType="end"/>
      </w:r>
      <w:bookmarkEnd w:id="98"/>
      <w:r>
        <w:t xml:space="preserve">. </w:t>
      </w:r>
      <w:r w:rsidRPr="00162420">
        <w:rPr>
          <w:lang w:val="en-US"/>
        </w:rPr>
        <w:t>MBS items that do not require amendment</w:t>
      </w:r>
      <w:bookmarkEnd w:id="99"/>
    </w:p>
    <w:tbl>
      <w:tblPr>
        <w:tblStyle w:val="TableGrid"/>
        <w:tblW w:w="9322" w:type="dxa"/>
        <w:tblLayout w:type="fixed"/>
        <w:tblLook w:val="04A0" w:firstRow="1" w:lastRow="0" w:firstColumn="1" w:lastColumn="0" w:noHBand="0" w:noVBand="1"/>
        <w:tblCaption w:val="Table 25: MBS items that do not require amendment"/>
        <w:tblDescription w:val="Table 35 contains MBS data for the finanical year 2014–2015 for items requiring no change. The data includes item number, item descriptor, schedule fee and number of services"/>
      </w:tblPr>
      <w:tblGrid>
        <w:gridCol w:w="1271"/>
        <w:gridCol w:w="5245"/>
        <w:gridCol w:w="1672"/>
        <w:gridCol w:w="1134"/>
      </w:tblGrid>
      <w:tr w:rsidR="001621DC" w:rsidRPr="00E35EA2" w14:paraId="716B765E" w14:textId="77777777" w:rsidTr="00463C3C">
        <w:trPr>
          <w:tblHeader/>
        </w:trPr>
        <w:tc>
          <w:tcPr>
            <w:tcW w:w="1271" w:type="dxa"/>
            <w:shd w:val="clear" w:color="auto" w:fill="EEECE1" w:themeFill="background2"/>
            <w:vAlign w:val="bottom"/>
          </w:tcPr>
          <w:p w14:paraId="4E2274B4" w14:textId="77777777" w:rsidR="001621DC" w:rsidRPr="008D5E8C" w:rsidRDefault="001621DC" w:rsidP="005E5484">
            <w:pPr>
              <w:pStyle w:val="01Tableheaderrow"/>
              <w:rPr>
                <w:lang w:val="en-US"/>
              </w:rPr>
            </w:pPr>
            <w:r w:rsidRPr="008D5E8C">
              <w:rPr>
                <w:lang w:val="en-US"/>
              </w:rPr>
              <w:t>Item</w:t>
            </w:r>
          </w:p>
        </w:tc>
        <w:tc>
          <w:tcPr>
            <w:tcW w:w="5245" w:type="dxa"/>
            <w:shd w:val="clear" w:color="auto" w:fill="EEECE1" w:themeFill="background2"/>
            <w:vAlign w:val="bottom"/>
          </w:tcPr>
          <w:p w14:paraId="1AE4028C" w14:textId="77777777" w:rsidR="001621DC" w:rsidRPr="001F0952" w:rsidRDefault="001621DC" w:rsidP="005E5484">
            <w:pPr>
              <w:pStyle w:val="01Tableheaderrow"/>
              <w:rPr>
                <w:lang w:val="en-US"/>
              </w:rPr>
            </w:pPr>
            <w:r w:rsidRPr="008D5E8C">
              <w:rPr>
                <w:lang w:val="en-US"/>
              </w:rPr>
              <w:t>Item descriptor</w:t>
            </w:r>
          </w:p>
        </w:tc>
        <w:tc>
          <w:tcPr>
            <w:tcW w:w="1672" w:type="dxa"/>
            <w:shd w:val="clear" w:color="auto" w:fill="EEECE1" w:themeFill="background2"/>
            <w:vAlign w:val="bottom"/>
          </w:tcPr>
          <w:p w14:paraId="38427094" w14:textId="77777777" w:rsidR="001621DC" w:rsidRPr="001F0952" w:rsidRDefault="001621DC" w:rsidP="005E5484">
            <w:pPr>
              <w:pStyle w:val="01Tableheaderrow"/>
              <w:rPr>
                <w:lang w:val="en-US"/>
              </w:rPr>
            </w:pPr>
            <w:r w:rsidRPr="009175F7">
              <w:rPr>
                <w:lang w:val="en-US"/>
              </w:rPr>
              <w:t>Schedule fee</w:t>
            </w:r>
            <w:r>
              <w:rPr>
                <w:lang w:val="en-US"/>
              </w:rPr>
              <w:t xml:space="preserve"> </w:t>
            </w:r>
            <w:r w:rsidRPr="009175F7">
              <w:rPr>
                <w:lang w:val="en-US"/>
              </w:rPr>
              <w:t>($)</w:t>
            </w:r>
          </w:p>
        </w:tc>
        <w:tc>
          <w:tcPr>
            <w:tcW w:w="1134" w:type="dxa"/>
            <w:shd w:val="clear" w:color="auto" w:fill="EEECE1" w:themeFill="background2"/>
            <w:vAlign w:val="bottom"/>
          </w:tcPr>
          <w:p w14:paraId="67E5AEB0" w14:textId="77777777" w:rsidR="001621DC" w:rsidRPr="001F0952" w:rsidRDefault="001621DC" w:rsidP="005E5484">
            <w:pPr>
              <w:pStyle w:val="01Tableheaderrow"/>
              <w:rPr>
                <w:lang w:val="en-US"/>
              </w:rPr>
            </w:pPr>
            <w:r w:rsidRPr="009175F7">
              <w:rPr>
                <w:lang w:val="en-US"/>
              </w:rPr>
              <w:t>Services</w:t>
            </w:r>
            <w:r>
              <w:rPr>
                <w:lang w:val="en-US"/>
              </w:rPr>
              <w:t xml:space="preserve"> </w:t>
            </w:r>
            <w:r w:rsidRPr="009175F7">
              <w:rPr>
                <w:lang w:val="en-US"/>
              </w:rPr>
              <w:t>(2014</w:t>
            </w:r>
            <w:r>
              <w:rPr>
                <w:lang w:val="en-US"/>
              </w:rPr>
              <w:t>–</w:t>
            </w:r>
            <w:r w:rsidRPr="009175F7">
              <w:rPr>
                <w:lang w:val="en-US"/>
              </w:rPr>
              <w:t>15)</w:t>
            </w:r>
          </w:p>
        </w:tc>
      </w:tr>
      <w:tr w:rsidR="001621DC" w:rsidRPr="00E35EA2" w14:paraId="2DEA3469" w14:textId="77777777" w:rsidTr="007B6365">
        <w:tc>
          <w:tcPr>
            <w:tcW w:w="1271" w:type="dxa"/>
          </w:tcPr>
          <w:p w14:paraId="42A8EB96" w14:textId="77777777" w:rsidR="001621DC" w:rsidRPr="008D5E8C" w:rsidRDefault="001621DC" w:rsidP="00145F6F">
            <w:pPr>
              <w:pStyle w:val="02Tabletext"/>
              <w:rPr>
                <w:lang w:val="en-US"/>
              </w:rPr>
            </w:pPr>
            <w:r w:rsidRPr="00FF31A3">
              <w:rPr>
                <w:lang w:val="en-US"/>
              </w:rPr>
              <w:t>71057</w:t>
            </w:r>
          </w:p>
        </w:tc>
        <w:tc>
          <w:tcPr>
            <w:tcW w:w="5245" w:type="dxa"/>
          </w:tcPr>
          <w:p w14:paraId="6562A1A5" w14:textId="77777777" w:rsidR="001621DC" w:rsidRPr="001F0952" w:rsidRDefault="001621DC" w:rsidP="00F238D4">
            <w:pPr>
              <w:pStyle w:val="02Tabletext"/>
              <w:rPr>
                <w:lang w:val="en-US"/>
              </w:rPr>
            </w:pPr>
            <w:r w:rsidRPr="00FF31A3">
              <w:rPr>
                <w:lang w:val="en-US"/>
              </w:rPr>
              <w:t>Electrophoresis, quantitative and qualitative, of serum, urine or other body fluid all collected within a 28 day period, to demonstrate: (a) protein classes; or (b) presence and amount of paraprotein; including the preliminary quantitation of total protein, albumin and globulin - 1 specimen type</w:t>
            </w:r>
          </w:p>
        </w:tc>
        <w:tc>
          <w:tcPr>
            <w:tcW w:w="1672" w:type="dxa"/>
          </w:tcPr>
          <w:p w14:paraId="13E03413" w14:textId="77777777" w:rsidR="001621DC" w:rsidRPr="001F0952" w:rsidRDefault="001621DC" w:rsidP="00202112">
            <w:pPr>
              <w:pStyle w:val="02Tabletext"/>
              <w:rPr>
                <w:lang w:val="en-US"/>
              </w:rPr>
            </w:pPr>
            <w:r w:rsidRPr="00FF31A3">
              <w:rPr>
                <w:lang w:val="en-US"/>
              </w:rPr>
              <w:t>32.9</w:t>
            </w:r>
            <w:r>
              <w:rPr>
                <w:lang w:val="en-US"/>
              </w:rPr>
              <w:t>0</w:t>
            </w:r>
          </w:p>
        </w:tc>
        <w:tc>
          <w:tcPr>
            <w:tcW w:w="1134" w:type="dxa"/>
          </w:tcPr>
          <w:p w14:paraId="1B3A7D6B" w14:textId="77777777" w:rsidR="001621DC" w:rsidRPr="001F0952" w:rsidRDefault="001621DC" w:rsidP="00202112">
            <w:pPr>
              <w:pStyle w:val="02Tabletext"/>
              <w:rPr>
                <w:lang w:val="en-US"/>
              </w:rPr>
            </w:pPr>
            <w:r w:rsidRPr="00FF31A3">
              <w:rPr>
                <w:lang w:val="en-US"/>
              </w:rPr>
              <w:t>266</w:t>
            </w:r>
            <w:r>
              <w:rPr>
                <w:lang w:val="en-US"/>
              </w:rPr>
              <w:t>,</w:t>
            </w:r>
            <w:r w:rsidRPr="00FF31A3">
              <w:rPr>
                <w:lang w:val="en-US"/>
              </w:rPr>
              <w:t>770</w:t>
            </w:r>
          </w:p>
        </w:tc>
      </w:tr>
      <w:tr w:rsidR="001621DC" w:rsidRPr="00E35EA2" w14:paraId="26594C77" w14:textId="77777777" w:rsidTr="007B6365">
        <w:tc>
          <w:tcPr>
            <w:tcW w:w="1271" w:type="dxa"/>
          </w:tcPr>
          <w:p w14:paraId="0CE95F03" w14:textId="77777777" w:rsidR="001621DC" w:rsidRPr="008D5E8C" w:rsidRDefault="001621DC" w:rsidP="00145F6F">
            <w:pPr>
              <w:pStyle w:val="02Tabletext"/>
              <w:rPr>
                <w:lang w:val="en-US"/>
              </w:rPr>
            </w:pPr>
            <w:r w:rsidRPr="00FF31A3">
              <w:rPr>
                <w:lang w:val="en-US"/>
              </w:rPr>
              <w:t>71058</w:t>
            </w:r>
          </w:p>
        </w:tc>
        <w:tc>
          <w:tcPr>
            <w:tcW w:w="5245" w:type="dxa"/>
          </w:tcPr>
          <w:p w14:paraId="6FEEB8C6" w14:textId="77777777" w:rsidR="001621DC" w:rsidRPr="001F0952" w:rsidRDefault="001621DC" w:rsidP="00F238D4">
            <w:pPr>
              <w:pStyle w:val="02Tabletext"/>
              <w:rPr>
                <w:color w:val="000000"/>
              </w:rPr>
            </w:pPr>
            <w:r w:rsidRPr="00FF31A3">
              <w:rPr>
                <w:lang w:val="en-US"/>
              </w:rPr>
              <w:t>Examination as described in item 71057 of 2 or more specimen types</w:t>
            </w:r>
          </w:p>
        </w:tc>
        <w:tc>
          <w:tcPr>
            <w:tcW w:w="1672" w:type="dxa"/>
          </w:tcPr>
          <w:p w14:paraId="34337718" w14:textId="77777777" w:rsidR="001621DC" w:rsidRPr="001F0952" w:rsidRDefault="001621DC" w:rsidP="00202112">
            <w:pPr>
              <w:pStyle w:val="02Tabletext"/>
              <w:rPr>
                <w:lang w:val="en-US"/>
              </w:rPr>
            </w:pPr>
            <w:r w:rsidRPr="00FF31A3">
              <w:rPr>
                <w:lang w:val="en-US"/>
              </w:rPr>
              <w:t>50.50</w:t>
            </w:r>
          </w:p>
        </w:tc>
        <w:tc>
          <w:tcPr>
            <w:tcW w:w="1134" w:type="dxa"/>
          </w:tcPr>
          <w:p w14:paraId="356CB49A" w14:textId="77777777" w:rsidR="001621DC" w:rsidRPr="001F0952" w:rsidRDefault="001621DC" w:rsidP="00202112">
            <w:pPr>
              <w:pStyle w:val="02Tabletext"/>
              <w:rPr>
                <w:lang w:val="en-US"/>
              </w:rPr>
            </w:pPr>
            <w:r w:rsidRPr="00FF31A3">
              <w:rPr>
                <w:lang w:val="en-US"/>
              </w:rPr>
              <w:t>39,204</w:t>
            </w:r>
          </w:p>
        </w:tc>
      </w:tr>
      <w:tr w:rsidR="001621DC" w:rsidRPr="00E35EA2" w14:paraId="015DB9BC" w14:textId="77777777" w:rsidTr="007B6365">
        <w:tc>
          <w:tcPr>
            <w:tcW w:w="1271" w:type="dxa"/>
          </w:tcPr>
          <w:p w14:paraId="4AD746E0" w14:textId="77777777" w:rsidR="001621DC" w:rsidRPr="008D5E8C" w:rsidRDefault="001621DC" w:rsidP="00145F6F">
            <w:pPr>
              <w:pStyle w:val="02Tabletext"/>
              <w:rPr>
                <w:lang w:val="en-US"/>
              </w:rPr>
            </w:pPr>
            <w:r w:rsidRPr="00B66572">
              <w:rPr>
                <w:lang w:val="en-US"/>
              </w:rPr>
              <w:t>71059</w:t>
            </w:r>
          </w:p>
        </w:tc>
        <w:tc>
          <w:tcPr>
            <w:tcW w:w="5245" w:type="dxa"/>
          </w:tcPr>
          <w:p w14:paraId="3FC6CA74" w14:textId="77777777" w:rsidR="001621DC" w:rsidRPr="001F0952" w:rsidRDefault="001621DC" w:rsidP="00F238D4">
            <w:pPr>
              <w:pStyle w:val="02Tabletext"/>
              <w:rPr>
                <w:lang w:val="en-US"/>
              </w:rPr>
            </w:pPr>
            <w:r>
              <w:rPr>
                <w:lang w:val="en-US"/>
              </w:rPr>
              <w:t>I</w:t>
            </w:r>
            <w:r w:rsidRPr="00B66572">
              <w:rPr>
                <w:lang w:val="en-US"/>
              </w:rPr>
              <w:t>mmunofixation or immunoelectrophoresis or isoelectric focusing of:(a) urine for detection of bence jones proteins; or(b) serum, plasma or other body fluid; and characterisation of a paraprotein or cryoglobulin</w:t>
            </w:r>
            <w:r>
              <w:rPr>
                <w:lang w:val="en-US"/>
              </w:rPr>
              <w:t xml:space="preserve"> </w:t>
            </w:r>
            <w:r w:rsidRPr="00B66572">
              <w:rPr>
                <w:lang w:val="en-US"/>
              </w:rPr>
              <w:t>-</w:t>
            </w:r>
            <w:r w:rsidR="00145F6F">
              <w:rPr>
                <w:lang w:val="en-US"/>
              </w:rPr>
              <w:t xml:space="preserve"> </w:t>
            </w:r>
            <w:r w:rsidRPr="00B66572">
              <w:rPr>
                <w:lang w:val="en-US"/>
              </w:rPr>
              <w:t>examination of 1 specimen type (</w:t>
            </w:r>
            <w:r w:rsidR="00FE5496">
              <w:rPr>
                <w:lang w:val="en-US"/>
              </w:rPr>
              <w:t>e.g.</w:t>
            </w:r>
            <w:r w:rsidRPr="00B66572">
              <w:rPr>
                <w:lang w:val="en-US"/>
              </w:rPr>
              <w:t xml:space="preserve"> serum, urine or csf)</w:t>
            </w:r>
            <w:r w:rsidRPr="001F0952">
              <w:t xml:space="preserve"> </w:t>
            </w:r>
          </w:p>
        </w:tc>
        <w:tc>
          <w:tcPr>
            <w:tcW w:w="1672" w:type="dxa"/>
          </w:tcPr>
          <w:p w14:paraId="48519E21" w14:textId="77777777" w:rsidR="001621DC" w:rsidRPr="001F0952" w:rsidRDefault="001621DC" w:rsidP="00202112">
            <w:pPr>
              <w:pStyle w:val="02Tabletext"/>
              <w:rPr>
                <w:lang w:val="en-US"/>
              </w:rPr>
            </w:pPr>
            <w:r w:rsidRPr="00B66572">
              <w:rPr>
                <w:lang w:val="en-US"/>
              </w:rPr>
              <w:t>35.65</w:t>
            </w:r>
          </w:p>
        </w:tc>
        <w:tc>
          <w:tcPr>
            <w:tcW w:w="1134" w:type="dxa"/>
          </w:tcPr>
          <w:p w14:paraId="7E2C3798" w14:textId="77777777" w:rsidR="001621DC" w:rsidRPr="001F0952" w:rsidRDefault="001621DC" w:rsidP="00202112">
            <w:pPr>
              <w:pStyle w:val="02Tabletext"/>
              <w:rPr>
                <w:lang w:val="en-US"/>
              </w:rPr>
            </w:pPr>
            <w:r w:rsidRPr="00B66572">
              <w:rPr>
                <w:lang w:val="en-US"/>
              </w:rPr>
              <w:t>143,431</w:t>
            </w:r>
          </w:p>
        </w:tc>
      </w:tr>
      <w:tr w:rsidR="001621DC" w:rsidRPr="00E35EA2" w14:paraId="5DF7C6C5" w14:textId="77777777" w:rsidTr="007B6365">
        <w:tc>
          <w:tcPr>
            <w:tcW w:w="1271" w:type="dxa"/>
          </w:tcPr>
          <w:p w14:paraId="03AB09FD" w14:textId="77777777" w:rsidR="001621DC" w:rsidRPr="00B66572" w:rsidRDefault="001621DC" w:rsidP="00145F6F">
            <w:pPr>
              <w:pStyle w:val="02Tabletext"/>
              <w:rPr>
                <w:lang w:val="en-US"/>
              </w:rPr>
            </w:pPr>
            <w:r w:rsidRPr="00B66572">
              <w:rPr>
                <w:lang w:val="en-US"/>
              </w:rPr>
              <w:t>71060</w:t>
            </w:r>
          </w:p>
        </w:tc>
        <w:tc>
          <w:tcPr>
            <w:tcW w:w="5245" w:type="dxa"/>
          </w:tcPr>
          <w:p w14:paraId="53AAD43A" w14:textId="77777777" w:rsidR="001621DC" w:rsidRPr="00B66572" w:rsidRDefault="001621DC" w:rsidP="00F238D4">
            <w:pPr>
              <w:pStyle w:val="02Tabletext"/>
              <w:rPr>
                <w:lang w:val="en-US"/>
              </w:rPr>
            </w:pPr>
            <w:r w:rsidRPr="00B66572">
              <w:rPr>
                <w:lang w:val="en-US"/>
              </w:rPr>
              <w:t>Examination as described in item 71059 of 2 or more specimen types</w:t>
            </w:r>
          </w:p>
        </w:tc>
        <w:tc>
          <w:tcPr>
            <w:tcW w:w="1672" w:type="dxa"/>
          </w:tcPr>
          <w:p w14:paraId="5B9C8593" w14:textId="77777777" w:rsidR="001621DC" w:rsidRDefault="001621DC" w:rsidP="00202112">
            <w:pPr>
              <w:pStyle w:val="02Tabletext"/>
              <w:rPr>
                <w:lang w:val="en-US"/>
              </w:rPr>
            </w:pPr>
            <w:r w:rsidRPr="00B66572">
              <w:rPr>
                <w:lang w:val="en-US"/>
              </w:rPr>
              <w:t>44.05</w:t>
            </w:r>
          </w:p>
        </w:tc>
        <w:tc>
          <w:tcPr>
            <w:tcW w:w="1134" w:type="dxa"/>
          </w:tcPr>
          <w:p w14:paraId="1EBD4474" w14:textId="77777777" w:rsidR="001621DC" w:rsidRDefault="001621DC" w:rsidP="00202112">
            <w:pPr>
              <w:pStyle w:val="02Tabletext"/>
              <w:rPr>
                <w:lang w:val="en-US"/>
              </w:rPr>
            </w:pPr>
            <w:r w:rsidRPr="00B66572">
              <w:rPr>
                <w:lang w:val="en-US"/>
              </w:rPr>
              <w:t>24,043</w:t>
            </w:r>
          </w:p>
        </w:tc>
      </w:tr>
      <w:tr w:rsidR="001621DC" w:rsidRPr="00E35EA2" w14:paraId="3C07B5D5" w14:textId="77777777" w:rsidTr="007B6365">
        <w:tc>
          <w:tcPr>
            <w:tcW w:w="1271" w:type="dxa"/>
          </w:tcPr>
          <w:p w14:paraId="059148FD" w14:textId="77777777" w:rsidR="001621DC" w:rsidRPr="00B66572" w:rsidRDefault="001621DC" w:rsidP="00145F6F">
            <w:pPr>
              <w:pStyle w:val="02Tabletext"/>
              <w:rPr>
                <w:lang w:val="en-US"/>
              </w:rPr>
            </w:pPr>
            <w:r w:rsidRPr="00B66572">
              <w:rPr>
                <w:lang w:val="en-US"/>
              </w:rPr>
              <w:t>71062</w:t>
            </w:r>
          </w:p>
        </w:tc>
        <w:tc>
          <w:tcPr>
            <w:tcW w:w="5245" w:type="dxa"/>
          </w:tcPr>
          <w:p w14:paraId="31A9C816" w14:textId="77777777" w:rsidR="001621DC" w:rsidRPr="00B66572" w:rsidRDefault="001621DC" w:rsidP="00F238D4">
            <w:pPr>
              <w:pStyle w:val="02Tabletext"/>
              <w:rPr>
                <w:lang w:val="en-US"/>
              </w:rPr>
            </w:pPr>
            <w:r w:rsidRPr="00B66572">
              <w:rPr>
                <w:lang w:val="en-US"/>
              </w:rPr>
              <w:t>Electrophoresis and immunofixation or immunoelectrophoresis or isoelectric focussing of CSF for the detection of oligoclonal bands and including if required electrophoresis of the patient's serum for comparison purposes - 1 or more tests</w:t>
            </w:r>
          </w:p>
        </w:tc>
        <w:tc>
          <w:tcPr>
            <w:tcW w:w="1672" w:type="dxa"/>
          </w:tcPr>
          <w:p w14:paraId="596DB3FB" w14:textId="77777777" w:rsidR="001621DC" w:rsidRDefault="001621DC" w:rsidP="00202112">
            <w:pPr>
              <w:pStyle w:val="02Tabletext"/>
              <w:rPr>
                <w:lang w:val="en-US"/>
              </w:rPr>
            </w:pPr>
            <w:r w:rsidRPr="00B66572">
              <w:rPr>
                <w:lang w:val="en-US"/>
              </w:rPr>
              <w:t>44.05</w:t>
            </w:r>
          </w:p>
        </w:tc>
        <w:tc>
          <w:tcPr>
            <w:tcW w:w="1134" w:type="dxa"/>
          </w:tcPr>
          <w:p w14:paraId="609E82AB" w14:textId="77777777" w:rsidR="001621DC" w:rsidRDefault="001621DC" w:rsidP="00202112">
            <w:pPr>
              <w:pStyle w:val="02Tabletext"/>
              <w:rPr>
                <w:lang w:val="en-US"/>
              </w:rPr>
            </w:pPr>
            <w:r w:rsidRPr="00B66572">
              <w:rPr>
                <w:lang w:val="en-US"/>
              </w:rPr>
              <w:t>1,873</w:t>
            </w:r>
          </w:p>
        </w:tc>
      </w:tr>
      <w:tr w:rsidR="001621DC" w:rsidRPr="00E35EA2" w14:paraId="71D9A047" w14:textId="77777777" w:rsidTr="007B6365">
        <w:tc>
          <w:tcPr>
            <w:tcW w:w="1271" w:type="dxa"/>
          </w:tcPr>
          <w:p w14:paraId="0ED792CF" w14:textId="77777777" w:rsidR="001621DC" w:rsidRPr="00B66572" w:rsidRDefault="001621DC" w:rsidP="00145F6F">
            <w:pPr>
              <w:pStyle w:val="02Tabletext"/>
              <w:rPr>
                <w:lang w:val="en-US"/>
              </w:rPr>
            </w:pPr>
            <w:r w:rsidRPr="00B66572">
              <w:t>71068</w:t>
            </w:r>
          </w:p>
        </w:tc>
        <w:tc>
          <w:tcPr>
            <w:tcW w:w="5245" w:type="dxa"/>
          </w:tcPr>
          <w:p w14:paraId="7F27CE49" w14:textId="77777777" w:rsidR="001621DC" w:rsidRPr="00B66572" w:rsidRDefault="001621DC" w:rsidP="00F238D4">
            <w:pPr>
              <w:pStyle w:val="02Tabletext"/>
              <w:rPr>
                <w:lang w:val="en-US"/>
              </w:rPr>
            </w:pPr>
            <w:r w:rsidRPr="00F264CA">
              <w:t xml:space="preserve">Quantitation of total immunoglobulin </w:t>
            </w:r>
            <w:r w:rsidR="00A21174">
              <w:t>G</w:t>
            </w:r>
            <w:r w:rsidRPr="00F264CA">
              <w:t xml:space="preserve"> by any method in serum, urine or other body fluid - 1 test</w:t>
            </w:r>
          </w:p>
        </w:tc>
        <w:tc>
          <w:tcPr>
            <w:tcW w:w="1672" w:type="dxa"/>
          </w:tcPr>
          <w:p w14:paraId="3521C47A" w14:textId="77777777" w:rsidR="001621DC" w:rsidRPr="00B66572" w:rsidRDefault="001621DC" w:rsidP="00202112">
            <w:pPr>
              <w:pStyle w:val="02Tabletext"/>
              <w:rPr>
                <w:lang w:val="en-US"/>
              </w:rPr>
            </w:pPr>
            <w:r w:rsidRPr="00FC3CAC">
              <w:t>14.55</w:t>
            </w:r>
          </w:p>
        </w:tc>
        <w:tc>
          <w:tcPr>
            <w:tcW w:w="1134" w:type="dxa"/>
          </w:tcPr>
          <w:p w14:paraId="6B7B3CD5" w14:textId="77777777" w:rsidR="001621DC" w:rsidRPr="00145F6F" w:rsidRDefault="001621DC" w:rsidP="00202112">
            <w:pPr>
              <w:pStyle w:val="02Tabletext"/>
              <w:rPr>
                <w:lang w:val="en-US"/>
              </w:rPr>
            </w:pPr>
            <w:r w:rsidRPr="00463C3C">
              <w:rPr>
                <w:color w:val="000000"/>
              </w:rPr>
              <w:t>18,765</w:t>
            </w:r>
          </w:p>
        </w:tc>
      </w:tr>
      <w:tr w:rsidR="001621DC" w:rsidRPr="00E35EA2" w14:paraId="52135E52" w14:textId="77777777" w:rsidTr="007B6365">
        <w:tc>
          <w:tcPr>
            <w:tcW w:w="1271" w:type="dxa"/>
          </w:tcPr>
          <w:p w14:paraId="44E6A905" w14:textId="77777777" w:rsidR="001621DC" w:rsidRPr="00B66572" w:rsidRDefault="001621DC" w:rsidP="00145F6F">
            <w:pPr>
              <w:pStyle w:val="02Tabletext"/>
              <w:rPr>
                <w:lang w:val="en-US"/>
              </w:rPr>
            </w:pPr>
            <w:r w:rsidRPr="00B66572">
              <w:t>71069</w:t>
            </w:r>
          </w:p>
        </w:tc>
        <w:tc>
          <w:tcPr>
            <w:tcW w:w="5245" w:type="dxa"/>
          </w:tcPr>
          <w:p w14:paraId="5FEF0DF0" w14:textId="77777777" w:rsidR="001621DC" w:rsidRPr="00B66572" w:rsidRDefault="001621DC" w:rsidP="00F238D4">
            <w:pPr>
              <w:pStyle w:val="02Tabletext"/>
              <w:rPr>
                <w:lang w:val="en-US"/>
              </w:rPr>
            </w:pPr>
            <w:r w:rsidRPr="00F264CA">
              <w:t>2 tests described in items 71066, 71068, 71072 or 71074</w:t>
            </w:r>
          </w:p>
        </w:tc>
        <w:tc>
          <w:tcPr>
            <w:tcW w:w="1672" w:type="dxa"/>
          </w:tcPr>
          <w:p w14:paraId="70F6AA51" w14:textId="77777777" w:rsidR="001621DC" w:rsidRPr="00B66572" w:rsidRDefault="001621DC" w:rsidP="00202112">
            <w:pPr>
              <w:pStyle w:val="02Tabletext"/>
              <w:rPr>
                <w:lang w:val="en-US"/>
              </w:rPr>
            </w:pPr>
            <w:r w:rsidRPr="00FC3CAC">
              <w:t>22.75</w:t>
            </w:r>
          </w:p>
        </w:tc>
        <w:tc>
          <w:tcPr>
            <w:tcW w:w="1134" w:type="dxa"/>
          </w:tcPr>
          <w:p w14:paraId="41F0E87A" w14:textId="77777777" w:rsidR="001621DC" w:rsidRPr="00145F6F" w:rsidRDefault="001621DC" w:rsidP="00202112">
            <w:pPr>
              <w:pStyle w:val="02Tabletext"/>
              <w:rPr>
                <w:lang w:val="en-US"/>
              </w:rPr>
            </w:pPr>
            <w:r w:rsidRPr="00463C3C">
              <w:rPr>
                <w:color w:val="000000"/>
              </w:rPr>
              <w:t>9,172</w:t>
            </w:r>
          </w:p>
        </w:tc>
      </w:tr>
      <w:tr w:rsidR="001621DC" w:rsidRPr="00E35EA2" w14:paraId="7D0C0DD1" w14:textId="77777777" w:rsidTr="007B6365">
        <w:tc>
          <w:tcPr>
            <w:tcW w:w="1271" w:type="dxa"/>
          </w:tcPr>
          <w:p w14:paraId="4C164D00" w14:textId="77777777" w:rsidR="001621DC" w:rsidRPr="00B66572" w:rsidRDefault="001621DC" w:rsidP="00145F6F">
            <w:pPr>
              <w:pStyle w:val="02Tabletext"/>
              <w:rPr>
                <w:lang w:val="en-US"/>
              </w:rPr>
            </w:pPr>
            <w:r w:rsidRPr="00B66572">
              <w:t>71071</w:t>
            </w:r>
          </w:p>
        </w:tc>
        <w:tc>
          <w:tcPr>
            <w:tcW w:w="5245" w:type="dxa"/>
          </w:tcPr>
          <w:p w14:paraId="0E94D158" w14:textId="77777777" w:rsidR="001621DC" w:rsidRPr="00B66572" w:rsidRDefault="001621DC" w:rsidP="00F238D4">
            <w:pPr>
              <w:pStyle w:val="02Tabletext"/>
              <w:rPr>
                <w:lang w:val="en-US"/>
              </w:rPr>
            </w:pPr>
            <w:r w:rsidRPr="00F264CA">
              <w:t>3 or more tests described in items 71066, 71068, 71072 or 71074</w:t>
            </w:r>
          </w:p>
        </w:tc>
        <w:tc>
          <w:tcPr>
            <w:tcW w:w="1672" w:type="dxa"/>
          </w:tcPr>
          <w:p w14:paraId="7E2FD65C" w14:textId="77777777" w:rsidR="001621DC" w:rsidRPr="00B66572" w:rsidRDefault="001621DC" w:rsidP="00202112">
            <w:pPr>
              <w:pStyle w:val="02Tabletext"/>
              <w:rPr>
                <w:lang w:val="en-US"/>
              </w:rPr>
            </w:pPr>
            <w:r w:rsidRPr="00FC3CAC">
              <w:t>30.95</w:t>
            </w:r>
          </w:p>
        </w:tc>
        <w:tc>
          <w:tcPr>
            <w:tcW w:w="1134" w:type="dxa"/>
          </w:tcPr>
          <w:p w14:paraId="0C3F8CDF" w14:textId="77777777" w:rsidR="001621DC" w:rsidRPr="00145F6F" w:rsidRDefault="001621DC" w:rsidP="00202112">
            <w:pPr>
              <w:pStyle w:val="02Tabletext"/>
              <w:rPr>
                <w:lang w:val="en-US"/>
              </w:rPr>
            </w:pPr>
            <w:r w:rsidRPr="00463C3C">
              <w:rPr>
                <w:color w:val="000000"/>
              </w:rPr>
              <w:t>178,803</w:t>
            </w:r>
          </w:p>
        </w:tc>
      </w:tr>
      <w:tr w:rsidR="001621DC" w:rsidRPr="00E35EA2" w14:paraId="626C1496" w14:textId="77777777" w:rsidTr="007B6365">
        <w:tc>
          <w:tcPr>
            <w:tcW w:w="1271" w:type="dxa"/>
          </w:tcPr>
          <w:p w14:paraId="527AFDB7" w14:textId="77777777" w:rsidR="001621DC" w:rsidRPr="0005696D" w:rsidRDefault="001621DC" w:rsidP="00145F6F">
            <w:pPr>
              <w:pStyle w:val="02Tabletext"/>
              <w:rPr>
                <w:lang w:val="en-US"/>
              </w:rPr>
            </w:pPr>
            <w:r w:rsidRPr="0005696D">
              <w:lastRenderedPageBreak/>
              <w:t>71073</w:t>
            </w:r>
          </w:p>
        </w:tc>
        <w:tc>
          <w:tcPr>
            <w:tcW w:w="5245" w:type="dxa"/>
          </w:tcPr>
          <w:p w14:paraId="536439CF" w14:textId="77777777" w:rsidR="001621DC" w:rsidRPr="00B66572" w:rsidRDefault="001621DC" w:rsidP="00F238D4">
            <w:pPr>
              <w:pStyle w:val="02Tabletext"/>
              <w:rPr>
                <w:lang w:val="en-US"/>
              </w:rPr>
            </w:pPr>
            <w:r w:rsidRPr="007936B7">
              <w:t>Quantitation of all 4 immunoglobulin G subclasses</w:t>
            </w:r>
          </w:p>
        </w:tc>
        <w:tc>
          <w:tcPr>
            <w:tcW w:w="1672" w:type="dxa"/>
          </w:tcPr>
          <w:p w14:paraId="470A9C5B" w14:textId="77777777" w:rsidR="001621DC" w:rsidRDefault="001621DC" w:rsidP="00202112">
            <w:pPr>
              <w:pStyle w:val="02Tabletext"/>
              <w:rPr>
                <w:lang w:val="en-US"/>
              </w:rPr>
            </w:pPr>
            <w:r w:rsidRPr="00FC3CAC">
              <w:t>106.15</w:t>
            </w:r>
          </w:p>
        </w:tc>
        <w:tc>
          <w:tcPr>
            <w:tcW w:w="1134" w:type="dxa"/>
          </w:tcPr>
          <w:p w14:paraId="7D1D26F2" w14:textId="77777777" w:rsidR="001621DC" w:rsidRPr="00145F6F" w:rsidRDefault="001621DC" w:rsidP="00202112">
            <w:pPr>
              <w:pStyle w:val="02Tabletext"/>
              <w:rPr>
                <w:lang w:val="en-US"/>
              </w:rPr>
            </w:pPr>
            <w:r w:rsidRPr="00463C3C">
              <w:rPr>
                <w:color w:val="000000"/>
              </w:rPr>
              <w:t>20,209</w:t>
            </w:r>
          </w:p>
        </w:tc>
      </w:tr>
      <w:tr w:rsidR="001621DC" w:rsidRPr="00E35EA2" w14:paraId="1C4962B1" w14:textId="77777777" w:rsidTr="007B6365">
        <w:tc>
          <w:tcPr>
            <w:tcW w:w="1271" w:type="dxa"/>
          </w:tcPr>
          <w:p w14:paraId="675EB64D" w14:textId="77777777" w:rsidR="001621DC" w:rsidRPr="0005696D" w:rsidRDefault="001621DC" w:rsidP="00145F6F">
            <w:pPr>
              <w:pStyle w:val="02Tabletext"/>
            </w:pPr>
            <w:r w:rsidRPr="0005696D">
              <w:t>71076</w:t>
            </w:r>
          </w:p>
        </w:tc>
        <w:tc>
          <w:tcPr>
            <w:tcW w:w="5245" w:type="dxa"/>
          </w:tcPr>
          <w:p w14:paraId="378492D2" w14:textId="77777777" w:rsidR="001621DC" w:rsidRPr="007936B7" w:rsidRDefault="001621DC" w:rsidP="00F238D4">
            <w:pPr>
              <w:pStyle w:val="02Tabletext"/>
            </w:pPr>
            <w:r w:rsidRPr="0005696D">
              <w:t>A test described in item 71073 if rendered by a receiving APP - 1 test(Item is subject to rule 18)</w:t>
            </w:r>
          </w:p>
        </w:tc>
        <w:tc>
          <w:tcPr>
            <w:tcW w:w="1672" w:type="dxa"/>
          </w:tcPr>
          <w:p w14:paraId="74015CE0" w14:textId="77777777" w:rsidR="001621DC" w:rsidRPr="00FC3CAC" w:rsidRDefault="001621DC" w:rsidP="00202112">
            <w:pPr>
              <w:pStyle w:val="02Tabletext"/>
            </w:pPr>
            <w:r w:rsidRPr="0005696D">
              <w:t>106.15</w:t>
            </w:r>
          </w:p>
        </w:tc>
        <w:tc>
          <w:tcPr>
            <w:tcW w:w="1134" w:type="dxa"/>
          </w:tcPr>
          <w:p w14:paraId="7354EE5D" w14:textId="77777777" w:rsidR="001621DC" w:rsidRPr="00463C3C" w:rsidRDefault="001621DC" w:rsidP="00202112">
            <w:pPr>
              <w:pStyle w:val="02Tabletext"/>
              <w:rPr>
                <w:color w:val="000000"/>
              </w:rPr>
            </w:pPr>
            <w:r w:rsidRPr="00463C3C">
              <w:rPr>
                <w:color w:val="000000"/>
              </w:rPr>
              <w:t>2,009</w:t>
            </w:r>
          </w:p>
        </w:tc>
      </w:tr>
      <w:tr w:rsidR="001621DC" w:rsidRPr="00E35EA2" w14:paraId="183883B7" w14:textId="77777777" w:rsidTr="007B6365">
        <w:tc>
          <w:tcPr>
            <w:tcW w:w="1271" w:type="dxa"/>
          </w:tcPr>
          <w:p w14:paraId="465BF259" w14:textId="77777777" w:rsidR="001621DC" w:rsidRPr="0005696D" w:rsidRDefault="001621DC" w:rsidP="00145F6F">
            <w:pPr>
              <w:pStyle w:val="02Tabletext"/>
            </w:pPr>
            <w:r w:rsidRPr="00A74292">
              <w:t>71081</w:t>
            </w:r>
          </w:p>
        </w:tc>
        <w:tc>
          <w:tcPr>
            <w:tcW w:w="5245" w:type="dxa"/>
          </w:tcPr>
          <w:p w14:paraId="506D1633" w14:textId="77777777" w:rsidR="001621DC" w:rsidRPr="007936B7" w:rsidRDefault="001621DC" w:rsidP="00F238D4">
            <w:pPr>
              <w:pStyle w:val="02Tabletext"/>
            </w:pPr>
            <w:r w:rsidRPr="00A74292">
              <w:t>Quantitation of total haemolytic complement</w:t>
            </w:r>
          </w:p>
        </w:tc>
        <w:tc>
          <w:tcPr>
            <w:tcW w:w="1672" w:type="dxa"/>
          </w:tcPr>
          <w:p w14:paraId="03F98284" w14:textId="77777777" w:rsidR="001621DC" w:rsidRPr="00FC3CAC" w:rsidRDefault="001621DC" w:rsidP="00202112">
            <w:pPr>
              <w:pStyle w:val="02Tabletext"/>
            </w:pPr>
            <w:r w:rsidRPr="00A74292">
              <w:t>40.55</w:t>
            </w:r>
          </w:p>
        </w:tc>
        <w:tc>
          <w:tcPr>
            <w:tcW w:w="1134" w:type="dxa"/>
          </w:tcPr>
          <w:p w14:paraId="1610A938" w14:textId="77777777" w:rsidR="001621DC" w:rsidRPr="00463C3C" w:rsidRDefault="001621DC" w:rsidP="00202112">
            <w:pPr>
              <w:pStyle w:val="02Tabletext"/>
              <w:rPr>
                <w:color w:val="000000"/>
              </w:rPr>
            </w:pPr>
            <w:r w:rsidRPr="00463C3C">
              <w:rPr>
                <w:color w:val="000000"/>
              </w:rPr>
              <w:t>3,203</w:t>
            </w:r>
          </w:p>
        </w:tc>
      </w:tr>
      <w:tr w:rsidR="001621DC" w:rsidRPr="00E35EA2" w14:paraId="72CDC6CF" w14:textId="77777777" w:rsidTr="007B6365">
        <w:tc>
          <w:tcPr>
            <w:tcW w:w="1271" w:type="dxa"/>
          </w:tcPr>
          <w:p w14:paraId="4B21CA10" w14:textId="77777777" w:rsidR="001621DC" w:rsidRPr="0005696D" w:rsidRDefault="001621DC" w:rsidP="00145F6F">
            <w:pPr>
              <w:pStyle w:val="02Tabletext"/>
            </w:pPr>
            <w:r w:rsidRPr="008B465C">
              <w:t>71090</w:t>
            </w:r>
          </w:p>
        </w:tc>
        <w:tc>
          <w:tcPr>
            <w:tcW w:w="5245" w:type="dxa"/>
          </w:tcPr>
          <w:p w14:paraId="6A51A5B2" w14:textId="77777777" w:rsidR="001621DC" w:rsidRPr="007936B7" w:rsidRDefault="001621DC" w:rsidP="00F238D4">
            <w:pPr>
              <w:pStyle w:val="02Tabletext"/>
            </w:pPr>
            <w:r w:rsidRPr="008B465C">
              <w:t>A test described in item 71089, if rendered by a receiving APP, where no tests in the item have been rendered by the referring APP - 1 test</w:t>
            </w:r>
            <w:r w:rsidR="00145F6F">
              <w:t xml:space="preserve"> </w:t>
            </w:r>
            <w:r w:rsidRPr="008B465C">
              <w:t>(Item is subject to rule 6 and 18)</w:t>
            </w:r>
          </w:p>
        </w:tc>
        <w:tc>
          <w:tcPr>
            <w:tcW w:w="1672" w:type="dxa"/>
          </w:tcPr>
          <w:p w14:paraId="594E8E5B" w14:textId="77777777" w:rsidR="001621DC" w:rsidRPr="00FC3CAC" w:rsidRDefault="001621DC" w:rsidP="00202112">
            <w:pPr>
              <w:pStyle w:val="02Tabletext"/>
            </w:pPr>
            <w:r w:rsidRPr="008B465C">
              <w:t>29.15</w:t>
            </w:r>
          </w:p>
        </w:tc>
        <w:tc>
          <w:tcPr>
            <w:tcW w:w="1134" w:type="dxa"/>
          </w:tcPr>
          <w:p w14:paraId="35B81A17" w14:textId="77777777" w:rsidR="001621DC" w:rsidRPr="00463C3C" w:rsidRDefault="001621DC" w:rsidP="00202112">
            <w:pPr>
              <w:pStyle w:val="02Tabletext"/>
              <w:rPr>
                <w:color w:val="000000"/>
              </w:rPr>
            </w:pPr>
            <w:r w:rsidRPr="00463C3C">
              <w:rPr>
                <w:color w:val="000000"/>
              </w:rPr>
              <w:t>357</w:t>
            </w:r>
          </w:p>
        </w:tc>
      </w:tr>
      <w:tr w:rsidR="001621DC" w:rsidRPr="00E35EA2" w14:paraId="3EBA1FBD" w14:textId="77777777" w:rsidTr="007B6365">
        <w:tc>
          <w:tcPr>
            <w:tcW w:w="1271" w:type="dxa"/>
          </w:tcPr>
          <w:p w14:paraId="5B50E6F6" w14:textId="77777777" w:rsidR="001621DC" w:rsidRPr="0005696D" w:rsidRDefault="001621DC" w:rsidP="00145F6F">
            <w:pPr>
              <w:pStyle w:val="02Tabletext"/>
            </w:pPr>
            <w:r w:rsidRPr="008B465C">
              <w:t>71092</w:t>
            </w:r>
          </w:p>
        </w:tc>
        <w:tc>
          <w:tcPr>
            <w:tcW w:w="5245" w:type="dxa"/>
          </w:tcPr>
          <w:p w14:paraId="49B95DA2" w14:textId="77777777" w:rsidR="001621DC" w:rsidRPr="007936B7" w:rsidRDefault="001621DC" w:rsidP="00F238D4">
            <w:pPr>
              <w:pStyle w:val="02Tabletext"/>
            </w:pPr>
            <w:r w:rsidRPr="008B465C">
              <w:t>Tests described in item 71089, other than that described in 71090, if rendered by a receiving APP - each test to a maximum of 2 tests</w:t>
            </w:r>
            <w:r w:rsidR="00145F6F">
              <w:t xml:space="preserve"> </w:t>
            </w:r>
            <w:r w:rsidRPr="008B465C">
              <w:t>(Item is subject to rule 6 and 18)</w:t>
            </w:r>
          </w:p>
        </w:tc>
        <w:tc>
          <w:tcPr>
            <w:tcW w:w="1672" w:type="dxa"/>
          </w:tcPr>
          <w:p w14:paraId="6749E9C3" w14:textId="77777777" w:rsidR="001621DC" w:rsidRPr="00FC3CAC" w:rsidRDefault="001621DC" w:rsidP="00202112">
            <w:pPr>
              <w:pStyle w:val="02Tabletext"/>
            </w:pPr>
            <w:r w:rsidRPr="008B465C">
              <w:t>23.70</w:t>
            </w:r>
          </w:p>
        </w:tc>
        <w:tc>
          <w:tcPr>
            <w:tcW w:w="1134" w:type="dxa"/>
          </w:tcPr>
          <w:p w14:paraId="1999DCD9" w14:textId="77777777" w:rsidR="001621DC" w:rsidRPr="00463C3C" w:rsidRDefault="001621DC" w:rsidP="00202112">
            <w:pPr>
              <w:pStyle w:val="02Tabletext"/>
              <w:rPr>
                <w:color w:val="000000"/>
              </w:rPr>
            </w:pPr>
            <w:r w:rsidRPr="00463C3C">
              <w:rPr>
                <w:color w:val="000000"/>
              </w:rPr>
              <w:t>1,072</w:t>
            </w:r>
          </w:p>
        </w:tc>
      </w:tr>
      <w:tr w:rsidR="001621DC" w:rsidRPr="00E35EA2" w14:paraId="1EADA4DA" w14:textId="77777777" w:rsidTr="007B6365">
        <w:tc>
          <w:tcPr>
            <w:tcW w:w="1271" w:type="dxa"/>
          </w:tcPr>
          <w:p w14:paraId="05606444" w14:textId="77777777" w:rsidR="001621DC" w:rsidRPr="0005696D" w:rsidRDefault="001621DC" w:rsidP="00145F6F">
            <w:pPr>
              <w:pStyle w:val="02Tabletext"/>
            </w:pPr>
            <w:r w:rsidRPr="008B465C">
              <w:t>71127</w:t>
            </w:r>
          </w:p>
        </w:tc>
        <w:tc>
          <w:tcPr>
            <w:tcW w:w="5245" w:type="dxa"/>
          </w:tcPr>
          <w:p w14:paraId="5DF32692" w14:textId="77777777" w:rsidR="001621DC" w:rsidRPr="007936B7" w:rsidRDefault="001621DC" w:rsidP="00F238D4">
            <w:pPr>
              <w:pStyle w:val="02Tabletext"/>
            </w:pPr>
            <w:r w:rsidRPr="008B465C">
              <w:t>Functional tests for lymphocytes - quantitation other than by microscopy of: (a) proliferation induced by 1 or more mitogens; or (b) proliferation induced by 1 or more antigens; or (c) estimation of 1 or more mixed lymphocyte reactions; including a test described in item 65066 or 65070 (if performed), 1 of this item to a maximum of 2 in a 12 month period</w:t>
            </w:r>
          </w:p>
        </w:tc>
        <w:tc>
          <w:tcPr>
            <w:tcW w:w="1672" w:type="dxa"/>
          </w:tcPr>
          <w:p w14:paraId="541B8CC6" w14:textId="77777777" w:rsidR="001621DC" w:rsidRPr="00FC3CAC" w:rsidRDefault="001621DC" w:rsidP="00202112">
            <w:pPr>
              <w:pStyle w:val="02Tabletext"/>
            </w:pPr>
            <w:r w:rsidRPr="008B465C">
              <w:t>176.35</w:t>
            </w:r>
          </w:p>
        </w:tc>
        <w:tc>
          <w:tcPr>
            <w:tcW w:w="1134" w:type="dxa"/>
          </w:tcPr>
          <w:p w14:paraId="3FF46AAF" w14:textId="77777777" w:rsidR="001621DC" w:rsidRPr="00463C3C" w:rsidRDefault="001621DC" w:rsidP="00202112">
            <w:pPr>
              <w:pStyle w:val="02Tabletext"/>
              <w:rPr>
                <w:color w:val="000000"/>
              </w:rPr>
            </w:pPr>
            <w:r w:rsidRPr="00463C3C">
              <w:rPr>
                <w:color w:val="000000"/>
              </w:rPr>
              <w:t>244</w:t>
            </w:r>
          </w:p>
        </w:tc>
      </w:tr>
      <w:tr w:rsidR="001621DC" w:rsidRPr="00E35EA2" w14:paraId="781EF6DC" w14:textId="77777777" w:rsidTr="007B6365">
        <w:tc>
          <w:tcPr>
            <w:tcW w:w="1271" w:type="dxa"/>
          </w:tcPr>
          <w:p w14:paraId="0699FA8B" w14:textId="77777777" w:rsidR="001621DC" w:rsidRPr="0005696D" w:rsidRDefault="001621DC" w:rsidP="00145F6F">
            <w:pPr>
              <w:pStyle w:val="02Tabletext"/>
            </w:pPr>
            <w:r w:rsidRPr="008B465C">
              <w:t>71129</w:t>
            </w:r>
          </w:p>
        </w:tc>
        <w:tc>
          <w:tcPr>
            <w:tcW w:w="5245" w:type="dxa"/>
          </w:tcPr>
          <w:p w14:paraId="5C2D5493" w14:textId="77777777" w:rsidR="001621DC" w:rsidRPr="007936B7" w:rsidRDefault="001621DC" w:rsidP="00F238D4">
            <w:pPr>
              <w:pStyle w:val="02Tabletext"/>
            </w:pPr>
            <w:r w:rsidRPr="008B465C">
              <w:t>2 tests described in item 71127</w:t>
            </w:r>
          </w:p>
        </w:tc>
        <w:tc>
          <w:tcPr>
            <w:tcW w:w="1672" w:type="dxa"/>
          </w:tcPr>
          <w:p w14:paraId="52128071" w14:textId="77777777" w:rsidR="001621DC" w:rsidRPr="00FC3CAC" w:rsidRDefault="001621DC" w:rsidP="00202112">
            <w:pPr>
              <w:pStyle w:val="02Tabletext"/>
            </w:pPr>
            <w:r w:rsidRPr="008B465C">
              <w:t>217.85</w:t>
            </w:r>
          </w:p>
        </w:tc>
        <w:tc>
          <w:tcPr>
            <w:tcW w:w="1134" w:type="dxa"/>
          </w:tcPr>
          <w:p w14:paraId="2AD63E40" w14:textId="77777777" w:rsidR="001621DC" w:rsidRPr="00463C3C" w:rsidRDefault="001621DC" w:rsidP="00202112">
            <w:pPr>
              <w:pStyle w:val="02Tabletext"/>
              <w:rPr>
                <w:color w:val="000000"/>
              </w:rPr>
            </w:pPr>
            <w:r w:rsidRPr="00463C3C">
              <w:rPr>
                <w:color w:val="000000"/>
              </w:rPr>
              <w:t>120</w:t>
            </w:r>
          </w:p>
        </w:tc>
      </w:tr>
      <w:tr w:rsidR="001621DC" w:rsidRPr="00E35EA2" w14:paraId="423720C8" w14:textId="77777777" w:rsidTr="007B6365">
        <w:tc>
          <w:tcPr>
            <w:tcW w:w="1271" w:type="dxa"/>
          </w:tcPr>
          <w:p w14:paraId="56F15F6A" w14:textId="77777777" w:rsidR="001621DC" w:rsidRPr="0005696D" w:rsidRDefault="001621DC" w:rsidP="00145F6F">
            <w:pPr>
              <w:pStyle w:val="02Tabletext"/>
            </w:pPr>
            <w:r w:rsidRPr="008B465C">
              <w:t>71131</w:t>
            </w:r>
          </w:p>
        </w:tc>
        <w:tc>
          <w:tcPr>
            <w:tcW w:w="5245" w:type="dxa"/>
          </w:tcPr>
          <w:p w14:paraId="04E64B57" w14:textId="77777777" w:rsidR="001621DC" w:rsidRPr="007936B7" w:rsidRDefault="001621DC" w:rsidP="00F238D4">
            <w:pPr>
              <w:pStyle w:val="02Tabletext"/>
            </w:pPr>
            <w:r w:rsidRPr="000A76BE">
              <w:t>3 or more tests described in item 71127</w:t>
            </w:r>
          </w:p>
        </w:tc>
        <w:tc>
          <w:tcPr>
            <w:tcW w:w="1672" w:type="dxa"/>
          </w:tcPr>
          <w:p w14:paraId="11E4F651" w14:textId="77777777" w:rsidR="001621DC" w:rsidRPr="00FC3CAC" w:rsidRDefault="001621DC" w:rsidP="00202112">
            <w:pPr>
              <w:pStyle w:val="02Tabletext"/>
            </w:pPr>
            <w:r w:rsidRPr="000A76BE">
              <w:t>259.35</w:t>
            </w:r>
          </w:p>
        </w:tc>
        <w:tc>
          <w:tcPr>
            <w:tcW w:w="1134" w:type="dxa"/>
          </w:tcPr>
          <w:p w14:paraId="17CA2D43" w14:textId="77777777" w:rsidR="001621DC" w:rsidRPr="00463C3C" w:rsidRDefault="001621DC" w:rsidP="00202112">
            <w:pPr>
              <w:pStyle w:val="02Tabletext"/>
              <w:rPr>
                <w:color w:val="000000"/>
              </w:rPr>
            </w:pPr>
            <w:r w:rsidRPr="00463C3C">
              <w:rPr>
                <w:color w:val="000000"/>
              </w:rPr>
              <w:t>16</w:t>
            </w:r>
          </w:p>
        </w:tc>
      </w:tr>
      <w:tr w:rsidR="001621DC" w:rsidRPr="00E35EA2" w14:paraId="4F4C530D" w14:textId="77777777" w:rsidTr="007B6365">
        <w:tc>
          <w:tcPr>
            <w:tcW w:w="1271" w:type="dxa"/>
          </w:tcPr>
          <w:p w14:paraId="57F17065" w14:textId="77777777" w:rsidR="001621DC" w:rsidRPr="0005696D" w:rsidRDefault="001621DC" w:rsidP="00145F6F">
            <w:pPr>
              <w:pStyle w:val="02Tabletext"/>
            </w:pPr>
            <w:r w:rsidRPr="000A76BE">
              <w:t>71133</w:t>
            </w:r>
          </w:p>
        </w:tc>
        <w:tc>
          <w:tcPr>
            <w:tcW w:w="5245" w:type="dxa"/>
          </w:tcPr>
          <w:p w14:paraId="6471C76E" w14:textId="77777777" w:rsidR="001621DC" w:rsidRPr="007936B7" w:rsidRDefault="001621DC" w:rsidP="00F238D4">
            <w:pPr>
              <w:pStyle w:val="02Tabletext"/>
            </w:pPr>
            <w:r w:rsidRPr="000A76BE">
              <w:t>Investigation of recurrent infection by qualitative assessment for the presence of defects in oxidative pathways in neutrophils by the nitroblue tetrazolium (nbt) reduction test</w:t>
            </w:r>
          </w:p>
        </w:tc>
        <w:tc>
          <w:tcPr>
            <w:tcW w:w="1672" w:type="dxa"/>
          </w:tcPr>
          <w:p w14:paraId="7BFCA0A6" w14:textId="77777777" w:rsidR="001621DC" w:rsidRPr="00FC3CAC" w:rsidRDefault="001621DC" w:rsidP="00202112">
            <w:pPr>
              <w:pStyle w:val="02Tabletext"/>
            </w:pPr>
            <w:r w:rsidRPr="000A76BE">
              <w:t>10.40</w:t>
            </w:r>
          </w:p>
        </w:tc>
        <w:tc>
          <w:tcPr>
            <w:tcW w:w="1134" w:type="dxa"/>
          </w:tcPr>
          <w:p w14:paraId="25ABEA68" w14:textId="77777777" w:rsidR="001621DC" w:rsidRPr="00463C3C" w:rsidRDefault="001621DC" w:rsidP="00202112">
            <w:pPr>
              <w:pStyle w:val="02Tabletext"/>
              <w:rPr>
                <w:color w:val="000000"/>
              </w:rPr>
            </w:pPr>
            <w:r w:rsidRPr="00463C3C">
              <w:rPr>
                <w:color w:val="000000"/>
              </w:rPr>
              <w:t>21</w:t>
            </w:r>
          </w:p>
        </w:tc>
      </w:tr>
      <w:tr w:rsidR="001621DC" w:rsidRPr="00E35EA2" w14:paraId="20A94774" w14:textId="77777777" w:rsidTr="007B6365">
        <w:tc>
          <w:tcPr>
            <w:tcW w:w="1271" w:type="dxa"/>
          </w:tcPr>
          <w:p w14:paraId="3E1AE733" w14:textId="77777777" w:rsidR="001621DC" w:rsidRPr="0005696D" w:rsidRDefault="001621DC" w:rsidP="00145F6F">
            <w:pPr>
              <w:pStyle w:val="02Tabletext"/>
            </w:pPr>
            <w:r w:rsidRPr="000A76BE">
              <w:t>71134</w:t>
            </w:r>
          </w:p>
        </w:tc>
        <w:tc>
          <w:tcPr>
            <w:tcW w:w="5245" w:type="dxa"/>
          </w:tcPr>
          <w:p w14:paraId="29246253" w14:textId="77777777" w:rsidR="001621DC" w:rsidRPr="007936B7" w:rsidRDefault="001621DC" w:rsidP="00F238D4">
            <w:pPr>
              <w:pStyle w:val="02Tabletext"/>
            </w:pPr>
            <w:r w:rsidRPr="000A76BE">
              <w:t>Investigation of recurrent infection by quantitative assessment of oxidative pathways by flow cytometric techniques, including a test described in 71133 (if performed)</w:t>
            </w:r>
          </w:p>
        </w:tc>
        <w:tc>
          <w:tcPr>
            <w:tcW w:w="1672" w:type="dxa"/>
          </w:tcPr>
          <w:p w14:paraId="73DCD8F9" w14:textId="77777777" w:rsidR="001621DC" w:rsidRPr="00FC3CAC" w:rsidRDefault="001621DC" w:rsidP="00202112">
            <w:pPr>
              <w:pStyle w:val="02Tabletext"/>
            </w:pPr>
            <w:r w:rsidRPr="000A76BE">
              <w:t>104.05</w:t>
            </w:r>
          </w:p>
        </w:tc>
        <w:tc>
          <w:tcPr>
            <w:tcW w:w="1134" w:type="dxa"/>
          </w:tcPr>
          <w:p w14:paraId="7A7CCBF4" w14:textId="77777777" w:rsidR="001621DC" w:rsidRPr="00463C3C" w:rsidRDefault="001621DC" w:rsidP="00202112">
            <w:pPr>
              <w:pStyle w:val="02Tabletext"/>
              <w:rPr>
                <w:color w:val="000000"/>
              </w:rPr>
            </w:pPr>
            <w:r w:rsidRPr="00463C3C">
              <w:rPr>
                <w:color w:val="000000"/>
              </w:rPr>
              <w:t>144</w:t>
            </w:r>
          </w:p>
        </w:tc>
      </w:tr>
      <w:tr w:rsidR="001621DC" w:rsidRPr="00E35EA2" w14:paraId="677111D2" w14:textId="77777777" w:rsidTr="007B6365">
        <w:tc>
          <w:tcPr>
            <w:tcW w:w="1271" w:type="dxa"/>
          </w:tcPr>
          <w:p w14:paraId="1926F1B4" w14:textId="77777777" w:rsidR="001621DC" w:rsidRPr="000A76BE" w:rsidRDefault="001621DC" w:rsidP="00145F6F">
            <w:pPr>
              <w:pStyle w:val="02Tabletext"/>
            </w:pPr>
            <w:r w:rsidRPr="000A76BE">
              <w:t>71135</w:t>
            </w:r>
          </w:p>
        </w:tc>
        <w:tc>
          <w:tcPr>
            <w:tcW w:w="5245" w:type="dxa"/>
          </w:tcPr>
          <w:p w14:paraId="06134196" w14:textId="77777777" w:rsidR="001621DC" w:rsidRPr="000A76BE" w:rsidRDefault="001621DC" w:rsidP="00F238D4">
            <w:pPr>
              <w:pStyle w:val="02Tabletext"/>
            </w:pPr>
            <w:r w:rsidRPr="000A76BE">
              <w:t>Quantitation of neutrophil function, comprising at least 2 of the following: (a) chemotaxis; (b) phagocytosis; (c) oxidative metabolism; (d) bactericidal activity; including any test described in items 65066, 65070, 71133 or 71134 (if performed), 1 of this item to a maximum of 2 in a 12 month period</w:t>
            </w:r>
          </w:p>
        </w:tc>
        <w:tc>
          <w:tcPr>
            <w:tcW w:w="1672" w:type="dxa"/>
          </w:tcPr>
          <w:p w14:paraId="2BC7DE00" w14:textId="77777777" w:rsidR="001621DC" w:rsidRPr="000A76BE" w:rsidRDefault="001621DC" w:rsidP="00202112">
            <w:pPr>
              <w:pStyle w:val="02Tabletext"/>
            </w:pPr>
            <w:r w:rsidRPr="000A76BE">
              <w:t>207.95</w:t>
            </w:r>
          </w:p>
        </w:tc>
        <w:tc>
          <w:tcPr>
            <w:tcW w:w="1134" w:type="dxa"/>
          </w:tcPr>
          <w:p w14:paraId="2D9C7CEB" w14:textId="77777777" w:rsidR="001621DC" w:rsidRPr="00463C3C" w:rsidRDefault="001621DC" w:rsidP="00202112">
            <w:pPr>
              <w:pStyle w:val="02Tabletext"/>
              <w:rPr>
                <w:color w:val="000000"/>
              </w:rPr>
            </w:pPr>
            <w:r w:rsidRPr="00463C3C">
              <w:rPr>
                <w:color w:val="000000"/>
              </w:rPr>
              <w:t>983</w:t>
            </w:r>
          </w:p>
        </w:tc>
      </w:tr>
      <w:tr w:rsidR="001621DC" w:rsidRPr="00E35EA2" w14:paraId="34CD37FB" w14:textId="77777777" w:rsidTr="007B6365">
        <w:tc>
          <w:tcPr>
            <w:tcW w:w="1271" w:type="dxa"/>
          </w:tcPr>
          <w:p w14:paraId="77C585F2" w14:textId="77777777" w:rsidR="001621DC" w:rsidRPr="005C373A" w:rsidRDefault="001621DC" w:rsidP="00145F6F">
            <w:pPr>
              <w:pStyle w:val="02Tabletext"/>
            </w:pPr>
            <w:r w:rsidRPr="005C373A">
              <w:t>71139</w:t>
            </w:r>
          </w:p>
        </w:tc>
        <w:tc>
          <w:tcPr>
            <w:tcW w:w="5245" w:type="dxa"/>
          </w:tcPr>
          <w:p w14:paraId="6FB07AE4" w14:textId="77777777" w:rsidR="001621DC" w:rsidRPr="000A76BE" w:rsidRDefault="001621DC" w:rsidP="00F238D4">
            <w:pPr>
              <w:pStyle w:val="02Tabletext"/>
            </w:pPr>
            <w:r w:rsidRPr="00BA7A27">
              <w:t>Characterisation of 3 or more leucocyte surface antigens by immunofluorescence or immunoenzyme techniques to assess lymphoid or myeloid cell populations, including a total lymphocyte count or total leucocyte count by any method, on 1 or more specimens of blood, CSF or serous fluid</w:t>
            </w:r>
          </w:p>
        </w:tc>
        <w:tc>
          <w:tcPr>
            <w:tcW w:w="1672" w:type="dxa"/>
          </w:tcPr>
          <w:p w14:paraId="60675EE8" w14:textId="77777777" w:rsidR="001621DC" w:rsidRPr="000A76BE" w:rsidRDefault="001621DC" w:rsidP="00202112">
            <w:pPr>
              <w:pStyle w:val="02Tabletext"/>
            </w:pPr>
            <w:r w:rsidRPr="00BA7A27">
              <w:t>$104.05</w:t>
            </w:r>
          </w:p>
        </w:tc>
        <w:tc>
          <w:tcPr>
            <w:tcW w:w="1134" w:type="dxa"/>
          </w:tcPr>
          <w:p w14:paraId="78B0E1A4" w14:textId="77777777" w:rsidR="001621DC" w:rsidRPr="00463C3C" w:rsidRDefault="001621DC" w:rsidP="00202112">
            <w:pPr>
              <w:pStyle w:val="02Tabletext"/>
              <w:rPr>
                <w:color w:val="000000"/>
              </w:rPr>
            </w:pPr>
            <w:r w:rsidRPr="00145F6F">
              <w:t>53,570</w:t>
            </w:r>
          </w:p>
        </w:tc>
      </w:tr>
      <w:tr w:rsidR="001621DC" w:rsidRPr="00E35EA2" w14:paraId="1A7CFC14" w14:textId="77777777" w:rsidTr="007B6365">
        <w:tc>
          <w:tcPr>
            <w:tcW w:w="1271" w:type="dxa"/>
          </w:tcPr>
          <w:p w14:paraId="3FE96523" w14:textId="77777777" w:rsidR="001621DC" w:rsidRPr="000A76BE" w:rsidRDefault="001621DC" w:rsidP="00145F6F">
            <w:pPr>
              <w:pStyle w:val="02Tabletext"/>
            </w:pPr>
            <w:r w:rsidRPr="000A76BE">
              <w:t>71141</w:t>
            </w:r>
          </w:p>
        </w:tc>
        <w:tc>
          <w:tcPr>
            <w:tcW w:w="5245" w:type="dxa"/>
          </w:tcPr>
          <w:p w14:paraId="77D9B818" w14:textId="77777777" w:rsidR="001621DC" w:rsidRPr="000A76BE" w:rsidRDefault="001621DC" w:rsidP="00F238D4">
            <w:pPr>
              <w:pStyle w:val="02Tabletext"/>
            </w:pPr>
            <w:r w:rsidRPr="000A76BE">
              <w:t>Characterisation of 3 or more leucocyte surface antigens by immunofluorescence or immunoenzyme techniques to assess lymphoid or myeloid cell populations on 1 or more disaggregated tissue specimens</w:t>
            </w:r>
          </w:p>
        </w:tc>
        <w:tc>
          <w:tcPr>
            <w:tcW w:w="1672" w:type="dxa"/>
          </w:tcPr>
          <w:p w14:paraId="76785C63" w14:textId="77777777" w:rsidR="001621DC" w:rsidRPr="000A76BE" w:rsidRDefault="001621DC" w:rsidP="00202112">
            <w:pPr>
              <w:pStyle w:val="02Tabletext"/>
            </w:pPr>
            <w:r w:rsidRPr="000A76BE">
              <w:t>197.35</w:t>
            </w:r>
          </w:p>
        </w:tc>
        <w:tc>
          <w:tcPr>
            <w:tcW w:w="1134" w:type="dxa"/>
          </w:tcPr>
          <w:p w14:paraId="027D42EC" w14:textId="77777777" w:rsidR="001621DC" w:rsidRPr="00463C3C" w:rsidRDefault="001621DC" w:rsidP="00202112">
            <w:pPr>
              <w:pStyle w:val="02Tabletext"/>
              <w:rPr>
                <w:color w:val="000000"/>
              </w:rPr>
            </w:pPr>
            <w:r w:rsidRPr="00463C3C">
              <w:rPr>
                <w:color w:val="000000"/>
              </w:rPr>
              <w:t>1,420</w:t>
            </w:r>
          </w:p>
        </w:tc>
      </w:tr>
      <w:tr w:rsidR="001621DC" w:rsidRPr="00E35EA2" w14:paraId="5FE26125" w14:textId="77777777" w:rsidTr="007B6365">
        <w:tc>
          <w:tcPr>
            <w:tcW w:w="1271" w:type="dxa"/>
          </w:tcPr>
          <w:p w14:paraId="47DF426A" w14:textId="77777777" w:rsidR="001621DC" w:rsidRPr="000A76BE" w:rsidRDefault="001621DC" w:rsidP="00145F6F">
            <w:pPr>
              <w:pStyle w:val="02Tabletext"/>
            </w:pPr>
            <w:r w:rsidRPr="000A76BE">
              <w:t>71143</w:t>
            </w:r>
          </w:p>
        </w:tc>
        <w:tc>
          <w:tcPr>
            <w:tcW w:w="5245" w:type="dxa"/>
          </w:tcPr>
          <w:p w14:paraId="5B03C15C" w14:textId="77777777" w:rsidR="001621DC" w:rsidRPr="000A76BE" w:rsidRDefault="001621DC" w:rsidP="00F238D4">
            <w:pPr>
              <w:pStyle w:val="02Tabletext"/>
            </w:pPr>
            <w:r w:rsidRPr="000A76BE">
              <w:t>Characterisation of 6 or more leucocyte surface antigens by immunofluorescence or immunoenzyme techniques to assess lymphoid or myeloid cell populations for the diagnosis (but not monitoring) of an immunological or haematological malignancy, including a service described in 1 or both of items 71139 and 71141 (if performed), on a specimen of blood, CSF, serous fluid or disaggregated tissue</w:t>
            </w:r>
          </w:p>
        </w:tc>
        <w:tc>
          <w:tcPr>
            <w:tcW w:w="1672" w:type="dxa"/>
          </w:tcPr>
          <w:p w14:paraId="3A1DD2FE" w14:textId="77777777" w:rsidR="001621DC" w:rsidRPr="000A76BE" w:rsidRDefault="001621DC" w:rsidP="00202112">
            <w:pPr>
              <w:pStyle w:val="02Tabletext"/>
            </w:pPr>
            <w:r w:rsidRPr="000A76BE">
              <w:t>260.00</w:t>
            </w:r>
          </w:p>
        </w:tc>
        <w:tc>
          <w:tcPr>
            <w:tcW w:w="1134" w:type="dxa"/>
          </w:tcPr>
          <w:p w14:paraId="25343BAF" w14:textId="77777777" w:rsidR="001621DC" w:rsidRPr="00463C3C" w:rsidRDefault="001621DC" w:rsidP="00202112">
            <w:pPr>
              <w:pStyle w:val="02Tabletext"/>
              <w:rPr>
                <w:color w:val="000000"/>
              </w:rPr>
            </w:pPr>
            <w:r w:rsidRPr="00463C3C">
              <w:rPr>
                <w:color w:val="000000"/>
              </w:rPr>
              <w:t>66,141</w:t>
            </w:r>
          </w:p>
        </w:tc>
      </w:tr>
      <w:tr w:rsidR="001621DC" w:rsidRPr="00E35EA2" w14:paraId="76847EAD" w14:textId="77777777" w:rsidTr="007B6365">
        <w:tc>
          <w:tcPr>
            <w:tcW w:w="1271" w:type="dxa"/>
          </w:tcPr>
          <w:p w14:paraId="0AB5A79B" w14:textId="77777777" w:rsidR="001621DC" w:rsidRPr="000A76BE" w:rsidRDefault="001621DC" w:rsidP="00145F6F">
            <w:pPr>
              <w:pStyle w:val="02Tabletext"/>
            </w:pPr>
            <w:r w:rsidRPr="00494E8F">
              <w:t>71145</w:t>
            </w:r>
          </w:p>
        </w:tc>
        <w:tc>
          <w:tcPr>
            <w:tcW w:w="5245" w:type="dxa"/>
          </w:tcPr>
          <w:p w14:paraId="75EB8CA5" w14:textId="77777777" w:rsidR="001621DC" w:rsidRPr="000A76BE" w:rsidRDefault="001621DC" w:rsidP="00F238D4">
            <w:pPr>
              <w:pStyle w:val="02Tabletext"/>
            </w:pPr>
            <w:r w:rsidRPr="00494E8F">
              <w:t>Characterisation of 6 or more leucocyte surface antigens by immunofluorescence or immunoenzyme techniques to assess lymphoid or myeloid cell populations for the diagnosis (but not monitoring) of an immunological or haematological malignancy, including a service described in 1 or more of items 71139, 71141 and 71143 (if performed), on 2 or more specimens of disaggregated tissues or 1 specimen of disaggregated tissue and 1 or more specimens of blood, CSF or serous fluid</w:t>
            </w:r>
          </w:p>
        </w:tc>
        <w:tc>
          <w:tcPr>
            <w:tcW w:w="1672" w:type="dxa"/>
          </w:tcPr>
          <w:p w14:paraId="687F7DA4" w14:textId="77777777" w:rsidR="001621DC" w:rsidRPr="000A76BE" w:rsidRDefault="001621DC" w:rsidP="00202112">
            <w:pPr>
              <w:pStyle w:val="02Tabletext"/>
            </w:pPr>
            <w:r w:rsidRPr="00494E8F">
              <w:t>424.50</w:t>
            </w:r>
          </w:p>
        </w:tc>
        <w:tc>
          <w:tcPr>
            <w:tcW w:w="1134" w:type="dxa"/>
          </w:tcPr>
          <w:p w14:paraId="7E03E566" w14:textId="77777777" w:rsidR="001621DC" w:rsidRPr="00463C3C" w:rsidRDefault="001621DC" w:rsidP="00202112">
            <w:pPr>
              <w:pStyle w:val="02Tabletext"/>
              <w:rPr>
                <w:color w:val="000000"/>
              </w:rPr>
            </w:pPr>
            <w:r w:rsidRPr="00463C3C">
              <w:rPr>
                <w:color w:val="000000"/>
              </w:rPr>
              <w:t>3,705</w:t>
            </w:r>
          </w:p>
        </w:tc>
      </w:tr>
      <w:tr w:rsidR="001621DC" w:rsidRPr="00E35EA2" w14:paraId="7AC50686" w14:textId="77777777" w:rsidTr="007B6365">
        <w:tc>
          <w:tcPr>
            <w:tcW w:w="1271" w:type="dxa"/>
          </w:tcPr>
          <w:p w14:paraId="53FCA02B" w14:textId="77777777" w:rsidR="001621DC" w:rsidRPr="000A76BE" w:rsidRDefault="001621DC" w:rsidP="00145F6F">
            <w:pPr>
              <w:pStyle w:val="02Tabletext"/>
            </w:pPr>
            <w:r w:rsidRPr="00494E8F">
              <w:t>71146</w:t>
            </w:r>
          </w:p>
        </w:tc>
        <w:tc>
          <w:tcPr>
            <w:tcW w:w="5245" w:type="dxa"/>
          </w:tcPr>
          <w:p w14:paraId="1D996C10" w14:textId="77777777" w:rsidR="001621DC" w:rsidRPr="000A76BE" w:rsidRDefault="001621DC" w:rsidP="00F238D4">
            <w:pPr>
              <w:pStyle w:val="02Tabletext"/>
            </w:pPr>
            <w:r w:rsidRPr="00494E8F">
              <w:t xml:space="preserve">Enumeration of cd34+ cells, only for the purposes of autologous or directed allogeneic haemopoietic stem cell </w:t>
            </w:r>
            <w:r w:rsidRPr="00494E8F">
              <w:lastRenderedPageBreak/>
              <w:t>transplantation, including a total white cell count on the pherisis collection</w:t>
            </w:r>
          </w:p>
        </w:tc>
        <w:tc>
          <w:tcPr>
            <w:tcW w:w="1672" w:type="dxa"/>
          </w:tcPr>
          <w:p w14:paraId="21D35E82" w14:textId="77777777" w:rsidR="001621DC" w:rsidRPr="000A76BE" w:rsidRDefault="001621DC" w:rsidP="00202112">
            <w:pPr>
              <w:pStyle w:val="02Tabletext"/>
            </w:pPr>
            <w:r w:rsidRPr="00494E8F">
              <w:lastRenderedPageBreak/>
              <w:t>104.05</w:t>
            </w:r>
          </w:p>
        </w:tc>
        <w:tc>
          <w:tcPr>
            <w:tcW w:w="1134" w:type="dxa"/>
          </w:tcPr>
          <w:p w14:paraId="44DD59A6" w14:textId="77777777" w:rsidR="001621DC" w:rsidRPr="00463C3C" w:rsidRDefault="001621DC" w:rsidP="00202112">
            <w:pPr>
              <w:pStyle w:val="02Tabletext"/>
              <w:rPr>
                <w:color w:val="000000"/>
              </w:rPr>
            </w:pPr>
            <w:r w:rsidRPr="00463C3C">
              <w:rPr>
                <w:color w:val="000000"/>
              </w:rPr>
              <w:t>2,768</w:t>
            </w:r>
          </w:p>
        </w:tc>
      </w:tr>
      <w:tr w:rsidR="001621DC" w:rsidRPr="00E35EA2" w14:paraId="58B2D243" w14:textId="77777777" w:rsidTr="007B6365">
        <w:tc>
          <w:tcPr>
            <w:tcW w:w="1271" w:type="dxa"/>
          </w:tcPr>
          <w:p w14:paraId="73983EFC" w14:textId="77777777" w:rsidR="001621DC" w:rsidRPr="000A76BE" w:rsidRDefault="001621DC" w:rsidP="00145F6F">
            <w:pPr>
              <w:pStyle w:val="02Tabletext"/>
            </w:pPr>
            <w:r w:rsidRPr="0090319B">
              <w:t>71147</w:t>
            </w:r>
          </w:p>
        </w:tc>
        <w:tc>
          <w:tcPr>
            <w:tcW w:w="5245" w:type="dxa"/>
          </w:tcPr>
          <w:p w14:paraId="32B53093" w14:textId="77777777" w:rsidR="001621DC" w:rsidRPr="000A76BE" w:rsidRDefault="001621DC" w:rsidP="00F238D4">
            <w:pPr>
              <w:pStyle w:val="02Tabletext"/>
            </w:pPr>
            <w:r w:rsidRPr="0090319B">
              <w:t>HLA-B27 typing (Item is subject to rule 27)</w:t>
            </w:r>
          </w:p>
        </w:tc>
        <w:tc>
          <w:tcPr>
            <w:tcW w:w="1672" w:type="dxa"/>
          </w:tcPr>
          <w:p w14:paraId="6C1547F3" w14:textId="77777777" w:rsidR="001621DC" w:rsidRPr="000A76BE" w:rsidRDefault="001621DC" w:rsidP="00202112">
            <w:pPr>
              <w:pStyle w:val="02Tabletext"/>
            </w:pPr>
            <w:r w:rsidRPr="0090319B">
              <w:t>40.55</w:t>
            </w:r>
          </w:p>
        </w:tc>
        <w:tc>
          <w:tcPr>
            <w:tcW w:w="1134" w:type="dxa"/>
          </w:tcPr>
          <w:p w14:paraId="0776193C" w14:textId="77777777" w:rsidR="001621DC" w:rsidRPr="00463C3C" w:rsidRDefault="001621DC" w:rsidP="00202112">
            <w:pPr>
              <w:pStyle w:val="02Tabletext"/>
              <w:rPr>
                <w:color w:val="000000"/>
              </w:rPr>
            </w:pPr>
            <w:r w:rsidRPr="00463C3C">
              <w:rPr>
                <w:color w:val="000000"/>
              </w:rPr>
              <w:t>52,955</w:t>
            </w:r>
          </w:p>
        </w:tc>
      </w:tr>
      <w:tr w:rsidR="001621DC" w:rsidRPr="00E35EA2" w14:paraId="0DF6BCEB" w14:textId="77777777" w:rsidTr="007B6365">
        <w:tc>
          <w:tcPr>
            <w:tcW w:w="1271" w:type="dxa"/>
          </w:tcPr>
          <w:p w14:paraId="5F392868" w14:textId="77777777" w:rsidR="001621DC" w:rsidRPr="000A76BE" w:rsidRDefault="001621DC" w:rsidP="00145F6F">
            <w:pPr>
              <w:pStyle w:val="02Tabletext"/>
            </w:pPr>
            <w:r w:rsidRPr="0090319B">
              <w:t>71148</w:t>
            </w:r>
          </w:p>
        </w:tc>
        <w:tc>
          <w:tcPr>
            <w:tcW w:w="5245" w:type="dxa"/>
          </w:tcPr>
          <w:p w14:paraId="2ED01658" w14:textId="77777777" w:rsidR="001621DC" w:rsidRPr="000A76BE" w:rsidRDefault="001621DC" w:rsidP="00F238D4">
            <w:pPr>
              <w:pStyle w:val="02Tabletext"/>
            </w:pPr>
            <w:r w:rsidRPr="0090319B">
              <w:t>A test described in item 71147 if rendered by a receiving APP. (Item is subject to rule 18 and 27)</w:t>
            </w:r>
          </w:p>
        </w:tc>
        <w:tc>
          <w:tcPr>
            <w:tcW w:w="1672" w:type="dxa"/>
          </w:tcPr>
          <w:p w14:paraId="7FF5EB68" w14:textId="77777777" w:rsidR="001621DC" w:rsidRPr="000A76BE" w:rsidRDefault="001621DC" w:rsidP="00202112">
            <w:pPr>
              <w:pStyle w:val="02Tabletext"/>
            </w:pPr>
            <w:r w:rsidRPr="0090319B">
              <w:t>40.55</w:t>
            </w:r>
          </w:p>
        </w:tc>
        <w:tc>
          <w:tcPr>
            <w:tcW w:w="1134" w:type="dxa"/>
          </w:tcPr>
          <w:p w14:paraId="1854F2E3" w14:textId="77777777" w:rsidR="001621DC" w:rsidRPr="00463C3C" w:rsidRDefault="001621DC" w:rsidP="00202112">
            <w:pPr>
              <w:pStyle w:val="02Tabletext"/>
              <w:rPr>
                <w:color w:val="000000"/>
              </w:rPr>
            </w:pPr>
            <w:r w:rsidRPr="00463C3C">
              <w:rPr>
                <w:color w:val="000000"/>
              </w:rPr>
              <w:t>3,420</w:t>
            </w:r>
          </w:p>
        </w:tc>
      </w:tr>
      <w:tr w:rsidR="001621DC" w:rsidRPr="00E35EA2" w14:paraId="7C38F36F" w14:textId="77777777" w:rsidTr="007B6365">
        <w:tc>
          <w:tcPr>
            <w:tcW w:w="1271" w:type="dxa"/>
          </w:tcPr>
          <w:p w14:paraId="4DBA3DAA" w14:textId="77777777" w:rsidR="001621DC" w:rsidRPr="0090319B" w:rsidRDefault="001621DC" w:rsidP="00145F6F">
            <w:pPr>
              <w:pStyle w:val="02Tabletext"/>
            </w:pPr>
            <w:r>
              <w:t>71149</w:t>
            </w:r>
          </w:p>
        </w:tc>
        <w:tc>
          <w:tcPr>
            <w:tcW w:w="5245" w:type="dxa"/>
          </w:tcPr>
          <w:p w14:paraId="7CDC88BB" w14:textId="77777777" w:rsidR="001621DC" w:rsidRPr="0090319B" w:rsidRDefault="001621DC" w:rsidP="00F238D4">
            <w:pPr>
              <w:pStyle w:val="02Tabletext"/>
            </w:pPr>
            <w:r w:rsidRPr="00A0423E">
              <w:t>Complete tissue typing for 4 HLA-A and HLA-B Class I antigens (including any separation of leucocytes), including (if performed) a service described in item 71147</w:t>
            </w:r>
          </w:p>
        </w:tc>
        <w:tc>
          <w:tcPr>
            <w:tcW w:w="1672" w:type="dxa"/>
          </w:tcPr>
          <w:p w14:paraId="3376764E" w14:textId="77777777" w:rsidR="001621DC" w:rsidRPr="0090319B" w:rsidRDefault="001621DC" w:rsidP="00202112">
            <w:pPr>
              <w:pStyle w:val="02Tabletext"/>
            </w:pPr>
            <w:r w:rsidRPr="00A0423E">
              <w:t>108.25</w:t>
            </w:r>
          </w:p>
        </w:tc>
        <w:tc>
          <w:tcPr>
            <w:tcW w:w="1134" w:type="dxa"/>
          </w:tcPr>
          <w:p w14:paraId="62A5584A" w14:textId="77777777" w:rsidR="001621DC" w:rsidRPr="00463C3C" w:rsidRDefault="001621DC" w:rsidP="00202112">
            <w:pPr>
              <w:pStyle w:val="02Tabletext"/>
              <w:rPr>
                <w:color w:val="000000"/>
              </w:rPr>
            </w:pPr>
            <w:r w:rsidRPr="00463C3C">
              <w:rPr>
                <w:color w:val="000000"/>
              </w:rPr>
              <w:t>3,663</w:t>
            </w:r>
          </w:p>
        </w:tc>
      </w:tr>
      <w:tr w:rsidR="001621DC" w:rsidRPr="00E35EA2" w14:paraId="441CF419" w14:textId="77777777" w:rsidTr="007B6365">
        <w:tc>
          <w:tcPr>
            <w:tcW w:w="1271" w:type="dxa"/>
          </w:tcPr>
          <w:p w14:paraId="2FDFE063" w14:textId="77777777" w:rsidR="001621DC" w:rsidRPr="0090319B" w:rsidRDefault="001621DC" w:rsidP="00145F6F">
            <w:pPr>
              <w:pStyle w:val="02Tabletext"/>
            </w:pPr>
            <w:r>
              <w:t>71153</w:t>
            </w:r>
          </w:p>
        </w:tc>
        <w:tc>
          <w:tcPr>
            <w:tcW w:w="5245" w:type="dxa"/>
          </w:tcPr>
          <w:p w14:paraId="3AB00191" w14:textId="77777777" w:rsidR="001621DC" w:rsidRPr="0090319B" w:rsidRDefault="001621DC" w:rsidP="00F238D4">
            <w:pPr>
              <w:pStyle w:val="02Tabletext"/>
            </w:pPr>
            <w:r w:rsidRPr="00D86DFE">
              <w:t>Investigations in the assessment or diagnosis of systemic inflammatory disease or vasculitis - antineutrophil cytoplasmic antibody immunofluorescence (anca test), antineutrophil proteinase 3 antibody (pr-3 anca test), antimyeloperoxidase antibody (mpo anca test) or antiglomerular basement membrane antibody (gbm test) - detection of 1 antibody (item is subject to rule 6 and 23)</w:t>
            </w:r>
          </w:p>
        </w:tc>
        <w:tc>
          <w:tcPr>
            <w:tcW w:w="1672" w:type="dxa"/>
          </w:tcPr>
          <w:p w14:paraId="0D38FC15" w14:textId="77777777" w:rsidR="001621DC" w:rsidRPr="0090319B" w:rsidRDefault="001621DC" w:rsidP="00202112">
            <w:pPr>
              <w:pStyle w:val="02Tabletext"/>
            </w:pPr>
            <w:r w:rsidRPr="00D86DFE">
              <w:t>34.55</w:t>
            </w:r>
          </w:p>
        </w:tc>
        <w:tc>
          <w:tcPr>
            <w:tcW w:w="1134" w:type="dxa"/>
          </w:tcPr>
          <w:p w14:paraId="5E2B7463" w14:textId="77777777" w:rsidR="001621DC" w:rsidRPr="0090319B" w:rsidRDefault="001621DC" w:rsidP="00202112">
            <w:pPr>
              <w:pStyle w:val="02Tabletext"/>
              <w:rPr>
                <w:rFonts w:ascii="Calibri" w:hAnsi="Calibri"/>
                <w:color w:val="000000"/>
              </w:rPr>
            </w:pPr>
            <w:r w:rsidRPr="002960F6">
              <w:t>89,567</w:t>
            </w:r>
          </w:p>
        </w:tc>
      </w:tr>
      <w:tr w:rsidR="001621DC" w:rsidRPr="00E35EA2" w14:paraId="3FC5F78B" w14:textId="77777777" w:rsidTr="007B6365">
        <w:tc>
          <w:tcPr>
            <w:tcW w:w="1271" w:type="dxa"/>
          </w:tcPr>
          <w:p w14:paraId="25CD3FC5" w14:textId="77777777" w:rsidR="001621DC" w:rsidRPr="0090319B" w:rsidRDefault="001621DC" w:rsidP="00145F6F">
            <w:pPr>
              <w:pStyle w:val="02Tabletext"/>
            </w:pPr>
            <w:r>
              <w:t>71154</w:t>
            </w:r>
          </w:p>
        </w:tc>
        <w:tc>
          <w:tcPr>
            <w:tcW w:w="5245" w:type="dxa"/>
          </w:tcPr>
          <w:p w14:paraId="4E14367E" w14:textId="77777777" w:rsidR="001621DC" w:rsidRPr="0090319B" w:rsidRDefault="001621DC" w:rsidP="00F238D4">
            <w:pPr>
              <w:pStyle w:val="02Tabletext"/>
            </w:pPr>
            <w:r w:rsidRPr="00D86DFE">
              <w:t>A test described in item 71153, if rendered by a receiving APP, where no tests in the item have been rendered by the referring APP - 1 test.(Item is subject to rule 6, 18 and 23)</w:t>
            </w:r>
          </w:p>
        </w:tc>
        <w:tc>
          <w:tcPr>
            <w:tcW w:w="1672" w:type="dxa"/>
          </w:tcPr>
          <w:p w14:paraId="787B5603" w14:textId="77777777" w:rsidR="001621DC" w:rsidRPr="0090319B" w:rsidRDefault="001621DC" w:rsidP="00202112">
            <w:pPr>
              <w:pStyle w:val="02Tabletext"/>
            </w:pPr>
            <w:r w:rsidRPr="00D86DFE">
              <w:t>34.55</w:t>
            </w:r>
          </w:p>
        </w:tc>
        <w:tc>
          <w:tcPr>
            <w:tcW w:w="1134" w:type="dxa"/>
          </w:tcPr>
          <w:p w14:paraId="2E9FB3EB" w14:textId="77777777" w:rsidR="001621DC" w:rsidRPr="0090319B" w:rsidRDefault="001621DC" w:rsidP="00202112">
            <w:pPr>
              <w:pStyle w:val="02Tabletext"/>
              <w:rPr>
                <w:rFonts w:ascii="Calibri" w:hAnsi="Calibri"/>
                <w:color w:val="000000"/>
              </w:rPr>
            </w:pPr>
            <w:r w:rsidRPr="002960F6">
              <w:t>3,035</w:t>
            </w:r>
          </w:p>
        </w:tc>
      </w:tr>
      <w:tr w:rsidR="001621DC" w:rsidRPr="00E35EA2" w14:paraId="3E1213CA" w14:textId="77777777" w:rsidTr="007B6365">
        <w:tc>
          <w:tcPr>
            <w:tcW w:w="1271" w:type="dxa"/>
          </w:tcPr>
          <w:p w14:paraId="28B659AD" w14:textId="77777777" w:rsidR="001621DC" w:rsidRPr="0090319B" w:rsidRDefault="001621DC" w:rsidP="00145F6F">
            <w:pPr>
              <w:pStyle w:val="02Tabletext"/>
            </w:pPr>
            <w:r>
              <w:t>71155</w:t>
            </w:r>
          </w:p>
        </w:tc>
        <w:tc>
          <w:tcPr>
            <w:tcW w:w="5245" w:type="dxa"/>
          </w:tcPr>
          <w:p w14:paraId="769B14F1" w14:textId="77777777" w:rsidR="001621DC" w:rsidRPr="0090319B" w:rsidRDefault="001621DC" w:rsidP="00F238D4">
            <w:pPr>
              <w:pStyle w:val="02Tabletext"/>
            </w:pPr>
            <w:r w:rsidRPr="00D86DFE">
              <w:t>Detection of 2 antibodies described in item 71153</w:t>
            </w:r>
          </w:p>
        </w:tc>
        <w:tc>
          <w:tcPr>
            <w:tcW w:w="1672" w:type="dxa"/>
          </w:tcPr>
          <w:p w14:paraId="367F4C40" w14:textId="77777777" w:rsidR="001621DC" w:rsidRPr="0090319B" w:rsidRDefault="001621DC" w:rsidP="00202112">
            <w:pPr>
              <w:pStyle w:val="02Tabletext"/>
            </w:pPr>
            <w:r w:rsidRPr="00D86DFE">
              <w:t>47.45</w:t>
            </w:r>
          </w:p>
        </w:tc>
        <w:tc>
          <w:tcPr>
            <w:tcW w:w="1134" w:type="dxa"/>
          </w:tcPr>
          <w:p w14:paraId="4C9CFFE7" w14:textId="77777777" w:rsidR="001621DC" w:rsidRPr="0090319B" w:rsidRDefault="001621DC" w:rsidP="00202112">
            <w:pPr>
              <w:pStyle w:val="02Tabletext"/>
              <w:rPr>
                <w:rFonts w:ascii="Calibri" w:hAnsi="Calibri"/>
                <w:color w:val="000000"/>
              </w:rPr>
            </w:pPr>
            <w:r w:rsidRPr="002960F6">
              <w:t>6,387</w:t>
            </w:r>
          </w:p>
        </w:tc>
      </w:tr>
      <w:tr w:rsidR="001621DC" w:rsidRPr="00E35EA2" w14:paraId="447AE44F" w14:textId="77777777" w:rsidTr="007B6365">
        <w:tc>
          <w:tcPr>
            <w:tcW w:w="1271" w:type="dxa"/>
          </w:tcPr>
          <w:p w14:paraId="568E022D" w14:textId="77777777" w:rsidR="001621DC" w:rsidRPr="0090319B" w:rsidRDefault="001621DC" w:rsidP="00145F6F">
            <w:pPr>
              <w:pStyle w:val="02Tabletext"/>
            </w:pPr>
            <w:r>
              <w:t>71156</w:t>
            </w:r>
          </w:p>
        </w:tc>
        <w:tc>
          <w:tcPr>
            <w:tcW w:w="5245" w:type="dxa"/>
          </w:tcPr>
          <w:p w14:paraId="20F6515D" w14:textId="77777777" w:rsidR="001621DC" w:rsidRPr="0090319B" w:rsidRDefault="001621DC" w:rsidP="00F238D4">
            <w:pPr>
              <w:pStyle w:val="02Tabletext"/>
            </w:pPr>
            <w:r w:rsidRPr="00D86DFE">
              <w:t>Tests described in item 71153, other than that described in 71154, if rendered by a receiving APP</w:t>
            </w:r>
            <w:r>
              <w:t xml:space="preserve"> </w:t>
            </w:r>
            <w:r w:rsidRPr="00D86DFE">
              <w:t>each test to a maximum of 3 tests(Item is subject to rule 6, 18 and 23)</w:t>
            </w:r>
          </w:p>
        </w:tc>
        <w:tc>
          <w:tcPr>
            <w:tcW w:w="1672" w:type="dxa"/>
          </w:tcPr>
          <w:p w14:paraId="249C2E89" w14:textId="77777777" w:rsidR="001621DC" w:rsidRPr="0090319B" w:rsidRDefault="001621DC" w:rsidP="00202112">
            <w:pPr>
              <w:pStyle w:val="02Tabletext"/>
            </w:pPr>
            <w:r w:rsidRPr="00D86DFE">
              <w:t>12.85</w:t>
            </w:r>
          </w:p>
        </w:tc>
        <w:tc>
          <w:tcPr>
            <w:tcW w:w="1134" w:type="dxa"/>
          </w:tcPr>
          <w:p w14:paraId="16B1F7C4" w14:textId="77777777" w:rsidR="001621DC" w:rsidRPr="0090319B" w:rsidRDefault="001621DC" w:rsidP="00202112">
            <w:pPr>
              <w:pStyle w:val="02Tabletext"/>
              <w:rPr>
                <w:rFonts w:ascii="Calibri" w:hAnsi="Calibri"/>
                <w:color w:val="000000"/>
              </w:rPr>
            </w:pPr>
            <w:r w:rsidRPr="002960F6">
              <w:t>4,320</w:t>
            </w:r>
          </w:p>
        </w:tc>
      </w:tr>
      <w:tr w:rsidR="001621DC" w:rsidRPr="00E35EA2" w14:paraId="54FF14D6" w14:textId="77777777" w:rsidTr="007B6365">
        <w:tc>
          <w:tcPr>
            <w:tcW w:w="1271" w:type="dxa"/>
          </w:tcPr>
          <w:p w14:paraId="399576D4" w14:textId="77777777" w:rsidR="001621DC" w:rsidRPr="0090319B" w:rsidRDefault="001621DC" w:rsidP="00145F6F">
            <w:pPr>
              <w:pStyle w:val="02Tabletext"/>
            </w:pPr>
            <w:r>
              <w:t>71157</w:t>
            </w:r>
          </w:p>
        </w:tc>
        <w:tc>
          <w:tcPr>
            <w:tcW w:w="5245" w:type="dxa"/>
          </w:tcPr>
          <w:p w14:paraId="35FC6B79" w14:textId="77777777" w:rsidR="001621DC" w:rsidRPr="0090319B" w:rsidRDefault="001621DC" w:rsidP="00F238D4">
            <w:pPr>
              <w:pStyle w:val="02Tabletext"/>
            </w:pPr>
            <w:r w:rsidRPr="00D86DFE">
              <w:t>Detection of 3 antibodies described in item 71153(item is subject to rule 6 and 23)</w:t>
            </w:r>
          </w:p>
        </w:tc>
        <w:tc>
          <w:tcPr>
            <w:tcW w:w="1672" w:type="dxa"/>
          </w:tcPr>
          <w:p w14:paraId="2FB3CD3C" w14:textId="77777777" w:rsidR="001621DC" w:rsidRPr="0090319B" w:rsidRDefault="001621DC" w:rsidP="00202112">
            <w:pPr>
              <w:pStyle w:val="02Tabletext"/>
            </w:pPr>
            <w:r w:rsidRPr="00D86DFE">
              <w:t>60.30</w:t>
            </w:r>
          </w:p>
        </w:tc>
        <w:tc>
          <w:tcPr>
            <w:tcW w:w="1134" w:type="dxa"/>
          </w:tcPr>
          <w:p w14:paraId="1FD54D31" w14:textId="77777777" w:rsidR="001621DC" w:rsidRPr="0090319B" w:rsidRDefault="001621DC" w:rsidP="00202112">
            <w:pPr>
              <w:pStyle w:val="02Tabletext"/>
              <w:rPr>
                <w:rFonts w:ascii="Calibri" w:hAnsi="Calibri"/>
                <w:color w:val="000000"/>
              </w:rPr>
            </w:pPr>
            <w:r w:rsidRPr="002960F6">
              <w:t>33,610</w:t>
            </w:r>
          </w:p>
        </w:tc>
      </w:tr>
      <w:tr w:rsidR="001621DC" w:rsidRPr="00E35EA2" w14:paraId="4420D10F" w14:textId="77777777" w:rsidTr="007B6365">
        <w:tc>
          <w:tcPr>
            <w:tcW w:w="1271" w:type="dxa"/>
          </w:tcPr>
          <w:p w14:paraId="58CF2CE2" w14:textId="77777777" w:rsidR="001621DC" w:rsidRDefault="001621DC" w:rsidP="00145F6F">
            <w:pPr>
              <w:pStyle w:val="02Tabletext"/>
            </w:pPr>
            <w:r>
              <w:t>71159</w:t>
            </w:r>
          </w:p>
        </w:tc>
        <w:tc>
          <w:tcPr>
            <w:tcW w:w="5245" w:type="dxa"/>
          </w:tcPr>
          <w:p w14:paraId="1EF9BD75" w14:textId="77777777" w:rsidR="001621DC" w:rsidRPr="0090319B" w:rsidRDefault="001621DC" w:rsidP="00F238D4">
            <w:pPr>
              <w:pStyle w:val="02Tabletext"/>
            </w:pPr>
            <w:r w:rsidRPr="00533647">
              <w:t>Detection of 4 or more antibodies described in item 71153 (Item is subject to rule 6 and 23)(item is subject to rule 6 and 23)"</w:t>
            </w:r>
          </w:p>
        </w:tc>
        <w:tc>
          <w:tcPr>
            <w:tcW w:w="1672" w:type="dxa"/>
          </w:tcPr>
          <w:p w14:paraId="6DE605CC" w14:textId="77777777" w:rsidR="001621DC" w:rsidRPr="0090319B" w:rsidRDefault="001621DC" w:rsidP="00202112">
            <w:pPr>
              <w:pStyle w:val="02Tabletext"/>
            </w:pPr>
            <w:r>
              <w:t>73.15</w:t>
            </w:r>
          </w:p>
        </w:tc>
        <w:tc>
          <w:tcPr>
            <w:tcW w:w="1134" w:type="dxa"/>
          </w:tcPr>
          <w:p w14:paraId="2C794A36" w14:textId="77777777" w:rsidR="001621DC" w:rsidRPr="0090319B" w:rsidRDefault="001621DC" w:rsidP="00202112">
            <w:pPr>
              <w:pStyle w:val="02Tabletext"/>
              <w:rPr>
                <w:rFonts w:ascii="Calibri" w:hAnsi="Calibri"/>
                <w:color w:val="000000"/>
              </w:rPr>
            </w:pPr>
            <w:r w:rsidRPr="002960F6">
              <w:t>1,948</w:t>
            </w:r>
          </w:p>
        </w:tc>
      </w:tr>
      <w:tr w:rsidR="00417501" w:rsidRPr="00E35EA2" w14:paraId="6CC74750" w14:textId="77777777" w:rsidTr="007B6365">
        <w:tc>
          <w:tcPr>
            <w:tcW w:w="1271" w:type="dxa"/>
          </w:tcPr>
          <w:p w14:paraId="3A010551" w14:textId="77777777" w:rsidR="00417501" w:rsidRDefault="00417501" w:rsidP="00145F6F">
            <w:pPr>
              <w:pStyle w:val="02Tabletext"/>
            </w:pPr>
            <w:r>
              <w:t>71170</w:t>
            </w:r>
          </w:p>
        </w:tc>
        <w:tc>
          <w:tcPr>
            <w:tcW w:w="5245" w:type="dxa"/>
          </w:tcPr>
          <w:p w14:paraId="5435B83C" w14:textId="77777777" w:rsidR="00417501" w:rsidRPr="00533647" w:rsidRDefault="00417501" w:rsidP="00F238D4">
            <w:pPr>
              <w:pStyle w:val="02Tabletext"/>
            </w:pPr>
            <w:r w:rsidRPr="00417501">
              <w:t>Tests described in item 71165, other than that described in 71169, if rendered by a receiving APP – each test to a maximum of 3 tests. (Item is subject to rule 6 and 18.)</w:t>
            </w:r>
          </w:p>
        </w:tc>
        <w:tc>
          <w:tcPr>
            <w:tcW w:w="1672" w:type="dxa"/>
          </w:tcPr>
          <w:p w14:paraId="2BE9BE66" w14:textId="77777777" w:rsidR="00417501" w:rsidRDefault="00417501" w:rsidP="00202112">
            <w:pPr>
              <w:pStyle w:val="02Tabletext"/>
            </w:pPr>
            <w:r w:rsidRPr="00417501">
              <w:t>12.85</w:t>
            </w:r>
          </w:p>
        </w:tc>
        <w:tc>
          <w:tcPr>
            <w:tcW w:w="1134" w:type="dxa"/>
          </w:tcPr>
          <w:p w14:paraId="413A1869" w14:textId="77777777" w:rsidR="00417501" w:rsidRPr="002960F6" w:rsidRDefault="00D34F71" w:rsidP="00202112">
            <w:pPr>
              <w:pStyle w:val="02Tabletext"/>
            </w:pPr>
            <w:r w:rsidRPr="00D34F71">
              <w:t>15,399</w:t>
            </w:r>
          </w:p>
        </w:tc>
      </w:tr>
      <w:tr w:rsidR="001621DC" w:rsidRPr="00E35EA2" w14:paraId="442B44D5" w14:textId="77777777" w:rsidTr="007B6365">
        <w:tc>
          <w:tcPr>
            <w:tcW w:w="1271" w:type="dxa"/>
          </w:tcPr>
          <w:p w14:paraId="3407B9BB" w14:textId="77777777" w:rsidR="001621DC" w:rsidRPr="00BC0CB6" w:rsidRDefault="001621DC" w:rsidP="00145F6F">
            <w:pPr>
              <w:pStyle w:val="02Tabletext"/>
            </w:pPr>
            <w:r w:rsidRPr="00BC0CB6">
              <w:t>71189</w:t>
            </w:r>
          </w:p>
        </w:tc>
        <w:tc>
          <w:tcPr>
            <w:tcW w:w="5245" w:type="dxa"/>
          </w:tcPr>
          <w:p w14:paraId="276D038A" w14:textId="77777777" w:rsidR="001621DC" w:rsidRPr="00D86DFE" w:rsidRDefault="001621DC" w:rsidP="00F238D4">
            <w:pPr>
              <w:pStyle w:val="02Tabletext"/>
            </w:pPr>
            <w:r w:rsidRPr="00E73832">
              <w:t>Detection of specific igg antibodies to 1 or more respiratory disease allergens not elsewhere specified.</w:t>
            </w:r>
          </w:p>
        </w:tc>
        <w:tc>
          <w:tcPr>
            <w:tcW w:w="1672" w:type="dxa"/>
          </w:tcPr>
          <w:p w14:paraId="1C2D9F59" w14:textId="77777777" w:rsidR="001621DC" w:rsidRDefault="001621DC" w:rsidP="00202112">
            <w:pPr>
              <w:pStyle w:val="02Tabletext"/>
            </w:pPr>
            <w:r w:rsidRPr="00E73832">
              <w:t>15.50</w:t>
            </w:r>
          </w:p>
        </w:tc>
        <w:tc>
          <w:tcPr>
            <w:tcW w:w="1134" w:type="dxa"/>
          </w:tcPr>
          <w:p w14:paraId="1D46E77C" w14:textId="77777777" w:rsidR="001621DC" w:rsidRPr="002960F6" w:rsidRDefault="001621DC" w:rsidP="00202112">
            <w:pPr>
              <w:pStyle w:val="02Tabletext"/>
            </w:pPr>
            <w:r>
              <w:t>1,872</w:t>
            </w:r>
          </w:p>
        </w:tc>
      </w:tr>
      <w:tr w:rsidR="001621DC" w:rsidRPr="00E35EA2" w14:paraId="128B6F73" w14:textId="77777777" w:rsidTr="007B6365">
        <w:tc>
          <w:tcPr>
            <w:tcW w:w="1271" w:type="dxa"/>
          </w:tcPr>
          <w:p w14:paraId="4AFC6F7A" w14:textId="77777777" w:rsidR="001621DC" w:rsidRPr="00BC0CB6" w:rsidRDefault="001621DC" w:rsidP="00145F6F">
            <w:pPr>
              <w:pStyle w:val="02Tabletext"/>
            </w:pPr>
            <w:r w:rsidRPr="00BC0CB6">
              <w:t>71192</w:t>
            </w:r>
          </w:p>
        </w:tc>
        <w:tc>
          <w:tcPr>
            <w:tcW w:w="5245" w:type="dxa"/>
          </w:tcPr>
          <w:p w14:paraId="514D7BD4" w14:textId="77777777" w:rsidR="001621DC" w:rsidRPr="00D86DFE" w:rsidRDefault="001621DC" w:rsidP="00F238D4">
            <w:pPr>
              <w:pStyle w:val="02Tabletext"/>
            </w:pPr>
            <w:r w:rsidRPr="00E73832">
              <w:t>2 items described in item 71189.</w:t>
            </w:r>
          </w:p>
        </w:tc>
        <w:tc>
          <w:tcPr>
            <w:tcW w:w="1672" w:type="dxa"/>
          </w:tcPr>
          <w:p w14:paraId="24944C0F" w14:textId="77777777" w:rsidR="001621DC" w:rsidRDefault="001621DC" w:rsidP="00202112">
            <w:pPr>
              <w:pStyle w:val="02Tabletext"/>
            </w:pPr>
            <w:r w:rsidRPr="00E73832">
              <w:t>28.35</w:t>
            </w:r>
          </w:p>
        </w:tc>
        <w:tc>
          <w:tcPr>
            <w:tcW w:w="1134" w:type="dxa"/>
          </w:tcPr>
          <w:p w14:paraId="68369F55" w14:textId="77777777" w:rsidR="001621DC" w:rsidRPr="002960F6" w:rsidRDefault="001621DC" w:rsidP="00202112">
            <w:pPr>
              <w:pStyle w:val="02Tabletext"/>
            </w:pPr>
            <w:r>
              <w:t>434</w:t>
            </w:r>
          </w:p>
        </w:tc>
      </w:tr>
      <w:tr w:rsidR="001621DC" w:rsidRPr="00E35EA2" w14:paraId="1528EF38" w14:textId="77777777" w:rsidTr="007B6365">
        <w:tc>
          <w:tcPr>
            <w:tcW w:w="1271" w:type="dxa"/>
          </w:tcPr>
          <w:p w14:paraId="0A3F5404" w14:textId="77777777" w:rsidR="001621DC" w:rsidRPr="00BC0CB6" w:rsidRDefault="001621DC" w:rsidP="00145F6F">
            <w:pPr>
              <w:pStyle w:val="02Tabletext"/>
            </w:pPr>
            <w:r w:rsidRPr="00BC0CB6">
              <w:t>71195</w:t>
            </w:r>
          </w:p>
        </w:tc>
        <w:tc>
          <w:tcPr>
            <w:tcW w:w="5245" w:type="dxa"/>
          </w:tcPr>
          <w:p w14:paraId="3A86CAA3" w14:textId="77777777" w:rsidR="001621DC" w:rsidRPr="00D86DFE" w:rsidRDefault="001621DC" w:rsidP="00F238D4">
            <w:pPr>
              <w:pStyle w:val="02Tabletext"/>
            </w:pPr>
            <w:r w:rsidRPr="00E73832">
              <w:t>3 or more items described in item 71189.</w:t>
            </w:r>
          </w:p>
        </w:tc>
        <w:tc>
          <w:tcPr>
            <w:tcW w:w="1672" w:type="dxa"/>
          </w:tcPr>
          <w:p w14:paraId="601896FF" w14:textId="77777777" w:rsidR="001621DC" w:rsidRDefault="001621DC" w:rsidP="00202112">
            <w:pPr>
              <w:pStyle w:val="02Tabletext"/>
            </w:pPr>
            <w:r w:rsidRPr="00E73832">
              <w:t>40.05</w:t>
            </w:r>
          </w:p>
        </w:tc>
        <w:tc>
          <w:tcPr>
            <w:tcW w:w="1134" w:type="dxa"/>
          </w:tcPr>
          <w:p w14:paraId="2A658EED" w14:textId="77777777" w:rsidR="001621DC" w:rsidRPr="002960F6" w:rsidRDefault="001621DC" w:rsidP="00202112">
            <w:pPr>
              <w:pStyle w:val="02Tabletext"/>
            </w:pPr>
            <w:r>
              <w:t>457</w:t>
            </w:r>
          </w:p>
        </w:tc>
      </w:tr>
      <w:tr w:rsidR="001621DC" w:rsidRPr="00E35EA2" w14:paraId="735F9315" w14:textId="77777777" w:rsidTr="007B6365">
        <w:tc>
          <w:tcPr>
            <w:tcW w:w="1271" w:type="dxa"/>
          </w:tcPr>
          <w:p w14:paraId="5E6DF801" w14:textId="77777777" w:rsidR="001621DC" w:rsidRPr="007B6365" w:rsidRDefault="001621DC" w:rsidP="00145F6F">
            <w:pPr>
              <w:pStyle w:val="02Tabletext"/>
            </w:pPr>
            <w:r w:rsidRPr="007B6365">
              <w:t>71198</w:t>
            </w:r>
          </w:p>
        </w:tc>
        <w:tc>
          <w:tcPr>
            <w:tcW w:w="5245" w:type="dxa"/>
          </w:tcPr>
          <w:p w14:paraId="3BD03533" w14:textId="77777777" w:rsidR="001621DC" w:rsidRPr="00D86DFE" w:rsidRDefault="001621DC" w:rsidP="00F238D4">
            <w:pPr>
              <w:pStyle w:val="02Tabletext"/>
            </w:pPr>
            <w:r w:rsidRPr="00F35D11">
              <w:t>Estimation of serum tryptase for the evaluation of unexplained acute hypotension or suspected anaphylactic event, assessment of risk in stinging insect anaphylaxis, exclusion of mastocytosis, monitoring of known mastocytosis.</w:t>
            </w:r>
          </w:p>
        </w:tc>
        <w:tc>
          <w:tcPr>
            <w:tcW w:w="1672" w:type="dxa"/>
          </w:tcPr>
          <w:p w14:paraId="3D95C284" w14:textId="77777777" w:rsidR="001621DC" w:rsidRDefault="001621DC" w:rsidP="00202112">
            <w:pPr>
              <w:pStyle w:val="02Tabletext"/>
            </w:pPr>
            <w:r w:rsidRPr="00F35D11">
              <w:t>40.55</w:t>
            </w:r>
          </w:p>
        </w:tc>
        <w:tc>
          <w:tcPr>
            <w:tcW w:w="1134" w:type="dxa"/>
          </w:tcPr>
          <w:p w14:paraId="35540564" w14:textId="77777777" w:rsidR="001621DC" w:rsidRPr="002960F6" w:rsidRDefault="001621DC" w:rsidP="00202112">
            <w:pPr>
              <w:pStyle w:val="02Tabletext"/>
            </w:pPr>
            <w:r>
              <w:t>11,570</w:t>
            </w:r>
          </w:p>
        </w:tc>
      </w:tr>
    </w:tbl>
    <w:p w14:paraId="349A90F4" w14:textId="77777777" w:rsidR="001621DC" w:rsidRPr="00905497" w:rsidRDefault="001621DC" w:rsidP="001621DC">
      <w:pPr>
        <w:pStyle w:val="03Tableundertext"/>
      </w:pPr>
      <w:r>
        <w:t>Source: Department of Human Services, date of processing</w:t>
      </w:r>
    </w:p>
    <w:bookmarkEnd w:id="62"/>
    <w:bookmarkEnd w:id="63"/>
    <w:p w14:paraId="28B7B217" w14:textId="77777777" w:rsidR="0036449C" w:rsidRDefault="0036449C" w:rsidP="007B6365">
      <w:pPr>
        <w:pStyle w:val="NormalBulleted"/>
        <w:numPr>
          <w:ilvl w:val="0"/>
          <w:numId w:val="0"/>
        </w:numPr>
        <w:ind w:left="426" w:hanging="426"/>
      </w:pPr>
    </w:p>
    <w:p w14:paraId="2A37E0D7" w14:textId="77777777" w:rsidR="00AC483F" w:rsidRDefault="00AC483F" w:rsidP="00E2562E">
      <w:pPr>
        <w:pStyle w:val="Heading1"/>
      </w:pPr>
      <w:bookmarkStart w:id="100" w:name="_Toc494876891"/>
      <w:bookmarkStart w:id="101" w:name="_Toc494913197"/>
      <w:bookmarkStart w:id="102" w:name="_Toc494913541"/>
      <w:bookmarkStart w:id="103" w:name="_Toc494876892"/>
      <w:bookmarkStart w:id="104" w:name="_Toc494913198"/>
      <w:bookmarkStart w:id="105" w:name="_Toc494913542"/>
      <w:bookmarkStart w:id="106" w:name="_Toc494876893"/>
      <w:bookmarkStart w:id="107" w:name="_Toc494913199"/>
      <w:bookmarkStart w:id="108" w:name="_Toc494913543"/>
      <w:bookmarkStart w:id="109" w:name="_Toc494876894"/>
      <w:bookmarkStart w:id="110" w:name="_Toc494913200"/>
      <w:bookmarkStart w:id="111" w:name="_Toc494913544"/>
      <w:bookmarkStart w:id="112" w:name="_Toc494876895"/>
      <w:bookmarkStart w:id="113" w:name="_Toc494913201"/>
      <w:bookmarkStart w:id="114" w:name="_Toc494913545"/>
      <w:bookmarkStart w:id="115" w:name="_Toc494876912"/>
      <w:bookmarkStart w:id="116" w:name="_Toc494913218"/>
      <w:bookmarkStart w:id="117" w:name="_Toc494913562"/>
      <w:bookmarkStart w:id="118" w:name="_Toc494876913"/>
      <w:bookmarkStart w:id="119" w:name="_Toc494913219"/>
      <w:bookmarkStart w:id="120" w:name="_Toc494913563"/>
      <w:bookmarkStart w:id="121" w:name="_Toc494876914"/>
      <w:bookmarkStart w:id="122" w:name="_Toc494913220"/>
      <w:bookmarkStart w:id="123" w:name="_Toc494913564"/>
      <w:bookmarkStart w:id="124" w:name="_Toc494876915"/>
      <w:bookmarkStart w:id="125" w:name="_Toc494913221"/>
      <w:bookmarkStart w:id="126" w:name="_Toc494913565"/>
      <w:bookmarkStart w:id="127" w:name="_Toc494876916"/>
      <w:bookmarkStart w:id="128" w:name="_Toc494913222"/>
      <w:bookmarkStart w:id="129" w:name="_Toc494913566"/>
      <w:bookmarkStart w:id="130" w:name="_Toc494876917"/>
      <w:bookmarkStart w:id="131" w:name="_Toc494913223"/>
      <w:bookmarkStart w:id="132" w:name="_Toc494913567"/>
      <w:bookmarkStart w:id="133" w:name="_Toc494876918"/>
      <w:bookmarkStart w:id="134" w:name="_Toc494913224"/>
      <w:bookmarkStart w:id="135" w:name="_Toc494913568"/>
      <w:bookmarkStart w:id="136" w:name="_Toc494876919"/>
      <w:bookmarkStart w:id="137" w:name="_Toc494913225"/>
      <w:bookmarkStart w:id="138" w:name="_Toc494913569"/>
      <w:bookmarkStart w:id="139" w:name="_Toc49929305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B929F0">
        <w:lastRenderedPageBreak/>
        <w:t>Referred</w:t>
      </w:r>
      <w:r>
        <w:t xml:space="preserve"> items</w:t>
      </w:r>
      <w:bookmarkEnd w:id="139"/>
    </w:p>
    <w:p w14:paraId="3CB972B2" w14:textId="77777777" w:rsidR="00AC483F" w:rsidRDefault="00AC483F" w:rsidP="0061330F">
      <w:pPr>
        <w:pStyle w:val="Heading2"/>
      </w:pPr>
      <w:bookmarkStart w:id="140" w:name="_Toc499293056"/>
      <w:r w:rsidRPr="00B929F0">
        <w:t>Erythrocyte</w:t>
      </w:r>
      <w:r>
        <w:t xml:space="preserve"> </w:t>
      </w:r>
      <w:r w:rsidRPr="0061330F">
        <w:t>sedimentation</w:t>
      </w:r>
      <w:r>
        <w:t xml:space="preserve"> rate (ESR)</w:t>
      </w:r>
      <w:bookmarkEnd w:id="140"/>
    </w:p>
    <w:p w14:paraId="3171E14B" w14:textId="77777777" w:rsidR="00AC483F" w:rsidRPr="00220EBB" w:rsidRDefault="00AC483F" w:rsidP="00AC483F">
      <w:pPr>
        <w:rPr>
          <w:lang w:val="en-US" w:eastAsia="en-US"/>
        </w:rPr>
      </w:pPr>
      <w:r>
        <w:rPr>
          <w:lang w:val="en-US" w:eastAsia="en-US"/>
        </w:rPr>
        <w:t>ESR was a priority item identified for review</w:t>
      </w:r>
      <w:r w:rsidR="00097175">
        <w:rPr>
          <w:lang w:val="en-US" w:eastAsia="en-US"/>
        </w:rPr>
        <w:t xml:space="preserve"> by the Taskforce</w:t>
      </w:r>
      <w:r>
        <w:rPr>
          <w:lang w:val="en-US" w:eastAsia="en-US"/>
        </w:rPr>
        <w:t xml:space="preserve"> following submissions from the Royal College of Pathologists of Australasia (RCPA) and Public Pathology Australia to the Taskforce. The </w:t>
      </w:r>
      <w:r w:rsidR="00F238D4">
        <w:rPr>
          <w:lang w:val="en-US" w:eastAsia="en-US"/>
        </w:rPr>
        <w:t>Committee</w:t>
      </w:r>
      <w:r>
        <w:rPr>
          <w:lang w:val="en-US" w:eastAsia="en-US"/>
        </w:rPr>
        <w:t xml:space="preserve"> sought input on ESR from both immunology and haematology experts.</w:t>
      </w:r>
    </w:p>
    <w:p w14:paraId="78DCD0C9" w14:textId="77777777" w:rsidR="006776BD" w:rsidRPr="00084AF3" w:rsidRDefault="006776BD" w:rsidP="00084AF3">
      <w:pPr>
        <w:pStyle w:val="Caption"/>
        <w:rPr>
          <w:lang w:val="en-US"/>
        </w:rPr>
      </w:pPr>
      <w:bookmarkStart w:id="141" w:name="_Toc499289273"/>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36</w:t>
      </w:r>
      <w:r w:rsidR="0004721F">
        <w:rPr>
          <w:noProof/>
        </w:rPr>
        <w:fldChar w:fldCharType="end"/>
      </w:r>
      <w:r>
        <w:t xml:space="preserve">. </w:t>
      </w:r>
      <w:r>
        <w:rPr>
          <w:lang w:val="en-US"/>
        </w:rPr>
        <w:t>Item introduction for item 65060</w:t>
      </w:r>
      <w:bookmarkEnd w:id="141"/>
    </w:p>
    <w:tbl>
      <w:tblPr>
        <w:tblStyle w:val="TableGrid1"/>
        <w:tblW w:w="9039" w:type="dxa"/>
        <w:tblLayout w:type="fixed"/>
        <w:tblLook w:val="04A0" w:firstRow="1" w:lastRow="0" w:firstColumn="1" w:lastColumn="0" w:noHBand="0" w:noVBand="1"/>
        <w:tblCaption w:val="Table 36: Item introduction table for item 65060"/>
        <w:tblDescription w:val="Table 36 contains MBS data for the single item 65060 for the financial year 2014–2015. The data includes item numbers, long item descriptors, schedule fee, total volume of services, benefits paid, patient count and services annual average growth as a pecentage over a 5 year period."/>
      </w:tblPr>
      <w:tblGrid>
        <w:gridCol w:w="776"/>
        <w:gridCol w:w="2593"/>
        <w:gridCol w:w="1021"/>
        <w:gridCol w:w="1275"/>
        <w:gridCol w:w="1276"/>
        <w:gridCol w:w="992"/>
        <w:gridCol w:w="1106"/>
      </w:tblGrid>
      <w:tr w:rsidR="00AC483F" w:rsidRPr="004C4CC7" w14:paraId="6E8B204B" w14:textId="77777777" w:rsidTr="004F17D1">
        <w:trPr>
          <w:trHeight w:val="729"/>
          <w:tblHeader/>
        </w:trPr>
        <w:tc>
          <w:tcPr>
            <w:tcW w:w="776" w:type="dxa"/>
            <w:shd w:val="clear" w:color="auto" w:fill="EEECE1" w:themeFill="background2"/>
            <w:vAlign w:val="bottom"/>
            <w:hideMark/>
          </w:tcPr>
          <w:p w14:paraId="4A42A75B" w14:textId="77777777" w:rsidR="00AC483F" w:rsidRPr="004C4CC7" w:rsidRDefault="00AC483F" w:rsidP="005E5484">
            <w:pPr>
              <w:pStyle w:val="01Tableheaderrow"/>
              <w:rPr>
                <w:lang w:val="en-GB"/>
              </w:rPr>
            </w:pPr>
            <w:r w:rsidRPr="004C4CC7">
              <w:rPr>
                <w:lang w:val="en-GB"/>
              </w:rPr>
              <w:t>Item</w:t>
            </w:r>
          </w:p>
        </w:tc>
        <w:tc>
          <w:tcPr>
            <w:tcW w:w="2593" w:type="dxa"/>
            <w:shd w:val="clear" w:color="auto" w:fill="EEECE1" w:themeFill="background2"/>
            <w:vAlign w:val="bottom"/>
            <w:hideMark/>
          </w:tcPr>
          <w:p w14:paraId="7A1B1D1B" w14:textId="77777777" w:rsidR="00AC483F" w:rsidRPr="004C4CC7" w:rsidRDefault="00AC483F" w:rsidP="005E5484">
            <w:pPr>
              <w:pStyle w:val="01Tableheaderrow"/>
              <w:rPr>
                <w:lang w:val="en-GB"/>
              </w:rPr>
            </w:pPr>
            <w:r w:rsidRPr="004C4CC7">
              <w:rPr>
                <w:lang w:val="en-GB"/>
              </w:rPr>
              <w:t>Long item descriptor</w:t>
            </w:r>
          </w:p>
        </w:tc>
        <w:tc>
          <w:tcPr>
            <w:tcW w:w="1021" w:type="dxa"/>
            <w:shd w:val="clear" w:color="auto" w:fill="EEECE1" w:themeFill="background2"/>
            <w:vAlign w:val="bottom"/>
            <w:hideMark/>
          </w:tcPr>
          <w:p w14:paraId="7D3886D9" w14:textId="77777777" w:rsidR="00AC483F" w:rsidRPr="004C4CC7" w:rsidRDefault="00AC483F" w:rsidP="005E5484">
            <w:pPr>
              <w:pStyle w:val="01Tableheaderrow"/>
              <w:rPr>
                <w:lang w:val="en-GB"/>
              </w:rPr>
            </w:pPr>
            <w:r w:rsidRPr="004C4CC7">
              <w:rPr>
                <w:lang w:val="en-GB"/>
              </w:rPr>
              <w:t>Schedule fee</w:t>
            </w:r>
          </w:p>
        </w:tc>
        <w:tc>
          <w:tcPr>
            <w:tcW w:w="1275" w:type="dxa"/>
            <w:shd w:val="clear" w:color="auto" w:fill="EEECE1" w:themeFill="background2"/>
            <w:vAlign w:val="bottom"/>
            <w:hideMark/>
          </w:tcPr>
          <w:p w14:paraId="7C9A1E5A" w14:textId="77777777" w:rsidR="00AC483F" w:rsidRPr="004C4CC7" w:rsidRDefault="00AC483F" w:rsidP="005E5484">
            <w:pPr>
              <w:pStyle w:val="01Tableheaderrow"/>
              <w:rPr>
                <w:lang w:val="en-GB"/>
              </w:rPr>
            </w:pPr>
            <w:r w:rsidRPr="004C4CC7">
              <w:rPr>
                <w:lang w:val="en-GB"/>
              </w:rPr>
              <w:t xml:space="preserve">Services </w:t>
            </w:r>
            <w:r w:rsidR="007D6844">
              <w:rPr>
                <w:lang w:val="en-GB"/>
              </w:rPr>
              <w:t>FY 2014–15</w:t>
            </w:r>
          </w:p>
        </w:tc>
        <w:tc>
          <w:tcPr>
            <w:tcW w:w="1276" w:type="dxa"/>
            <w:shd w:val="clear" w:color="auto" w:fill="EEECE1" w:themeFill="background2"/>
            <w:vAlign w:val="bottom"/>
          </w:tcPr>
          <w:p w14:paraId="3F8B55B6" w14:textId="77777777" w:rsidR="00AC483F" w:rsidRPr="004C4CC7" w:rsidRDefault="00AC483F" w:rsidP="005E5484">
            <w:pPr>
              <w:pStyle w:val="01Tableheaderrow"/>
              <w:rPr>
                <w:lang w:val="en-GB"/>
              </w:rPr>
            </w:pPr>
            <w:r w:rsidRPr="004C4CC7">
              <w:rPr>
                <w:lang w:val="en-GB"/>
              </w:rPr>
              <w:t xml:space="preserve">Benefits </w:t>
            </w:r>
            <w:r w:rsidR="007D6844">
              <w:rPr>
                <w:lang w:val="en-GB"/>
              </w:rPr>
              <w:t>FY 2014–15</w:t>
            </w:r>
          </w:p>
        </w:tc>
        <w:tc>
          <w:tcPr>
            <w:tcW w:w="992" w:type="dxa"/>
            <w:shd w:val="clear" w:color="auto" w:fill="EEECE1" w:themeFill="background2"/>
            <w:vAlign w:val="bottom"/>
            <w:hideMark/>
          </w:tcPr>
          <w:p w14:paraId="5F63FA10" w14:textId="77777777" w:rsidR="00AC483F" w:rsidRPr="004C4CC7" w:rsidRDefault="00AC483F" w:rsidP="005E5484">
            <w:pPr>
              <w:pStyle w:val="01Tableheaderrow"/>
              <w:rPr>
                <w:lang w:val="en-GB"/>
              </w:rPr>
            </w:pPr>
            <w:r w:rsidRPr="004C4CC7">
              <w:rPr>
                <w:lang w:val="en-GB"/>
              </w:rPr>
              <w:t>Patient count</w:t>
            </w:r>
          </w:p>
        </w:tc>
        <w:tc>
          <w:tcPr>
            <w:tcW w:w="1106" w:type="dxa"/>
            <w:shd w:val="clear" w:color="auto" w:fill="EEECE1" w:themeFill="background2"/>
            <w:vAlign w:val="bottom"/>
            <w:hideMark/>
          </w:tcPr>
          <w:p w14:paraId="197D1494" w14:textId="77777777" w:rsidR="00AC483F" w:rsidRPr="004C4CC7" w:rsidRDefault="00AC483F" w:rsidP="005E5484">
            <w:pPr>
              <w:pStyle w:val="01Tableheaderrow"/>
              <w:rPr>
                <w:lang w:val="en-GB"/>
              </w:rPr>
            </w:pPr>
            <w:r w:rsidRPr="004C4CC7">
              <w:rPr>
                <w:lang w:val="en-GB"/>
              </w:rPr>
              <w:t xml:space="preserve">Services 5-year </w:t>
            </w:r>
            <w:r w:rsidR="007D6844">
              <w:rPr>
                <w:lang w:val="en-GB"/>
              </w:rPr>
              <w:t>annual average growth</w:t>
            </w:r>
          </w:p>
        </w:tc>
      </w:tr>
      <w:tr w:rsidR="00AC483F" w:rsidRPr="004C4CC7" w14:paraId="182240B4" w14:textId="77777777" w:rsidTr="004F17D1">
        <w:trPr>
          <w:trHeight w:val="300"/>
        </w:trPr>
        <w:tc>
          <w:tcPr>
            <w:tcW w:w="776" w:type="dxa"/>
            <w:noWrap/>
            <w:hideMark/>
          </w:tcPr>
          <w:p w14:paraId="6A62D5BB" w14:textId="77777777" w:rsidR="00AC483F" w:rsidRPr="00B929F0" w:rsidRDefault="00AC483F" w:rsidP="005E5484">
            <w:pPr>
              <w:pStyle w:val="02Tabletext"/>
            </w:pPr>
            <w:r w:rsidRPr="00B929F0">
              <w:t>65060</w:t>
            </w:r>
          </w:p>
        </w:tc>
        <w:tc>
          <w:tcPr>
            <w:tcW w:w="2593" w:type="dxa"/>
            <w:noWrap/>
            <w:hideMark/>
          </w:tcPr>
          <w:p w14:paraId="6CAE43C4" w14:textId="77777777" w:rsidR="00AC483F" w:rsidRPr="00B929F0" w:rsidRDefault="00AC483F" w:rsidP="005E5484">
            <w:pPr>
              <w:pStyle w:val="02Tabletext"/>
            </w:pPr>
            <w:r w:rsidRPr="00B929F0">
              <w:t>Haemoglobin, erythrocyte sedimentation rate, blood viscosity -1 or more tests</w:t>
            </w:r>
          </w:p>
        </w:tc>
        <w:tc>
          <w:tcPr>
            <w:tcW w:w="1021" w:type="dxa"/>
            <w:noWrap/>
            <w:hideMark/>
          </w:tcPr>
          <w:p w14:paraId="746AB86D" w14:textId="77777777" w:rsidR="00AC483F" w:rsidRPr="00B929F0" w:rsidRDefault="00AC483F" w:rsidP="004F17D1">
            <w:pPr>
              <w:pStyle w:val="02Tabletext"/>
              <w:jc w:val="right"/>
            </w:pPr>
            <w:r w:rsidRPr="00B929F0">
              <w:t xml:space="preserve">$7.85 </w:t>
            </w:r>
          </w:p>
        </w:tc>
        <w:tc>
          <w:tcPr>
            <w:tcW w:w="1275" w:type="dxa"/>
            <w:noWrap/>
            <w:hideMark/>
          </w:tcPr>
          <w:p w14:paraId="3D32221D" w14:textId="77777777" w:rsidR="00AC483F" w:rsidRPr="00B929F0" w:rsidRDefault="00AC483F" w:rsidP="004F17D1">
            <w:pPr>
              <w:pStyle w:val="02Tabletext"/>
              <w:jc w:val="right"/>
            </w:pPr>
            <w:r w:rsidRPr="00B929F0">
              <w:t>175,678</w:t>
            </w:r>
          </w:p>
        </w:tc>
        <w:tc>
          <w:tcPr>
            <w:tcW w:w="1276" w:type="dxa"/>
          </w:tcPr>
          <w:p w14:paraId="47537765" w14:textId="77777777" w:rsidR="00AC483F" w:rsidRPr="00B929F0" w:rsidRDefault="00AC483F" w:rsidP="004F17D1">
            <w:pPr>
              <w:pStyle w:val="02Tabletext"/>
              <w:jc w:val="right"/>
            </w:pPr>
            <w:r w:rsidRPr="00B929F0">
              <w:t>$1,153,004</w:t>
            </w:r>
          </w:p>
        </w:tc>
        <w:tc>
          <w:tcPr>
            <w:tcW w:w="992" w:type="dxa"/>
            <w:noWrap/>
            <w:hideMark/>
          </w:tcPr>
          <w:p w14:paraId="681834C2" w14:textId="77777777" w:rsidR="00AC483F" w:rsidRPr="00B929F0" w:rsidRDefault="00AC483F" w:rsidP="004F17D1">
            <w:pPr>
              <w:pStyle w:val="02Tabletext"/>
              <w:jc w:val="right"/>
            </w:pPr>
            <w:r w:rsidRPr="00B929F0">
              <w:t>137,360</w:t>
            </w:r>
          </w:p>
        </w:tc>
        <w:tc>
          <w:tcPr>
            <w:tcW w:w="1106" w:type="dxa"/>
            <w:noWrap/>
            <w:hideMark/>
          </w:tcPr>
          <w:p w14:paraId="03ACD2DE" w14:textId="77777777" w:rsidR="00AC483F" w:rsidRPr="00B929F0" w:rsidRDefault="00456424" w:rsidP="004F17D1">
            <w:pPr>
              <w:pStyle w:val="02Tabletext"/>
              <w:jc w:val="right"/>
            </w:pPr>
            <w:r>
              <w:t>–</w:t>
            </w:r>
            <w:r w:rsidR="00AC483F" w:rsidRPr="00B929F0">
              <w:t>3.2%</w:t>
            </w:r>
          </w:p>
        </w:tc>
      </w:tr>
    </w:tbl>
    <w:p w14:paraId="7518F9C0" w14:textId="77777777" w:rsidR="00AC483F" w:rsidRDefault="00AC483F" w:rsidP="00463C3C">
      <w:pPr>
        <w:pStyle w:val="Heading3Numbered"/>
      </w:pPr>
      <w:r>
        <w:t>Recommendation</w:t>
      </w:r>
      <w:r w:rsidR="00202112">
        <w:t xml:space="preserve"> 20</w:t>
      </w:r>
    </w:p>
    <w:p w14:paraId="5A323C13" w14:textId="77777777" w:rsidR="00AC483F" w:rsidRDefault="00AC483F" w:rsidP="00463C3C">
      <w:pPr>
        <w:pStyle w:val="NormalBulleted"/>
      </w:pPr>
      <w:r>
        <w:t>The Committee proposes to leave ESR unchanged on the MBS.</w:t>
      </w:r>
    </w:p>
    <w:p w14:paraId="54379286" w14:textId="77777777" w:rsidR="00AC483F" w:rsidRDefault="00AC483F" w:rsidP="00463C3C">
      <w:pPr>
        <w:pStyle w:val="Heading3Numbered"/>
      </w:pPr>
      <w:r>
        <w:t>Rationale</w:t>
      </w:r>
      <w:r w:rsidR="00202112">
        <w:t xml:space="preserve"> 20</w:t>
      </w:r>
    </w:p>
    <w:p w14:paraId="72FCEE8D" w14:textId="77777777" w:rsidR="00AC483F" w:rsidRDefault="00AC483F" w:rsidP="00AC483F">
      <w:pPr>
        <w:pStyle w:val="NormalBulleted"/>
        <w:rPr>
          <w:lang w:val="en-US"/>
        </w:rPr>
      </w:pPr>
      <w:r w:rsidRPr="005E238F">
        <w:rPr>
          <w:lang w:val="en-US"/>
        </w:rPr>
        <w:t>The</w:t>
      </w:r>
      <w:r>
        <w:rPr>
          <w:lang w:val="en-US"/>
        </w:rPr>
        <w:t xml:space="preserve"> Committee discussed the ESR literature review and noted</w:t>
      </w:r>
      <w:r w:rsidRPr="005E238F">
        <w:rPr>
          <w:lang w:val="en-US"/>
        </w:rPr>
        <w:t xml:space="preserve"> </w:t>
      </w:r>
      <w:r>
        <w:rPr>
          <w:lang w:val="en-US"/>
        </w:rPr>
        <w:t xml:space="preserve">its </w:t>
      </w:r>
      <w:r w:rsidRPr="005E238F">
        <w:rPr>
          <w:lang w:val="en-US"/>
        </w:rPr>
        <w:t>findings and limitations.</w:t>
      </w:r>
      <w:r>
        <w:rPr>
          <w:lang w:val="en-US"/>
        </w:rPr>
        <w:t xml:space="preserve"> </w:t>
      </w:r>
    </w:p>
    <w:p w14:paraId="6C588930" w14:textId="77777777" w:rsidR="00AC483F" w:rsidRDefault="00AC483F" w:rsidP="00AC483F">
      <w:pPr>
        <w:pStyle w:val="NormalBulleted"/>
        <w:rPr>
          <w:lang w:val="en-US"/>
        </w:rPr>
      </w:pPr>
      <w:r>
        <w:rPr>
          <w:lang w:val="en-US"/>
        </w:rPr>
        <w:t>The Committee noted that p</w:t>
      </w:r>
      <w:r w:rsidRPr="00E832D1">
        <w:rPr>
          <w:lang w:val="en-US"/>
        </w:rPr>
        <w:t xml:space="preserve">atients </w:t>
      </w:r>
      <w:r>
        <w:rPr>
          <w:lang w:val="en-US"/>
        </w:rPr>
        <w:t>may require</w:t>
      </w:r>
      <w:r w:rsidRPr="00E832D1">
        <w:rPr>
          <w:lang w:val="en-US"/>
        </w:rPr>
        <w:t xml:space="preserve"> </w:t>
      </w:r>
      <w:r>
        <w:rPr>
          <w:lang w:val="en-US"/>
        </w:rPr>
        <w:t>ESR</w:t>
      </w:r>
      <w:r w:rsidRPr="00E832D1">
        <w:rPr>
          <w:lang w:val="en-US"/>
        </w:rPr>
        <w:t xml:space="preserve"> </w:t>
      </w:r>
      <w:r>
        <w:rPr>
          <w:lang w:val="en-US"/>
        </w:rPr>
        <w:t>testing</w:t>
      </w:r>
      <w:r w:rsidRPr="00E832D1">
        <w:rPr>
          <w:lang w:val="en-US"/>
        </w:rPr>
        <w:t xml:space="preserve"> </w:t>
      </w:r>
      <w:r>
        <w:rPr>
          <w:lang w:val="en-US"/>
        </w:rPr>
        <w:t xml:space="preserve">to be eligible to access </w:t>
      </w:r>
      <w:r w:rsidRPr="00BB019E">
        <w:rPr>
          <w:lang w:val="en-US"/>
        </w:rPr>
        <w:t>biological disease modifying anti-rheumatic drugs (bDMARDs)</w:t>
      </w:r>
      <w:r>
        <w:rPr>
          <w:lang w:val="en-US"/>
        </w:rPr>
        <w:t xml:space="preserve"> through the </w:t>
      </w:r>
      <w:r w:rsidR="00F238D4">
        <w:rPr>
          <w:lang w:val="en-US"/>
        </w:rPr>
        <w:t>PBS</w:t>
      </w:r>
      <w:r>
        <w:rPr>
          <w:lang w:val="en-US"/>
        </w:rPr>
        <w:t xml:space="preserve">. Although </w:t>
      </w:r>
      <w:r w:rsidR="00F238D4">
        <w:rPr>
          <w:lang w:val="en-US"/>
        </w:rPr>
        <w:t>CRP</w:t>
      </w:r>
      <w:r>
        <w:rPr>
          <w:lang w:val="en-US"/>
        </w:rPr>
        <w:t xml:space="preserve"> testing can also be used for </w:t>
      </w:r>
      <w:r w:rsidR="00FE5496">
        <w:rPr>
          <w:lang w:val="en-US"/>
        </w:rPr>
        <w:t xml:space="preserve">most </w:t>
      </w:r>
      <w:r>
        <w:rPr>
          <w:lang w:val="en-US"/>
        </w:rPr>
        <w:t>patients, ESR still plays a role in determining which</w:t>
      </w:r>
      <w:r w:rsidR="00FE5496">
        <w:rPr>
          <w:lang w:val="en-US"/>
        </w:rPr>
        <w:t xml:space="preserve"> patients should initiate and/or continue</w:t>
      </w:r>
      <w:r>
        <w:rPr>
          <w:lang w:val="en-US"/>
        </w:rPr>
        <w:t xml:space="preserve"> </w:t>
      </w:r>
      <w:r w:rsidRPr="00786546">
        <w:rPr>
          <w:lang w:val="en-US"/>
        </w:rPr>
        <w:t>bDMARD therapy</w:t>
      </w:r>
      <w:r>
        <w:rPr>
          <w:lang w:val="en-US"/>
        </w:rPr>
        <w:t>.</w:t>
      </w:r>
    </w:p>
    <w:p w14:paraId="1B93DAEB" w14:textId="77777777" w:rsidR="00AC483F" w:rsidRPr="005E238F" w:rsidRDefault="00AC483F" w:rsidP="00AC483F">
      <w:pPr>
        <w:rPr>
          <w:lang w:val="en-US"/>
        </w:rPr>
      </w:pPr>
      <w:r w:rsidRPr="005E238F">
        <w:rPr>
          <w:lang w:val="en-US"/>
        </w:rPr>
        <w:t>The</w:t>
      </w:r>
      <w:r>
        <w:rPr>
          <w:lang w:val="en-US"/>
        </w:rPr>
        <w:t xml:space="preserve"> Committee noted the following issues with ESR:</w:t>
      </w:r>
    </w:p>
    <w:p w14:paraId="1242332E" w14:textId="77777777" w:rsidR="00AC483F" w:rsidRPr="005E238F" w:rsidRDefault="00AC483F" w:rsidP="00AC483F">
      <w:pPr>
        <w:pStyle w:val="NormalBulleted"/>
        <w:rPr>
          <w:lang w:val="en-US"/>
        </w:rPr>
      </w:pPr>
      <w:r w:rsidRPr="005E238F">
        <w:rPr>
          <w:lang w:val="en-US"/>
        </w:rPr>
        <w:t xml:space="preserve">ESR is very likely to have inferior performance to </w:t>
      </w:r>
      <w:r w:rsidR="00FE5496">
        <w:rPr>
          <w:lang w:val="en-US"/>
        </w:rPr>
        <w:t xml:space="preserve">that of </w:t>
      </w:r>
      <w:r w:rsidRPr="005E238F">
        <w:rPr>
          <w:lang w:val="en-US"/>
        </w:rPr>
        <w:t>CRP for detection of inflammation.</w:t>
      </w:r>
    </w:p>
    <w:p w14:paraId="10B21BF8" w14:textId="77777777" w:rsidR="00AC483F" w:rsidRPr="005E238F" w:rsidRDefault="00AC483F" w:rsidP="00AC483F">
      <w:pPr>
        <w:pStyle w:val="NormalBulleted"/>
        <w:rPr>
          <w:lang w:val="en-US"/>
        </w:rPr>
      </w:pPr>
      <w:r w:rsidRPr="005E238F">
        <w:rPr>
          <w:lang w:val="en-US"/>
        </w:rPr>
        <w:t>Biological variance between individuals is the reason that occasional samples are discordant in favour of ESR over CRP, and not reflective of a higher assay performance</w:t>
      </w:r>
      <w:r w:rsidR="00FE5496">
        <w:rPr>
          <w:lang w:val="en-US"/>
        </w:rPr>
        <w:t>.</w:t>
      </w:r>
    </w:p>
    <w:p w14:paraId="1BE7ABAC" w14:textId="77777777" w:rsidR="00AC483F" w:rsidRPr="005E238F" w:rsidRDefault="00AC483F" w:rsidP="00AC483F">
      <w:pPr>
        <w:pStyle w:val="NormalBulleted"/>
        <w:rPr>
          <w:lang w:val="en-US"/>
        </w:rPr>
      </w:pPr>
      <w:r w:rsidRPr="005E238F">
        <w:rPr>
          <w:lang w:val="en-US"/>
        </w:rPr>
        <w:t>Every time inflammatory biomarkers are evaluated head-to-head (</w:t>
      </w:r>
      <w:r w:rsidR="00A8488B">
        <w:rPr>
          <w:lang w:val="en-US"/>
        </w:rPr>
        <w:t>i.e.</w:t>
      </w:r>
      <w:r w:rsidRPr="005E238F">
        <w:rPr>
          <w:lang w:val="en-US"/>
        </w:rPr>
        <w:t xml:space="preserve"> each time a new marker </w:t>
      </w:r>
      <w:r w:rsidR="00FE5496">
        <w:rPr>
          <w:lang w:val="en-US"/>
        </w:rPr>
        <w:t>be</w:t>
      </w:r>
      <w:r w:rsidRPr="005E238F">
        <w:rPr>
          <w:lang w:val="en-US"/>
        </w:rPr>
        <w:t xml:space="preserve">comes </w:t>
      </w:r>
      <w:r w:rsidR="00FE5496">
        <w:rPr>
          <w:lang w:val="en-US"/>
        </w:rPr>
        <w:t>available</w:t>
      </w:r>
      <w:r w:rsidR="00F238D4">
        <w:rPr>
          <w:lang w:val="en-US"/>
        </w:rPr>
        <w:t>, such as</w:t>
      </w:r>
      <w:r w:rsidR="00FE5496">
        <w:rPr>
          <w:lang w:val="en-US"/>
        </w:rPr>
        <w:t xml:space="preserve"> CD64, sCD14, PCT</w:t>
      </w:r>
      <w:r w:rsidR="00F238D4">
        <w:rPr>
          <w:lang w:val="en-US"/>
        </w:rPr>
        <w:t xml:space="preserve"> and</w:t>
      </w:r>
      <w:r w:rsidR="00FE5496">
        <w:rPr>
          <w:lang w:val="en-US"/>
        </w:rPr>
        <w:t xml:space="preserve"> SOFA</w:t>
      </w:r>
      <w:r w:rsidRPr="005E238F">
        <w:rPr>
          <w:lang w:val="en-US"/>
        </w:rPr>
        <w:t>)</w:t>
      </w:r>
      <w:r w:rsidR="00FE5496">
        <w:rPr>
          <w:lang w:val="en-US"/>
        </w:rPr>
        <w:t>,</w:t>
      </w:r>
      <w:r w:rsidRPr="005E238F">
        <w:rPr>
          <w:lang w:val="en-US"/>
        </w:rPr>
        <w:t xml:space="preserve"> CRP outperforms ESR. Unfortunately historical indications (</w:t>
      </w:r>
      <w:r w:rsidR="00FE5496">
        <w:rPr>
          <w:lang w:val="en-US"/>
        </w:rPr>
        <w:t>e.g.</w:t>
      </w:r>
      <w:r w:rsidRPr="005E238F">
        <w:rPr>
          <w:lang w:val="en-US"/>
        </w:rPr>
        <w:t xml:space="preserve"> osteomyelitis, Hodgkin's disease) are not being revisited in this way, therefore there is an absence of evidence.</w:t>
      </w:r>
    </w:p>
    <w:p w14:paraId="21B1B044" w14:textId="77777777" w:rsidR="00AC483F" w:rsidRPr="005E238F" w:rsidRDefault="00AC483F" w:rsidP="00AC483F">
      <w:pPr>
        <w:pStyle w:val="NormalBulleted"/>
        <w:rPr>
          <w:lang w:val="en-US"/>
        </w:rPr>
      </w:pPr>
      <w:r w:rsidRPr="005E238F">
        <w:rPr>
          <w:lang w:val="en-US"/>
        </w:rPr>
        <w:t>On the other hand</w:t>
      </w:r>
      <w:r w:rsidR="00FE5496">
        <w:rPr>
          <w:lang w:val="en-US"/>
        </w:rPr>
        <w:t>,</w:t>
      </w:r>
      <w:r w:rsidRPr="005E238F">
        <w:rPr>
          <w:lang w:val="en-US"/>
        </w:rPr>
        <w:t xml:space="preserve"> for H</w:t>
      </w:r>
      <w:r>
        <w:rPr>
          <w:lang w:val="en-US"/>
        </w:rPr>
        <w:t>odgkin’s disease</w:t>
      </w:r>
      <w:r w:rsidR="00FE5496">
        <w:rPr>
          <w:lang w:val="en-US"/>
        </w:rPr>
        <w:t xml:space="preserve">, </w:t>
      </w:r>
      <w:r w:rsidRPr="005E238F">
        <w:rPr>
          <w:lang w:val="en-US"/>
        </w:rPr>
        <w:t>for example</w:t>
      </w:r>
      <w:r w:rsidR="00FE5496">
        <w:rPr>
          <w:lang w:val="en-US"/>
        </w:rPr>
        <w:t>,</w:t>
      </w:r>
      <w:r w:rsidRPr="005E238F">
        <w:rPr>
          <w:lang w:val="en-US"/>
        </w:rPr>
        <w:t xml:space="preserve"> the </w:t>
      </w:r>
      <w:r>
        <w:rPr>
          <w:lang w:val="en-US"/>
        </w:rPr>
        <w:t>European Organisation for Research and Treatment of Cancer (</w:t>
      </w:r>
      <w:r w:rsidRPr="005E238F">
        <w:rPr>
          <w:lang w:val="en-US"/>
        </w:rPr>
        <w:t>EORTC</w:t>
      </w:r>
      <w:r>
        <w:rPr>
          <w:lang w:val="en-US"/>
        </w:rPr>
        <w:t>)</w:t>
      </w:r>
      <w:r w:rsidRPr="005E238F">
        <w:rPr>
          <w:lang w:val="en-US"/>
        </w:rPr>
        <w:t xml:space="preserve">, </w:t>
      </w:r>
      <w:r>
        <w:rPr>
          <w:lang w:val="en-US"/>
        </w:rPr>
        <w:t>National Cancer Institute of Canada (</w:t>
      </w:r>
      <w:r w:rsidRPr="005E238F">
        <w:rPr>
          <w:lang w:val="en-US"/>
        </w:rPr>
        <w:t>NCIC</w:t>
      </w:r>
      <w:r>
        <w:rPr>
          <w:lang w:val="en-US"/>
        </w:rPr>
        <w:t>)</w:t>
      </w:r>
      <w:r w:rsidRPr="005E238F">
        <w:rPr>
          <w:lang w:val="en-US"/>
        </w:rPr>
        <w:t xml:space="preserve">, and </w:t>
      </w:r>
      <w:r>
        <w:rPr>
          <w:lang w:val="en-US"/>
        </w:rPr>
        <w:t>German Study Hodgkin Lymphoma Study Group (</w:t>
      </w:r>
      <w:r w:rsidRPr="005E238F">
        <w:rPr>
          <w:lang w:val="en-US"/>
        </w:rPr>
        <w:t>GSHG</w:t>
      </w:r>
      <w:r>
        <w:rPr>
          <w:lang w:val="en-US"/>
        </w:rPr>
        <w:t>)</w:t>
      </w:r>
      <w:r w:rsidRPr="005E238F">
        <w:rPr>
          <w:lang w:val="en-US"/>
        </w:rPr>
        <w:t xml:space="preserve"> use ESR (50</w:t>
      </w:r>
      <w:r w:rsidR="008B0143">
        <w:rPr>
          <w:lang w:val="en-US"/>
        </w:rPr>
        <w:t> </w:t>
      </w:r>
      <w:r w:rsidRPr="005E238F">
        <w:rPr>
          <w:lang w:val="en-US"/>
        </w:rPr>
        <w:t>mm/h</w:t>
      </w:r>
      <w:r w:rsidR="008B0143">
        <w:rPr>
          <w:lang w:val="en-US"/>
        </w:rPr>
        <w:t>ou</w:t>
      </w:r>
      <w:r w:rsidRPr="005E238F">
        <w:rPr>
          <w:lang w:val="en-US"/>
        </w:rPr>
        <w:t>r if no B symptoms, 30</w:t>
      </w:r>
      <w:r w:rsidR="008B0143">
        <w:rPr>
          <w:lang w:val="en-US"/>
        </w:rPr>
        <w:t> </w:t>
      </w:r>
      <w:r w:rsidRPr="005E238F">
        <w:rPr>
          <w:lang w:val="en-US"/>
        </w:rPr>
        <w:t>mm/h</w:t>
      </w:r>
      <w:r w:rsidR="008B0143">
        <w:rPr>
          <w:lang w:val="en-US"/>
        </w:rPr>
        <w:t>ou</w:t>
      </w:r>
      <w:r w:rsidRPr="005E238F">
        <w:rPr>
          <w:lang w:val="en-US"/>
        </w:rPr>
        <w:t>r with B symptoms), but other scoring systems such as the</w:t>
      </w:r>
      <w:r>
        <w:rPr>
          <w:lang w:val="en-US"/>
        </w:rPr>
        <w:t xml:space="preserve"> </w:t>
      </w:r>
      <w:r w:rsidRPr="005E238F">
        <w:rPr>
          <w:lang w:val="en-US"/>
        </w:rPr>
        <w:t>Hasencleaver use WBC instead. Some might consider that this suggests a WBC might be of comparable performance</w:t>
      </w:r>
      <w:r w:rsidR="008B0143">
        <w:rPr>
          <w:lang w:val="en-US"/>
        </w:rPr>
        <w:t>.</w:t>
      </w:r>
    </w:p>
    <w:p w14:paraId="38C3DED2" w14:textId="77777777" w:rsidR="00AC483F" w:rsidRPr="005E238F" w:rsidRDefault="00A32184" w:rsidP="00AC483F">
      <w:pPr>
        <w:pStyle w:val="NormalBulleted"/>
        <w:rPr>
          <w:lang w:val="en-US"/>
        </w:rPr>
      </w:pPr>
      <w:r>
        <w:rPr>
          <w:lang w:val="en-US"/>
        </w:rPr>
        <w:t>In regard</w:t>
      </w:r>
      <w:r w:rsidR="00AC483F" w:rsidRPr="005E238F">
        <w:rPr>
          <w:lang w:val="en-US"/>
        </w:rPr>
        <w:t xml:space="preserve"> to sepsis and infection, these are all disappointing in studies with wider recruitment. Respiratory rate is a very good bioma</w:t>
      </w:r>
      <w:r>
        <w:rPr>
          <w:lang w:val="en-US"/>
        </w:rPr>
        <w:t>rker for sepsis, and much under-</w:t>
      </w:r>
      <w:r w:rsidR="00AC483F" w:rsidRPr="005E238F">
        <w:rPr>
          <w:lang w:val="en-US"/>
        </w:rPr>
        <w:t>used.</w:t>
      </w:r>
    </w:p>
    <w:p w14:paraId="4D47E805" w14:textId="77777777" w:rsidR="00AC483F" w:rsidRPr="005E238F" w:rsidRDefault="00AC483F" w:rsidP="00AC483F">
      <w:pPr>
        <w:pStyle w:val="NormalBulleted"/>
        <w:rPr>
          <w:lang w:val="en-US"/>
        </w:rPr>
      </w:pPr>
      <w:r>
        <w:rPr>
          <w:lang w:val="en-US"/>
        </w:rPr>
        <w:t>There</w:t>
      </w:r>
      <w:r w:rsidRPr="005E238F">
        <w:rPr>
          <w:lang w:val="en-US"/>
        </w:rPr>
        <w:t xml:space="preserve"> is low clinical utility for the ESR item and the test is variable. </w:t>
      </w:r>
    </w:p>
    <w:p w14:paraId="5A9CD777" w14:textId="77777777" w:rsidR="00AC483F" w:rsidRPr="00084AF3" w:rsidRDefault="00AC483F" w:rsidP="00463C3C">
      <w:pPr>
        <w:pStyle w:val="NormalBulleted"/>
      </w:pPr>
      <w:r w:rsidRPr="00F238D4">
        <w:rPr>
          <w:lang w:val="en-US"/>
        </w:rPr>
        <w:t>ESR is considered to have a limited clinical role</w:t>
      </w:r>
      <w:r w:rsidRPr="00202112">
        <w:rPr>
          <w:lang w:val="en-US"/>
        </w:rPr>
        <w:t>; however, international clinical guidelines still mention the use of ESR. It would be challenging to remove this test from the MBS without significant clinical ‘push back’.</w:t>
      </w:r>
    </w:p>
    <w:p w14:paraId="4E02CD4A" w14:textId="77777777" w:rsidR="00D561B4" w:rsidRDefault="007B6365" w:rsidP="0061330F">
      <w:pPr>
        <w:pStyle w:val="Heading1"/>
      </w:pPr>
      <w:bookmarkStart w:id="142" w:name="_Toc499293057"/>
      <w:r>
        <w:lastRenderedPageBreak/>
        <w:t>Recommendations to</w:t>
      </w:r>
      <w:r w:rsidR="00F238D4">
        <w:t xml:space="preserve"> the</w:t>
      </w:r>
      <w:r>
        <w:t xml:space="preserve"> Medical Services Advisory Committee</w:t>
      </w:r>
      <w:bookmarkEnd w:id="142"/>
    </w:p>
    <w:p w14:paraId="5C8A80A6" w14:textId="77777777" w:rsidR="007B6365" w:rsidRPr="007B6365" w:rsidRDefault="007B6365" w:rsidP="007B6365">
      <w:pPr>
        <w:rPr>
          <w:lang w:val="en-US" w:eastAsia="en-US"/>
        </w:rPr>
      </w:pPr>
      <w:r>
        <w:rPr>
          <w:lang w:val="en-US" w:eastAsia="en-US"/>
        </w:rPr>
        <w:t>The Committee has also developed provisional recommendations for the consideration of other committees. The item-level recommendations can found below.</w:t>
      </w:r>
    </w:p>
    <w:p w14:paraId="4876484E" w14:textId="77777777" w:rsidR="00D561B4" w:rsidRDefault="00D561B4" w:rsidP="00E2562E">
      <w:pPr>
        <w:pStyle w:val="Heading2"/>
      </w:pPr>
      <w:bookmarkStart w:id="143" w:name="_Toc499293058"/>
      <w:r>
        <w:t xml:space="preserve">Neuromyelitis </w:t>
      </w:r>
      <w:r w:rsidR="00196C58">
        <w:t xml:space="preserve">optica </w:t>
      </w:r>
      <w:r>
        <w:t>(NMO) antibody testing</w:t>
      </w:r>
      <w:bookmarkEnd w:id="143"/>
    </w:p>
    <w:p w14:paraId="7CC0B6AB" w14:textId="77777777" w:rsidR="00D561B4" w:rsidRDefault="00D561B4" w:rsidP="00463C3C">
      <w:pPr>
        <w:pStyle w:val="Heading3Numbered"/>
      </w:pPr>
      <w:r>
        <w:t>Recommendation</w:t>
      </w:r>
      <w:r w:rsidR="00202112">
        <w:t xml:space="preserve"> 21</w:t>
      </w:r>
    </w:p>
    <w:p w14:paraId="082CB244" w14:textId="77777777" w:rsidR="00D561B4" w:rsidRDefault="00D561B4">
      <w:pPr>
        <w:pStyle w:val="NormalBulleted"/>
      </w:pPr>
      <w:r>
        <w:t>Create a new item for NMO-antibody testing with the following item descriptor wording:</w:t>
      </w:r>
    </w:p>
    <w:p w14:paraId="35BF7CCC" w14:textId="77777777" w:rsidR="00AD2E2D" w:rsidRDefault="00D561B4" w:rsidP="00463C3C">
      <w:pPr>
        <w:pStyle w:val="Bullet2"/>
      </w:pPr>
      <w:r w:rsidRPr="00AD2E2D">
        <w:t>To investigate the presence of neuromyelitis optica by the detection of aquaporin</w:t>
      </w:r>
      <w:r w:rsidR="00B86674">
        <w:t xml:space="preserve"> </w:t>
      </w:r>
      <w:r w:rsidRPr="00AD2E2D">
        <w:t xml:space="preserve">4 antibodies in serum and/or </w:t>
      </w:r>
      <w:r w:rsidR="00463C3C">
        <w:t>cerebrospinal fluid (</w:t>
      </w:r>
      <w:r w:rsidRPr="00AD2E2D">
        <w:t>CSF</w:t>
      </w:r>
      <w:r w:rsidR="00463C3C">
        <w:t>)</w:t>
      </w:r>
      <w:r w:rsidRPr="00AD2E2D">
        <w:t>.</w:t>
      </w:r>
    </w:p>
    <w:p w14:paraId="0E236A64" w14:textId="77777777" w:rsidR="00D561B4" w:rsidRDefault="00D561B4" w:rsidP="00463C3C">
      <w:pPr>
        <w:pStyle w:val="Heading3Numbered"/>
      </w:pPr>
      <w:r>
        <w:t>Rationale</w:t>
      </w:r>
      <w:r w:rsidR="00202112">
        <w:t xml:space="preserve"> 21</w:t>
      </w:r>
    </w:p>
    <w:p w14:paraId="7FB52E5B" w14:textId="77777777" w:rsidR="00D561B4" w:rsidRDefault="00D561B4">
      <w:pPr>
        <w:pStyle w:val="NormalBulleted"/>
        <w:rPr>
          <w:lang w:val="en-US" w:eastAsia="en-US"/>
        </w:rPr>
      </w:pPr>
      <w:r>
        <w:rPr>
          <w:lang w:val="en-US" w:eastAsia="en-US"/>
        </w:rPr>
        <w:t>The Committee recognises that the current MBS does not reflect current clinical practice and proposes that a new item be created for this test to be remunerated within the MBS.</w:t>
      </w:r>
    </w:p>
    <w:p w14:paraId="64C04374" w14:textId="77777777" w:rsidR="00B86674" w:rsidRDefault="00D561B4">
      <w:pPr>
        <w:pStyle w:val="NormalBulleted"/>
        <w:rPr>
          <w:lang w:val="en-US" w:eastAsia="en-US"/>
        </w:rPr>
      </w:pPr>
      <w:r>
        <w:rPr>
          <w:lang w:val="en-US" w:eastAsia="en-US"/>
        </w:rPr>
        <w:t xml:space="preserve">An NMO test is a test has been in clinical use for 10 years and is used to diagnose a treatable disease known </w:t>
      </w:r>
      <w:r w:rsidRPr="0002760D">
        <w:rPr>
          <w:lang w:val="en-US" w:eastAsia="en-US"/>
        </w:rPr>
        <w:t>as neuromyelitis optica. This disease is</w:t>
      </w:r>
      <w:r>
        <w:rPr>
          <w:lang w:val="en-US" w:eastAsia="en-US"/>
        </w:rPr>
        <w:t xml:space="preserve"> similar to multiple sclerosis and </w:t>
      </w:r>
      <w:r w:rsidRPr="0002760D">
        <w:rPr>
          <w:lang w:val="en-US" w:eastAsia="en-US"/>
        </w:rPr>
        <w:t>presents with optic neuritis an</w:t>
      </w:r>
      <w:r>
        <w:rPr>
          <w:lang w:val="en-US" w:eastAsia="en-US"/>
        </w:rPr>
        <w:t xml:space="preserve">d spinal cord inflammation that </w:t>
      </w:r>
      <w:r w:rsidRPr="0002760D">
        <w:rPr>
          <w:lang w:val="en-US" w:eastAsia="en-US"/>
        </w:rPr>
        <w:t>can lead to paraplegia and blindness.</w:t>
      </w:r>
    </w:p>
    <w:p w14:paraId="3EE8B6A5" w14:textId="77777777" w:rsidR="00B86674" w:rsidRDefault="00D561B4">
      <w:pPr>
        <w:pStyle w:val="NormalBulleted"/>
        <w:rPr>
          <w:lang w:val="en-US" w:eastAsia="en-US"/>
        </w:rPr>
      </w:pPr>
      <w:r w:rsidRPr="0002760D">
        <w:rPr>
          <w:lang w:val="en-US" w:eastAsia="en-US"/>
        </w:rPr>
        <w:t>The disease can be diagnosed by other methods</w:t>
      </w:r>
      <w:r w:rsidR="00B86674">
        <w:rPr>
          <w:lang w:val="en-US" w:eastAsia="en-US"/>
        </w:rPr>
        <w:t xml:space="preserve">; </w:t>
      </w:r>
      <w:r w:rsidRPr="0002760D">
        <w:rPr>
          <w:lang w:val="en-US" w:eastAsia="en-US"/>
        </w:rPr>
        <w:t>however</w:t>
      </w:r>
      <w:r w:rsidR="00B86674">
        <w:rPr>
          <w:lang w:val="en-US" w:eastAsia="en-US"/>
        </w:rPr>
        <w:t>,</w:t>
      </w:r>
      <w:r w:rsidRPr="0002760D">
        <w:rPr>
          <w:lang w:val="en-US" w:eastAsia="en-US"/>
        </w:rPr>
        <w:t xml:space="preserve"> this test provides a rapid diagnosis in young people. This test is important as it helps with diagnosis of neuromyelitis optica and it leads to specific treatment early </w:t>
      </w:r>
      <w:r>
        <w:rPr>
          <w:lang w:val="en-US" w:eastAsia="en-US"/>
        </w:rPr>
        <w:t xml:space="preserve">in </w:t>
      </w:r>
      <w:r w:rsidRPr="0002760D">
        <w:rPr>
          <w:lang w:val="en-US" w:eastAsia="en-US"/>
        </w:rPr>
        <w:t>the course of the disease that can have a significant impact on patient outcomes.</w:t>
      </w:r>
    </w:p>
    <w:p w14:paraId="00B3BB4D" w14:textId="77777777" w:rsidR="00D561B4" w:rsidRDefault="00B86674">
      <w:pPr>
        <w:pStyle w:val="NormalBulleted"/>
        <w:rPr>
          <w:lang w:val="en-US" w:eastAsia="en-US"/>
        </w:rPr>
      </w:pPr>
      <w:r>
        <w:rPr>
          <w:lang w:val="en-US" w:eastAsia="en-US"/>
        </w:rPr>
        <w:t>U</w:t>
      </w:r>
      <w:r w:rsidR="00D561B4" w:rsidRPr="0002760D">
        <w:rPr>
          <w:lang w:val="en-US" w:eastAsia="en-US"/>
        </w:rPr>
        <w:t>se of this test is supported by the International consensus diagnostic criteria for neuromyelitis optica spectrum disorder.</w:t>
      </w:r>
      <w:r w:rsidR="005A1792">
        <w:rPr>
          <w:lang w:val="en-US" w:eastAsia="en-US"/>
        </w:rPr>
        <w:fldChar w:fldCharType="begin">
          <w:fldData xml:space="preserve">PEVuZE5vdGU+PENpdGU+PEF1dGhvcj5XaW5nZXJjaHVrPC9BdXRob3I+PFllYXI+MjAxNTwvWWVh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==
</w:fldData>
        </w:fldChar>
      </w:r>
      <w:r w:rsidR="00F304E9">
        <w:rPr>
          <w:lang w:val="en-US" w:eastAsia="en-US"/>
        </w:rPr>
        <w:instrText xml:space="preserve"> ADDIN EN.CITE </w:instrText>
      </w:r>
      <w:r w:rsidR="00F304E9">
        <w:rPr>
          <w:lang w:val="en-US" w:eastAsia="en-US"/>
        </w:rPr>
        <w:fldChar w:fldCharType="begin">
          <w:fldData xml:space="preserve">PEVuZE5vdGU+PENpdGU+PEF1dGhvcj5XaW5nZXJjaHVrPC9BdXRob3I+PFllYXI+MjAxNTwvWWVh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==
</w:fldData>
        </w:fldChar>
      </w:r>
      <w:r w:rsidR="00F304E9">
        <w:rPr>
          <w:lang w:val="en-US" w:eastAsia="en-US"/>
        </w:rPr>
        <w:instrText xml:space="preserve"> ADDIN EN.CITE.DATA </w:instrText>
      </w:r>
      <w:r w:rsidR="00F304E9">
        <w:rPr>
          <w:lang w:val="en-US" w:eastAsia="en-US"/>
        </w:rPr>
      </w:r>
      <w:r w:rsidR="00F304E9">
        <w:rPr>
          <w:lang w:val="en-US" w:eastAsia="en-US"/>
        </w:rPr>
        <w:fldChar w:fldCharType="end"/>
      </w:r>
      <w:r w:rsidR="005A1792">
        <w:rPr>
          <w:lang w:val="en-US" w:eastAsia="en-US"/>
        </w:rPr>
      </w:r>
      <w:r w:rsidR="005A1792">
        <w:rPr>
          <w:lang w:val="en-US" w:eastAsia="en-US"/>
        </w:rPr>
        <w:fldChar w:fldCharType="separate"/>
      </w:r>
      <w:r w:rsidR="00F304E9">
        <w:rPr>
          <w:noProof/>
          <w:lang w:val="en-US" w:eastAsia="en-US"/>
        </w:rPr>
        <w:t xml:space="preserve"> [7]</w:t>
      </w:r>
      <w:r w:rsidR="005A1792">
        <w:rPr>
          <w:lang w:val="en-US" w:eastAsia="en-US"/>
        </w:rPr>
        <w:fldChar w:fldCharType="end"/>
      </w:r>
      <w:r w:rsidR="005A1792">
        <w:rPr>
          <w:lang w:val="en-US" w:eastAsia="en-US"/>
        </w:rPr>
        <w:t xml:space="preserve"> </w:t>
      </w:r>
      <w:r w:rsidR="00D561B4" w:rsidRPr="0002760D">
        <w:rPr>
          <w:lang w:val="en-US" w:eastAsia="en-US"/>
        </w:rPr>
        <w:t>It is also supported by the European Federation of Neurological Societies guidelines on diagnosis and management of neuromyelitis optica.</w:t>
      </w:r>
      <w:r w:rsidR="005A1792">
        <w:rPr>
          <w:lang w:val="en-US" w:eastAsia="en-US"/>
        </w:rPr>
        <w:fldChar w:fldCharType="begin">
          <w:fldData xml:space="preserve">PEVuZE5vdGU+PENpdGU+PEF1dGhvcj5TZWxsbmVyPC9BdXRob3I+PFllYXI+MjAxMDwvWWVhcj48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</w:fldData>
        </w:fldChar>
      </w:r>
      <w:r w:rsidR="00F304E9">
        <w:rPr>
          <w:lang w:val="en-US" w:eastAsia="en-US"/>
        </w:rPr>
        <w:instrText xml:space="preserve"> ADDIN EN.CITE </w:instrText>
      </w:r>
      <w:r w:rsidR="00F304E9">
        <w:rPr>
          <w:lang w:val="en-US" w:eastAsia="en-US"/>
        </w:rPr>
        <w:fldChar w:fldCharType="begin">
          <w:fldData xml:space="preserve">PEVuZE5vdGU+PENpdGU+PEF1dGhvcj5TZWxsbmVyPC9BdXRob3I+PFllYXI+MjAxMDwvWWVhcj48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</w:fldData>
        </w:fldChar>
      </w:r>
      <w:r w:rsidR="00F304E9">
        <w:rPr>
          <w:lang w:val="en-US" w:eastAsia="en-US"/>
        </w:rPr>
        <w:instrText xml:space="preserve"> ADDIN EN.CITE.DATA </w:instrText>
      </w:r>
      <w:r w:rsidR="00F304E9">
        <w:rPr>
          <w:lang w:val="en-US" w:eastAsia="en-US"/>
        </w:rPr>
      </w:r>
      <w:r w:rsidR="00F304E9">
        <w:rPr>
          <w:lang w:val="en-US" w:eastAsia="en-US"/>
        </w:rPr>
        <w:fldChar w:fldCharType="end"/>
      </w:r>
      <w:r w:rsidR="005A1792">
        <w:rPr>
          <w:lang w:val="en-US" w:eastAsia="en-US"/>
        </w:rPr>
      </w:r>
      <w:r w:rsidR="005A1792">
        <w:rPr>
          <w:lang w:val="en-US" w:eastAsia="en-US"/>
        </w:rPr>
        <w:fldChar w:fldCharType="separate"/>
      </w:r>
      <w:r w:rsidR="00F304E9">
        <w:rPr>
          <w:noProof/>
          <w:lang w:val="en-US" w:eastAsia="en-US"/>
        </w:rPr>
        <w:t xml:space="preserve"> [8]</w:t>
      </w:r>
      <w:r w:rsidR="005A1792">
        <w:rPr>
          <w:lang w:val="en-US" w:eastAsia="en-US"/>
        </w:rPr>
        <w:fldChar w:fldCharType="end"/>
      </w:r>
      <w:r w:rsidR="00AB6550">
        <w:rPr>
          <w:lang w:val="en-US" w:eastAsia="en-US"/>
        </w:rPr>
        <w:t xml:space="preserve"> </w:t>
      </w:r>
      <w:r w:rsidR="00D561B4" w:rsidRPr="0002760D">
        <w:rPr>
          <w:lang w:val="en-US" w:eastAsia="en-US"/>
        </w:rPr>
        <w:t>This test is mainly used by neurologists to diagnose this disease.</w:t>
      </w:r>
    </w:p>
    <w:p w14:paraId="0A2526E8" w14:textId="77777777" w:rsidR="00EF47CB" w:rsidRDefault="00D561B4">
      <w:pPr>
        <w:pStyle w:val="NormalBulleted"/>
        <w:rPr>
          <w:lang w:val="en-US" w:eastAsia="en-US"/>
        </w:rPr>
      </w:pPr>
      <w:r>
        <w:rPr>
          <w:lang w:val="en-US" w:eastAsia="en-US"/>
        </w:rPr>
        <w:t xml:space="preserve">The Committee recommends </w:t>
      </w:r>
      <w:r w:rsidR="00EF47CB">
        <w:rPr>
          <w:lang w:val="en-US" w:eastAsia="en-US"/>
        </w:rPr>
        <w:t xml:space="preserve">an education campaign on the utility and frequency of test. </w:t>
      </w:r>
    </w:p>
    <w:p w14:paraId="4E525305" w14:textId="77777777" w:rsidR="00D561B4" w:rsidRDefault="00D561B4">
      <w:pPr>
        <w:pStyle w:val="NormalBulleted"/>
        <w:rPr>
          <w:lang w:val="en-US" w:eastAsia="en-US"/>
        </w:rPr>
      </w:pPr>
      <w:r>
        <w:rPr>
          <w:lang w:val="en-US" w:eastAsia="en-US"/>
        </w:rPr>
        <w:t xml:space="preserve">In most samples, testing will be for diagnosis only. </w:t>
      </w:r>
      <w:r w:rsidR="001746A3">
        <w:rPr>
          <w:lang w:val="en-US" w:eastAsia="en-US"/>
        </w:rPr>
        <w:t xml:space="preserve">Patients </w:t>
      </w:r>
      <w:r>
        <w:rPr>
          <w:lang w:val="en-US" w:eastAsia="en-US"/>
        </w:rPr>
        <w:t xml:space="preserve">will </w:t>
      </w:r>
      <w:r w:rsidR="001746A3">
        <w:rPr>
          <w:lang w:val="en-US" w:eastAsia="en-US"/>
        </w:rPr>
        <w:t xml:space="preserve">often </w:t>
      </w:r>
      <w:r>
        <w:rPr>
          <w:lang w:val="en-US" w:eastAsia="en-US"/>
        </w:rPr>
        <w:t xml:space="preserve">require repeat testing to see whether they have had a relapse. </w:t>
      </w:r>
      <w:r w:rsidR="00323612">
        <w:rPr>
          <w:lang w:val="en-US" w:eastAsia="en-US"/>
        </w:rPr>
        <w:t>Significant</w:t>
      </w:r>
      <w:r w:rsidR="001746A3">
        <w:rPr>
          <w:lang w:val="en-US" w:eastAsia="en-US"/>
        </w:rPr>
        <w:t xml:space="preserve"> changes in antibody levels </w:t>
      </w:r>
      <w:r w:rsidR="00323612">
        <w:rPr>
          <w:lang w:val="en-US" w:eastAsia="en-US"/>
        </w:rPr>
        <w:t xml:space="preserve">will not occur </w:t>
      </w:r>
      <w:r w:rsidR="001746A3">
        <w:rPr>
          <w:lang w:val="en-US" w:eastAsia="en-US"/>
        </w:rPr>
        <w:t>more often than every 3 months. Over</w:t>
      </w:r>
      <w:r w:rsidR="00B86674">
        <w:rPr>
          <w:lang w:val="en-US" w:eastAsia="en-US"/>
        </w:rPr>
        <w:t>-</w:t>
      </w:r>
      <w:r w:rsidR="001746A3">
        <w:rPr>
          <w:lang w:val="en-US" w:eastAsia="en-US"/>
        </w:rPr>
        <w:t>testing fo</w:t>
      </w:r>
      <w:r w:rsidR="00323612">
        <w:rPr>
          <w:lang w:val="en-US" w:eastAsia="en-US"/>
        </w:rPr>
        <w:t>r antibody levels does not add clinical value.</w:t>
      </w:r>
      <w:r w:rsidR="001746A3">
        <w:rPr>
          <w:lang w:val="en-US" w:eastAsia="en-US"/>
        </w:rPr>
        <w:t xml:space="preserve"> </w:t>
      </w:r>
      <w:r>
        <w:rPr>
          <w:lang w:val="en-US" w:eastAsia="en-US"/>
        </w:rPr>
        <w:t>The Committee estimates the utilisation of this test to be 5000 per year based on the prevalence of NMO in a study that was reported as 0.33 per 100,000.</w:t>
      </w:r>
      <w:r w:rsidR="00C710B8">
        <w:rPr>
          <w:lang w:val="en-US" w:eastAsia="en-US"/>
        </w:rPr>
        <w:fldChar w:fldCharType="begin"/>
      </w:r>
      <w:r w:rsidR="00F304E9">
        <w:rPr>
          <w:lang w:val="en-US" w:eastAsia="en-US"/>
        </w:rPr>
        <w:instrText xml:space="preserve"> ADDIN EN.CITE &lt;EndNote&gt;&lt;Cite&gt;&lt;Author&gt;Bukhari&lt;/Author&gt;&lt;Year&gt;2015&lt;/Year&gt;&lt;RecNum&gt;4&lt;/RecNum&gt;&lt;DisplayText&gt; [9]&lt;/DisplayText&gt;&lt;record&gt;&lt;rec-number&gt;4&lt;/rec-number&gt;&lt;foreign-keys&gt;&lt;key app="EN" db-id="05trxwd9pxaf9oeezd6xrte0pftav5ade0ww" timestamp="1493257428"&gt;4&lt;/key&gt;&lt;/foreign-keys&gt;&lt;ref-type name="Web Page"&gt;12&lt;/ref-type&gt;&lt;contributors&gt;&lt;authors&gt;&lt;author&gt;Bukhari, W.&lt;/author&gt;&lt;author&gt;Broadley, S.&lt;/author&gt;&lt;/authors&gt;&lt;/contributors&gt;&lt;titles&gt;&lt;title&gt;The prevalence of neuromyelitis optica in Australia and New Zealand and a blood test for its diagnosis&lt;/title&gt;&lt;/titles&gt;&lt;number&gt;4 October 2017&lt;/number&gt;&lt;dates&gt;&lt;year&gt;2015&lt;/year&gt;&lt;/dates&gt;&lt;publisher&gt;MS Research Australia&lt;/publisher&gt;&lt;urls&gt;&lt;related-urls&gt;&lt;url&gt;https://msra.org.au/project/the-prevalence-of-neuromyelitis-optica-in-australia-and-new-zealand-and-a-blood-test-for-its-diagnosis/&lt;/url&gt;&lt;/related-urls&gt;&lt;/urls&gt;&lt;/record&gt;&lt;/Cite&gt;&lt;/EndNote&gt;</w:instrText>
      </w:r>
      <w:r w:rsidR="00C710B8">
        <w:rPr>
          <w:lang w:val="en-US" w:eastAsia="en-US"/>
        </w:rPr>
        <w:fldChar w:fldCharType="separate"/>
      </w:r>
      <w:r w:rsidR="00F304E9">
        <w:rPr>
          <w:noProof/>
          <w:lang w:val="en-US" w:eastAsia="en-US"/>
        </w:rPr>
        <w:t xml:space="preserve"> [9]</w:t>
      </w:r>
      <w:r w:rsidR="00C710B8">
        <w:rPr>
          <w:lang w:val="en-US" w:eastAsia="en-US"/>
        </w:rPr>
        <w:fldChar w:fldCharType="end"/>
      </w:r>
    </w:p>
    <w:p w14:paraId="4747C9C2" w14:textId="77777777" w:rsidR="00D561B4" w:rsidRDefault="00D561B4" w:rsidP="00E2562E">
      <w:pPr>
        <w:pStyle w:val="Heading2"/>
      </w:pPr>
      <w:bookmarkStart w:id="144" w:name="_Toc499293059"/>
      <w:r w:rsidRPr="00D50F5A">
        <w:t>Antibodies to citr</w:t>
      </w:r>
      <w:r>
        <w:t>u</w:t>
      </w:r>
      <w:r w:rsidRPr="00D50F5A">
        <w:t>ll</w:t>
      </w:r>
      <w:r>
        <w:t>in</w:t>
      </w:r>
      <w:r w:rsidRPr="00D50F5A">
        <w:t>ated peptide antigens</w:t>
      </w:r>
      <w:bookmarkEnd w:id="144"/>
      <w:r w:rsidRPr="00D50F5A">
        <w:t xml:space="preserve"> </w:t>
      </w:r>
    </w:p>
    <w:p w14:paraId="2813FF07" w14:textId="77777777" w:rsidR="00D561B4" w:rsidRDefault="00D561B4" w:rsidP="00D561B4">
      <w:r>
        <w:t xml:space="preserve">These antibodies are </w:t>
      </w:r>
      <w:r w:rsidRPr="00D50F5A">
        <w:t>also referred to as cyclic citrullinated peptide antibodies</w:t>
      </w:r>
      <w:r w:rsidR="0028752E" w:rsidRPr="0028752E">
        <w:t xml:space="preserve"> </w:t>
      </w:r>
      <w:r w:rsidR="0028752E">
        <w:t>(</w:t>
      </w:r>
      <w:r w:rsidR="0028752E" w:rsidRPr="00D50F5A">
        <w:t>CCP</w:t>
      </w:r>
      <w:r w:rsidRPr="00D50F5A">
        <w:t>)</w:t>
      </w:r>
      <w:r>
        <w:t>.</w:t>
      </w:r>
    </w:p>
    <w:p w14:paraId="222B8A6F" w14:textId="77777777" w:rsidR="00D561B4" w:rsidRDefault="00D561B4" w:rsidP="00463C3C">
      <w:pPr>
        <w:pStyle w:val="Heading3Numbered"/>
      </w:pPr>
      <w:r>
        <w:t xml:space="preserve">Recommendation </w:t>
      </w:r>
      <w:r w:rsidR="00202112">
        <w:t>22</w:t>
      </w:r>
    </w:p>
    <w:p w14:paraId="7B6A8476" w14:textId="77777777" w:rsidR="00A75B48" w:rsidRPr="00463C3C" w:rsidRDefault="00D561B4" w:rsidP="007B6365">
      <w:pPr>
        <w:pStyle w:val="NormalBulleted"/>
        <w:rPr>
          <w:lang w:val="en-US"/>
        </w:rPr>
      </w:pPr>
      <w:r w:rsidRPr="0006327E">
        <w:rPr>
          <w:lang w:val="en-US"/>
        </w:rPr>
        <w:t xml:space="preserve">Create a new item for </w:t>
      </w:r>
      <w:r w:rsidRPr="00D50F5A">
        <w:t>cyclic citrullinated peptide antibodies</w:t>
      </w:r>
      <w:r>
        <w:t xml:space="preserve"> with the following wording:</w:t>
      </w:r>
    </w:p>
    <w:p w14:paraId="40688F4A" w14:textId="77777777" w:rsidR="00D561B4" w:rsidRPr="0006327E" w:rsidRDefault="00D561B4" w:rsidP="00463C3C">
      <w:pPr>
        <w:pStyle w:val="Bullet2"/>
        <w:rPr>
          <w:lang w:val="en-US"/>
        </w:rPr>
      </w:pPr>
      <w:r w:rsidRPr="0006327E">
        <w:rPr>
          <w:lang w:val="en-US"/>
        </w:rPr>
        <w:t>Investigation for rheumatoid arthritis: citrullinated peptide antibodies.</w:t>
      </w:r>
    </w:p>
    <w:p w14:paraId="064DDD6F" w14:textId="77777777" w:rsidR="00D561B4" w:rsidRPr="00AF4170" w:rsidRDefault="00D53BB1">
      <w:pPr>
        <w:pStyle w:val="NormalBulleted"/>
        <w:rPr>
          <w:lang w:val="en-US"/>
        </w:rPr>
      </w:pPr>
      <w:r>
        <w:t xml:space="preserve">Add rule 25 to restrict </w:t>
      </w:r>
      <w:r w:rsidR="00D561B4">
        <w:t xml:space="preserve">this item to </w:t>
      </w:r>
      <w:r w:rsidR="0006327E">
        <w:t xml:space="preserve">three </w:t>
      </w:r>
      <w:r w:rsidR="00D561B4">
        <w:t>tests within a 12-month period</w:t>
      </w:r>
      <w:r w:rsidR="0006327E">
        <w:t>.</w:t>
      </w:r>
    </w:p>
    <w:p w14:paraId="74348CBD" w14:textId="77777777" w:rsidR="006776BD" w:rsidRPr="00084AF3" w:rsidRDefault="006776BD" w:rsidP="00084AF3">
      <w:pPr>
        <w:pStyle w:val="Caption"/>
      </w:pPr>
      <w:bookmarkStart w:id="145" w:name="_Toc499289274"/>
      <w:r>
        <w:t xml:space="preserve">Table </w:t>
      </w:r>
      <w:r w:rsidR="0004721F">
        <w:rPr>
          <w:noProof/>
        </w:rPr>
        <w:fldChar w:fldCharType="begin"/>
      </w:r>
      <w:r w:rsidR="0004721F">
        <w:rPr>
          <w:noProof/>
        </w:rPr>
        <w:instrText xml:space="preserve"> SEQ Table \* ARABIC </w:instrText>
      </w:r>
      <w:r w:rsidR="0004721F">
        <w:rPr>
          <w:noProof/>
        </w:rPr>
        <w:fldChar w:fldCharType="separate"/>
      </w:r>
      <w:r w:rsidR="00E95F8E">
        <w:rPr>
          <w:noProof/>
        </w:rPr>
        <w:t>37</w:t>
      </w:r>
      <w:r w:rsidR="0004721F">
        <w:rPr>
          <w:noProof/>
        </w:rPr>
        <w:fldChar w:fldCharType="end"/>
      </w:r>
      <w:r>
        <w:t>. Proposed new item descriptor for antibodies to citrullinated peptide antigens</w:t>
      </w:r>
      <w:bookmarkEnd w:id="145"/>
    </w:p>
    <w:tbl>
      <w:tblPr>
        <w:tblStyle w:val="TableGrid"/>
        <w:tblW w:w="0" w:type="auto"/>
        <w:tblInd w:w="-5" w:type="dxa"/>
        <w:tblLook w:val="04A0" w:firstRow="1" w:lastRow="0" w:firstColumn="1" w:lastColumn="0" w:noHBand="0" w:noVBand="1"/>
        <w:tblCaption w:val="Table 37: Proposed new item descriptor for antibodies to citrullinated peptide antigens"/>
        <w:tblDescription w:val="Table 37 lists the proposed new item descriptor for the new item antibodies to citrullinated peptide antigens."/>
      </w:tblPr>
      <w:tblGrid>
        <w:gridCol w:w="4536"/>
        <w:gridCol w:w="4485"/>
      </w:tblGrid>
      <w:tr w:rsidR="00D561B4" w14:paraId="1B66DC9C" w14:textId="77777777" w:rsidTr="00463C3C">
        <w:trPr>
          <w:tblHeader/>
        </w:trPr>
        <w:tc>
          <w:tcPr>
            <w:tcW w:w="4536" w:type="dxa"/>
            <w:shd w:val="clear" w:color="auto" w:fill="EEECE1" w:themeFill="background2"/>
          </w:tcPr>
          <w:p w14:paraId="1F082F50" w14:textId="77777777" w:rsidR="00D561B4" w:rsidRPr="00D53BB1" w:rsidRDefault="00D561B4" w:rsidP="007B6365">
            <w:pPr>
              <w:pStyle w:val="01Tableheaderrow"/>
              <w:rPr>
                <w:lang w:val="en-US"/>
              </w:rPr>
            </w:pPr>
            <w:r w:rsidRPr="00D53BB1">
              <w:rPr>
                <w:lang w:val="en-US"/>
              </w:rPr>
              <w:t>Item</w:t>
            </w:r>
          </w:p>
        </w:tc>
        <w:tc>
          <w:tcPr>
            <w:tcW w:w="4485" w:type="dxa"/>
            <w:shd w:val="clear" w:color="auto" w:fill="EEECE1" w:themeFill="background2"/>
          </w:tcPr>
          <w:p w14:paraId="180BE542" w14:textId="77777777" w:rsidR="00D561B4" w:rsidRPr="00D53BB1" w:rsidRDefault="00D561B4" w:rsidP="007B6365">
            <w:pPr>
              <w:pStyle w:val="01Tableheaderrow"/>
              <w:rPr>
                <w:lang w:val="en-US"/>
              </w:rPr>
            </w:pPr>
            <w:r w:rsidRPr="00D53BB1">
              <w:rPr>
                <w:lang w:val="en-US"/>
              </w:rPr>
              <w:t>Item descriptor</w:t>
            </w:r>
          </w:p>
        </w:tc>
      </w:tr>
      <w:tr w:rsidR="00D561B4" w14:paraId="4A960C69" w14:textId="77777777" w:rsidTr="007B6365">
        <w:tc>
          <w:tcPr>
            <w:tcW w:w="4536" w:type="dxa"/>
          </w:tcPr>
          <w:p w14:paraId="542A1906" w14:textId="77777777" w:rsidR="00D561B4" w:rsidRDefault="00D561B4" w:rsidP="00A75B48">
            <w:pPr>
              <w:pStyle w:val="02Tabletext"/>
              <w:rPr>
                <w:lang w:val="en-US"/>
              </w:rPr>
            </w:pPr>
            <w:r>
              <w:rPr>
                <w:lang w:val="en-US"/>
              </w:rPr>
              <w:t>New item</w:t>
            </w:r>
          </w:p>
        </w:tc>
        <w:tc>
          <w:tcPr>
            <w:tcW w:w="4485" w:type="dxa"/>
          </w:tcPr>
          <w:p w14:paraId="6E0ED88A" w14:textId="77777777" w:rsidR="00D561B4" w:rsidRDefault="00D561B4" w:rsidP="007B6365">
            <w:pPr>
              <w:pStyle w:val="02Tabletext"/>
              <w:rPr>
                <w:lang w:val="en-US"/>
              </w:rPr>
            </w:pPr>
            <w:r w:rsidRPr="003D56B4">
              <w:rPr>
                <w:lang w:val="en-US"/>
              </w:rPr>
              <w:t>Investigation for rheumatoid arthritis: citrullinated peptide antibodies</w:t>
            </w:r>
            <w:r>
              <w:rPr>
                <w:lang w:val="en-US"/>
              </w:rPr>
              <w:t>, excludes item 71119.</w:t>
            </w:r>
            <w:r w:rsidR="00FB049C">
              <w:rPr>
                <w:lang w:val="en-US"/>
              </w:rPr>
              <w:t xml:space="preserve"> (Item is subject to rule 25)</w:t>
            </w:r>
          </w:p>
        </w:tc>
      </w:tr>
    </w:tbl>
    <w:p w14:paraId="7966EFBC" w14:textId="77777777" w:rsidR="00D561B4" w:rsidRDefault="00D561B4" w:rsidP="0025447F">
      <w:pPr>
        <w:pStyle w:val="Heading3Numbered"/>
      </w:pPr>
      <w:r>
        <w:lastRenderedPageBreak/>
        <w:t>Rationale</w:t>
      </w:r>
      <w:r w:rsidR="00202112">
        <w:t xml:space="preserve"> 22</w:t>
      </w:r>
    </w:p>
    <w:p w14:paraId="7D07E618" w14:textId="77777777" w:rsidR="00D561B4" w:rsidRDefault="00D561B4">
      <w:pPr>
        <w:pStyle w:val="NormalBulleted"/>
        <w:rPr>
          <w:lang w:val="en-US"/>
        </w:rPr>
      </w:pPr>
      <w:r w:rsidRPr="00C21FDF">
        <w:rPr>
          <w:lang w:val="en-US"/>
        </w:rPr>
        <w:t xml:space="preserve">The Committee recognises that this test has been in clinical practice for </w:t>
      </w:r>
      <w:r w:rsidR="0006327E">
        <w:rPr>
          <w:lang w:val="en-US"/>
        </w:rPr>
        <w:t xml:space="preserve">about </w:t>
      </w:r>
      <w:r w:rsidRPr="00C21FDF">
        <w:rPr>
          <w:lang w:val="en-US"/>
        </w:rPr>
        <w:t xml:space="preserve">15 years; however, this test has not been on the </w:t>
      </w:r>
      <w:r>
        <w:rPr>
          <w:lang w:val="en-US"/>
        </w:rPr>
        <w:t>MBS</w:t>
      </w:r>
      <w:r w:rsidRPr="00C21FDF">
        <w:rPr>
          <w:lang w:val="en-US"/>
        </w:rPr>
        <w:t xml:space="preserve">. Currently there is no item </w:t>
      </w:r>
      <w:r>
        <w:rPr>
          <w:lang w:val="en-US"/>
        </w:rPr>
        <w:t xml:space="preserve">specifically </w:t>
      </w:r>
      <w:r w:rsidRPr="00C21FDF">
        <w:rPr>
          <w:lang w:val="en-US"/>
        </w:rPr>
        <w:t xml:space="preserve">for this test and </w:t>
      </w:r>
      <w:r w:rsidR="0006327E">
        <w:rPr>
          <w:lang w:val="en-US"/>
        </w:rPr>
        <w:t xml:space="preserve">it </w:t>
      </w:r>
      <w:r w:rsidRPr="00C21FDF">
        <w:rPr>
          <w:lang w:val="en-US"/>
        </w:rPr>
        <w:t>is being billed under item 71119. This is a high</w:t>
      </w:r>
      <w:r w:rsidR="0006327E">
        <w:rPr>
          <w:lang w:val="en-US"/>
        </w:rPr>
        <w:t>-</w:t>
      </w:r>
      <w:r w:rsidRPr="00C21FDF">
        <w:rPr>
          <w:lang w:val="en-US"/>
        </w:rPr>
        <w:t>utility test that impacts greatly on treatment and disease classification.</w:t>
      </w:r>
      <w:r>
        <w:rPr>
          <w:lang w:val="en-US"/>
        </w:rPr>
        <w:t xml:space="preserve"> It is a robust test that produces quality results </w:t>
      </w:r>
      <w:r w:rsidR="00463C3C">
        <w:rPr>
          <w:lang w:val="en-US"/>
        </w:rPr>
        <w:t xml:space="preserve">when there is </w:t>
      </w:r>
      <w:r>
        <w:rPr>
          <w:lang w:val="en-US"/>
        </w:rPr>
        <w:t xml:space="preserve">an increase </w:t>
      </w:r>
      <w:r w:rsidR="00463C3C">
        <w:rPr>
          <w:lang w:val="en-US"/>
        </w:rPr>
        <w:t xml:space="preserve">in </w:t>
      </w:r>
      <w:r>
        <w:rPr>
          <w:lang w:val="en-US"/>
        </w:rPr>
        <w:t xml:space="preserve">antibodies. </w:t>
      </w:r>
      <w:r w:rsidRPr="00C21FDF">
        <w:rPr>
          <w:lang w:val="en-US"/>
        </w:rPr>
        <w:t xml:space="preserve">It is </w:t>
      </w:r>
      <w:r w:rsidR="00A210D4">
        <w:rPr>
          <w:lang w:val="en-US"/>
        </w:rPr>
        <w:t xml:space="preserve">the </w:t>
      </w:r>
      <w:r w:rsidRPr="00C21FDF">
        <w:rPr>
          <w:lang w:val="en-US"/>
        </w:rPr>
        <w:t xml:space="preserve">standard of care in rheumatoid arthritis to have this test done and </w:t>
      </w:r>
      <w:r w:rsidR="00A210D4">
        <w:rPr>
          <w:lang w:val="en-US"/>
        </w:rPr>
        <w:t xml:space="preserve">it </w:t>
      </w:r>
      <w:r w:rsidRPr="00C21FDF">
        <w:rPr>
          <w:lang w:val="en-US"/>
        </w:rPr>
        <w:t xml:space="preserve">has high clinical utility in the monitoring of </w:t>
      </w:r>
      <w:r>
        <w:rPr>
          <w:lang w:val="en-US"/>
        </w:rPr>
        <w:t>drugs but not in monitoring of disease</w:t>
      </w:r>
      <w:r w:rsidRPr="00C21FDF">
        <w:rPr>
          <w:lang w:val="en-US"/>
        </w:rPr>
        <w:t xml:space="preserve">. </w:t>
      </w:r>
    </w:p>
    <w:p w14:paraId="33132F04" w14:textId="77777777" w:rsidR="00D561B4" w:rsidRPr="00D53BB1" w:rsidRDefault="00D561B4">
      <w:pPr>
        <w:pStyle w:val="NormalBulleted"/>
        <w:rPr>
          <w:rStyle w:val="NormalBulletedChar"/>
          <w:lang w:val="en-US"/>
        </w:rPr>
      </w:pPr>
      <w:r w:rsidRPr="00982A76">
        <w:rPr>
          <w:rStyle w:val="NormalBulletedChar"/>
        </w:rPr>
        <w:t xml:space="preserve">The Committee recognises that the current schedule does not reflect current clinical practice and proposes that a new item be created for this test to be remunerated </w:t>
      </w:r>
      <w:r w:rsidR="003628A4">
        <w:rPr>
          <w:rStyle w:val="NormalBulletedChar"/>
        </w:rPr>
        <w:t>(at a higher rate than item 71119</w:t>
      </w:r>
      <w:r w:rsidR="00A210D4">
        <w:rPr>
          <w:rStyle w:val="NormalBulletedChar"/>
        </w:rPr>
        <w:t>,</w:t>
      </w:r>
      <w:r w:rsidR="003628A4">
        <w:rPr>
          <w:rStyle w:val="NormalBulletedChar"/>
        </w:rPr>
        <w:t xml:space="preserve"> which is currently being used to capture this test) </w:t>
      </w:r>
      <w:r w:rsidRPr="00982A76">
        <w:rPr>
          <w:rStyle w:val="NormalBulletedChar"/>
        </w:rPr>
        <w:t>within the MBS.</w:t>
      </w:r>
      <w:r w:rsidR="003628A4">
        <w:rPr>
          <w:rStyle w:val="NormalBulletedChar"/>
        </w:rPr>
        <w:t xml:space="preserve"> The </w:t>
      </w:r>
      <w:r w:rsidR="003628A4" w:rsidRPr="009B1A40">
        <w:t>Committee estimates the utilisation to be approximately 150,000 services per annum.</w:t>
      </w:r>
      <w:r w:rsidR="003628A4">
        <w:rPr>
          <w:color w:val="000000"/>
          <w:sz w:val="20"/>
          <w:szCs w:val="20"/>
          <w:lang w:val="en-GB"/>
        </w:rPr>
        <w:t xml:space="preserve"> </w:t>
      </w:r>
    </w:p>
    <w:p w14:paraId="01FF6F85" w14:textId="77777777" w:rsidR="000F227B" w:rsidRDefault="00D561B4">
      <w:pPr>
        <w:pStyle w:val="NormalBulleted"/>
        <w:rPr>
          <w:rStyle w:val="NormalBulletedChar"/>
        </w:rPr>
      </w:pPr>
      <w:r w:rsidRPr="00802F2C">
        <w:rPr>
          <w:rStyle w:val="NormalBulletedChar"/>
        </w:rPr>
        <w:t xml:space="preserve">The Committee has proposed that this item also be limited to </w:t>
      </w:r>
      <w:r w:rsidR="00A210D4">
        <w:rPr>
          <w:rStyle w:val="NormalBulletedChar"/>
        </w:rPr>
        <w:t>three</w:t>
      </w:r>
      <w:r w:rsidR="00A210D4" w:rsidRPr="00802F2C">
        <w:rPr>
          <w:rStyle w:val="NormalBulletedChar"/>
        </w:rPr>
        <w:t xml:space="preserve"> </w:t>
      </w:r>
      <w:r w:rsidRPr="00802F2C">
        <w:rPr>
          <w:rStyle w:val="NormalBulletedChar"/>
        </w:rPr>
        <w:t>tests in a 12-month period</w:t>
      </w:r>
      <w:r w:rsidR="00A210D4">
        <w:rPr>
          <w:rStyle w:val="NormalBulletedChar"/>
        </w:rPr>
        <w:t>,</w:t>
      </w:r>
      <w:r w:rsidRPr="00802F2C">
        <w:rPr>
          <w:rStyle w:val="NormalBulletedChar"/>
        </w:rPr>
        <w:t xml:space="preserve"> as there is no clinical need to test more often than this. </w:t>
      </w:r>
      <w:r w:rsidR="000F227B" w:rsidRPr="000F227B">
        <w:rPr>
          <w:rStyle w:val="NormalBulletedChar"/>
        </w:rPr>
        <w:t xml:space="preserve">Other biomarkers are available </w:t>
      </w:r>
      <w:r w:rsidR="00A210D4">
        <w:rPr>
          <w:rStyle w:val="NormalBulletedChar"/>
        </w:rPr>
        <w:t xml:space="preserve">that </w:t>
      </w:r>
      <w:r w:rsidR="000F227B" w:rsidRPr="000F227B">
        <w:rPr>
          <w:rStyle w:val="NormalBulletedChar"/>
        </w:rPr>
        <w:t>are superior for disease monitoring</w:t>
      </w:r>
      <w:r w:rsidR="00A210D4">
        <w:rPr>
          <w:rStyle w:val="NormalBulletedChar"/>
        </w:rPr>
        <w:t>,</w:t>
      </w:r>
      <w:r w:rsidR="000F227B" w:rsidRPr="000F227B">
        <w:rPr>
          <w:rStyle w:val="NormalBulletedChar"/>
        </w:rPr>
        <w:t xml:space="preserve"> such as CRP or swollen and/or tender joint count.</w:t>
      </w:r>
    </w:p>
    <w:p w14:paraId="3F65E43C" w14:textId="77777777" w:rsidR="00C1306E" w:rsidRDefault="00AF5D75" w:rsidP="00E2562E">
      <w:pPr>
        <w:pStyle w:val="Heading1"/>
      </w:pPr>
      <w:bookmarkStart w:id="146" w:name="_Toc494913242"/>
      <w:bookmarkStart w:id="147" w:name="_Toc494913586"/>
      <w:bookmarkStart w:id="148" w:name="_Toc494913243"/>
      <w:bookmarkStart w:id="149" w:name="_Toc494913587"/>
      <w:bookmarkStart w:id="150" w:name="_Toc494913244"/>
      <w:bookmarkStart w:id="151" w:name="_Toc494913588"/>
      <w:bookmarkStart w:id="152" w:name="_Toc494913245"/>
      <w:bookmarkStart w:id="153" w:name="_Toc494913589"/>
      <w:bookmarkStart w:id="154" w:name="_Toc494913436"/>
      <w:bookmarkStart w:id="155" w:name="_Toc494913780"/>
      <w:bookmarkStart w:id="156" w:name="_Toc494913437"/>
      <w:bookmarkStart w:id="157" w:name="_Toc494913781"/>
      <w:bookmarkStart w:id="158" w:name="_Toc494876936"/>
      <w:bookmarkStart w:id="159" w:name="_Toc494913465"/>
      <w:bookmarkStart w:id="160" w:name="_Toc494913809"/>
      <w:bookmarkStart w:id="161" w:name="_Toc49929306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21C88">
        <w:lastRenderedPageBreak/>
        <w:t>References</w:t>
      </w:r>
      <w:bookmarkEnd w:id="161"/>
    </w:p>
    <w:p w14:paraId="42F19E00" w14:textId="77777777" w:rsidR="00257667" w:rsidRPr="00257667" w:rsidRDefault="00F304E9" w:rsidP="00257667">
      <w:pPr>
        <w:pStyle w:val="EndNoteBibliography"/>
        <w:spacing w:after="0"/>
      </w:pPr>
      <w:r>
        <w:rPr>
          <w:szCs w:val="20"/>
        </w:rPr>
        <w:fldChar w:fldCharType="begin"/>
      </w:r>
      <w:r>
        <w:rPr>
          <w:szCs w:val="20"/>
        </w:rPr>
        <w:instrText xml:space="preserve"> ADDIN EN.REFLIST </w:instrText>
      </w:r>
      <w:r>
        <w:rPr>
          <w:szCs w:val="20"/>
        </w:rPr>
        <w:fldChar w:fldCharType="separate"/>
      </w:r>
      <w:r w:rsidR="00257667" w:rsidRPr="00257667">
        <w:t xml:space="preserve">[1] Elshaug, A G, A M Watt, L Mundy and C D Willis. Over 150 potentially low-value health care practices: an Australian study. </w:t>
      </w:r>
      <w:r w:rsidR="00257667" w:rsidRPr="00257667">
        <w:rPr>
          <w:i/>
        </w:rPr>
        <w:t>Med J Aust</w:t>
      </w:r>
      <w:r w:rsidR="00257667" w:rsidRPr="00257667">
        <w:t xml:space="preserve"> 2012, vol. 197, no. 10, pp. 556-560.</w:t>
      </w:r>
    </w:p>
    <w:p w14:paraId="4A474C6D" w14:textId="77777777" w:rsidR="00257667" w:rsidRPr="00257667" w:rsidRDefault="00257667" w:rsidP="00257667">
      <w:pPr>
        <w:pStyle w:val="EndNoteBibliography"/>
        <w:spacing w:after="0"/>
      </w:pPr>
      <w:r w:rsidRPr="00257667">
        <w:t xml:space="preserve">[2] Anderson, R P, M J Henry, R Taylor, E L Duncan, P Danoy, M J Costa, K Addison, J A Tye-Din, M A Kotowicz, R E Knight, W Pollock, G C Nicholson, B H Toh, M A Brown and J A Pasco. A novel serogenetic approach determines the community prevalence of celiac disease and informs improved diagnostic pathways. </w:t>
      </w:r>
      <w:r w:rsidRPr="00257667">
        <w:rPr>
          <w:i/>
        </w:rPr>
        <w:t>BMC Medicine</w:t>
      </w:r>
      <w:r w:rsidRPr="00257667">
        <w:t xml:space="preserve"> 2013, vol. 11, no. 1, pp. 188.</w:t>
      </w:r>
    </w:p>
    <w:p w14:paraId="2C4BD70D" w14:textId="77777777" w:rsidR="00257667" w:rsidRPr="00257667" w:rsidRDefault="00257667" w:rsidP="00257667">
      <w:pPr>
        <w:pStyle w:val="EndNoteBibliography"/>
        <w:spacing w:after="0"/>
      </w:pPr>
      <w:r w:rsidRPr="00257667">
        <w:t xml:space="preserve">[3] Bibbins-Domingo, K, D C Grossman, S J Curry, M J Barry, K W Davidson, C A Doubeni, M Ebell, J W Epling, Jr., J Herzstein, A R Kemper, A H Krist, A E Kurth, C S Landefeld, C M Mangione, M G Phipps, M Silverstein, M A Simon and C W Tseng. Screening for Celiac Disease: US Preventive Services Task Force Recommendation Statement. </w:t>
      </w:r>
      <w:r w:rsidRPr="00257667">
        <w:rPr>
          <w:i/>
        </w:rPr>
        <w:t>Journal of the American Medical Association</w:t>
      </w:r>
      <w:r w:rsidRPr="00257667">
        <w:t xml:space="preserve"> 2017, vol. 317, no. 12, pp. 1252-1257.</w:t>
      </w:r>
    </w:p>
    <w:p w14:paraId="7485E550" w14:textId="77777777" w:rsidR="00257667" w:rsidRPr="00257667" w:rsidRDefault="00257667" w:rsidP="00257667">
      <w:pPr>
        <w:pStyle w:val="EndNoteBibliography"/>
        <w:spacing w:after="0"/>
      </w:pPr>
      <w:r w:rsidRPr="00257667">
        <w:t xml:space="preserve">[4] O’Sullivan, M, A McLean-Tooke and R Loh. Antinuclear antibody test. </w:t>
      </w:r>
      <w:r w:rsidRPr="00257667">
        <w:rPr>
          <w:i/>
        </w:rPr>
        <w:t>Australian Family Physician</w:t>
      </w:r>
      <w:r w:rsidRPr="00257667">
        <w:t xml:space="preserve"> 2013, vol. 42, no.  pp. 718-721.</w:t>
      </w:r>
    </w:p>
    <w:p w14:paraId="4FBB14DD" w14:textId="77777777" w:rsidR="00257667" w:rsidRPr="00257667" w:rsidRDefault="00257667" w:rsidP="00257667">
      <w:pPr>
        <w:pStyle w:val="EndNoteBibliography"/>
        <w:spacing w:after="0"/>
      </w:pPr>
      <w:r w:rsidRPr="00257667">
        <w:t xml:space="preserve">[5] Smolen, J S, R Landewé, J Bijlsma, G Burmester, K Chatzidionysiou, M Dougados, J Nam, S Ramiro, M Voshaar, R van Vollenhoven, D Aletaha, M Aringer, M Boers, C D Buckley, F Buttgereit, V Bykerk, M Cardiel, B Combe, M Cutolo, Y van Eijk-Hustings, P Emery, A Finckh, C Gabay, J Gomez-Reino, L Gossec, J-E Gottenberg, J M W Hazes, T Huizinga, M Jani, D Karateev, M Kouloumas, T Kvien, Z Li, X Mariette, I McInnes, E Mysler, P Nash, K Pavelka, G Poór, C Richez, P van Riel, A Rubbert-Roth, K Saag, J da Silva, T Stamm, T Takeuchi, R Westhovens, M de Wit and D van der Heijde. EULAR recommendations for the management of rheumatoid arthritis with synthetic and biological disease-modifying antirheumatic drugs: 2016 update. </w:t>
      </w:r>
      <w:r w:rsidRPr="00257667">
        <w:rPr>
          <w:i/>
        </w:rPr>
        <w:t>Annals of the Rheumatic Diseases</w:t>
      </w:r>
      <w:r w:rsidRPr="00257667">
        <w:t xml:space="preserve"> 2017, vol. 76, no. 6, pp. 960-977.</w:t>
      </w:r>
    </w:p>
    <w:p w14:paraId="571C4437" w14:textId="77777777" w:rsidR="00257667" w:rsidRPr="00257667" w:rsidRDefault="00257667" w:rsidP="00257667">
      <w:pPr>
        <w:pStyle w:val="EndNoteBibliography"/>
        <w:spacing w:after="0"/>
      </w:pPr>
      <w:r w:rsidRPr="00257667">
        <w:t xml:space="preserve">[6] Miyakis, S, M D Lockshin, T Atsumi, D W Branch, R L Brey, R Cervera, R H Derksen, D E G PG, T Koike, P L Meroni, G Reber, Y Shoenfeld, A Tincani, P G Vlachoyiannopoulos and S A Krilis. International consensus statement on an update of the classification criteria for definite antiphospholipid syndrome (APS). </w:t>
      </w:r>
      <w:r w:rsidRPr="00257667">
        <w:rPr>
          <w:i/>
        </w:rPr>
        <w:t>J Thromb Haemost</w:t>
      </w:r>
      <w:r w:rsidRPr="00257667">
        <w:t xml:space="preserve"> 2006, vol. 4, no. 2, pp. 295-306.</w:t>
      </w:r>
    </w:p>
    <w:p w14:paraId="7271DB54" w14:textId="77777777" w:rsidR="00257667" w:rsidRPr="00257667" w:rsidRDefault="00257667" w:rsidP="00257667">
      <w:pPr>
        <w:pStyle w:val="EndNoteBibliography"/>
        <w:spacing w:after="0"/>
      </w:pPr>
      <w:r w:rsidRPr="00257667">
        <w:t xml:space="preserve">[7] Wingerchuk, D M, B Banwell, J L Bennett, P Cabre, W Carroll, T Chitnis, J de Seze, K Fujihara, B Greenberg, A Jacob, S Jarius, M Lana-Peixoto, M Levy, J H Simon, S Tenembaum, A L Traboulsee, P Waters, K E Wellik and B G Weinshenker. International consensus diagnostic criteria for neuromyelitis optica spectrum disorders. </w:t>
      </w:r>
      <w:r w:rsidRPr="00257667">
        <w:rPr>
          <w:i/>
        </w:rPr>
        <w:t>Neurology</w:t>
      </w:r>
      <w:r w:rsidRPr="00257667">
        <w:t xml:space="preserve"> 2015, vol. 85, no. 2, pp. 177-189.</w:t>
      </w:r>
    </w:p>
    <w:p w14:paraId="14F80E32" w14:textId="77777777" w:rsidR="00257667" w:rsidRPr="00257667" w:rsidRDefault="00257667" w:rsidP="00463C3C">
      <w:pPr>
        <w:pStyle w:val="EndNoteBibliography"/>
        <w:spacing w:after="0"/>
      </w:pPr>
      <w:r w:rsidRPr="00257667">
        <w:t xml:space="preserve">[8] Sellner, J, M Boggild, M Clanet, R Q Hintzen, Z Illes, X Montalban, R A Du Pasquier, C H Polman, P S Sorensen and B Hemmer. EFNS guidelines on diagnosis and management of neuromyelitis optica. </w:t>
      </w:r>
      <w:r w:rsidRPr="00257667">
        <w:rPr>
          <w:i/>
        </w:rPr>
        <w:t>Eur J Neurol</w:t>
      </w:r>
      <w:r w:rsidRPr="00257667">
        <w:t xml:space="preserve"> 2010, vol. 17, no. 8, pp. 1019-1032.</w:t>
      </w:r>
    </w:p>
    <w:p w14:paraId="0B453E34" w14:textId="77777777" w:rsidR="00257667" w:rsidRPr="00257667" w:rsidRDefault="00463C3C" w:rsidP="00463C3C">
      <w:pPr>
        <w:pStyle w:val="EndNoteCategoryHeading"/>
      </w:pPr>
      <w:r w:rsidRPr="00257667" w:rsidDel="00463C3C">
        <w:rPr>
          <w:b/>
          <w:noProof/>
        </w:rPr>
        <w:t xml:space="preserve"> </w:t>
      </w:r>
      <w:r w:rsidR="00257667" w:rsidRPr="00257667">
        <w:t xml:space="preserve">[9] Bukhari, W and S Broadley. </w:t>
      </w:r>
      <w:r w:rsidR="00257667" w:rsidRPr="00257667">
        <w:rPr>
          <w:i/>
        </w:rPr>
        <w:t xml:space="preserve">The prevalence of neuromyelitis optica in Australia and New Zealand and a blood test for its diagnosis </w:t>
      </w:r>
      <w:r w:rsidR="00257667" w:rsidRPr="00257667">
        <w:t>[online]</w:t>
      </w:r>
      <w:r w:rsidR="00257667" w:rsidRPr="00257667">
        <w:rPr>
          <w:i/>
        </w:rPr>
        <w:t>.</w:t>
      </w:r>
      <w:r w:rsidR="00257667" w:rsidRPr="00257667">
        <w:t xml:space="preserve"> MS Research Australia, 2015 [accessed 4 October 2017]. Retrieved: </w:t>
      </w:r>
      <w:hyperlink r:id="rId11" w:history="1">
        <w:r w:rsidR="00257667" w:rsidRPr="00257667">
          <w:rPr>
            <w:rStyle w:val="Hyperlink"/>
          </w:rPr>
          <w:t>https://msra.org.au/project/the-prevalence-of-neuromyelitis-optica-in-australia-and-new-zealand-and-a-blood-test-for-its-diagnosis/</w:t>
        </w:r>
      </w:hyperlink>
    </w:p>
    <w:p w14:paraId="7A70008B" w14:textId="77777777" w:rsidR="00AF5D75" w:rsidRPr="00755D1B" w:rsidRDefault="00F304E9" w:rsidP="00257667">
      <w:pPr>
        <w:pStyle w:val="Heading1"/>
        <w:ind w:left="0" w:firstLine="0"/>
      </w:pPr>
      <w:r>
        <w:rPr>
          <w:szCs w:val="20"/>
        </w:rPr>
        <w:lastRenderedPageBreak/>
        <w:fldChar w:fldCharType="end"/>
      </w:r>
      <w:bookmarkStart w:id="162" w:name="_Toc499293061"/>
      <w:r>
        <w:rPr>
          <w:szCs w:val="20"/>
        </w:rPr>
        <w:t>Glossary</w:t>
      </w:r>
      <w:bookmarkEnd w:id="162"/>
    </w:p>
    <w:tbl>
      <w:tblPr>
        <w:tblStyle w:val="TableGrid1"/>
        <w:tblW w:w="0" w:type="auto"/>
        <w:tblLook w:val="04A0" w:firstRow="1" w:lastRow="0" w:firstColumn="1" w:lastColumn="0" w:noHBand="0" w:noVBand="1"/>
        <w:tblCaption w:val="Glossary"/>
        <w:tblDescription w:val="The glossary contains two columns. The first column lists the term and the second column lists the description of the term. "/>
      </w:tblPr>
      <w:tblGrid>
        <w:gridCol w:w="2752"/>
        <w:gridCol w:w="6264"/>
      </w:tblGrid>
      <w:tr w:rsidR="00755D1B" w:rsidRPr="00755D1B" w14:paraId="170FA6F8" w14:textId="77777777" w:rsidTr="00382015">
        <w:trPr>
          <w:tblHeader/>
        </w:trPr>
        <w:tc>
          <w:tcPr>
            <w:tcW w:w="2752" w:type="dxa"/>
            <w:shd w:val="clear" w:color="auto" w:fill="EEECE1" w:themeFill="background2"/>
            <w:hideMark/>
          </w:tcPr>
          <w:p w14:paraId="35D1C26B" w14:textId="77777777" w:rsidR="00AF5D75" w:rsidRPr="00755D1B" w:rsidRDefault="00AF5D75" w:rsidP="00534051">
            <w:pPr>
              <w:pStyle w:val="01Tableheaderrow"/>
              <w:spacing w:after="48"/>
            </w:pPr>
            <w:r w:rsidRPr="00755D1B">
              <w:t>Term</w:t>
            </w:r>
          </w:p>
        </w:tc>
        <w:tc>
          <w:tcPr>
            <w:tcW w:w="6264" w:type="dxa"/>
            <w:shd w:val="clear" w:color="auto" w:fill="EEECE1" w:themeFill="background2"/>
            <w:hideMark/>
          </w:tcPr>
          <w:p w14:paraId="4B1C4854" w14:textId="77777777" w:rsidR="00AF5D75" w:rsidRPr="00755D1B" w:rsidRDefault="00AF5D75" w:rsidP="00534051">
            <w:pPr>
              <w:pStyle w:val="01Tableheaderrow"/>
              <w:spacing w:after="48"/>
            </w:pPr>
            <w:r w:rsidRPr="00755D1B">
              <w:t>Description</w:t>
            </w:r>
          </w:p>
        </w:tc>
      </w:tr>
      <w:tr w:rsidR="00755D1B" w:rsidRPr="00755D1B" w14:paraId="52A464EB" w14:textId="77777777" w:rsidTr="00382015">
        <w:tc>
          <w:tcPr>
            <w:tcW w:w="2752" w:type="dxa"/>
            <w:hideMark/>
          </w:tcPr>
          <w:p w14:paraId="4E853383" w14:textId="77777777" w:rsidR="00AF5D75" w:rsidRPr="00755D1B" w:rsidRDefault="00AF5D75" w:rsidP="00534051">
            <w:pPr>
              <w:pStyle w:val="02Tabletext"/>
              <w:spacing w:after="48"/>
            </w:pPr>
            <w:r w:rsidRPr="00755D1B">
              <w:rPr>
                <w:lang w:val="en-GB"/>
              </w:rPr>
              <w:t>CAGR</w:t>
            </w:r>
          </w:p>
        </w:tc>
        <w:tc>
          <w:tcPr>
            <w:tcW w:w="6264" w:type="dxa"/>
            <w:hideMark/>
          </w:tcPr>
          <w:p w14:paraId="67160400" w14:textId="77777777" w:rsidR="00AF5D75" w:rsidRPr="00755D1B" w:rsidRDefault="00AF5D75" w:rsidP="00534051">
            <w:pPr>
              <w:pStyle w:val="02Tabletext"/>
              <w:spacing w:after="48"/>
            </w:pPr>
            <w:r w:rsidRPr="00755D1B">
              <w:rPr>
                <w:lang w:val="en-GB"/>
              </w:rPr>
              <w:t>Compound annual growth rate, or the average annual growth rate over a specified time period.</w:t>
            </w:r>
          </w:p>
        </w:tc>
      </w:tr>
      <w:tr w:rsidR="00755D1B" w:rsidRPr="00755D1B" w14:paraId="04383741" w14:textId="77777777" w:rsidTr="00382015">
        <w:tc>
          <w:tcPr>
            <w:tcW w:w="2752" w:type="dxa"/>
            <w:hideMark/>
          </w:tcPr>
          <w:p w14:paraId="07C05AF3" w14:textId="77777777" w:rsidR="00AF5D75" w:rsidRPr="00755D1B" w:rsidRDefault="00AF5D75" w:rsidP="00534051">
            <w:pPr>
              <w:pStyle w:val="02Tabletext"/>
              <w:spacing w:after="48"/>
            </w:pPr>
            <w:r w:rsidRPr="00755D1B">
              <w:rPr>
                <w:lang w:val="en-GB"/>
              </w:rPr>
              <w:t>Change</w:t>
            </w:r>
          </w:p>
        </w:tc>
        <w:tc>
          <w:tcPr>
            <w:tcW w:w="6264" w:type="dxa"/>
            <w:hideMark/>
          </w:tcPr>
          <w:p w14:paraId="796DCC01" w14:textId="77777777" w:rsidR="00AF5D75" w:rsidRPr="00755D1B" w:rsidRDefault="00AF5D75" w:rsidP="00534051">
            <w:pPr>
              <w:pStyle w:val="02Tabletext"/>
              <w:spacing w:after="48"/>
            </w:pPr>
            <w:r w:rsidRPr="00755D1B">
              <w:rPr>
                <w:lang w:val="en-GB"/>
              </w:rPr>
              <w:t>Describes when the item and/or its services will be affected by the recommendations. This could result from a range of recommendations, such as: (i) specific recommendations that affect the services provided by changing item descriptors or explanatory notes, (ii) the consolidation of item numbers, and (iii) splitting item numbers (e.g. splitting the current services provided across two or more items).</w:t>
            </w:r>
            <w:r w:rsidR="00AB6550">
              <w:rPr>
                <w:lang w:val="en-GB"/>
              </w:rPr>
              <w:t xml:space="preserve"> </w:t>
            </w:r>
            <w:r w:rsidRPr="00755D1B">
              <w:rPr>
                <w:lang w:val="en-GB"/>
              </w:rPr>
              <w:t xml:space="preserve"> </w:t>
            </w:r>
          </w:p>
        </w:tc>
      </w:tr>
      <w:tr w:rsidR="00CF2A6E" w:rsidRPr="00755D1B" w14:paraId="16C781F8" w14:textId="77777777" w:rsidTr="00382015">
        <w:tc>
          <w:tcPr>
            <w:tcW w:w="2752" w:type="dxa"/>
          </w:tcPr>
          <w:p w14:paraId="7BAC79DF" w14:textId="77777777" w:rsidR="00CF2A6E" w:rsidRPr="00755D1B" w:rsidRDefault="00CF2A6E" w:rsidP="00534051">
            <w:pPr>
              <w:pStyle w:val="02Tabletext"/>
              <w:spacing w:after="48"/>
              <w:rPr>
                <w:lang w:val="en-GB"/>
              </w:rPr>
            </w:pPr>
            <w:r>
              <w:rPr>
                <w:lang w:val="en-GB"/>
              </w:rPr>
              <w:t>CRP</w:t>
            </w:r>
          </w:p>
        </w:tc>
        <w:tc>
          <w:tcPr>
            <w:tcW w:w="6264" w:type="dxa"/>
          </w:tcPr>
          <w:p w14:paraId="22CC683C" w14:textId="77777777" w:rsidR="00CF2A6E" w:rsidRPr="00755D1B" w:rsidRDefault="00CF2A6E" w:rsidP="00534051">
            <w:pPr>
              <w:pStyle w:val="02Tabletext"/>
              <w:spacing w:after="48"/>
              <w:rPr>
                <w:lang w:val="en-GB"/>
              </w:rPr>
            </w:pPr>
            <w:r>
              <w:rPr>
                <w:lang w:val="en-GB"/>
              </w:rPr>
              <w:t>C-reactive protein</w:t>
            </w:r>
          </w:p>
        </w:tc>
      </w:tr>
      <w:tr w:rsidR="00755D1B" w:rsidRPr="00755D1B" w14:paraId="5A17A190" w14:textId="77777777" w:rsidTr="00382015">
        <w:tc>
          <w:tcPr>
            <w:tcW w:w="2752" w:type="dxa"/>
            <w:hideMark/>
          </w:tcPr>
          <w:p w14:paraId="7ED1B519" w14:textId="77777777" w:rsidR="00AF5D75" w:rsidRPr="00755D1B" w:rsidRDefault="00AF5D75" w:rsidP="00534051">
            <w:pPr>
              <w:pStyle w:val="02Tabletext"/>
              <w:spacing w:after="48"/>
            </w:pPr>
            <w:r w:rsidRPr="00755D1B">
              <w:rPr>
                <w:lang w:val="en-GB"/>
              </w:rPr>
              <w:t>Delete</w:t>
            </w:r>
          </w:p>
        </w:tc>
        <w:tc>
          <w:tcPr>
            <w:tcW w:w="6264" w:type="dxa"/>
            <w:hideMark/>
          </w:tcPr>
          <w:p w14:paraId="4E1D6E27" w14:textId="77777777" w:rsidR="00AF5D75" w:rsidRPr="00755D1B" w:rsidRDefault="00AF5D75" w:rsidP="00534051">
            <w:pPr>
              <w:pStyle w:val="02Tabletext"/>
              <w:spacing w:after="48"/>
            </w:pPr>
            <w:r w:rsidRPr="00755D1B">
              <w:rPr>
                <w:lang w:val="en-GB"/>
              </w:rPr>
              <w:t>Describes when an item is recommended for removal from the MBS and its services will no longer be provided under the MBS.</w:t>
            </w:r>
          </w:p>
        </w:tc>
      </w:tr>
      <w:tr w:rsidR="00755D1B" w:rsidRPr="00755D1B" w14:paraId="09E82234" w14:textId="77777777" w:rsidTr="00382015">
        <w:tc>
          <w:tcPr>
            <w:tcW w:w="2752" w:type="dxa"/>
            <w:hideMark/>
          </w:tcPr>
          <w:p w14:paraId="579DF185" w14:textId="77777777" w:rsidR="00AF5D75" w:rsidRPr="00755D1B" w:rsidRDefault="00AF5D75" w:rsidP="00534051">
            <w:pPr>
              <w:pStyle w:val="02Tabletext"/>
              <w:spacing w:after="48"/>
            </w:pPr>
            <w:r w:rsidRPr="00755D1B">
              <w:rPr>
                <w:lang w:val="en-GB"/>
              </w:rPr>
              <w:t>FY</w:t>
            </w:r>
          </w:p>
        </w:tc>
        <w:tc>
          <w:tcPr>
            <w:tcW w:w="6264" w:type="dxa"/>
            <w:hideMark/>
          </w:tcPr>
          <w:p w14:paraId="61475DD8" w14:textId="77777777" w:rsidR="00AF5D75" w:rsidRPr="00755D1B" w:rsidRDefault="00AF5D75" w:rsidP="00534051">
            <w:pPr>
              <w:pStyle w:val="02Tabletext"/>
              <w:spacing w:after="48"/>
            </w:pPr>
            <w:r w:rsidRPr="00755D1B">
              <w:rPr>
                <w:lang w:val="en-GB"/>
              </w:rPr>
              <w:t>Financial year</w:t>
            </w:r>
          </w:p>
        </w:tc>
      </w:tr>
      <w:tr w:rsidR="00755D1B" w:rsidRPr="00755D1B" w14:paraId="38B58329" w14:textId="77777777" w:rsidTr="00382015">
        <w:tc>
          <w:tcPr>
            <w:tcW w:w="2752" w:type="dxa"/>
            <w:hideMark/>
          </w:tcPr>
          <w:p w14:paraId="2974EC99" w14:textId="77777777" w:rsidR="00AF5D75" w:rsidRPr="00755D1B" w:rsidRDefault="00AF5D75" w:rsidP="00534051">
            <w:pPr>
              <w:pStyle w:val="02Tabletext"/>
              <w:spacing w:after="48"/>
            </w:pPr>
            <w:r w:rsidRPr="00755D1B">
              <w:rPr>
                <w:lang w:val="en-GB"/>
              </w:rPr>
              <w:t>GP</w:t>
            </w:r>
          </w:p>
        </w:tc>
        <w:tc>
          <w:tcPr>
            <w:tcW w:w="6264" w:type="dxa"/>
            <w:hideMark/>
          </w:tcPr>
          <w:p w14:paraId="05A57CE8" w14:textId="77777777" w:rsidR="00AF5D75" w:rsidRPr="00755D1B" w:rsidRDefault="00AF5D75" w:rsidP="00534051">
            <w:pPr>
              <w:pStyle w:val="02Tabletext"/>
              <w:spacing w:after="48"/>
            </w:pPr>
            <w:r w:rsidRPr="00755D1B">
              <w:rPr>
                <w:lang w:val="en-GB"/>
              </w:rPr>
              <w:t>General practitioner</w:t>
            </w:r>
          </w:p>
        </w:tc>
      </w:tr>
      <w:tr w:rsidR="00755D1B" w:rsidRPr="00755D1B" w14:paraId="572BDCC4" w14:textId="77777777" w:rsidTr="00382015">
        <w:tc>
          <w:tcPr>
            <w:tcW w:w="2752" w:type="dxa"/>
            <w:hideMark/>
          </w:tcPr>
          <w:p w14:paraId="26757C2F" w14:textId="77777777" w:rsidR="00AF5D75" w:rsidRPr="00755D1B" w:rsidRDefault="00AF5D75" w:rsidP="00534051">
            <w:pPr>
              <w:pStyle w:val="02Tabletext"/>
              <w:spacing w:after="48"/>
            </w:pPr>
            <w:r w:rsidRPr="00755D1B">
              <w:rPr>
                <w:lang w:val="en-GB"/>
              </w:rPr>
              <w:t>High-value care</w:t>
            </w:r>
          </w:p>
        </w:tc>
        <w:tc>
          <w:tcPr>
            <w:tcW w:w="6264" w:type="dxa"/>
            <w:hideMark/>
          </w:tcPr>
          <w:p w14:paraId="0429EB13" w14:textId="77777777" w:rsidR="00AF5D75" w:rsidRPr="00755D1B" w:rsidRDefault="00AF5D75" w:rsidP="00534051">
            <w:pPr>
              <w:pStyle w:val="02Tabletext"/>
              <w:spacing w:after="48"/>
            </w:pPr>
            <w:r w:rsidRPr="00755D1B">
              <w:rPr>
                <w:lang w:val="en-GB"/>
              </w:rPr>
              <w:t>Services of proven efficacy reflecting current best medical practice, or for which the potential benefit to consumers exceeds the risk and costs.</w:t>
            </w:r>
          </w:p>
        </w:tc>
      </w:tr>
      <w:tr w:rsidR="00CF2A6E" w:rsidRPr="00755D1B" w14:paraId="63BE84F4" w14:textId="77777777" w:rsidTr="00382015">
        <w:tc>
          <w:tcPr>
            <w:tcW w:w="2752" w:type="dxa"/>
          </w:tcPr>
          <w:p w14:paraId="48C13321" w14:textId="77777777" w:rsidR="00CF2A6E" w:rsidRPr="00755D1B" w:rsidRDefault="00CF2A6E" w:rsidP="00534051">
            <w:pPr>
              <w:pStyle w:val="02Tabletext"/>
              <w:spacing w:after="48"/>
              <w:rPr>
                <w:lang w:val="en-GB"/>
              </w:rPr>
            </w:pPr>
            <w:r>
              <w:rPr>
                <w:lang w:val="en-GB"/>
              </w:rPr>
              <w:t>Ig</w:t>
            </w:r>
          </w:p>
        </w:tc>
        <w:tc>
          <w:tcPr>
            <w:tcW w:w="6264" w:type="dxa"/>
          </w:tcPr>
          <w:p w14:paraId="36D3505B" w14:textId="77777777" w:rsidR="00CF2A6E" w:rsidRPr="00755D1B" w:rsidRDefault="00CF2A6E" w:rsidP="00534051">
            <w:pPr>
              <w:pStyle w:val="02Tabletext"/>
              <w:spacing w:after="48"/>
              <w:rPr>
                <w:lang w:val="en-GB"/>
              </w:rPr>
            </w:pPr>
            <w:r>
              <w:t>I</w:t>
            </w:r>
            <w:r w:rsidRPr="001F0103">
              <w:t>mmunoglobulin</w:t>
            </w:r>
          </w:p>
        </w:tc>
      </w:tr>
      <w:tr w:rsidR="00755D1B" w:rsidRPr="00755D1B" w14:paraId="32F2769A" w14:textId="77777777" w:rsidTr="00382015">
        <w:tc>
          <w:tcPr>
            <w:tcW w:w="2752" w:type="dxa"/>
            <w:hideMark/>
          </w:tcPr>
          <w:p w14:paraId="1EFF72F0" w14:textId="77777777" w:rsidR="00AF5D75" w:rsidRPr="00755D1B" w:rsidRDefault="00AF5D75" w:rsidP="00534051">
            <w:pPr>
              <w:pStyle w:val="02Tabletext"/>
              <w:spacing w:after="48"/>
            </w:pPr>
            <w:r w:rsidRPr="00755D1B">
              <w:rPr>
                <w:lang w:val="en-GB"/>
              </w:rPr>
              <w:t>Inappropriate use/misuse</w:t>
            </w:r>
          </w:p>
        </w:tc>
        <w:tc>
          <w:tcPr>
            <w:tcW w:w="6264" w:type="dxa"/>
            <w:hideMark/>
          </w:tcPr>
          <w:p w14:paraId="48E9230D" w14:textId="77777777" w:rsidR="00AF5D75" w:rsidRPr="00755D1B" w:rsidRDefault="00AF5D75" w:rsidP="00534051">
            <w:pPr>
              <w:pStyle w:val="02Tabletext"/>
              <w:spacing w:after="48"/>
            </w:pPr>
            <w:r w:rsidRPr="00755D1B">
              <w:rPr>
                <w:lang w:val="en-GB"/>
              </w:rPr>
              <w:t>Use of MBS services for purposes other than those intended. This includes a range of behaviours, from failing to adhere to particular item descriptors or rules through to deliberate fraud.</w:t>
            </w:r>
          </w:p>
        </w:tc>
      </w:tr>
      <w:tr w:rsidR="00755D1B" w:rsidRPr="00755D1B" w14:paraId="40D01A56" w14:textId="77777777" w:rsidTr="00382015">
        <w:tc>
          <w:tcPr>
            <w:tcW w:w="2752" w:type="dxa"/>
            <w:hideMark/>
          </w:tcPr>
          <w:p w14:paraId="1ABCB35C" w14:textId="77777777" w:rsidR="00AF5D75" w:rsidRPr="00755D1B" w:rsidRDefault="00AF5D75" w:rsidP="00534051">
            <w:pPr>
              <w:pStyle w:val="02Tabletext"/>
              <w:spacing w:after="48"/>
            </w:pPr>
            <w:r w:rsidRPr="00755D1B">
              <w:rPr>
                <w:lang w:val="en-GB"/>
              </w:rPr>
              <w:t>Low-value care</w:t>
            </w:r>
          </w:p>
        </w:tc>
        <w:tc>
          <w:tcPr>
            <w:tcW w:w="6264" w:type="dxa"/>
            <w:hideMark/>
          </w:tcPr>
          <w:p w14:paraId="543999DA" w14:textId="77777777" w:rsidR="00AF5D75" w:rsidRPr="00755D1B" w:rsidRDefault="00AF5D75" w:rsidP="00534051">
            <w:pPr>
              <w:pStyle w:val="02Tabletext"/>
              <w:spacing w:after="48"/>
            </w:pPr>
            <w:r w:rsidRPr="00755D1B">
              <w:rPr>
                <w:shd w:val="clear" w:color="auto" w:fill="FFFFFF"/>
                <w:lang w:val="en-GB"/>
              </w:rPr>
              <w:t>Use of an intervention that evidence suggests confers little benefit or no benefit to patients; or when the risk of harm from the intervention exceeds the likely benefit; or, more broadly, when the added costs of the intervention do not provide proportional added benefits.</w:t>
            </w:r>
          </w:p>
        </w:tc>
      </w:tr>
      <w:tr w:rsidR="00755D1B" w:rsidRPr="00755D1B" w14:paraId="1D310697" w14:textId="77777777" w:rsidTr="00382015">
        <w:tc>
          <w:tcPr>
            <w:tcW w:w="2752" w:type="dxa"/>
            <w:hideMark/>
          </w:tcPr>
          <w:p w14:paraId="0A8F1C6D" w14:textId="77777777" w:rsidR="00AF5D75" w:rsidRPr="00755D1B" w:rsidRDefault="00AF5D75" w:rsidP="00534051">
            <w:pPr>
              <w:pStyle w:val="02Tabletext"/>
              <w:spacing w:after="48"/>
            </w:pPr>
            <w:r w:rsidRPr="00755D1B">
              <w:rPr>
                <w:lang w:val="en-GB"/>
              </w:rPr>
              <w:t>MBS</w:t>
            </w:r>
          </w:p>
        </w:tc>
        <w:tc>
          <w:tcPr>
            <w:tcW w:w="6264" w:type="dxa"/>
            <w:hideMark/>
          </w:tcPr>
          <w:p w14:paraId="2F424A81" w14:textId="77777777" w:rsidR="00AF5D75" w:rsidRPr="00755D1B" w:rsidRDefault="00AF5D75" w:rsidP="00534051">
            <w:pPr>
              <w:pStyle w:val="02Tabletext"/>
              <w:spacing w:after="48"/>
            </w:pPr>
            <w:r w:rsidRPr="00755D1B">
              <w:rPr>
                <w:lang w:val="en-GB"/>
              </w:rPr>
              <w:t xml:space="preserve">Medicare Benefits Schedule </w:t>
            </w:r>
          </w:p>
        </w:tc>
      </w:tr>
      <w:tr w:rsidR="00755D1B" w:rsidRPr="00755D1B" w14:paraId="344CE3E5" w14:textId="77777777" w:rsidTr="00382015">
        <w:tc>
          <w:tcPr>
            <w:tcW w:w="2752" w:type="dxa"/>
            <w:hideMark/>
          </w:tcPr>
          <w:p w14:paraId="7CD68C85" w14:textId="77777777" w:rsidR="00AF5D75" w:rsidRPr="00755D1B" w:rsidRDefault="00AF5D75" w:rsidP="00534051">
            <w:pPr>
              <w:pStyle w:val="02Tabletext"/>
              <w:spacing w:after="48"/>
            </w:pPr>
            <w:r w:rsidRPr="00755D1B">
              <w:rPr>
                <w:lang w:val="en-GB"/>
              </w:rPr>
              <w:t>MBS item</w:t>
            </w:r>
          </w:p>
        </w:tc>
        <w:tc>
          <w:tcPr>
            <w:tcW w:w="6264" w:type="dxa"/>
            <w:hideMark/>
          </w:tcPr>
          <w:p w14:paraId="4DD9B6F6" w14:textId="77777777" w:rsidR="00AF5D75" w:rsidRPr="00755D1B" w:rsidRDefault="00AF5D75" w:rsidP="00534051">
            <w:pPr>
              <w:pStyle w:val="02Tabletext"/>
              <w:spacing w:after="48"/>
            </w:pPr>
            <w:r w:rsidRPr="00755D1B">
              <w:rPr>
                <w:szCs w:val="23"/>
                <w:lang w:val="en-GB"/>
              </w:rPr>
              <w:t>An administrative object listed in the MBS and used for the purposes of claiming and paying Medicare benefits, consisting of an item number, service descriptor and supporting information, schedule fee and Medicare benefits.</w:t>
            </w:r>
          </w:p>
        </w:tc>
      </w:tr>
      <w:tr w:rsidR="00755D1B" w:rsidRPr="00755D1B" w14:paraId="1F5B3561" w14:textId="77777777" w:rsidTr="00382015">
        <w:tc>
          <w:tcPr>
            <w:tcW w:w="2752" w:type="dxa"/>
            <w:hideMark/>
          </w:tcPr>
          <w:p w14:paraId="04CF8A95" w14:textId="77777777" w:rsidR="00AF5D75" w:rsidRPr="00755D1B" w:rsidRDefault="00AF5D75" w:rsidP="00534051">
            <w:pPr>
              <w:pStyle w:val="02Tabletext"/>
              <w:spacing w:after="48"/>
            </w:pPr>
            <w:r w:rsidRPr="00755D1B">
              <w:rPr>
                <w:lang w:val="en-GB"/>
              </w:rPr>
              <w:t>MBS service</w:t>
            </w:r>
          </w:p>
        </w:tc>
        <w:tc>
          <w:tcPr>
            <w:tcW w:w="6264" w:type="dxa"/>
            <w:hideMark/>
          </w:tcPr>
          <w:p w14:paraId="2904270F" w14:textId="77777777" w:rsidR="00AF5D75" w:rsidRPr="00755D1B" w:rsidRDefault="00AF5D75" w:rsidP="00534051">
            <w:pPr>
              <w:pStyle w:val="02Tabletext"/>
              <w:spacing w:after="48"/>
            </w:pPr>
            <w:r w:rsidRPr="00755D1B">
              <w:rPr>
                <w:szCs w:val="23"/>
                <w:lang w:val="en-GB"/>
              </w:rPr>
              <w:t>The actual medical consultation, procedure or test to which the relevant MBS item refers.</w:t>
            </w:r>
          </w:p>
        </w:tc>
      </w:tr>
      <w:tr w:rsidR="00755D1B" w:rsidRPr="00755D1B" w14:paraId="70FB08B1" w14:textId="77777777" w:rsidTr="00382015">
        <w:tc>
          <w:tcPr>
            <w:tcW w:w="2752" w:type="dxa"/>
            <w:hideMark/>
          </w:tcPr>
          <w:p w14:paraId="091B964B" w14:textId="77777777" w:rsidR="00AF5D75" w:rsidRPr="00755D1B" w:rsidRDefault="00AF5D75" w:rsidP="00534051">
            <w:pPr>
              <w:pStyle w:val="02Tabletext"/>
              <w:spacing w:after="48"/>
            </w:pPr>
            <w:r w:rsidRPr="00755D1B">
              <w:rPr>
                <w:lang w:val="en-GB"/>
              </w:rPr>
              <w:t>MSAC</w:t>
            </w:r>
          </w:p>
        </w:tc>
        <w:tc>
          <w:tcPr>
            <w:tcW w:w="6264" w:type="dxa"/>
            <w:hideMark/>
          </w:tcPr>
          <w:p w14:paraId="02617CBD" w14:textId="77777777" w:rsidR="00AF5D75" w:rsidRPr="00755D1B" w:rsidRDefault="00AF5D75" w:rsidP="00534051">
            <w:pPr>
              <w:pStyle w:val="02Tabletext"/>
              <w:spacing w:after="48"/>
            </w:pPr>
            <w:r w:rsidRPr="00755D1B">
              <w:rPr>
                <w:lang w:val="en-GB"/>
              </w:rPr>
              <w:t>Medical Services Advisory Committee</w:t>
            </w:r>
          </w:p>
        </w:tc>
      </w:tr>
      <w:tr w:rsidR="00755D1B" w:rsidRPr="00755D1B" w14:paraId="2BFECCE8" w14:textId="77777777" w:rsidTr="00382015">
        <w:tc>
          <w:tcPr>
            <w:tcW w:w="2752" w:type="dxa"/>
            <w:hideMark/>
          </w:tcPr>
          <w:p w14:paraId="69896AAF" w14:textId="77777777" w:rsidR="00AF5D75" w:rsidRPr="00755D1B" w:rsidRDefault="00AF5D75" w:rsidP="00534051">
            <w:pPr>
              <w:pStyle w:val="02Tabletext"/>
              <w:spacing w:after="48"/>
            </w:pPr>
            <w:r w:rsidRPr="00755D1B">
              <w:rPr>
                <w:lang w:val="en-GB"/>
              </w:rPr>
              <w:t xml:space="preserve">Multiple services rules </w:t>
            </w:r>
          </w:p>
        </w:tc>
        <w:tc>
          <w:tcPr>
            <w:tcW w:w="6264" w:type="dxa"/>
            <w:hideMark/>
          </w:tcPr>
          <w:p w14:paraId="57CE9A35" w14:textId="77777777" w:rsidR="00AF5D75" w:rsidRPr="00755D1B" w:rsidRDefault="00AF5D75" w:rsidP="00534051">
            <w:pPr>
              <w:pStyle w:val="02Tabletext"/>
              <w:spacing w:after="48"/>
            </w:pPr>
            <w:r w:rsidRPr="00755D1B">
              <w:rPr>
                <w:lang w:val="en-GB"/>
              </w:rPr>
              <w:t xml:space="preserve">A set of rules governing the amount of Medicare benefit payable for multiple services provided to a patient at the same attendance (same day). </w:t>
            </w:r>
          </w:p>
        </w:tc>
      </w:tr>
      <w:tr w:rsidR="00755D1B" w:rsidRPr="00755D1B" w14:paraId="688FC7DA" w14:textId="77777777" w:rsidTr="00382015">
        <w:tc>
          <w:tcPr>
            <w:tcW w:w="2752" w:type="dxa"/>
            <w:hideMark/>
          </w:tcPr>
          <w:p w14:paraId="6907981A" w14:textId="77777777" w:rsidR="00AF5D75" w:rsidRPr="00755D1B" w:rsidRDefault="00AF5D75" w:rsidP="00534051">
            <w:pPr>
              <w:pStyle w:val="02Tabletext"/>
              <w:spacing w:after="48"/>
            </w:pPr>
            <w:r w:rsidRPr="00755D1B">
              <w:rPr>
                <w:lang w:val="en-GB"/>
              </w:rPr>
              <w:t>New service</w:t>
            </w:r>
          </w:p>
        </w:tc>
        <w:tc>
          <w:tcPr>
            <w:tcW w:w="6264" w:type="dxa"/>
            <w:hideMark/>
          </w:tcPr>
          <w:p w14:paraId="636303A5" w14:textId="77777777" w:rsidR="00AF5D75" w:rsidRPr="00755D1B" w:rsidRDefault="00AF5D75" w:rsidP="00534051">
            <w:pPr>
              <w:pStyle w:val="02Tabletext"/>
              <w:spacing w:after="48"/>
            </w:pPr>
            <w:r w:rsidRPr="00755D1B">
              <w:rPr>
                <w:lang w:val="en-GB"/>
              </w:rPr>
              <w:t>Describes when a new service has been recommended, with a new item number. In most circumstances these will need to go through MSAC. It is worth noting that implementation of the recommendation may result in more or fewer item numbers than specifically stated.</w:t>
            </w:r>
            <w:r w:rsidR="00AB6550">
              <w:rPr>
                <w:lang w:val="en-GB"/>
              </w:rPr>
              <w:t xml:space="preserve"> </w:t>
            </w:r>
          </w:p>
        </w:tc>
      </w:tr>
      <w:tr w:rsidR="00755D1B" w:rsidRPr="00755D1B" w14:paraId="40E96041" w14:textId="77777777" w:rsidTr="00382015">
        <w:tc>
          <w:tcPr>
            <w:tcW w:w="2752" w:type="dxa"/>
            <w:hideMark/>
          </w:tcPr>
          <w:p w14:paraId="6EF2DA26" w14:textId="77777777" w:rsidR="00AF5D75" w:rsidRPr="00755D1B" w:rsidRDefault="00AF5D75" w:rsidP="00534051">
            <w:pPr>
              <w:pStyle w:val="02Tabletext"/>
              <w:spacing w:after="48"/>
            </w:pPr>
            <w:r w:rsidRPr="00755D1B">
              <w:rPr>
                <w:lang w:val="en-GB"/>
              </w:rPr>
              <w:t>No change or unchanged</w:t>
            </w:r>
          </w:p>
        </w:tc>
        <w:tc>
          <w:tcPr>
            <w:tcW w:w="6264" w:type="dxa"/>
            <w:hideMark/>
          </w:tcPr>
          <w:p w14:paraId="75A7C97B" w14:textId="77777777" w:rsidR="00AF5D75" w:rsidRPr="00755D1B" w:rsidRDefault="00AF5D75" w:rsidP="00534051">
            <w:pPr>
              <w:pStyle w:val="02Tabletext"/>
              <w:spacing w:after="48"/>
            </w:pPr>
            <w:r w:rsidRPr="00755D1B">
              <w:rPr>
                <w:lang w:val="en-GB"/>
              </w:rPr>
              <w:t>Describes when the services provided under these items will not be changed or affected by the recommendations. This does not rule out small changes in item descriptors (e.g. references to other items, which may have changed as a result of the MBS Review or prior reviews).</w:t>
            </w:r>
          </w:p>
        </w:tc>
      </w:tr>
      <w:tr w:rsidR="00755D1B" w:rsidRPr="00755D1B" w14:paraId="338B2BCD" w14:textId="77777777" w:rsidTr="00382015">
        <w:tc>
          <w:tcPr>
            <w:tcW w:w="2752" w:type="dxa"/>
            <w:hideMark/>
          </w:tcPr>
          <w:p w14:paraId="541E7F18" w14:textId="77777777" w:rsidR="00AF5D75" w:rsidRPr="00755D1B" w:rsidRDefault="00AF5D75" w:rsidP="00534051">
            <w:pPr>
              <w:pStyle w:val="02Tabletext"/>
              <w:spacing w:after="48"/>
              <w:rPr>
                <w:lang w:val="en-GB"/>
              </w:rPr>
            </w:pPr>
            <w:r w:rsidRPr="00755D1B">
              <w:rPr>
                <w:lang w:val="en-GB"/>
              </w:rPr>
              <w:t xml:space="preserve">Obsolete services/items </w:t>
            </w:r>
          </w:p>
        </w:tc>
        <w:tc>
          <w:tcPr>
            <w:tcW w:w="6264" w:type="dxa"/>
            <w:hideMark/>
          </w:tcPr>
          <w:p w14:paraId="30FEA19F" w14:textId="77777777" w:rsidR="00AF5D75" w:rsidRPr="00755D1B" w:rsidRDefault="00AF5D75" w:rsidP="00534051">
            <w:pPr>
              <w:pStyle w:val="02Tabletext"/>
              <w:spacing w:after="48"/>
              <w:rPr>
                <w:lang w:val="en-GB"/>
              </w:rPr>
            </w:pPr>
            <w:r w:rsidRPr="00755D1B">
              <w:rPr>
                <w:lang w:val="en-GB"/>
              </w:rPr>
              <w:t>Services that should no longer be performed, as they do not represent current clinical best practice and have been superseded by superior tests or procedures.</w:t>
            </w:r>
          </w:p>
        </w:tc>
      </w:tr>
      <w:tr w:rsidR="00A27AEC" w:rsidRPr="00755D1B" w14:paraId="1AE063EE" w14:textId="77777777" w:rsidTr="00382015">
        <w:tc>
          <w:tcPr>
            <w:tcW w:w="2752" w:type="dxa"/>
          </w:tcPr>
          <w:p w14:paraId="7D1C258B" w14:textId="77777777" w:rsidR="00A27AEC" w:rsidRPr="00755D1B" w:rsidRDefault="00A27AEC" w:rsidP="00534051">
            <w:pPr>
              <w:pStyle w:val="02Tabletext"/>
              <w:spacing w:after="48"/>
              <w:rPr>
                <w:lang w:val="en-GB"/>
              </w:rPr>
            </w:pPr>
            <w:r>
              <w:rPr>
                <w:lang w:val="en-GB"/>
              </w:rPr>
              <w:t>PEI</w:t>
            </w:r>
          </w:p>
        </w:tc>
        <w:tc>
          <w:tcPr>
            <w:tcW w:w="6264" w:type="dxa"/>
          </w:tcPr>
          <w:p w14:paraId="3BD9500A" w14:textId="77777777" w:rsidR="00A27AEC" w:rsidRPr="00755D1B" w:rsidRDefault="00A27AEC" w:rsidP="00534051">
            <w:pPr>
              <w:pStyle w:val="02Tabletext"/>
              <w:spacing w:after="48"/>
              <w:rPr>
                <w:lang w:val="en-GB"/>
              </w:rPr>
            </w:pPr>
            <w:r>
              <w:rPr>
                <w:lang w:val="en-GB"/>
              </w:rPr>
              <w:t>Patient episode initiation</w:t>
            </w:r>
          </w:p>
        </w:tc>
      </w:tr>
      <w:tr w:rsidR="00755D1B" w:rsidRPr="00755D1B" w14:paraId="55A1A3F5" w14:textId="77777777" w:rsidTr="00382015">
        <w:tc>
          <w:tcPr>
            <w:tcW w:w="2752" w:type="dxa"/>
            <w:hideMark/>
          </w:tcPr>
          <w:p w14:paraId="2D666233" w14:textId="77777777" w:rsidR="00AF5D75" w:rsidRPr="00755D1B" w:rsidRDefault="00AF5D75" w:rsidP="00534051">
            <w:pPr>
              <w:pStyle w:val="02Tabletext"/>
              <w:spacing w:after="48"/>
              <w:rPr>
                <w:lang w:val="en-GB"/>
              </w:rPr>
            </w:pPr>
            <w:r w:rsidRPr="00755D1B">
              <w:rPr>
                <w:lang w:val="en-GB"/>
              </w:rPr>
              <w:t>PBS</w:t>
            </w:r>
          </w:p>
        </w:tc>
        <w:tc>
          <w:tcPr>
            <w:tcW w:w="6264" w:type="dxa"/>
            <w:hideMark/>
          </w:tcPr>
          <w:p w14:paraId="4BD215F8" w14:textId="77777777" w:rsidR="00AF5D75" w:rsidRPr="00755D1B" w:rsidRDefault="00AF5D75" w:rsidP="00534051">
            <w:pPr>
              <w:pStyle w:val="02Tabletext"/>
              <w:spacing w:after="48"/>
              <w:rPr>
                <w:lang w:val="en-GB"/>
              </w:rPr>
            </w:pPr>
            <w:r w:rsidRPr="00755D1B">
              <w:rPr>
                <w:lang w:val="en-GB"/>
              </w:rPr>
              <w:t>Pharmaceutical Benefits Scheme</w:t>
            </w:r>
          </w:p>
        </w:tc>
      </w:tr>
      <w:tr w:rsidR="00755D1B" w:rsidRPr="00755D1B" w14:paraId="454D19A2" w14:textId="77777777" w:rsidTr="00382015">
        <w:tc>
          <w:tcPr>
            <w:tcW w:w="2752" w:type="dxa"/>
            <w:hideMark/>
          </w:tcPr>
          <w:p w14:paraId="351BD82E" w14:textId="77777777" w:rsidR="00AF5D75" w:rsidRPr="00755D1B" w:rsidRDefault="00AF5D75" w:rsidP="00534051">
            <w:pPr>
              <w:pStyle w:val="02Tabletext"/>
              <w:spacing w:after="48"/>
              <w:rPr>
                <w:lang w:val="en-GB"/>
              </w:rPr>
            </w:pPr>
            <w:r w:rsidRPr="00755D1B">
              <w:rPr>
                <w:lang w:val="en-GB"/>
              </w:rPr>
              <w:t>PCC</w:t>
            </w:r>
          </w:p>
        </w:tc>
        <w:tc>
          <w:tcPr>
            <w:tcW w:w="6264" w:type="dxa"/>
            <w:hideMark/>
          </w:tcPr>
          <w:p w14:paraId="08411EF4" w14:textId="77777777" w:rsidR="00AF5D75" w:rsidRPr="00755D1B" w:rsidRDefault="00AF5D75" w:rsidP="00534051">
            <w:pPr>
              <w:pStyle w:val="02Tabletext"/>
              <w:spacing w:after="48"/>
              <w:rPr>
                <w:lang w:val="en-GB"/>
              </w:rPr>
            </w:pPr>
            <w:r w:rsidRPr="00755D1B">
              <w:rPr>
                <w:lang w:val="en-GB"/>
              </w:rPr>
              <w:t xml:space="preserve">Pathology Clinical Committee </w:t>
            </w:r>
          </w:p>
        </w:tc>
      </w:tr>
      <w:tr w:rsidR="00D7033C" w:rsidRPr="00755D1B" w14:paraId="42BB9194" w14:textId="77777777" w:rsidTr="00382015">
        <w:tc>
          <w:tcPr>
            <w:tcW w:w="2752" w:type="dxa"/>
          </w:tcPr>
          <w:p w14:paraId="39DD2F06" w14:textId="77777777" w:rsidR="00D7033C" w:rsidRPr="00755D1B" w:rsidRDefault="00D7033C" w:rsidP="00534051">
            <w:pPr>
              <w:pStyle w:val="02Tabletext"/>
              <w:spacing w:after="48"/>
              <w:rPr>
                <w:lang w:val="en-GB"/>
              </w:rPr>
            </w:pPr>
            <w:r>
              <w:rPr>
                <w:lang w:val="en-GB"/>
              </w:rPr>
              <w:t>PSAC</w:t>
            </w:r>
          </w:p>
        </w:tc>
        <w:tc>
          <w:tcPr>
            <w:tcW w:w="6264" w:type="dxa"/>
          </w:tcPr>
          <w:p w14:paraId="7561C47B" w14:textId="77777777" w:rsidR="00D7033C" w:rsidRPr="00755D1B" w:rsidRDefault="00D7033C" w:rsidP="00534051">
            <w:pPr>
              <w:pStyle w:val="02Tabletext"/>
              <w:spacing w:after="48"/>
              <w:rPr>
                <w:lang w:val="en-GB"/>
              </w:rPr>
            </w:pPr>
            <w:r>
              <w:rPr>
                <w:lang w:val="en-GB"/>
              </w:rPr>
              <w:t>Pathology Services Advisory Committee</w:t>
            </w:r>
          </w:p>
        </w:tc>
      </w:tr>
      <w:tr w:rsidR="00CF2A6E" w:rsidRPr="00755D1B" w14:paraId="26556332" w14:textId="77777777" w:rsidTr="00382015">
        <w:tc>
          <w:tcPr>
            <w:tcW w:w="2752" w:type="dxa"/>
          </w:tcPr>
          <w:p w14:paraId="30CCAE03" w14:textId="77777777" w:rsidR="00CF2A6E" w:rsidRDefault="00CF2A6E" w:rsidP="00534051">
            <w:pPr>
              <w:pStyle w:val="02Tabletext"/>
              <w:spacing w:after="48"/>
              <w:rPr>
                <w:lang w:val="en-GB"/>
              </w:rPr>
            </w:pPr>
            <w:r>
              <w:rPr>
                <w:lang w:val="en-GB"/>
              </w:rPr>
              <w:t>RA</w:t>
            </w:r>
          </w:p>
        </w:tc>
        <w:tc>
          <w:tcPr>
            <w:tcW w:w="6264" w:type="dxa"/>
          </w:tcPr>
          <w:p w14:paraId="373C7B5D" w14:textId="77777777" w:rsidR="00CF2A6E" w:rsidRDefault="00A27AEC" w:rsidP="00534051">
            <w:pPr>
              <w:pStyle w:val="02Tabletext"/>
              <w:spacing w:after="48"/>
              <w:rPr>
                <w:lang w:val="en-GB"/>
              </w:rPr>
            </w:pPr>
            <w:r>
              <w:rPr>
                <w:lang w:val="en-GB"/>
              </w:rPr>
              <w:t>Rheumatoid arthritis</w:t>
            </w:r>
          </w:p>
        </w:tc>
      </w:tr>
      <w:tr w:rsidR="00755D1B" w:rsidRPr="00755D1B" w14:paraId="18B3FCBD" w14:textId="77777777" w:rsidTr="00382015">
        <w:tc>
          <w:tcPr>
            <w:tcW w:w="2752" w:type="dxa"/>
            <w:hideMark/>
          </w:tcPr>
          <w:p w14:paraId="34CB48C9" w14:textId="77777777" w:rsidR="00AF5D75" w:rsidRPr="00755D1B" w:rsidRDefault="00AF5D75" w:rsidP="00534051">
            <w:pPr>
              <w:pStyle w:val="02Tabletext"/>
              <w:spacing w:after="48"/>
              <w:rPr>
                <w:lang w:val="en-GB"/>
              </w:rPr>
            </w:pPr>
            <w:r w:rsidRPr="00755D1B">
              <w:rPr>
                <w:lang w:val="en-GB"/>
              </w:rPr>
              <w:t>RACGP</w:t>
            </w:r>
          </w:p>
        </w:tc>
        <w:tc>
          <w:tcPr>
            <w:tcW w:w="6264" w:type="dxa"/>
            <w:hideMark/>
          </w:tcPr>
          <w:p w14:paraId="75B415C4" w14:textId="77777777" w:rsidR="00AF5D75" w:rsidRPr="00755D1B" w:rsidRDefault="00AF5D75" w:rsidP="00534051">
            <w:pPr>
              <w:pStyle w:val="02Tabletext"/>
              <w:spacing w:after="48"/>
              <w:rPr>
                <w:lang w:val="en-GB"/>
              </w:rPr>
            </w:pPr>
            <w:r w:rsidRPr="00755D1B">
              <w:rPr>
                <w:lang w:val="en-GB"/>
              </w:rPr>
              <w:t>Royal Australian College of General Practitioners</w:t>
            </w:r>
          </w:p>
        </w:tc>
      </w:tr>
      <w:tr w:rsidR="00C32CDD" w:rsidRPr="00755D1B" w14:paraId="62ABF77A" w14:textId="77777777" w:rsidTr="00382015">
        <w:tc>
          <w:tcPr>
            <w:tcW w:w="2752" w:type="dxa"/>
          </w:tcPr>
          <w:p w14:paraId="4BF38DF1" w14:textId="77777777" w:rsidR="00C32CDD" w:rsidRPr="00755D1B" w:rsidRDefault="00C32CDD" w:rsidP="00534051">
            <w:pPr>
              <w:pStyle w:val="02Tabletext"/>
              <w:spacing w:after="48"/>
              <w:rPr>
                <w:lang w:val="en-GB"/>
              </w:rPr>
            </w:pPr>
            <w:r>
              <w:rPr>
                <w:lang w:val="en-GB"/>
              </w:rPr>
              <w:t>Rule 25</w:t>
            </w:r>
          </w:p>
        </w:tc>
        <w:tc>
          <w:tcPr>
            <w:tcW w:w="6264" w:type="dxa"/>
          </w:tcPr>
          <w:p w14:paraId="599921A1" w14:textId="77777777" w:rsidR="00C32CDD" w:rsidRPr="00755D1B" w:rsidRDefault="00A27AEC" w:rsidP="00534051">
            <w:pPr>
              <w:pStyle w:val="02Tabletext"/>
              <w:spacing w:after="48"/>
              <w:rPr>
                <w:lang w:val="en-GB"/>
              </w:rPr>
            </w:pPr>
            <w:r w:rsidRPr="00A27AEC">
              <w:rPr>
                <w:lang w:val="en-GB"/>
              </w:rPr>
              <w:t>For any particular patient, this item is applicable not more than once in a 12-month period</w:t>
            </w:r>
          </w:p>
        </w:tc>
      </w:tr>
      <w:tr w:rsidR="00755D1B" w:rsidRPr="00755D1B" w14:paraId="6D9750B8" w14:textId="77777777" w:rsidTr="00382015">
        <w:tc>
          <w:tcPr>
            <w:tcW w:w="2752" w:type="dxa"/>
            <w:hideMark/>
          </w:tcPr>
          <w:p w14:paraId="7A41E2ED" w14:textId="77777777" w:rsidR="00AF5D75" w:rsidRPr="00755D1B" w:rsidRDefault="00AF5D75" w:rsidP="00534051">
            <w:pPr>
              <w:pStyle w:val="02Tabletext"/>
              <w:spacing w:after="48"/>
              <w:rPr>
                <w:lang w:val="en-GB"/>
              </w:rPr>
            </w:pPr>
            <w:r w:rsidRPr="00755D1B">
              <w:rPr>
                <w:lang w:val="en-GB"/>
              </w:rPr>
              <w:t xml:space="preserve">The Taskforce </w:t>
            </w:r>
          </w:p>
        </w:tc>
        <w:tc>
          <w:tcPr>
            <w:tcW w:w="6264" w:type="dxa"/>
            <w:hideMark/>
          </w:tcPr>
          <w:p w14:paraId="4CAB959C" w14:textId="77777777" w:rsidR="00AF5D75" w:rsidRPr="00755D1B" w:rsidRDefault="00AF5D75" w:rsidP="00534051">
            <w:pPr>
              <w:pStyle w:val="02Tabletext"/>
              <w:spacing w:after="48"/>
              <w:rPr>
                <w:lang w:val="en-GB"/>
              </w:rPr>
            </w:pPr>
            <w:r w:rsidRPr="00755D1B">
              <w:rPr>
                <w:lang w:val="en-GB"/>
              </w:rPr>
              <w:t>MBS Rev</w:t>
            </w:r>
            <w:r w:rsidR="00A75B48">
              <w:rPr>
                <w:lang w:val="en-GB"/>
              </w:rPr>
              <w:t>i</w:t>
            </w:r>
            <w:r w:rsidRPr="00755D1B">
              <w:rPr>
                <w:lang w:val="en-GB"/>
              </w:rPr>
              <w:t xml:space="preserve">ew Taskforce </w:t>
            </w:r>
          </w:p>
        </w:tc>
      </w:tr>
    </w:tbl>
    <w:p w14:paraId="610094E2" w14:textId="77777777" w:rsidR="00AF5D75" w:rsidRPr="008E09A2" w:rsidRDefault="00455052" w:rsidP="007B6365">
      <w:pPr>
        <w:pStyle w:val="Heading1"/>
        <w:numPr>
          <w:ilvl w:val="0"/>
          <w:numId w:val="0"/>
        </w:numPr>
        <w:ind w:left="113"/>
      </w:pPr>
      <w:bookmarkStart w:id="163" w:name="_Toc499293062"/>
      <w:r>
        <w:lastRenderedPageBreak/>
        <w:t>Appendix A</w:t>
      </w:r>
      <w:r w:rsidR="006C0FE3">
        <w:t xml:space="preserve"> –</w:t>
      </w:r>
      <w:r>
        <w:t xml:space="preserve"> </w:t>
      </w:r>
      <w:r w:rsidR="00755D1B" w:rsidRPr="008E09A2">
        <w:t>Immunology</w:t>
      </w:r>
      <w:r w:rsidR="00AF5D75" w:rsidRPr="008E09A2">
        <w:t>-related pathology test items</w:t>
      </w:r>
      <w:r w:rsidR="001F0103">
        <w:t xml:space="preserve"> </w:t>
      </w:r>
      <w:r w:rsidR="00AF5D75" w:rsidRPr="008E09A2">
        <w:t xml:space="preserve">– </w:t>
      </w:r>
      <w:r>
        <w:t>r</w:t>
      </w:r>
      <w:r w:rsidRPr="008E09A2">
        <w:t xml:space="preserve">ecommendations </w:t>
      </w:r>
      <w:r w:rsidR="00AF5D75" w:rsidRPr="008E09A2">
        <w:t>list</w:t>
      </w:r>
      <w:bookmarkEnd w:id="163"/>
    </w:p>
    <w:p w14:paraId="6E5C8D9F" w14:textId="77777777" w:rsidR="00AF5D75" w:rsidRPr="001F0103" w:rsidRDefault="00AF5D75">
      <w:pPr>
        <w:pStyle w:val="Caption"/>
        <w:rPr>
          <w:lang w:val="en-US"/>
        </w:rPr>
      </w:pPr>
      <w:bookmarkStart w:id="164" w:name="_Toc499289275"/>
      <w:r w:rsidRPr="001F0103">
        <w:rPr>
          <w:lang w:val="en-US"/>
        </w:rPr>
        <w:t>Table A1</w:t>
      </w:r>
      <w:r w:rsidR="001F0103">
        <w:rPr>
          <w:lang w:val="en-US"/>
        </w:rPr>
        <w:t xml:space="preserve">. </w:t>
      </w:r>
      <w:r w:rsidRPr="001F0103">
        <w:rPr>
          <w:lang w:val="en-US"/>
        </w:rPr>
        <w:t>MBS items considered by the committee</w:t>
      </w:r>
      <w:bookmarkEnd w:id="164"/>
    </w:p>
    <w:tbl>
      <w:tblPr>
        <w:tblW w:w="9086" w:type="dxa"/>
        <w:jc w:val="center"/>
        <w:tblBorders>
          <w:top w:val="single" w:sz="4" w:space="0" w:color="B56012"/>
          <w:bottom w:val="single" w:sz="4" w:space="0" w:color="B56012"/>
          <w:insideH w:val="single" w:sz="4" w:space="0" w:color="B56012"/>
        </w:tblBorders>
        <w:tblLayout w:type="fixed"/>
        <w:tblCellMar>
          <w:left w:w="60" w:type="dxa"/>
          <w:right w:w="60" w:type="dxa"/>
        </w:tblCellMar>
        <w:tblLook w:val="04A0" w:firstRow="1" w:lastRow="0" w:firstColumn="1" w:lastColumn="0" w:noHBand="0" w:noVBand="1"/>
        <w:tblCaption w:val="Appendix A - Table A.1: MBS items considered by the committee"/>
        <w:tblDescription w:val="Table A.1 lists Item numbers, Current descriptors, Recommendations, and Section reference for all assigned and referred immunology items."/>
      </w:tblPr>
      <w:tblGrid>
        <w:gridCol w:w="851"/>
        <w:gridCol w:w="5109"/>
        <w:gridCol w:w="1849"/>
        <w:gridCol w:w="1277"/>
      </w:tblGrid>
      <w:tr w:rsidR="001F0103" w:rsidRPr="001F0103" w14:paraId="15F26756" w14:textId="77777777" w:rsidTr="007B6365">
        <w:trPr>
          <w:trHeight w:val="563"/>
          <w:tblHeader/>
          <w:jc w:val="center"/>
        </w:trPr>
        <w:tc>
          <w:tcPr>
            <w:tcW w:w="851" w:type="dxa"/>
            <w:tcBorders>
              <w:top w:val="single" w:sz="4" w:space="0" w:color="B56012"/>
              <w:left w:val="nil"/>
              <w:bottom w:val="single" w:sz="4" w:space="0" w:color="B56012"/>
              <w:right w:val="nil"/>
            </w:tcBorders>
            <w:shd w:val="clear" w:color="auto" w:fill="EEECE1" w:themeFill="background2"/>
            <w:vAlign w:val="bottom"/>
            <w:hideMark/>
          </w:tcPr>
          <w:p w14:paraId="6FB1FFB3" w14:textId="77777777" w:rsidR="001F0103" w:rsidRPr="001F0103" w:rsidRDefault="001F0103" w:rsidP="007B6365">
            <w:pPr>
              <w:pStyle w:val="01Tableheaderrow"/>
            </w:pPr>
            <w:r w:rsidRPr="001F0103">
              <w:t>Item</w:t>
            </w:r>
          </w:p>
        </w:tc>
        <w:tc>
          <w:tcPr>
            <w:tcW w:w="5109" w:type="dxa"/>
            <w:tcBorders>
              <w:top w:val="single" w:sz="4" w:space="0" w:color="B56012"/>
              <w:left w:val="nil"/>
              <w:bottom w:val="single" w:sz="4" w:space="0" w:color="B56012"/>
              <w:right w:val="nil"/>
            </w:tcBorders>
            <w:shd w:val="clear" w:color="auto" w:fill="EEECE1" w:themeFill="background2"/>
            <w:vAlign w:val="bottom"/>
            <w:hideMark/>
          </w:tcPr>
          <w:p w14:paraId="1AAB6872" w14:textId="77777777" w:rsidR="001F0103" w:rsidRPr="001F0103" w:rsidRDefault="001F0103" w:rsidP="007B6365">
            <w:pPr>
              <w:pStyle w:val="01Tableheaderrow"/>
            </w:pPr>
            <w:r w:rsidRPr="001F0103">
              <w:t xml:space="preserve">Current descriptor </w:t>
            </w:r>
          </w:p>
        </w:tc>
        <w:tc>
          <w:tcPr>
            <w:tcW w:w="1849" w:type="dxa"/>
            <w:tcBorders>
              <w:top w:val="single" w:sz="4" w:space="0" w:color="B56012"/>
              <w:left w:val="nil"/>
              <w:bottom w:val="single" w:sz="4" w:space="0" w:color="B56012"/>
              <w:right w:val="nil"/>
            </w:tcBorders>
            <w:shd w:val="clear" w:color="auto" w:fill="EEECE1" w:themeFill="background2"/>
            <w:vAlign w:val="bottom"/>
            <w:hideMark/>
          </w:tcPr>
          <w:p w14:paraId="3CD29EFA" w14:textId="77777777" w:rsidR="001F0103" w:rsidRPr="001F0103" w:rsidRDefault="001F0103" w:rsidP="007B6365">
            <w:pPr>
              <w:pStyle w:val="01Tableheaderrow"/>
            </w:pPr>
            <w:r w:rsidRPr="001F0103">
              <w:t>Recommendation</w:t>
            </w:r>
          </w:p>
        </w:tc>
        <w:tc>
          <w:tcPr>
            <w:tcW w:w="1277" w:type="dxa"/>
            <w:tcBorders>
              <w:top w:val="single" w:sz="4" w:space="0" w:color="B56012"/>
              <w:left w:val="nil"/>
              <w:bottom w:val="single" w:sz="4" w:space="0" w:color="B56012"/>
              <w:right w:val="nil"/>
            </w:tcBorders>
            <w:shd w:val="clear" w:color="auto" w:fill="EEECE1" w:themeFill="background2"/>
            <w:vAlign w:val="bottom"/>
            <w:hideMark/>
          </w:tcPr>
          <w:p w14:paraId="7729B42F" w14:textId="77777777" w:rsidR="001F0103" w:rsidRPr="001F0103" w:rsidRDefault="005A5172" w:rsidP="007B6365">
            <w:pPr>
              <w:pStyle w:val="01Tableheaderrow"/>
            </w:pPr>
            <w:r>
              <w:t xml:space="preserve">Section </w:t>
            </w:r>
            <w:r w:rsidR="001F0103" w:rsidRPr="001F0103">
              <w:t xml:space="preserve">reference </w:t>
            </w:r>
          </w:p>
        </w:tc>
      </w:tr>
      <w:tr w:rsidR="001F0103" w:rsidRPr="001F0103" w14:paraId="6E104105" w14:textId="77777777" w:rsidTr="001F0103">
        <w:trPr>
          <w:trHeight w:val="563"/>
          <w:jc w:val="center"/>
        </w:trPr>
        <w:tc>
          <w:tcPr>
            <w:tcW w:w="851" w:type="dxa"/>
            <w:tcBorders>
              <w:top w:val="single" w:sz="4" w:space="0" w:color="B56012"/>
              <w:left w:val="nil"/>
              <w:bottom w:val="single" w:sz="4" w:space="0" w:color="B56012"/>
              <w:right w:val="nil"/>
            </w:tcBorders>
          </w:tcPr>
          <w:p w14:paraId="0F731640" w14:textId="77777777" w:rsidR="001F0103" w:rsidRPr="001F0103" w:rsidRDefault="001F0103" w:rsidP="007B6365">
            <w:pPr>
              <w:pStyle w:val="02Tabletext"/>
            </w:pPr>
            <w:r w:rsidRPr="001F0103">
              <w:t>71163</w:t>
            </w:r>
          </w:p>
        </w:tc>
        <w:tc>
          <w:tcPr>
            <w:tcW w:w="5109" w:type="dxa"/>
            <w:tcBorders>
              <w:top w:val="single" w:sz="4" w:space="0" w:color="B56012"/>
              <w:left w:val="nil"/>
              <w:bottom w:val="single" w:sz="4" w:space="0" w:color="B56012"/>
              <w:right w:val="nil"/>
            </w:tcBorders>
          </w:tcPr>
          <w:p w14:paraId="4D295E14" w14:textId="77777777" w:rsidR="001F0103" w:rsidRPr="001F0103" w:rsidRDefault="001F0103" w:rsidP="007B6365">
            <w:pPr>
              <w:pStyle w:val="02Tabletext"/>
            </w:pPr>
            <w:r w:rsidRPr="001F0103">
              <w:t>Detection of one of the following antibodies (of 1 or more class or isotype) in the assessment or diagnosis of coeliac disease or other gluten hypersensitivity syndromes and including a service described in item 71066 (if performed): a) Antibodies to gliadin; or b) Antibodies to endomysium; or c) Antibodies to tissue transglutaminase; - 1 test</w:t>
            </w:r>
          </w:p>
        </w:tc>
        <w:tc>
          <w:tcPr>
            <w:tcW w:w="1849" w:type="dxa"/>
            <w:tcBorders>
              <w:top w:val="single" w:sz="4" w:space="0" w:color="B56012"/>
              <w:left w:val="nil"/>
              <w:bottom w:val="single" w:sz="4" w:space="0" w:color="B56012"/>
              <w:right w:val="nil"/>
            </w:tcBorders>
          </w:tcPr>
          <w:p w14:paraId="470B1462"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hideMark/>
          </w:tcPr>
          <w:p w14:paraId="0F19DBC1" w14:textId="77777777" w:rsidR="001F0103" w:rsidRPr="001F0103" w:rsidRDefault="005A5172" w:rsidP="007B6365">
            <w:pPr>
              <w:pStyle w:val="02Tabletext"/>
            </w:pPr>
            <w:r>
              <w:t>4.1</w:t>
            </w:r>
            <w:r w:rsidR="00D34F71">
              <w:t>.1</w:t>
            </w:r>
          </w:p>
        </w:tc>
      </w:tr>
      <w:tr w:rsidR="001F0103" w:rsidRPr="001F0103" w14:paraId="3A2C11FF" w14:textId="77777777" w:rsidTr="001F0103">
        <w:trPr>
          <w:trHeight w:val="563"/>
          <w:jc w:val="center"/>
        </w:trPr>
        <w:tc>
          <w:tcPr>
            <w:tcW w:w="851" w:type="dxa"/>
            <w:tcBorders>
              <w:top w:val="single" w:sz="4" w:space="0" w:color="B56012"/>
              <w:left w:val="nil"/>
              <w:bottom w:val="single" w:sz="4" w:space="0" w:color="B56012"/>
              <w:right w:val="nil"/>
            </w:tcBorders>
          </w:tcPr>
          <w:p w14:paraId="009B48B8" w14:textId="77777777" w:rsidR="001F0103" w:rsidRPr="001F0103" w:rsidRDefault="001F0103" w:rsidP="007B6365">
            <w:pPr>
              <w:pStyle w:val="02Tabletext"/>
            </w:pPr>
            <w:r w:rsidRPr="001F0103">
              <w:t>71164</w:t>
            </w:r>
          </w:p>
        </w:tc>
        <w:tc>
          <w:tcPr>
            <w:tcW w:w="5109" w:type="dxa"/>
            <w:tcBorders>
              <w:top w:val="single" w:sz="4" w:space="0" w:color="B56012"/>
              <w:left w:val="nil"/>
              <w:bottom w:val="single" w:sz="4" w:space="0" w:color="B56012"/>
              <w:right w:val="nil"/>
            </w:tcBorders>
          </w:tcPr>
          <w:p w14:paraId="60415D89" w14:textId="77777777" w:rsidR="001F0103" w:rsidRPr="001F0103" w:rsidRDefault="001F0103" w:rsidP="007B6365">
            <w:pPr>
              <w:pStyle w:val="02Tabletext"/>
            </w:pPr>
            <w:r w:rsidRPr="001F0103">
              <w:t>Two or more tests described in 71163 and including a service described in 71066 (if performed)</w:t>
            </w:r>
          </w:p>
        </w:tc>
        <w:tc>
          <w:tcPr>
            <w:tcW w:w="1849" w:type="dxa"/>
            <w:tcBorders>
              <w:top w:val="single" w:sz="4" w:space="0" w:color="B56012"/>
              <w:left w:val="nil"/>
              <w:bottom w:val="single" w:sz="4" w:space="0" w:color="B56012"/>
              <w:right w:val="nil"/>
            </w:tcBorders>
          </w:tcPr>
          <w:p w14:paraId="46AE2E6E" w14:textId="77777777" w:rsidR="001F0103" w:rsidRPr="001F0103" w:rsidRDefault="001F0103" w:rsidP="007B6365">
            <w:pPr>
              <w:pStyle w:val="02Tabletext"/>
              <w:rPr>
                <w:bCs/>
              </w:rPr>
            </w:pPr>
            <w:r w:rsidRPr="001F0103">
              <w:rPr>
                <w:bCs/>
              </w:rPr>
              <w:t>No change</w:t>
            </w:r>
          </w:p>
        </w:tc>
        <w:tc>
          <w:tcPr>
            <w:tcW w:w="1277" w:type="dxa"/>
            <w:tcBorders>
              <w:top w:val="single" w:sz="4" w:space="0" w:color="B56012"/>
              <w:left w:val="nil"/>
              <w:bottom w:val="single" w:sz="4" w:space="0" w:color="B56012"/>
              <w:right w:val="nil"/>
            </w:tcBorders>
            <w:hideMark/>
          </w:tcPr>
          <w:p w14:paraId="23381937" w14:textId="77777777" w:rsidR="001F0103" w:rsidRPr="001F0103" w:rsidRDefault="005A5172" w:rsidP="007B6365">
            <w:pPr>
              <w:pStyle w:val="02Tabletext"/>
              <w:rPr>
                <w:bCs/>
              </w:rPr>
            </w:pPr>
            <w:r>
              <w:t>4.1</w:t>
            </w:r>
            <w:r w:rsidR="00D34F71">
              <w:t>.1</w:t>
            </w:r>
          </w:p>
        </w:tc>
      </w:tr>
      <w:tr w:rsidR="00E273B8" w:rsidRPr="001F0103" w14:paraId="32EBDAA8" w14:textId="77777777" w:rsidTr="001F0103">
        <w:trPr>
          <w:trHeight w:val="563"/>
          <w:jc w:val="center"/>
        </w:trPr>
        <w:tc>
          <w:tcPr>
            <w:tcW w:w="851" w:type="dxa"/>
            <w:tcBorders>
              <w:top w:val="single" w:sz="4" w:space="0" w:color="B56012"/>
              <w:left w:val="nil"/>
              <w:bottom w:val="single" w:sz="4" w:space="0" w:color="B56012"/>
              <w:right w:val="nil"/>
            </w:tcBorders>
          </w:tcPr>
          <w:p w14:paraId="47BB3442" w14:textId="77777777" w:rsidR="00E273B8" w:rsidRPr="001F0103" w:rsidRDefault="00E273B8" w:rsidP="007B6365">
            <w:pPr>
              <w:pStyle w:val="02Tabletext"/>
            </w:pPr>
            <w:r w:rsidRPr="001F0103">
              <w:t>71151</w:t>
            </w:r>
          </w:p>
        </w:tc>
        <w:tc>
          <w:tcPr>
            <w:tcW w:w="5109" w:type="dxa"/>
            <w:tcBorders>
              <w:top w:val="single" w:sz="4" w:space="0" w:color="B56012"/>
              <w:left w:val="nil"/>
              <w:bottom w:val="single" w:sz="4" w:space="0" w:color="B56012"/>
              <w:right w:val="nil"/>
            </w:tcBorders>
          </w:tcPr>
          <w:p w14:paraId="73D0B2E5" w14:textId="77777777" w:rsidR="00E273B8" w:rsidRPr="001F0103" w:rsidRDefault="00E273B8" w:rsidP="007B6365">
            <w:pPr>
              <w:pStyle w:val="02Tabletext"/>
            </w:pPr>
            <w:r w:rsidRPr="001F0103">
              <w:t>Tissue typing for HLA-DR, HLA-DP and HLA-DQ Class II antigens (including any separation of leucocytes) - phenotyping or genotyping of 2 or more antigens</w:t>
            </w:r>
          </w:p>
        </w:tc>
        <w:tc>
          <w:tcPr>
            <w:tcW w:w="1849" w:type="dxa"/>
            <w:tcBorders>
              <w:top w:val="single" w:sz="4" w:space="0" w:color="B56012"/>
              <w:left w:val="nil"/>
              <w:bottom w:val="single" w:sz="4" w:space="0" w:color="B56012"/>
              <w:right w:val="nil"/>
            </w:tcBorders>
          </w:tcPr>
          <w:p w14:paraId="286C031D" w14:textId="77777777" w:rsidR="00E273B8" w:rsidRPr="001F0103" w:rsidRDefault="00E273B8" w:rsidP="007B6365">
            <w:pPr>
              <w:pStyle w:val="02Tabletext"/>
              <w:rPr>
                <w:bCs/>
              </w:rPr>
            </w:pPr>
            <w:r w:rsidRPr="001F0103">
              <w:t>Change</w:t>
            </w:r>
          </w:p>
        </w:tc>
        <w:tc>
          <w:tcPr>
            <w:tcW w:w="1277" w:type="dxa"/>
            <w:tcBorders>
              <w:top w:val="single" w:sz="4" w:space="0" w:color="B56012"/>
              <w:left w:val="nil"/>
              <w:bottom w:val="single" w:sz="4" w:space="0" w:color="B56012"/>
              <w:right w:val="nil"/>
            </w:tcBorders>
          </w:tcPr>
          <w:p w14:paraId="52C03631" w14:textId="77777777" w:rsidR="00E273B8" w:rsidRPr="001F0103" w:rsidDel="005A5172" w:rsidRDefault="00E273B8" w:rsidP="007B6365">
            <w:pPr>
              <w:pStyle w:val="02Tabletext"/>
            </w:pPr>
            <w:r>
              <w:t>4.2</w:t>
            </w:r>
            <w:r w:rsidR="00D34F71">
              <w:t>.1</w:t>
            </w:r>
          </w:p>
        </w:tc>
      </w:tr>
      <w:tr w:rsidR="001F0103" w:rsidRPr="001F0103" w14:paraId="7AADE5F7" w14:textId="77777777" w:rsidTr="001F0103">
        <w:trPr>
          <w:trHeight w:val="563"/>
          <w:jc w:val="center"/>
        </w:trPr>
        <w:tc>
          <w:tcPr>
            <w:tcW w:w="851" w:type="dxa"/>
            <w:tcBorders>
              <w:top w:val="single" w:sz="4" w:space="0" w:color="B56012"/>
              <w:left w:val="nil"/>
              <w:bottom w:val="single" w:sz="4" w:space="0" w:color="B56012"/>
              <w:right w:val="nil"/>
            </w:tcBorders>
          </w:tcPr>
          <w:p w14:paraId="1D30253E" w14:textId="77777777" w:rsidR="001F0103" w:rsidRPr="001F0103" w:rsidRDefault="001F0103" w:rsidP="007B6365">
            <w:pPr>
              <w:pStyle w:val="02Tabletext"/>
            </w:pPr>
            <w:r w:rsidRPr="001F0103">
              <w:t>71079</w:t>
            </w:r>
          </w:p>
        </w:tc>
        <w:tc>
          <w:tcPr>
            <w:tcW w:w="5109" w:type="dxa"/>
            <w:tcBorders>
              <w:top w:val="single" w:sz="4" w:space="0" w:color="B56012"/>
              <w:left w:val="nil"/>
              <w:bottom w:val="single" w:sz="4" w:space="0" w:color="B56012"/>
              <w:right w:val="nil"/>
            </w:tcBorders>
          </w:tcPr>
          <w:p w14:paraId="5B117691" w14:textId="77777777" w:rsidR="001F0103" w:rsidRPr="001F0103" w:rsidRDefault="001F0103" w:rsidP="007B6365">
            <w:pPr>
              <w:pStyle w:val="02Tabletext"/>
            </w:pPr>
            <w:r w:rsidRPr="001F0103">
              <w:t>Detection of specific immunoglobulin E (IgE) antibodies to single or multiple potential allergens, 1 test (Item is subject to rule 25)</w:t>
            </w:r>
          </w:p>
        </w:tc>
        <w:tc>
          <w:tcPr>
            <w:tcW w:w="1849" w:type="dxa"/>
            <w:tcBorders>
              <w:top w:val="single" w:sz="4" w:space="0" w:color="B56012"/>
              <w:left w:val="nil"/>
              <w:bottom w:val="single" w:sz="4" w:space="0" w:color="B56012"/>
              <w:right w:val="nil"/>
            </w:tcBorders>
          </w:tcPr>
          <w:p w14:paraId="47FE779C"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hideMark/>
          </w:tcPr>
          <w:p w14:paraId="083F7AD6" w14:textId="77777777" w:rsidR="001F0103" w:rsidRPr="001F0103" w:rsidRDefault="005A5172" w:rsidP="007B6365">
            <w:pPr>
              <w:pStyle w:val="02Tabletext"/>
            </w:pPr>
            <w:r>
              <w:t>4.</w:t>
            </w:r>
            <w:r w:rsidR="00CF2A6E">
              <w:t>3.1</w:t>
            </w:r>
          </w:p>
          <w:p w14:paraId="06580B15" w14:textId="77777777" w:rsidR="001F0103" w:rsidRPr="001F0103" w:rsidRDefault="001F0103" w:rsidP="007B6365">
            <w:pPr>
              <w:pStyle w:val="02Tabletext"/>
            </w:pPr>
          </w:p>
        </w:tc>
      </w:tr>
      <w:tr w:rsidR="001F0103" w:rsidRPr="001F0103" w14:paraId="1BD6CDA9" w14:textId="77777777" w:rsidTr="001F0103">
        <w:trPr>
          <w:trHeight w:val="563"/>
          <w:jc w:val="center"/>
        </w:trPr>
        <w:tc>
          <w:tcPr>
            <w:tcW w:w="851" w:type="dxa"/>
            <w:tcBorders>
              <w:top w:val="single" w:sz="4" w:space="0" w:color="B56012"/>
              <w:left w:val="nil"/>
              <w:bottom w:val="single" w:sz="4" w:space="0" w:color="B56012"/>
              <w:right w:val="nil"/>
            </w:tcBorders>
          </w:tcPr>
          <w:p w14:paraId="7C5C1D8D" w14:textId="77777777" w:rsidR="001F0103" w:rsidRPr="001F0103" w:rsidRDefault="001F0103" w:rsidP="007B6365">
            <w:pPr>
              <w:pStyle w:val="02Tabletext"/>
            </w:pPr>
            <w:r w:rsidRPr="001F0103">
              <w:t>71097</w:t>
            </w:r>
          </w:p>
        </w:tc>
        <w:tc>
          <w:tcPr>
            <w:tcW w:w="5109" w:type="dxa"/>
            <w:tcBorders>
              <w:top w:val="single" w:sz="4" w:space="0" w:color="B56012"/>
              <w:left w:val="nil"/>
              <w:bottom w:val="single" w:sz="4" w:space="0" w:color="B56012"/>
              <w:right w:val="nil"/>
            </w:tcBorders>
          </w:tcPr>
          <w:p w14:paraId="74E6AEEB" w14:textId="77777777" w:rsidR="001F0103" w:rsidRPr="001F0103" w:rsidRDefault="001F0103" w:rsidP="007B6365">
            <w:pPr>
              <w:pStyle w:val="02Tabletext"/>
            </w:pPr>
            <w:r w:rsidRPr="001F0103">
              <w:t>Antinuclear antibodies - detection in serum or other body fluids, including quantitation if required</w:t>
            </w:r>
          </w:p>
        </w:tc>
        <w:tc>
          <w:tcPr>
            <w:tcW w:w="1849" w:type="dxa"/>
            <w:tcBorders>
              <w:top w:val="single" w:sz="4" w:space="0" w:color="B56012"/>
              <w:left w:val="nil"/>
              <w:bottom w:val="single" w:sz="4" w:space="0" w:color="B56012"/>
              <w:right w:val="nil"/>
            </w:tcBorders>
          </w:tcPr>
          <w:p w14:paraId="50D16196"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0B9986D8" w14:textId="77777777" w:rsidR="001F0103" w:rsidRPr="001F0103" w:rsidRDefault="005A5172" w:rsidP="00CF2A6E">
            <w:pPr>
              <w:pStyle w:val="02Tabletext"/>
            </w:pPr>
            <w:r>
              <w:t>4.</w:t>
            </w:r>
            <w:r w:rsidR="00CF2A6E">
              <w:t>4.1</w:t>
            </w:r>
          </w:p>
        </w:tc>
      </w:tr>
      <w:tr w:rsidR="001F0103" w:rsidRPr="001F0103" w14:paraId="01B73F6E" w14:textId="77777777" w:rsidTr="001F0103">
        <w:trPr>
          <w:trHeight w:val="563"/>
          <w:jc w:val="center"/>
        </w:trPr>
        <w:tc>
          <w:tcPr>
            <w:tcW w:w="851" w:type="dxa"/>
            <w:tcBorders>
              <w:top w:val="single" w:sz="4" w:space="0" w:color="B56012"/>
              <w:left w:val="nil"/>
              <w:bottom w:val="single" w:sz="4" w:space="0" w:color="B56012"/>
              <w:right w:val="nil"/>
            </w:tcBorders>
          </w:tcPr>
          <w:p w14:paraId="1A9C80EC" w14:textId="77777777" w:rsidR="001F0103" w:rsidRPr="001F0103" w:rsidRDefault="001F0103" w:rsidP="007B6365">
            <w:pPr>
              <w:pStyle w:val="02Tabletext"/>
            </w:pPr>
            <w:r w:rsidRPr="001F0103">
              <w:t>71099</w:t>
            </w:r>
          </w:p>
        </w:tc>
        <w:tc>
          <w:tcPr>
            <w:tcW w:w="5109" w:type="dxa"/>
            <w:tcBorders>
              <w:top w:val="single" w:sz="4" w:space="0" w:color="B56012"/>
              <w:left w:val="nil"/>
              <w:bottom w:val="single" w:sz="4" w:space="0" w:color="B56012"/>
              <w:right w:val="nil"/>
            </w:tcBorders>
          </w:tcPr>
          <w:p w14:paraId="010A9DE1" w14:textId="77777777" w:rsidR="001F0103" w:rsidRPr="001F0103" w:rsidRDefault="001F0103" w:rsidP="007B6365">
            <w:pPr>
              <w:pStyle w:val="02Tabletext"/>
            </w:pPr>
            <w:r w:rsidRPr="001F0103">
              <w:t>Double-stranded DNA antibodies - quantitation by 1 or more methods other than the Crithidia method</w:t>
            </w:r>
          </w:p>
        </w:tc>
        <w:tc>
          <w:tcPr>
            <w:tcW w:w="1849" w:type="dxa"/>
            <w:tcBorders>
              <w:top w:val="single" w:sz="4" w:space="0" w:color="B56012"/>
              <w:left w:val="nil"/>
              <w:bottom w:val="single" w:sz="4" w:space="0" w:color="B56012"/>
              <w:right w:val="nil"/>
            </w:tcBorders>
          </w:tcPr>
          <w:p w14:paraId="0F576070"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261B55CC" w14:textId="77777777" w:rsidR="001F0103" w:rsidRPr="001F0103" w:rsidRDefault="005A5172" w:rsidP="00CF2A6E">
            <w:pPr>
              <w:pStyle w:val="02Tabletext"/>
            </w:pPr>
            <w:r>
              <w:t>4.</w:t>
            </w:r>
            <w:r w:rsidR="00CF2A6E">
              <w:t>5.1</w:t>
            </w:r>
          </w:p>
        </w:tc>
      </w:tr>
      <w:tr w:rsidR="001F0103" w:rsidRPr="001F0103" w14:paraId="7A34AABC" w14:textId="77777777" w:rsidTr="001F0103">
        <w:trPr>
          <w:trHeight w:val="563"/>
          <w:jc w:val="center"/>
        </w:trPr>
        <w:tc>
          <w:tcPr>
            <w:tcW w:w="851" w:type="dxa"/>
            <w:tcBorders>
              <w:top w:val="single" w:sz="4" w:space="0" w:color="B56012"/>
              <w:left w:val="nil"/>
              <w:bottom w:val="single" w:sz="4" w:space="0" w:color="B56012"/>
              <w:right w:val="nil"/>
            </w:tcBorders>
          </w:tcPr>
          <w:p w14:paraId="6E08FF4A" w14:textId="77777777" w:rsidR="001F0103" w:rsidRPr="001F0103" w:rsidRDefault="001F0103" w:rsidP="007B6365">
            <w:pPr>
              <w:pStyle w:val="02Tabletext"/>
            </w:pPr>
            <w:r w:rsidRPr="001F0103">
              <w:t>71101</w:t>
            </w:r>
          </w:p>
        </w:tc>
        <w:tc>
          <w:tcPr>
            <w:tcW w:w="5109" w:type="dxa"/>
            <w:tcBorders>
              <w:top w:val="single" w:sz="4" w:space="0" w:color="B56012"/>
              <w:left w:val="nil"/>
              <w:bottom w:val="single" w:sz="4" w:space="0" w:color="B56012"/>
              <w:right w:val="nil"/>
            </w:tcBorders>
          </w:tcPr>
          <w:p w14:paraId="6A36B567" w14:textId="77777777" w:rsidR="001F0103" w:rsidRPr="001F0103" w:rsidRDefault="001F0103" w:rsidP="007B6365">
            <w:pPr>
              <w:pStyle w:val="02Tabletext"/>
            </w:pPr>
            <w:r w:rsidRPr="001F0103">
              <w:t>Antibodies to 1 or more extractable nuclear antigens - detection in serum or other body fluids</w:t>
            </w:r>
          </w:p>
        </w:tc>
        <w:tc>
          <w:tcPr>
            <w:tcW w:w="1849" w:type="dxa"/>
            <w:tcBorders>
              <w:top w:val="single" w:sz="4" w:space="0" w:color="B56012"/>
              <w:left w:val="nil"/>
              <w:bottom w:val="single" w:sz="4" w:space="0" w:color="B56012"/>
              <w:right w:val="nil"/>
            </w:tcBorders>
          </w:tcPr>
          <w:p w14:paraId="4FDA1EC9"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7DDBF436" w14:textId="77777777" w:rsidR="001F0103" w:rsidRPr="001F0103" w:rsidRDefault="005A5172" w:rsidP="00CF2A6E">
            <w:pPr>
              <w:pStyle w:val="02Tabletext"/>
            </w:pPr>
            <w:r>
              <w:t>4.</w:t>
            </w:r>
            <w:r w:rsidR="00CF2A6E">
              <w:t>6.1</w:t>
            </w:r>
          </w:p>
        </w:tc>
      </w:tr>
      <w:tr w:rsidR="001F0103" w:rsidRPr="001F0103" w14:paraId="43B19F52" w14:textId="77777777" w:rsidTr="001F0103">
        <w:trPr>
          <w:trHeight w:val="563"/>
          <w:jc w:val="center"/>
        </w:trPr>
        <w:tc>
          <w:tcPr>
            <w:tcW w:w="851" w:type="dxa"/>
            <w:tcBorders>
              <w:top w:val="single" w:sz="4" w:space="0" w:color="B56012"/>
              <w:left w:val="nil"/>
              <w:bottom w:val="single" w:sz="4" w:space="0" w:color="B56012"/>
              <w:right w:val="nil"/>
            </w:tcBorders>
          </w:tcPr>
          <w:p w14:paraId="5186D685" w14:textId="77777777" w:rsidR="001F0103" w:rsidRPr="001F0103" w:rsidRDefault="001F0103" w:rsidP="007B6365">
            <w:pPr>
              <w:pStyle w:val="02Tabletext"/>
            </w:pPr>
            <w:r w:rsidRPr="001F0103">
              <w:t>71103</w:t>
            </w:r>
          </w:p>
        </w:tc>
        <w:tc>
          <w:tcPr>
            <w:tcW w:w="5109" w:type="dxa"/>
            <w:tcBorders>
              <w:top w:val="single" w:sz="4" w:space="0" w:color="B56012"/>
              <w:left w:val="nil"/>
              <w:bottom w:val="single" w:sz="4" w:space="0" w:color="B56012"/>
              <w:right w:val="nil"/>
            </w:tcBorders>
          </w:tcPr>
          <w:p w14:paraId="3CE09FA2" w14:textId="77777777" w:rsidR="001F0103" w:rsidRPr="001F0103" w:rsidRDefault="001F0103" w:rsidP="007B6365">
            <w:pPr>
              <w:pStyle w:val="02Tabletext"/>
            </w:pPr>
            <w:r w:rsidRPr="001F0103">
              <w:t>Characterisation of an antibody detected in a service described in item 71101 (including that service)</w:t>
            </w:r>
          </w:p>
        </w:tc>
        <w:tc>
          <w:tcPr>
            <w:tcW w:w="1849" w:type="dxa"/>
            <w:tcBorders>
              <w:top w:val="single" w:sz="4" w:space="0" w:color="B56012"/>
              <w:left w:val="nil"/>
              <w:bottom w:val="single" w:sz="4" w:space="0" w:color="B56012"/>
              <w:right w:val="nil"/>
            </w:tcBorders>
          </w:tcPr>
          <w:p w14:paraId="1058D23C"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3A860D1B" w14:textId="77777777" w:rsidR="001F0103" w:rsidRPr="001F0103" w:rsidRDefault="005A5172" w:rsidP="00CF2A6E">
            <w:pPr>
              <w:pStyle w:val="02Tabletext"/>
            </w:pPr>
            <w:r>
              <w:t>4.</w:t>
            </w:r>
            <w:r w:rsidR="00CF2A6E">
              <w:t>6.1</w:t>
            </w:r>
          </w:p>
        </w:tc>
      </w:tr>
      <w:tr w:rsidR="001F0103" w:rsidRPr="001F0103" w14:paraId="7FBA16D7" w14:textId="77777777" w:rsidTr="001F0103">
        <w:trPr>
          <w:trHeight w:val="563"/>
          <w:jc w:val="center"/>
        </w:trPr>
        <w:tc>
          <w:tcPr>
            <w:tcW w:w="851" w:type="dxa"/>
            <w:tcBorders>
              <w:top w:val="single" w:sz="4" w:space="0" w:color="B56012"/>
              <w:left w:val="nil"/>
              <w:bottom w:val="single" w:sz="4" w:space="0" w:color="B56012"/>
              <w:right w:val="nil"/>
            </w:tcBorders>
          </w:tcPr>
          <w:p w14:paraId="1039F6D1" w14:textId="77777777" w:rsidR="001F0103" w:rsidRPr="001F0103" w:rsidRDefault="001F0103" w:rsidP="007B6365">
            <w:pPr>
              <w:pStyle w:val="02Tabletext"/>
            </w:pPr>
            <w:r w:rsidRPr="001F0103">
              <w:t>71083</w:t>
            </w:r>
          </w:p>
        </w:tc>
        <w:tc>
          <w:tcPr>
            <w:tcW w:w="5109" w:type="dxa"/>
            <w:tcBorders>
              <w:top w:val="single" w:sz="4" w:space="0" w:color="B56012"/>
              <w:left w:val="nil"/>
              <w:bottom w:val="single" w:sz="4" w:space="0" w:color="B56012"/>
              <w:right w:val="nil"/>
            </w:tcBorders>
          </w:tcPr>
          <w:p w14:paraId="1ABE643A" w14:textId="77777777" w:rsidR="001F0103" w:rsidRPr="001F0103" w:rsidRDefault="001F0103" w:rsidP="007B6365">
            <w:pPr>
              <w:pStyle w:val="02Tabletext"/>
            </w:pPr>
            <w:r w:rsidRPr="001F0103">
              <w:t>Quantitation of complement components C3 and C4 or properdin factor B – 1 test</w:t>
            </w:r>
          </w:p>
        </w:tc>
        <w:tc>
          <w:tcPr>
            <w:tcW w:w="1849" w:type="dxa"/>
            <w:tcBorders>
              <w:top w:val="single" w:sz="4" w:space="0" w:color="B56012"/>
              <w:left w:val="nil"/>
              <w:bottom w:val="single" w:sz="4" w:space="0" w:color="B56012"/>
              <w:right w:val="nil"/>
            </w:tcBorders>
          </w:tcPr>
          <w:p w14:paraId="1517D6AC"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4E93308B" w14:textId="77777777" w:rsidR="001F0103" w:rsidRPr="001F0103" w:rsidRDefault="005A5172" w:rsidP="00CF2A6E">
            <w:pPr>
              <w:pStyle w:val="02Tabletext"/>
            </w:pPr>
            <w:r>
              <w:t>4.</w:t>
            </w:r>
            <w:r w:rsidR="00CF2A6E">
              <w:t>7.1</w:t>
            </w:r>
          </w:p>
        </w:tc>
      </w:tr>
      <w:tr w:rsidR="001F0103" w:rsidRPr="001F0103" w14:paraId="7E0BB074" w14:textId="77777777" w:rsidTr="001F0103">
        <w:trPr>
          <w:trHeight w:val="563"/>
          <w:jc w:val="center"/>
        </w:trPr>
        <w:tc>
          <w:tcPr>
            <w:tcW w:w="851" w:type="dxa"/>
            <w:tcBorders>
              <w:top w:val="single" w:sz="4" w:space="0" w:color="B56012"/>
              <w:left w:val="nil"/>
              <w:bottom w:val="single" w:sz="4" w:space="0" w:color="B56012"/>
              <w:right w:val="nil"/>
            </w:tcBorders>
          </w:tcPr>
          <w:p w14:paraId="210B27D9" w14:textId="77777777" w:rsidR="001F0103" w:rsidRPr="001F0103" w:rsidRDefault="001F0103" w:rsidP="007B6365">
            <w:pPr>
              <w:pStyle w:val="02Tabletext"/>
            </w:pPr>
            <w:r w:rsidRPr="001F0103">
              <w:t>71085</w:t>
            </w:r>
          </w:p>
        </w:tc>
        <w:tc>
          <w:tcPr>
            <w:tcW w:w="5109" w:type="dxa"/>
            <w:tcBorders>
              <w:top w:val="single" w:sz="4" w:space="0" w:color="B56012"/>
              <w:left w:val="nil"/>
              <w:bottom w:val="single" w:sz="4" w:space="0" w:color="B56012"/>
              <w:right w:val="nil"/>
            </w:tcBorders>
          </w:tcPr>
          <w:p w14:paraId="44047F7B" w14:textId="77777777" w:rsidR="001F0103" w:rsidRPr="001F0103" w:rsidRDefault="001F0103" w:rsidP="007B6365">
            <w:pPr>
              <w:pStyle w:val="02Tabletext"/>
            </w:pPr>
            <w:r w:rsidRPr="001F0103">
              <w:t>2 tests described in item 71083</w:t>
            </w:r>
          </w:p>
        </w:tc>
        <w:tc>
          <w:tcPr>
            <w:tcW w:w="1849" w:type="dxa"/>
            <w:tcBorders>
              <w:top w:val="single" w:sz="4" w:space="0" w:color="B56012"/>
              <w:left w:val="nil"/>
              <w:bottom w:val="single" w:sz="4" w:space="0" w:color="B56012"/>
              <w:right w:val="nil"/>
            </w:tcBorders>
          </w:tcPr>
          <w:p w14:paraId="7B9B6EBE"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14F45FCB" w14:textId="77777777" w:rsidR="001F0103" w:rsidRPr="001F0103" w:rsidRDefault="005A5172" w:rsidP="00CF2A6E">
            <w:pPr>
              <w:pStyle w:val="02Tabletext"/>
            </w:pPr>
            <w:r>
              <w:t>4</w:t>
            </w:r>
            <w:r w:rsidR="00CF2A6E">
              <w:t>.7.1</w:t>
            </w:r>
          </w:p>
        </w:tc>
      </w:tr>
      <w:tr w:rsidR="001F0103" w:rsidRPr="001F0103" w14:paraId="10E6A800" w14:textId="77777777" w:rsidTr="001F0103">
        <w:trPr>
          <w:trHeight w:val="563"/>
          <w:jc w:val="center"/>
        </w:trPr>
        <w:tc>
          <w:tcPr>
            <w:tcW w:w="851" w:type="dxa"/>
            <w:tcBorders>
              <w:top w:val="single" w:sz="4" w:space="0" w:color="B56012"/>
              <w:left w:val="nil"/>
              <w:bottom w:val="single" w:sz="4" w:space="0" w:color="B56012"/>
              <w:right w:val="nil"/>
            </w:tcBorders>
          </w:tcPr>
          <w:p w14:paraId="217D5DCF" w14:textId="77777777" w:rsidR="001F0103" w:rsidRPr="001F0103" w:rsidRDefault="001F0103" w:rsidP="007B6365">
            <w:pPr>
              <w:pStyle w:val="02Tabletext"/>
            </w:pPr>
            <w:r w:rsidRPr="001F0103">
              <w:t>71087</w:t>
            </w:r>
          </w:p>
        </w:tc>
        <w:tc>
          <w:tcPr>
            <w:tcW w:w="5109" w:type="dxa"/>
            <w:tcBorders>
              <w:top w:val="single" w:sz="4" w:space="0" w:color="B56012"/>
              <w:left w:val="nil"/>
              <w:bottom w:val="single" w:sz="4" w:space="0" w:color="B56012"/>
              <w:right w:val="nil"/>
            </w:tcBorders>
          </w:tcPr>
          <w:p w14:paraId="618497DA" w14:textId="77777777" w:rsidR="001F0103" w:rsidRPr="001F0103" w:rsidRDefault="001F0103" w:rsidP="007B6365">
            <w:pPr>
              <w:pStyle w:val="02Tabletext"/>
            </w:pPr>
            <w:r w:rsidRPr="001F0103">
              <w:t>3 or more tests described in item 71083</w:t>
            </w:r>
          </w:p>
        </w:tc>
        <w:tc>
          <w:tcPr>
            <w:tcW w:w="1849" w:type="dxa"/>
            <w:tcBorders>
              <w:top w:val="single" w:sz="4" w:space="0" w:color="B56012"/>
              <w:left w:val="nil"/>
              <w:bottom w:val="single" w:sz="4" w:space="0" w:color="B56012"/>
              <w:right w:val="nil"/>
            </w:tcBorders>
          </w:tcPr>
          <w:p w14:paraId="36C2753D" w14:textId="77777777" w:rsidR="001F0103" w:rsidRPr="001F0103" w:rsidRDefault="001F0103" w:rsidP="007B6365">
            <w:pPr>
              <w:pStyle w:val="02Tabletext"/>
            </w:pPr>
            <w:r w:rsidRPr="001F0103">
              <w:t>Delete</w:t>
            </w:r>
          </w:p>
        </w:tc>
        <w:tc>
          <w:tcPr>
            <w:tcW w:w="1277" w:type="dxa"/>
            <w:tcBorders>
              <w:top w:val="single" w:sz="4" w:space="0" w:color="B56012"/>
              <w:left w:val="nil"/>
              <w:bottom w:val="single" w:sz="4" w:space="0" w:color="B56012"/>
              <w:right w:val="nil"/>
            </w:tcBorders>
          </w:tcPr>
          <w:p w14:paraId="5D188657" w14:textId="77777777" w:rsidR="001F0103" w:rsidRPr="001F0103" w:rsidRDefault="005A5172" w:rsidP="00CF2A6E">
            <w:pPr>
              <w:pStyle w:val="02Tabletext"/>
            </w:pPr>
            <w:r>
              <w:t>4.</w:t>
            </w:r>
            <w:r w:rsidR="00CF2A6E">
              <w:t>7.1</w:t>
            </w:r>
          </w:p>
        </w:tc>
      </w:tr>
      <w:tr w:rsidR="001F0103" w:rsidRPr="001F0103" w14:paraId="1FE5D22A" w14:textId="77777777" w:rsidTr="001F0103">
        <w:trPr>
          <w:trHeight w:val="563"/>
          <w:jc w:val="center"/>
        </w:trPr>
        <w:tc>
          <w:tcPr>
            <w:tcW w:w="851" w:type="dxa"/>
            <w:tcBorders>
              <w:top w:val="single" w:sz="4" w:space="0" w:color="B56012"/>
              <w:left w:val="nil"/>
              <w:bottom w:val="single" w:sz="4" w:space="0" w:color="B56012"/>
              <w:right w:val="nil"/>
            </w:tcBorders>
          </w:tcPr>
          <w:p w14:paraId="7BC7CD28" w14:textId="77777777" w:rsidR="001F0103" w:rsidRPr="001F0103" w:rsidRDefault="001F0103" w:rsidP="007B6365">
            <w:pPr>
              <w:pStyle w:val="02Tabletext"/>
            </w:pPr>
            <w:r w:rsidRPr="001F0103">
              <w:t>71089</w:t>
            </w:r>
          </w:p>
        </w:tc>
        <w:tc>
          <w:tcPr>
            <w:tcW w:w="5109" w:type="dxa"/>
            <w:tcBorders>
              <w:top w:val="single" w:sz="4" w:space="0" w:color="B56012"/>
              <w:left w:val="nil"/>
              <w:bottom w:val="single" w:sz="4" w:space="0" w:color="B56012"/>
              <w:right w:val="nil"/>
            </w:tcBorders>
          </w:tcPr>
          <w:p w14:paraId="3B166A79" w14:textId="77777777" w:rsidR="001F0103" w:rsidRPr="001F0103" w:rsidRDefault="001F0103" w:rsidP="007B6365">
            <w:pPr>
              <w:pStyle w:val="02Tabletext"/>
            </w:pPr>
            <w:r w:rsidRPr="001F0103">
              <w:t>Quantitation of complement components or breakdown products of complement proteins not elsewhere described in an item in this Schedule - 1 test (Item is subject to rule 6)</w:t>
            </w:r>
          </w:p>
        </w:tc>
        <w:tc>
          <w:tcPr>
            <w:tcW w:w="1849" w:type="dxa"/>
            <w:tcBorders>
              <w:top w:val="single" w:sz="4" w:space="0" w:color="B56012"/>
              <w:left w:val="nil"/>
              <w:bottom w:val="single" w:sz="4" w:space="0" w:color="B56012"/>
              <w:right w:val="nil"/>
            </w:tcBorders>
          </w:tcPr>
          <w:p w14:paraId="65FF7002"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1378E495" w14:textId="77777777" w:rsidR="001F0103" w:rsidRPr="001F0103" w:rsidRDefault="005A5172" w:rsidP="00CF2A6E">
            <w:pPr>
              <w:pStyle w:val="02Tabletext"/>
            </w:pPr>
            <w:r>
              <w:t>4.</w:t>
            </w:r>
            <w:r w:rsidR="00CF2A6E">
              <w:t>7.1</w:t>
            </w:r>
          </w:p>
        </w:tc>
      </w:tr>
      <w:tr w:rsidR="00CF2A6E" w:rsidRPr="001F0103" w14:paraId="2E73294A" w14:textId="77777777" w:rsidTr="001F0103">
        <w:trPr>
          <w:trHeight w:val="563"/>
          <w:jc w:val="center"/>
        </w:trPr>
        <w:tc>
          <w:tcPr>
            <w:tcW w:w="851" w:type="dxa"/>
            <w:tcBorders>
              <w:top w:val="single" w:sz="4" w:space="0" w:color="B56012"/>
              <w:left w:val="nil"/>
              <w:bottom w:val="single" w:sz="4" w:space="0" w:color="B56012"/>
              <w:right w:val="nil"/>
            </w:tcBorders>
          </w:tcPr>
          <w:p w14:paraId="4EBC6B46" w14:textId="77777777" w:rsidR="00CF2A6E" w:rsidRPr="001F0103" w:rsidRDefault="00CF2A6E" w:rsidP="00CF2A6E">
            <w:pPr>
              <w:pStyle w:val="02Tabletext"/>
            </w:pPr>
            <w:r w:rsidRPr="001F0103">
              <w:t>71091</w:t>
            </w:r>
          </w:p>
        </w:tc>
        <w:tc>
          <w:tcPr>
            <w:tcW w:w="5109" w:type="dxa"/>
            <w:tcBorders>
              <w:top w:val="single" w:sz="4" w:space="0" w:color="B56012"/>
              <w:left w:val="nil"/>
              <w:bottom w:val="single" w:sz="4" w:space="0" w:color="B56012"/>
              <w:right w:val="nil"/>
            </w:tcBorders>
          </w:tcPr>
          <w:p w14:paraId="2D6C4A5A" w14:textId="77777777" w:rsidR="00CF2A6E" w:rsidRPr="001F0103" w:rsidRDefault="00CF2A6E" w:rsidP="00CF2A6E">
            <w:pPr>
              <w:pStyle w:val="02Tabletext"/>
            </w:pPr>
            <w:r w:rsidRPr="001F0103">
              <w:t>2 tests described in item 71089 (Item is subject to rule 6)</w:t>
            </w:r>
          </w:p>
        </w:tc>
        <w:tc>
          <w:tcPr>
            <w:tcW w:w="1849" w:type="dxa"/>
            <w:tcBorders>
              <w:top w:val="single" w:sz="4" w:space="0" w:color="B56012"/>
              <w:left w:val="nil"/>
              <w:bottom w:val="single" w:sz="4" w:space="0" w:color="B56012"/>
              <w:right w:val="nil"/>
            </w:tcBorders>
          </w:tcPr>
          <w:p w14:paraId="2E6D2415" w14:textId="77777777" w:rsidR="00CF2A6E" w:rsidRPr="001F0103" w:rsidRDefault="00CF2A6E" w:rsidP="00CF2A6E">
            <w:pPr>
              <w:pStyle w:val="02Tabletext"/>
            </w:pPr>
            <w:r w:rsidRPr="001F0103">
              <w:t>Change</w:t>
            </w:r>
          </w:p>
        </w:tc>
        <w:tc>
          <w:tcPr>
            <w:tcW w:w="1277" w:type="dxa"/>
            <w:tcBorders>
              <w:top w:val="single" w:sz="4" w:space="0" w:color="B56012"/>
              <w:left w:val="nil"/>
              <w:bottom w:val="single" w:sz="4" w:space="0" w:color="B56012"/>
              <w:right w:val="nil"/>
            </w:tcBorders>
          </w:tcPr>
          <w:p w14:paraId="2C0DF4C0" w14:textId="77777777" w:rsidR="00CF2A6E" w:rsidRPr="001F0103" w:rsidRDefault="00CF2A6E" w:rsidP="00CF2A6E">
            <w:pPr>
              <w:pStyle w:val="02Tabletext"/>
            </w:pPr>
            <w:r>
              <w:t>4.7.1</w:t>
            </w:r>
          </w:p>
        </w:tc>
      </w:tr>
      <w:tr w:rsidR="00CF2A6E" w:rsidRPr="001F0103" w14:paraId="0720AFA4" w14:textId="77777777" w:rsidTr="001F0103">
        <w:trPr>
          <w:trHeight w:val="563"/>
          <w:jc w:val="center"/>
        </w:trPr>
        <w:tc>
          <w:tcPr>
            <w:tcW w:w="851" w:type="dxa"/>
            <w:tcBorders>
              <w:top w:val="single" w:sz="4" w:space="0" w:color="B56012"/>
              <w:left w:val="nil"/>
              <w:bottom w:val="single" w:sz="4" w:space="0" w:color="B56012"/>
              <w:right w:val="nil"/>
            </w:tcBorders>
          </w:tcPr>
          <w:p w14:paraId="1303D6EC" w14:textId="77777777" w:rsidR="00CF2A6E" w:rsidRPr="001F0103" w:rsidRDefault="00CF2A6E" w:rsidP="00CF2A6E">
            <w:pPr>
              <w:pStyle w:val="02Tabletext"/>
            </w:pPr>
            <w:r w:rsidRPr="001F0103">
              <w:t>71093</w:t>
            </w:r>
          </w:p>
        </w:tc>
        <w:tc>
          <w:tcPr>
            <w:tcW w:w="5109" w:type="dxa"/>
            <w:tcBorders>
              <w:top w:val="single" w:sz="4" w:space="0" w:color="B56012"/>
              <w:left w:val="nil"/>
              <w:bottom w:val="single" w:sz="4" w:space="0" w:color="B56012"/>
              <w:right w:val="nil"/>
            </w:tcBorders>
          </w:tcPr>
          <w:p w14:paraId="1558E9D0" w14:textId="77777777" w:rsidR="00CF2A6E" w:rsidRPr="001F0103" w:rsidRDefault="00CF2A6E" w:rsidP="00CF2A6E">
            <w:pPr>
              <w:pStyle w:val="02Tabletext"/>
            </w:pPr>
            <w:r w:rsidRPr="001F0103">
              <w:t>3 or more tests described in item 71089 (Item is subject to rule 6)</w:t>
            </w:r>
          </w:p>
        </w:tc>
        <w:tc>
          <w:tcPr>
            <w:tcW w:w="1849" w:type="dxa"/>
            <w:tcBorders>
              <w:top w:val="single" w:sz="4" w:space="0" w:color="B56012"/>
              <w:left w:val="nil"/>
              <w:bottom w:val="single" w:sz="4" w:space="0" w:color="B56012"/>
              <w:right w:val="nil"/>
            </w:tcBorders>
          </w:tcPr>
          <w:p w14:paraId="0F0E8E62" w14:textId="77777777" w:rsidR="00CF2A6E" w:rsidRPr="001F0103" w:rsidRDefault="00CF2A6E" w:rsidP="00CF2A6E">
            <w:pPr>
              <w:pStyle w:val="02Tabletext"/>
            </w:pPr>
            <w:r w:rsidRPr="001F0103">
              <w:t>Change</w:t>
            </w:r>
          </w:p>
        </w:tc>
        <w:tc>
          <w:tcPr>
            <w:tcW w:w="1277" w:type="dxa"/>
            <w:tcBorders>
              <w:top w:val="single" w:sz="4" w:space="0" w:color="B56012"/>
              <w:left w:val="nil"/>
              <w:bottom w:val="single" w:sz="4" w:space="0" w:color="B56012"/>
              <w:right w:val="nil"/>
            </w:tcBorders>
          </w:tcPr>
          <w:p w14:paraId="3C78F375" w14:textId="77777777" w:rsidR="00CF2A6E" w:rsidRPr="001F0103" w:rsidRDefault="00CF2A6E" w:rsidP="00CF2A6E">
            <w:pPr>
              <w:pStyle w:val="02Tabletext"/>
            </w:pPr>
            <w:r>
              <w:t>4.7.1</w:t>
            </w:r>
          </w:p>
        </w:tc>
      </w:tr>
      <w:tr w:rsidR="001F0103" w:rsidRPr="001F0103" w14:paraId="26534F9E" w14:textId="77777777" w:rsidTr="001F0103">
        <w:trPr>
          <w:trHeight w:val="563"/>
          <w:jc w:val="center"/>
        </w:trPr>
        <w:tc>
          <w:tcPr>
            <w:tcW w:w="851" w:type="dxa"/>
            <w:tcBorders>
              <w:top w:val="single" w:sz="4" w:space="0" w:color="B56012"/>
              <w:left w:val="nil"/>
              <w:bottom w:val="single" w:sz="4" w:space="0" w:color="B56012"/>
              <w:right w:val="nil"/>
            </w:tcBorders>
          </w:tcPr>
          <w:p w14:paraId="0BFEDBC8" w14:textId="77777777" w:rsidR="001F0103" w:rsidRPr="001F0103" w:rsidRDefault="001F0103" w:rsidP="007B6365">
            <w:pPr>
              <w:pStyle w:val="02Tabletext"/>
            </w:pPr>
            <w:r w:rsidRPr="001F0103">
              <w:t>71119</w:t>
            </w:r>
          </w:p>
        </w:tc>
        <w:tc>
          <w:tcPr>
            <w:tcW w:w="5109" w:type="dxa"/>
            <w:tcBorders>
              <w:top w:val="single" w:sz="4" w:space="0" w:color="B56012"/>
              <w:left w:val="nil"/>
              <w:bottom w:val="single" w:sz="4" w:space="0" w:color="B56012"/>
              <w:right w:val="nil"/>
            </w:tcBorders>
          </w:tcPr>
          <w:p w14:paraId="4B4239C8" w14:textId="77777777" w:rsidR="001F0103" w:rsidRPr="001F0103" w:rsidRDefault="001F0103" w:rsidP="007B6365">
            <w:pPr>
              <w:pStyle w:val="02Tabletext"/>
            </w:pPr>
            <w:r w:rsidRPr="001F0103">
              <w:t>Antibodies to tissue antigens not elsewhere specified in this Table - detection, including quantitation if required, of 1 antibody</w:t>
            </w:r>
          </w:p>
        </w:tc>
        <w:tc>
          <w:tcPr>
            <w:tcW w:w="1849" w:type="dxa"/>
            <w:tcBorders>
              <w:top w:val="single" w:sz="4" w:space="0" w:color="B56012"/>
              <w:left w:val="nil"/>
              <w:bottom w:val="single" w:sz="4" w:space="0" w:color="B56012"/>
              <w:right w:val="nil"/>
            </w:tcBorders>
          </w:tcPr>
          <w:p w14:paraId="46AF9B5A" w14:textId="77777777" w:rsidR="001F0103" w:rsidRPr="001F0103" w:rsidRDefault="001F0103" w:rsidP="007B6365">
            <w:pPr>
              <w:pStyle w:val="02Tabletext"/>
            </w:pPr>
            <w:r w:rsidRPr="001F0103">
              <w:t>No change</w:t>
            </w:r>
          </w:p>
        </w:tc>
        <w:tc>
          <w:tcPr>
            <w:tcW w:w="1277" w:type="dxa"/>
            <w:tcBorders>
              <w:top w:val="single" w:sz="4" w:space="0" w:color="B56012"/>
              <w:left w:val="nil"/>
              <w:bottom w:val="single" w:sz="4" w:space="0" w:color="B56012"/>
              <w:right w:val="nil"/>
            </w:tcBorders>
          </w:tcPr>
          <w:p w14:paraId="59E7A289" w14:textId="77777777" w:rsidR="001F0103" w:rsidRPr="001F0103" w:rsidRDefault="0021329D" w:rsidP="007B6365">
            <w:pPr>
              <w:pStyle w:val="02Tabletext"/>
            </w:pPr>
            <w:r>
              <w:t>4.8.1</w:t>
            </w:r>
          </w:p>
        </w:tc>
      </w:tr>
      <w:tr w:rsidR="001F0103" w:rsidRPr="001F0103" w14:paraId="1AE07C99" w14:textId="77777777" w:rsidTr="001F0103">
        <w:trPr>
          <w:trHeight w:val="563"/>
          <w:jc w:val="center"/>
        </w:trPr>
        <w:tc>
          <w:tcPr>
            <w:tcW w:w="851" w:type="dxa"/>
            <w:tcBorders>
              <w:top w:val="single" w:sz="4" w:space="0" w:color="B56012"/>
              <w:left w:val="nil"/>
              <w:bottom w:val="single" w:sz="4" w:space="0" w:color="B56012"/>
              <w:right w:val="nil"/>
            </w:tcBorders>
          </w:tcPr>
          <w:p w14:paraId="65221ED0" w14:textId="77777777" w:rsidR="001F0103" w:rsidRPr="001F0103" w:rsidRDefault="001F0103" w:rsidP="007B6365">
            <w:pPr>
              <w:pStyle w:val="02Tabletext"/>
            </w:pPr>
            <w:r w:rsidRPr="001F0103">
              <w:t>71121</w:t>
            </w:r>
          </w:p>
        </w:tc>
        <w:tc>
          <w:tcPr>
            <w:tcW w:w="5109" w:type="dxa"/>
            <w:tcBorders>
              <w:top w:val="single" w:sz="4" w:space="0" w:color="B56012"/>
              <w:left w:val="nil"/>
              <w:bottom w:val="single" w:sz="4" w:space="0" w:color="B56012"/>
              <w:right w:val="nil"/>
            </w:tcBorders>
          </w:tcPr>
          <w:p w14:paraId="6904F72A" w14:textId="77777777" w:rsidR="001F0103" w:rsidRPr="001F0103" w:rsidRDefault="001F0103" w:rsidP="007B6365">
            <w:pPr>
              <w:pStyle w:val="02Tabletext"/>
            </w:pPr>
            <w:r w:rsidRPr="001F0103">
              <w:t>Detection of 2 antibodies specified in item 71119</w:t>
            </w:r>
          </w:p>
        </w:tc>
        <w:tc>
          <w:tcPr>
            <w:tcW w:w="1849" w:type="dxa"/>
            <w:tcBorders>
              <w:top w:val="single" w:sz="4" w:space="0" w:color="B56012"/>
              <w:left w:val="nil"/>
              <w:bottom w:val="single" w:sz="4" w:space="0" w:color="B56012"/>
              <w:right w:val="nil"/>
            </w:tcBorders>
          </w:tcPr>
          <w:p w14:paraId="7E8AEBC8" w14:textId="77777777" w:rsidR="001F0103" w:rsidRPr="001F0103" w:rsidRDefault="001F0103" w:rsidP="007B6365">
            <w:pPr>
              <w:pStyle w:val="02Tabletext"/>
            </w:pPr>
            <w:r w:rsidRPr="001F0103">
              <w:t>No change</w:t>
            </w:r>
          </w:p>
        </w:tc>
        <w:tc>
          <w:tcPr>
            <w:tcW w:w="1277" w:type="dxa"/>
            <w:tcBorders>
              <w:top w:val="single" w:sz="4" w:space="0" w:color="B56012"/>
              <w:left w:val="nil"/>
              <w:bottom w:val="single" w:sz="4" w:space="0" w:color="B56012"/>
              <w:right w:val="nil"/>
            </w:tcBorders>
          </w:tcPr>
          <w:p w14:paraId="32845C95" w14:textId="77777777" w:rsidR="001F0103" w:rsidRPr="001F0103" w:rsidRDefault="0021329D" w:rsidP="007B6365">
            <w:pPr>
              <w:pStyle w:val="02Tabletext"/>
            </w:pPr>
            <w:r>
              <w:t>4.8.1</w:t>
            </w:r>
          </w:p>
        </w:tc>
      </w:tr>
      <w:tr w:rsidR="001F0103" w:rsidRPr="001F0103" w14:paraId="72562C45" w14:textId="77777777" w:rsidTr="001F0103">
        <w:trPr>
          <w:trHeight w:val="563"/>
          <w:jc w:val="center"/>
        </w:trPr>
        <w:tc>
          <w:tcPr>
            <w:tcW w:w="851" w:type="dxa"/>
            <w:tcBorders>
              <w:top w:val="single" w:sz="4" w:space="0" w:color="B56012"/>
              <w:left w:val="nil"/>
              <w:bottom w:val="single" w:sz="4" w:space="0" w:color="B56012"/>
              <w:right w:val="nil"/>
            </w:tcBorders>
          </w:tcPr>
          <w:p w14:paraId="3118C376" w14:textId="77777777" w:rsidR="001F0103" w:rsidRPr="001F0103" w:rsidRDefault="001F0103" w:rsidP="007B6365">
            <w:pPr>
              <w:pStyle w:val="02Tabletext"/>
            </w:pPr>
            <w:r w:rsidRPr="001F0103">
              <w:t>71123</w:t>
            </w:r>
          </w:p>
        </w:tc>
        <w:tc>
          <w:tcPr>
            <w:tcW w:w="5109" w:type="dxa"/>
            <w:tcBorders>
              <w:top w:val="single" w:sz="4" w:space="0" w:color="B56012"/>
              <w:left w:val="nil"/>
              <w:bottom w:val="single" w:sz="4" w:space="0" w:color="B56012"/>
              <w:right w:val="nil"/>
            </w:tcBorders>
          </w:tcPr>
          <w:p w14:paraId="1E0F6374" w14:textId="77777777" w:rsidR="001F0103" w:rsidRPr="001F0103" w:rsidRDefault="001F0103" w:rsidP="007B6365">
            <w:pPr>
              <w:pStyle w:val="02Tabletext"/>
            </w:pPr>
            <w:r w:rsidRPr="001F0103">
              <w:t>Detection of 3 antibodies specified in item 71119</w:t>
            </w:r>
          </w:p>
        </w:tc>
        <w:tc>
          <w:tcPr>
            <w:tcW w:w="1849" w:type="dxa"/>
            <w:tcBorders>
              <w:top w:val="single" w:sz="4" w:space="0" w:color="B56012"/>
              <w:left w:val="nil"/>
              <w:bottom w:val="single" w:sz="4" w:space="0" w:color="B56012"/>
              <w:right w:val="nil"/>
            </w:tcBorders>
          </w:tcPr>
          <w:p w14:paraId="4F672DF5" w14:textId="77777777" w:rsidR="001F0103" w:rsidRPr="001F0103" w:rsidRDefault="001F0103" w:rsidP="007B6365">
            <w:pPr>
              <w:pStyle w:val="02Tabletext"/>
            </w:pPr>
            <w:r w:rsidRPr="001F0103">
              <w:t>No change</w:t>
            </w:r>
          </w:p>
        </w:tc>
        <w:tc>
          <w:tcPr>
            <w:tcW w:w="1277" w:type="dxa"/>
            <w:tcBorders>
              <w:top w:val="single" w:sz="4" w:space="0" w:color="B56012"/>
              <w:left w:val="nil"/>
              <w:bottom w:val="single" w:sz="4" w:space="0" w:color="B56012"/>
              <w:right w:val="nil"/>
            </w:tcBorders>
          </w:tcPr>
          <w:p w14:paraId="445B0185" w14:textId="77777777" w:rsidR="001F0103" w:rsidRPr="001F0103" w:rsidRDefault="0021329D" w:rsidP="007B6365">
            <w:pPr>
              <w:pStyle w:val="02Tabletext"/>
            </w:pPr>
            <w:r>
              <w:t>4.8.1</w:t>
            </w:r>
          </w:p>
        </w:tc>
      </w:tr>
      <w:tr w:rsidR="001F0103" w:rsidRPr="001F0103" w14:paraId="331B493E" w14:textId="77777777" w:rsidTr="001F0103">
        <w:trPr>
          <w:trHeight w:val="563"/>
          <w:jc w:val="center"/>
        </w:trPr>
        <w:tc>
          <w:tcPr>
            <w:tcW w:w="851" w:type="dxa"/>
            <w:tcBorders>
              <w:top w:val="single" w:sz="4" w:space="0" w:color="B56012"/>
              <w:left w:val="nil"/>
              <w:bottom w:val="single" w:sz="4" w:space="0" w:color="B56012"/>
              <w:right w:val="nil"/>
            </w:tcBorders>
          </w:tcPr>
          <w:p w14:paraId="6EED54EA" w14:textId="77777777" w:rsidR="001F0103" w:rsidRPr="001F0103" w:rsidRDefault="001F0103" w:rsidP="007B6365">
            <w:pPr>
              <w:pStyle w:val="02Tabletext"/>
            </w:pPr>
            <w:r w:rsidRPr="001F0103">
              <w:t>71125</w:t>
            </w:r>
          </w:p>
        </w:tc>
        <w:tc>
          <w:tcPr>
            <w:tcW w:w="5109" w:type="dxa"/>
            <w:tcBorders>
              <w:top w:val="single" w:sz="4" w:space="0" w:color="B56012"/>
              <w:left w:val="nil"/>
              <w:bottom w:val="single" w:sz="4" w:space="0" w:color="B56012"/>
              <w:right w:val="nil"/>
            </w:tcBorders>
          </w:tcPr>
          <w:p w14:paraId="21DF8CF8" w14:textId="77777777" w:rsidR="001F0103" w:rsidRPr="001F0103" w:rsidRDefault="001F0103" w:rsidP="007B6365">
            <w:pPr>
              <w:pStyle w:val="02Tabletext"/>
            </w:pPr>
            <w:r w:rsidRPr="001F0103">
              <w:t>Detection of 4 or more antibodies specified in item 71119</w:t>
            </w:r>
          </w:p>
        </w:tc>
        <w:tc>
          <w:tcPr>
            <w:tcW w:w="1849" w:type="dxa"/>
            <w:tcBorders>
              <w:top w:val="single" w:sz="4" w:space="0" w:color="B56012"/>
              <w:left w:val="nil"/>
              <w:bottom w:val="single" w:sz="4" w:space="0" w:color="B56012"/>
              <w:right w:val="nil"/>
            </w:tcBorders>
          </w:tcPr>
          <w:p w14:paraId="182FD898"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7E94F22B" w14:textId="77777777" w:rsidR="001F0103" w:rsidRPr="001F0103" w:rsidRDefault="0021329D" w:rsidP="007B6365">
            <w:pPr>
              <w:pStyle w:val="02Tabletext"/>
            </w:pPr>
            <w:r>
              <w:t>4.8.1</w:t>
            </w:r>
          </w:p>
        </w:tc>
      </w:tr>
      <w:tr w:rsidR="00417501" w:rsidRPr="001F0103" w14:paraId="251BD1CA" w14:textId="77777777" w:rsidTr="001F0103">
        <w:trPr>
          <w:trHeight w:val="563"/>
          <w:jc w:val="center"/>
        </w:trPr>
        <w:tc>
          <w:tcPr>
            <w:tcW w:w="851" w:type="dxa"/>
            <w:tcBorders>
              <w:top w:val="single" w:sz="4" w:space="0" w:color="B56012"/>
              <w:left w:val="nil"/>
              <w:bottom w:val="single" w:sz="4" w:space="0" w:color="B56012"/>
              <w:right w:val="nil"/>
            </w:tcBorders>
          </w:tcPr>
          <w:p w14:paraId="38D59F79" w14:textId="77777777" w:rsidR="00417501" w:rsidRPr="001F0103" w:rsidRDefault="00417501" w:rsidP="00417501">
            <w:pPr>
              <w:pStyle w:val="02Tabletext"/>
            </w:pPr>
            <w:r w:rsidRPr="00474A98">
              <w:t>71165</w:t>
            </w:r>
          </w:p>
        </w:tc>
        <w:tc>
          <w:tcPr>
            <w:tcW w:w="5109" w:type="dxa"/>
            <w:tcBorders>
              <w:top w:val="single" w:sz="4" w:space="0" w:color="B56012"/>
              <w:left w:val="nil"/>
              <w:bottom w:val="single" w:sz="4" w:space="0" w:color="B56012"/>
              <w:right w:val="nil"/>
            </w:tcBorders>
          </w:tcPr>
          <w:p w14:paraId="7653B786" w14:textId="77777777" w:rsidR="00417501" w:rsidRPr="001F0103" w:rsidRDefault="00417501" w:rsidP="00417501">
            <w:pPr>
              <w:pStyle w:val="02Tabletext"/>
            </w:pPr>
            <w:r w:rsidRPr="00474A98">
              <w:t xml:space="preserve">Antibodies to tissue antigens (acetylcholine receptor, adrenal cortex, heart, histone, insulin, insulin receptor, intrinsic factor, islet cell, lymphocyte, neuron, ovary, parathyroid, platelet, </w:t>
            </w:r>
            <w:r w:rsidRPr="00474A98">
              <w:lastRenderedPageBreak/>
              <w:t>salivary gland, skeletal muscle, skin basement membrane and intercellular substance, thyroglobulin, thyroid microsome or thyroid stimulating hormone receptor) - detection, including quantitation if required, of 1 antibody (Item is subject to rule 6)</w:t>
            </w:r>
          </w:p>
        </w:tc>
        <w:tc>
          <w:tcPr>
            <w:tcW w:w="1849" w:type="dxa"/>
            <w:tcBorders>
              <w:top w:val="single" w:sz="4" w:space="0" w:color="B56012"/>
              <w:left w:val="nil"/>
              <w:bottom w:val="single" w:sz="4" w:space="0" w:color="B56012"/>
              <w:right w:val="nil"/>
            </w:tcBorders>
          </w:tcPr>
          <w:p w14:paraId="04B49654" w14:textId="77777777" w:rsidR="00417501" w:rsidRPr="001F0103" w:rsidRDefault="00417501" w:rsidP="00417501">
            <w:pPr>
              <w:pStyle w:val="02Tabletext"/>
            </w:pPr>
            <w:r>
              <w:lastRenderedPageBreak/>
              <w:t>Change</w:t>
            </w:r>
          </w:p>
        </w:tc>
        <w:tc>
          <w:tcPr>
            <w:tcW w:w="1277" w:type="dxa"/>
            <w:tcBorders>
              <w:top w:val="single" w:sz="4" w:space="0" w:color="B56012"/>
              <w:left w:val="nil"/>
              <w:bottom w:val="single" w:sz="4" w:space="0" w:color="B56012"/>
              <w:right w:val="nil"/>
            </w:tcBorders>
          </w:tcPr>
          <w:p w14:paraId="1EF7D7BB" w14:textId="77777777" w:rsidR="00417501" w:rsidRDefault="00417501" w:rsidP="00417501">
            <w:pPr>
              <w:pStyle w:val="02Tabletext"/>
            </w:pPr>
            <w:r>
              <w:t>4.9.1</w:t>
            </w:r>
          </w:p>
        </w:tc>
      </w:tr>
      <w:tr w:rsidR="001F0103" w:rsidRPr="001F0103" w14:paraId="4A82705B" w14:textId="77777777" w:rsidTr="001F0103">
        <w:trPr>
          <w:trHeight w:val="563"/>
          <w:jc w:val="center"/>
        </w:trPr>
        <w:tc>
          <w:tcPr>
            <w:tcW w:w="851" w:type="dxa"/>
            <w:tcBorders>
              <w:top w:val="single" w:sz="4" w:space="0" w:color="B56012"/>
              <w:left w:val="nil"/>
              <w:bottom w:val="single" w:sz="4" w:space="0" w:color="B56012"/>
              <w:right w:val="nil"/>
            </w:tcBorders>
          </w:tcPr>
          <w:p w14:paraId="374BF658" w14:textId="77777777" w:rsidR="001F0103" w:rsidRPr="001F0103" w:rsidRDefault="001F0103" w:rsidP="007B6365">
            <w:pPr>
              <w:pStyle w:val="02Tabletext"/>
            </w:pPr>
            <w:r w:rsidRPr="001F0103">
              <w:t>71075</w:t>
            </w:r>
          </w:p>
        </w:tc>
        <w:tc>
          <w:tcPr>
            <w:tcW w:w="5109" w:type="dxa"/>
            <w:tcBorders>
              <w:top w:val="single" w:sz="4" w:space="0" w:color="B56012"/>
              <w:left w:val="nil"/>
              <w:bottom w:val="single" w:sz="4" w:space="0" w:color="B56012"/>
              <w:right w:val="nil"/>
            </w:tcBorders>
          </w:tcPr>
          <w:p w14:paraId="78365E24" w14:textId="77777777" w:rsidR="001F0103" w:rsidRPr="001F0103" w:rsidRDefault="001F0103" w:rsidP="007B6365">
            <w:pPr>
              <w:pStyle w:val="02Tabletext"/>
            </w:pPr>
            <w:r w:rsidRPr="001F0103">
              <w:t>Quantitation of immunoglobulin E (total), (IgE)</w:t>
            </w:r>
            <w:r w:rsidR="00AB6550">
              <w:t xml:space="preserve"> </w:t>
            </w:r>
            <w:r w:rsidRPr="001F0103">
              <w:t>1 test. (Item is subject to rule 25)</w:t>
            </w:r>
          </w:p>
        </w:tc>
        <w:tc>
          <w:tcPr>
            <w:tcW w:w="1849" w:type="dxa"/>
            <w:tcBorders>
              <w:top w:val="single" w:sz="4" w:space="0" w:color="B56012"/>
              <w:left w:val="nil"/>
              <w:bottom w:val="single" w:sz="4" w:space="0" w:color="B56012"/>
              <w:right w:val="nil"/>
            </w:tcBorders>
          </w:tcPr>
          <w:p w14:paraId="58C6728E"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50258594" w14:textId="77777777" w:rsidR="001F0103" w:rsidRPr="001F0103" w:rsidRDefault="0021329D" w:rsidP="00CF2A6E">
            <w:pPr>
              <w:pStyle w:val="02Tabletext"/>
            </w:pPr>
            <w:r>
              <w:t>4.</w:t>
            </w:r>
            <w:r w:rsidR="00CF2A6E">
              <w:t>10.1</w:t>
            </w:r>
          </w:p>
        </w:tc>
      </w:tr>
      <w:tr w:rsidR="001F0103" w:rsidRPr="001F0103" w14:paraId="4C14A9D8" w14:textId="77777777" w:rsidTr="001F0103">
        <w:trPr>
          <w:trHeight w:val="563"/>
          <w:jc w:val="center"/>
        </w:trPr>
        <w:tc>
          <w:tcPr>
            <w:tcW w:w="851" w:type="dxa"/>
            <w:tcBorders>
              <w:top w:val="single" w:sz="4" w:space="0" w:color="B56012"/>
              <w:left w:val="nil"/>
              <w:bottom w:val="single" w:sz="4" w:space="0" w:color="B56012"/>
              <w:right w:val="nil"/>
            </w:tcBorders>
          </w:tcPr>
          <w:p w14:paraId="091D3AFD" w14:textId="77777777" w:rsidR="001F0103" w:rsidRPr="001F0103" w:rsidRDefault="001F0103" w:rsidP="007B6365">
            <w:pPr>
              <w:pStyle w:val="02Tabletext"/>
            </w:pPr>
            <w:r w:rsidRPr="001F0103">
              <w:t>71077</w:t>
            </w:r>
          </w:p>
        </w:tc>
        <w:tc>
          <w:tcPr>
            <w:tcW w:w="5109" w:type="dxa"/>
            <w:tcBorders>
              <w:top w:val="single" w:sz="4" w:space="0" w:color="B56012"/>
              <w:left w:val="nil"/>
              <w:bottom w:val="single" w:sz="4" w:space="0" w:color="B56012"/>
              <w:right w:val="nil"/>
            </w:tcBorders>
          </w:tcPr>
          <w:p w14:paraId="416CACEA" w14:textId="77777777" w:rsidR="001F0103" w:rsidRPr="001F0103" w:rsidRDefault="001F0103" w:rsidP="007B6365">
            <w:pPr>
              <w:pStyle w:val="02Tabletext"/>
            </w:pPr>
            <w:r w:rsidRPr="001F0103">
              <w:t>Quantitation of immunoglobulin E (total) (IgE) in the follow up of a patient with proven immunoglobulin-E-secreting myeloma, proven congenital immunodeficiency or proven allergic bronchopulmonary aspergillosis, 1 test. (Item is subject to rule 25)</w:t>
            </w:r>
          </w:p>
        </w:tc>
        <w:tc>
          <w:tcPr>
            <w:tcW w:w="1849" w:type="dxa"/>
            <w:tcBorders>
              <w:top w:val="single" w:sz="4" w:space="0" w:color="B56012"/>
              <w:left w:val="nil"/>
              <w:bottom w:val="single" w:sz="4" w:space="0" w:color="B56012"/>
              <w:right w:val="nil"/>
            </w:tcBorders>
          </w:tcPr>
          <w:p w14:paraId="01325EE9" w14:textId="77777777" w:rsidR="001F0103" w:rsidRPr="001F0103" w:rsidRDefault="001F0103" w:rsidP="007B6365">
            <w:pPr>
              <w:pStyle w:val="02Tabletext"/>
            </w:pPr>
            <w:r w:rsidRPr="001F0103">
              <w:t>Delete</w:t>
            </w:r>
          </w:p>
        </w:tc>
        <w:tc>
          <w:tcPr>
            <w:tcW w:w="1277" w:type="dxa"/>
            <w:tcBorders>
              <w:top w:val="single" w:sz="4" w:space="0" w:color="B56012"/>
              <w:left w:val="nil"/>
              <w:bottom w:val="single" w:sz="4" w:space="0" w:color="B56012"/>
              <w:right w:val="nil"/>
            </w:tcBorders>
          </w:tcPr>
          <w:p w14:paraId="046FB237" w14:textId="77777777" w:rsidR="001F0103" w:rsidRPr="001F0103" w:rsidRDefault="0021329D" w:rsidP="00CF2A6E">
            <w:pPr>
              <w:pStyle w:val="02Tabletext"/>
            </w:pPr>
            <w:r>
              <w:t>4.</w:t>
            </w:r>
            <w:r w:rsidR="00CF2A6E">
              <w:t>10.1</w:t>
            </w:r>
          </w:p>
        </w:tc>
      </w:tr>
      <w:tr w:rsidR="001F0103" w:rsidRPr="001F0103" w14:paraId="6BE0E919" w14:textId="77777777" w:rsidTr="001F0103">
        <w:trPr>
          <w:trHeight w:val="563"/>
          <w:jc w:val="center"/>
        </w:trPr>
        <w:tc>
          <w:tcPr>
            <w:tcW w:w="851" w:type="dxa"/>
            <w:tcBorders>
              <w:top w:val="single" w:sz="4" w:space="0" w:color="B56012"/>
              <w:left w:val="nil"/>
              <w:bottom w:val="single" w:sz="4" w:space="0" w:color="B56012"/>
              <w:right w:val="nil"/>
            </w:tcBorders>
          </w:tcPr>
          <w:p w14:paraId="4FC49BD7" w14:textId="77777777" w:rsidR="001F0103" w:rsidRPr="001F0103" w:rsidRDefault="001F0103" w:rsidP="007B6365">
            <w:pPr>
              <w:pStyle w:val="02Tabletext"/>
            </w:pPr>
            <w:r w:rsidRPr="001F0103">
              <w:t>71066</w:t>
            </w:r>
          </w:p>
        </w:tc>
        <w:tc>
          <w:tcPr>
            <w:tcW w:w="5109" w:type="dxa"/>
            <w:tcBorders>
              <w:top w:val="single" w:sz="4" w:space="0" w:color="B56012"/>
              <w:left w:val="nil"/>
              <w:bottom w:val="single" w:sz="4" w:space="0" w:color="B56012"/>
              <w:right w:val="nil"/>
            </w:tcBorders>
          </w:tcPr>
          <w:p w14:paraId="449B75ED" w14:textId="77777777" w:rsidR="001F0103" w:rsidRPr="001F0103" w:rsidRDefault="001F0103" w:rsidP="007B6365">
            <w:pPr>
              <w:pStyle w:val="02Tabletext"/>
            </w:pPr>
            <w:r w:rsidRPr="001F0103">
              <w:t>Quantitation of total immunoglobulin a by any method in serum, urine or other body fluid – 1 test</w:t>
            </w:r>
          </w:p>
        </w:tc>
        <w:tc>
          <w:tcPr>
            <w:tcW w:w="1849" w:type="dxa"/>
            <w:tcBorders>
              <w:top w:val="single" w:sz="4" w:space="0" w:color="B56012"/>
              <w:left w:val="nil"/>
              <w:bottom w:val="single" w:sz="4" w:space="0" w:color="B56012"/>
              <w:right w:val="nil"/>
            </w:tcBorders>
          </w:tcPr>
          <w:p w14:paraId="1B07D161"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15F82645" w14:textId="77777777" w:rsidR="001F0103" w:rsidRPr="001F0103" w:rsidRDefault="0021329D" w:rsidP="00CF2A6E">
            <w:pPr>
              <w:pStyle w:val="02Tabletext"/>
            </w:pPr>
            <w:r>
              <w:t>4.</w:t>
            </w:r>
            <w:r w:rsidR="00CF2A6E">
              <w:t>11.1</w:t>
            </w:r>
          </w:p>
        </w:tc>
      </w:tr>
      <w:tr w:rsidR="001F0103" w:rsidRPr="001F0103" w14:paraId="5898AB37" w14:textId="77777777" w:rsidTr="001F0103">
        <w:trPr>
          <w:trHeight w:val="563"/>
          <w:jc w:val="center"/>
        </w:trPr>
        <w:tc>
          <w:tcPr>
            <w:tcW w:w="851" w:type="dxa"/>
            <w:tcBorders>
              <w:top w:val="single" w:sz="4" w:space="0" w:color="B56012"/>
              <w:left w:val="nil"/>
              <w:bottom w:val="single" w:sz="4" w:space="0" w:color="B56012"/>
              <w:right w:val="nil"/>
            </w:tcBorders>
          </w:tcPr>
          <w:p w14:paraId="2E5B6197" w14:textId="77777777" w:rsidR="001F0103" w:rsidRPr="001F0103" w:rsidRDefault="001F0103" w:rsidP="007B6365">
            <w:pPr>
              <w:pStyle w:val="02Tabletext"/>
            </w:pPr>
            <w:r w:rsidRPr="001F0103">
              <w:t>71072</w:t>
            </w:r>
          </w:p>
        </w:tc>
        <w:tc>
          <w:tcPr>
            <w:tcW w:w="5109" w:type="dxa"/>
            <w:tcBorders>
              <w:top w:val="single" w:sz="4" w:space="0" w:color="B56012"/>
              <w:left w:val="nil"/>
              <w:bottom w:val="single" w:sz="4" w:space="0" w:color="B56012"/>
              <w:right w:val="nil"/>
            </w:tcBorders>
          </w:tcPr>
          <w:p w14:paraId="02BB9AED" w14:textId="77777777" w:rsidR="001F0103" w:rsidRPr="001F0103" w:rsidRDefault="001F0103" w:rsidP="007B6365">
            <w:pPr>
              <w:pStyle w:val="02Tabletext"/>
            </w:pPr>
            <w:r w:rsidRPr="001F0103">
              <w:t>Quantitation of total immunoglobulin m by any method in serum, urine or other body fluid - 1 test</w:t>
            </w:r>
          </w:p>
        </w:tc>
        <w:tc>
          <w:tcPr>
            <w:tcW w:w="1849" w:type="dxa"/>
            <w:tcBorders>
              <w:top w:val="single" w:sz="4" w:space="0" w:color="B56012"/>
              <w:left w:val="nil"/>
              <w:bottom w:val="single" w:sz="4" w:space="0" w:color="B56012"/>
              <w:right w:val="nil"/>
            </w:tcBorders>
          </w:tcPr>
          <w:p w14:paraId="72332AFF"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30055B9F" w14:textId="77777777" w:rsidR="001F0103" w:rsidRPr="001F0103" w:rsidRDefault="0021329D" w:rsidP="00CF2A6E">
            <w:pPr>
              <w:pStyle w:val="02Tabletext"/>
            </w:pPr>
            <w:r>
              <w:t>4.</w:t>
            </w:r>
            <w:r w:rsidR="00CF2A6E">
              <w:t>12.1</w:t>
            </w:r>
          </w:p>
        </w:tc>
      </w:tr>
      <w:tr w:rsidR="001F0103" w:rsidRPr="001F0103" w14:paraId="298C4F0B" w14:textId="77777777" w:rsidTr="001F0103">
        <w:trPr>
          <w:trHeight w:val="563"/>
          <w:jc w:val="center"/>
        </w:trPr>
        <w:tc>
          <w:tcPr>
            <w:tcW w:w="851" w:type="dxa"/>
            <w:tcBorders>
              <w:top w:val="single" w:sz="4" w:space="0" w:color="B56012"/>
              <w:left w:val="nil"/>
              <w:bottom w:val="single" w:sz="4" w:space="0" w:color="B56012"/>
              <w:right w:val="nil"/>
            </w:tcBorders>
          </w:tcPr>
          <w:p w14:paraId="73ED4F9E" w14:textId="77777777" w:rsidR="001F0103" w:rsidRPr="001F0103" w:rsidRDefault="001F0103" w:rsidP="007B6365">
            <w:pPr>
              <w:pStyle w:val="02Tabletext"/>
            </w:pPr>
            <w:r w:rsidRPr="001F0103">
              <w:t>71074</w:t>
            </w:r>
          </w:p>
        </w:tc>
        <w:tc>
          <w:tcPr>
            <w:tcW w:w="5109" w:type="dxa"/>
            <w:tcBorders>
              <w:top w:val="single" w:sz="4" w:space="0" w:color="B56012"/>
              <w:left w:val="nil"/>
              <w:bottom w:val="single" w:sz="4" w:space="0" w:color="B56012"/>
              <w:right w:val="nil"/>
            </w:tcBorders>
          </w:tcPr>
          <w:p w14:paraId="72145D27" w14:textId="77777777" w:rsidR="001F0103" w:rsidRPr="001F0103" w:rsidRDefault="001F0103" w:rsidP="007B6365">
            <w:pPr>
              <w:pStyle w:val="02Tabletext"/>
            </w:pPr>
            <w:r w:rsidRPr="001F0103">
              <w:t>Quantitation of total immunoglobulin d by any method in serum, urine or other body fluid - 1 test</w:t>
            </w:r>
          </w:p>
        </w:tc>
        <w:tc>
          <w:tcPr>
            <w:tcW w:w="1849" w:type="dxa"/>
            <w:tcBorders>
              <w:top w:val="single" w:sz="4" w:space="0" w:color="B56012"/>
              <w:left w:val="nil"/>
              <w:bottom w:val="single" w:sz="4" w:space="0" w:color="B56012"/>
              <w:right w:val="nil"/>
            </w:tcBorders>
          </w:tcPr>
          <w:p w14:paraId="12468BA5"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3767F0C4" w14:textId="77777777" w:rsidR="001F0103" w:rsidRPr="001F0103" w:rsidRDefault="0021329D" w:rsidP="00CF2A6E">
            <w:pPr>
              <w:pStyle w:val="02Tabletext"/>
            </w:pPr>
            <w:r>
              <w:t>4.</w:t>
            </w:r>
            <w:r w:rsidR="00CF2A6E">
              <w:t>13.1</w:t>
            </w:r>
          </w:p>
        </w:tc>
      </w:tr>
      <w:tr w:rsidR="001F0103" w:rsidRPr="001F0103" w14:paraId="7F5A97A6" w14:textId="77777777" w:rsidTr="001F0103">
        <w:trPr>
          <w:trHeight w:val="563"/>
          <w:jc w:val="center"/>
        </w:trPr>
        <w:tc>
          <w:tcPr>
            <w:tcW w:w="851" w:type="dxa"/>
            <w:tcBorders>
              <w:top w:val="single" w:sz="4" w:space="0" w:color="B56012"/>
              <w:left w:val="nil"/>
              <w:bottom w:val="single" w:sz="4" w:space="0" w:color="B56012"/>
              <w:right w:val="nil"/>
            </w:tcBorders>
          </w:tcPr>
          <w:p w14:paraId="06C1298C" w14:textId="77777777" w:rsidR="001F0103" w:rsidRPr="001F0103" w:rsidRDefault="001F0103" w:rsidP="007B6365">
            <w:pPr>
              <w:pStyle w:val="02Tabletext"/>
            </w:pPr>
            <w:r w:rsidRPr="001F0103">
              <w:t>71064</w:t>
            </w:r>
          </w:p>
        </w:tc>
        <w:tc>
          <w:tcPr>
            <w:tcW w:w="5109" w:type="dxa"/>
            <w:tcBorders>
              <w:top w:val="single" w:sz="4" w:space="0" w:color="B56012"/>
              <w:left w:val="nil"/>
              <w:bottom w:val="single" w:sz="4" w:space="0" w:color="B56012"/>
              <w:right w:val="nil"/>
            </w:tcBorders>
          </w:tcPr>
          <w:p w14:paraId="3B639D73" w14:textId="77777777" w:rsidR="001F0103" w:rsidRPr="001F0103" w:rsidRDefault="001F0103" w:rsidP="007B6365">
            <w:pPr>
              <w:pStyle w:val="02Tabletext"/>
            </w:pPr>
            <w:r w:rsidRPr="001F0103">
              <w:t>Detection and quantitation of cryoglobulins or cryofibrinogen - 1 or more tests</w:t>
            </w:r>
          </w:p>
        </w:tc>
        <w:tc>
          <w:tcPr>
            <w:tcW w:w="1849" w:type="dxa"/>
            <w:tcBorders>
              <w:top w:val="single" w:sz="4" w:space="0" w:color="B56012"/>
              <w:left w:val="nil"/>
              <w:bottom w:val="single" w:sz="4" w:space="0" w:color="B56012"/>
              <w:right w:val="nil"/>
            </w:tcBorders>
          </w:tcPr>
          <w:p w14:paraId="779C2A74"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3D1590A3" w14:textId="77777777" w:rsidR="001F0103" w:rsidRPr="001F0103" w:rsidRDefault="00E273B8" w:rsidP="00CF2A6E">
            <w:pPr>
              <w:pStyle w:val="02Tabletext"/>
            </w:pPr>
            <w:r>
              <w:t>4.</w:t>
            </w:r>
            <w:r w:rsidR="00CF2A6E">
              <w:t>14.1</w:t>
            </w:r>
          </w:p>
        </w:tc>
      </w:tr>
      <w:tr w:rsidR="001F0103" w:rsidRPr="001F0103" w14:paraId="4E76CC9F" w14:textId="77777777" w:rsidTr="001F0103">
        <w:trPr>
          <w:trHeight w:val="563"/>
          <w:jc w:val="center"/>
        </w:trPr>
        <w:tc>
          <w:tcPr>
            <w:tcW w:w="851" w:type="dxa"/>
            <w:tcBorders>
              <w:top w:val="single" w:sz="4" w:space="0" w:color="B56012"/>
              <w:left w:val="nil"/>
              <w:bottom w:val="single" w:sz="4" w:space="0" w:color="B56012"/>
              <w:right w:val="nil"/>
            </w:tcBorders>
          </w:tcPr>
          <w:p w14:paraId="5178C4B9" w14:textId="77777777" w:rsidR="001F0103" w:rsidRPr="001F0103" w:rsidRDefault="001F0103" w:rsidP="007B6365">
            <w:pPr>
              <w:pStyle w:val="02Tabletext"/>
            </w:pPr>
            <w:r w:rsidRPr="001F0103">
              <w:t>71106</w:t>
            </w:r>
          </w:p>
        </w:tc>
        <w:tc>
          <w:tcPr>
            <w:tcW w:w="5109" w:type="dxa"/>
            <w:tcBorders>
              <w:top w:val="single" w:sz="4" w:space="0" w:color="B56012"/>
              <w:left w:val="nil"/>
              <w:bottom w:val="single" w:sz="4" w:space="0" w:color="B56012"/>
              <w:right w:val="nil"/>
            </w:tcBorders>
          </w:tcPr>
          <w:p w14:paraId="211FCC25" w14:textId="77777777" w:rsidR="001F0103" w:rsidRPr="001F0103" w:rsidRDefault="001F0103" w:rsidP="007B6365">
            <w:pPr>
              <w:pStyle w:val="02Tabletext"/>
            </w:pPr>
            <w:r w:rsidRPr="001F0103">
              <w:t>Rheumatoid factor - detection by any technique in serum or other body fluids, including quantitation if required</w:t>
            </w:r>
          </w:p>
        </w:tc>
        <w:tc>
          <w:tcPr>
            <w:tcW w:w="1849" w:type="dxa"/>
            <w:tcBorders>
              <w:top w:val="single" w:sz="4" w:space="0" w:color="B56012"/>
              <w:left w:val="nil"/>
              <w:bottom w:val="single" w:sz="4" w:space="0" w:color="B56012"/>
              <w:right w:val="nil"/>
            </w:tcBorders>
          </w:tcPr>
          <w:p w14:paraId="5BE7603C"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5663D1DC" w14:textId="77777777" w:rsidR="001F0103" w:rsidRPr="001F0103" w:rsidRDefault="00533647" w:rsidP="00CF2A6E">
            <w:pPr>
              <w:pStyle w:val="02Tabletext"/>
            </w:pPr>
            <w:r>
              <w:t>4.</w:t>
            </w:r>
            <w:r w:rsidR="00CF2A6E">
              <w:t>15.1</w:t>
            </w:r>
          </w:p>
        </w:tc>
      </w:tr>
      <w:tr w:rsidR="001F0103" w:rsidRPr="001F0103" w14:paraId="32D4FD18" w14:textId="77777777" w:rsidTr="001F0103">
        <w:trPr>
          <w:trHeight w:val="563"/>
          <w:jc w:val="center"/>
        </w:trPr>
        <w:tc>
          <w:tcPr>
            <w:tcW w:w="851" w:type="dxa"/>
            <w:tcBorders>
              <w:top w:val="single" w:sz="4" w:space="0" w:color="B56012"/>
              <w:left w:val="nil"/>
              <w:bottom w:val="single" w:sz="4" w:space="0" w:color="B56012"/>
              <w:right w:val="nil"/>
            </w:tcBorders>
          </w:tcPr>
          <w:p w14:paraId="3E94D896" w14:textId="77777777" w:rsidR="001F0103" w:rsidRPr="001F0103" w:rsidRDefault="001F0103" w:rsidP="007B6365">
            <w:pPr>
              <w:pStyle w:val="02Tabletext"/>
            </w:pPr>
            <w:r w:rsidRPr="001F0103">
              <w:t>71180</w:t>
            </w:r>
          </w:p>
        </w:tc>
        <w:tc>
          <w:tcPr>
            <w:tcW w:w="5109" w:type="dxa"/>
            <w:tcBorders>
              <w:top w:val="single" w:sz="4" w:space="0" w:color="B56012"/>
              <w:left w:val="nil"/>
              <w:bottom w:val="single" w:sz="4" w:space="0" w:color="B56012"/>
              <w:right w:val="nil"/>
            </w:tcBorders>
          </w:tcPr>
          <w:p w14:paraId="6F45D0C0" w14:textId="77777777" w:rsidR="001F0103" w:rsidRPr="001F0103" w:rsidRDefault="001F0103" w:rsidP="007B6365">
            <w:pPr>
              <w:pStyle w:val="02Tabletext"/>
            </w:pPr>
            <w:r w:rsidRPr="001F0103">
              <w:t>Antibody to cardiolipin or beta-2 glycoprotein I</w:t>
            </w:r>
            <w:r w:rsidR="00AB6550">
              <w:t xml:space="preserve"> </w:t>
            </w:r>
            <w:r w:rsidRPr="001F0103">
              <w:t>detection, including quantitation if required; one antibody specificity (IgM or IgG)</w:t>
            </w:r>
          </w:p>
        </w:tc>
        <w:tc>
          <w:tcPr>
            <w:tcW w:w="1849" w:type="dxa"/>
            <w:tcBorders>
              <w:top w:val="single" w:sz="4" w:space="0" w:color="B56012"/>
              <w:left w:val="nil"/>
              <w:bottom w:val="single" w:sz="4" w:space="0" w:color="B56012"/>
              <w:right w:val="nil"/>
            </w:tcBorders>
          </w:tcPr>
          <w:p w14:paraId="646642EB"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4222243D" w14:textId="77777777" w:rsidR="001F0103" w:rsidRPr="001F0103" w:rsidRDefault="00533647" w:rsidP="00CF2A6E">
            <w:pPr>
              <w:pStyle w:val="02Tabletext"/>
            </w:pPr>
            <w:r>
              <w:t>4.</w:t>
            </w:r>
            <w:r w:rsidR="00CF2A6E">
              <w:t>16.1</w:t>
            </w:r>
          </w:p>
        </w:tc>
      </w:tr>
      <w:tr w:rsidR="001F0103" w:rsidRPr="001F0103" w14:paraId="3A62B41C" w14:textId="77777777" w:rsidTr="001F0103">
        <w:trPr>
          <w:trHeight w:val="563"/>
          <w:jc w:val="center"/>
        </w:trPr>
        <w:tc>
          <w:tcPr>
            <w:tcW w:w="851" w:type="dxa"/>
            <w:tcBorders>
              <w:top w:val="single" w:sz="4" w:space="0" w:color="B56012"/>
              <w:left w:val="nil"/>
              <w:bottom w:val="single" w:sz="4" w:space="0" w:color="B56012"/>
              <w:right w:val="nil"/>
            </w:tcBorders>
          </w:tcPr>
          <w:p w14:paraId="2FFE5FC1" w14:textId="77777777" w:rsidR="001F0103" w:rsidRPr="001F0103" w:rsidRDefault="001F0103" w:rsidP="007B6365">
            <w:pPr>
              <w:pStyle w:val="02Tabletext"/>
            </w:pPr>
            <w:r w:rsidRPr="001F0103">
              <w:t>71183</w:t>
            </w:r>
          </w:p>
        </w:tc>
        <w:tc>
          <w:tcPr>
            <w:tcW w:w="5109" w:type="dxa"/>
            <w:tcBorders>
              <w:top w:val="single" w:sz="4" w:space="0" w:color="B56012"/>
              <w:left w:val="nil"/>
              <w:bottom w:val="single" w:sz="4" w:space="0" w:color="B56012"/>
              <w:right w:val="nil"/>
            </w:tcBorders>
          </w:tcPr>
          <w:p w14:paraId="4CAC4761" w14:textId="77777777" w:rsidR="001F0103" w:rsidRPr="001F0103" w:rsidRDefault="001F0103" w:rsidP="007B6365">
            <w:pPr>
              <w:pStyle w:val="02Tabletext"/>
            </w:pPr>
            <w:r w:rsidRPr="001F0103">
              <w:t>Detection of two antibodies described in item 71180</w:t>
            </w:r>
          </w:p>
        </w:tc>
        <w:tc>
          <w:tcPr>
            <w:tcW w:w="1849" w:type="dxa"/>
            <w:tcBorders>
              <w:top w:val="single" w:sz="4" w:space="0" w:color="B56012"/>
              <w:left w:val="nil"/>
              <w:bottom w:val="single" w:sz="4" w:space="0" w:color="B56012"/>
              <w:right w:val="nil"/>
            </w:tcBorders>
          </w:tcPr>
          <w:p w14:paraId="083B2D08" w14:textId="77777777" w:rsidR="001F0103" w:rsidRPr="001F0103" w:rsidRDefault="001F0103" w:rsidP="007B6365">
            <w:pPr>
              <w:pStyle w:val="02Tabletext"/>
            </w:pPr>
            <w:r w:rsidRPr="001F0103">
              <w:t>No change</w:t>
            </w:r>
          </w:p>
        </w:tc>
        <w:tc>
          <w:tcPr>
            <w:tcW w:w="1277" w:type="dxa"/>
            <w:tcBorders>
              <w:top w:val="single" w:sz="4" w:space="0" w:color="B56012"/>
              <w:left w:val="nil"/>
              <w:bottom w:val="single" w:sz="4" w:space="0" w:color="B56012"/>
              <w:right w:val="nil"/>
            </w:tcBorders>
          </w:tcPr>
          <w:p w14:paraId="613B48BF" w14:textId="77777777" w:rsidR="001F0103" w:rsidRPr="001F0103" w:rsidRDefault="00533647" w:rsidP="00CF2A6E">
            <w:pPr>
              <w:pStyle w:val="02Tabletext"/>
            </w:pPr>
            <w:r>
              <w:t>4.</w:t>
            </w:r>
            <w:r w:rsidR="00CF2A6E">
              <w:t>16.1</w:t>
            </w:r>
          </w:p>
        </w:tc>
      </w:tr>
      <w:tr w:rsidR="001F0103" w:rsidRPr="001F0103" w14:paraId="5B70F5E2" w14:textId="77777777" w:rsidTr="001F0103">
        <w:trPr>
          <w:trHeight w:val="563"/>
          <w:jc w:val="center"/>
        </w:trPr>
        <w:tc>
          <w:tcPr>
            <w:tcW w:w="851" w:type="dxa"/>
            <w:tcBorders>
              <w:top w:val="single" w:sz="4" w:space="0" w:color="B56012"/>
              <w:left w:val="nil"/>
              <w:bottom w:val="single" w:sz="4" w:space="0" w:color="B56012"/>
              <w:right w:val="nil"/>
            </w:tcBorders>
          </w:tcPr>
          <w:p w14:paraId="77A45F26" w14:textId="77777777" w:rsidR="001F0103" w:rsidRPr="001F0103" w:rsidRDefault="001F0103" w:rsidP="007B6365">
            <w:pPr>
              <w:pStyle w:val="02Tabletext"/>
            </w:pPr>
            <w:r w:rsidRPr="001F0103">
              <w:t>71186</w:t>
            </w:r>
          </w:p>
        </w:tc>
        <w:tc>
          <w:tcPr>
            <w:tcW w:w="5109" w:type="dxa"/>
            <w:tcBorders>
              <w:top w:val="single" w:sz="4" w:space="0" w:color="B56012"/>
              <w:left w:val="nil"/>
              <w:bottom w:val="single" w:sz="4" w:space="0" w:color="B56012"/>
              <w:right w:val="nil"/>
            </w:tcBorders>
          </w:tcPr>
          <w:p w14:paraId="77E331DB" w14:textId="77777777" w:rsidR="001F0103" w:rsidRPr="001F0103" w:rsidRDefault="001F0103" w:rsidP="007B6365">
            <w:pPr>
              <w:pStyle w:val="02Tabletext"/>
            </w:pPr>
            <w:r w:rsidRPr="001F0103">
              <w:t>Detection of three or more antibodies described in item 71180</w:t>
            </w:r>
          </w:p>
        </w:tc>
        <w:tc>
          <w:tcPr>
            <w:tcW w:w="1849" w:type="dxa"/>
            <w:tcBorders>
              <w:top w:val="single" w:sz="4" w:space="0" w:color="B56012"/>
              <w:left w:val="nil"/>
              <w:bottom w:val="single" w:sz="4" w:space="0" w:color="B56012"/>
              <w:right w:val="nil"/>
            </w:tcBorders>
          </w:tcPr>
          <w:p w14:paraId="61FCA4E7" w14:textId="77777777" w:rsidR="001F0103" w:rsidRPr="001F0103" w:rsidRDefault="001F0103" w:rsidP="007B6365">
            <w:pPr>
              <w:pStyle w:val="02Tabletext"/>
            </w:pPr>
            <w:r w:rsidRPr="001F0103">
              <w:t>No change</w:t>
            </w:r>
          </w:p>
        </w:tc>
        <w:tc>
          <w:tcPr>
            <w:tcW w:w="1277" w:type="dxa"/>
            <w:tcBorders>
              <w:top w:val="single" w:sz="4" w:space="0" w:color="B56012"/>
              <w:left w:val="nil"/>
              <w:bottom w:val="single" w:sz="4" w:space="0" w:color="B56012"/>
              <w:right w:val="nil"/>
            </w:tcBorders>
          </w:tcPr>
          <w:p w14:paraId="344F25FC" w14:textId="77777777" w:rsidR="001F0103" w:rsidRPr="001F0103" w:rsidRDefault="00533647" w:rsidP="00CF2A6E">
            <w:pPr>
              <w:pStyle w:val="02Tabletext"/>
            </w:pPr>
            <w:r>
              <w:t>4.</w:t>
            </w:r>
            <w:r w:rsidR="00CF2A6E">
              <w:t>16.1</w:t>
            </w:r>
          </w:p>
        </w:tc>
      </w:tr>
      <w:tr w:rsidR="001F0103" w:rsidRPr="001F0103" w14:paraId="7B41843F" w14:textId="77777777" w:rsidTr="001F0103">
        <w:trPr>
          <w:trHeight w:val="563"/>
          <w:jc w:val="center"/>
        </w:trPr>
        <w:tc>
          <w:tcPr>
            <w:tcW w:w="851" w:type="dxa"/>
            <w:tcBorders>
              <w:top w:val="single" w:sz="4" w:space="0" w:color="B56012"/>
              <w:left w:val="nil"/>
              <w:bottom w:val="single" w:sz="4" w:space="0" w:color="B56012"/>
              <w:right w:val="nil"/>
            </w:tcBorders>
          </w:tcPr>
          <w:p w14:paraId="1795C7EE" w14:textId="77777777" w:rsidR="001F0103" w:rsidRPr="001F0103" w:rsidRDefault="001F0103" w:rsidP="007B6365">
            <w:pPr>
              <w:pStyle w:val="02Tabletext"/>
            </w:pPr>
            <w:r w:rsidRPr="001F0103">
              <w:t>71200</w:t>
            </w:r>
          </w:p>
        </w:tc>
        <w:tc>
          <w:tcPr>
            <w:tcW w:w="5109" w:type="dxa"/>
            <w:tcBorders>
              <w:top w:val="single" w:sz="4" w:space="0" w:color="B56012"/>
              <w:left w:val="nil"/>
              <w:bottom w:val="single" w:sz="4" w:space="0" w:color="B56012"/>
              <w:right w:val="nil"/>
            </w:tcBorders>
          </w:tcPr>
          <w:p w14:paraId="6823AD5B" w14:textId="77777777" w:rsidR="001F0103" w:rsidRPr="001F0103" w:rsidRDefault="001F0103" w:rsidP="007B6365">
            <w:pPr>
              <w:pStyle w:val="02Tabletext"/>
            </w:pPr>
            <w:r w:rsidRPr="001F0103">
              <w:t>Detection and quantitation, if present, of free kappa and lambda light chains in serum for the diagnosis or monitoring of amyloidosis, myeloma or plasma cell dyscrasias.</w:t>
            </w:r>
          </w:p>
        </w:tc>
        <w:tc>
          <w:tcPr>
            <w:tcW w:w="1849" w:type="dxa"/>
            <w:tcBorders>
              <w:top w:val="single" w:sz="4" w:space="0" w:color="B56012"/>
              <w:left w:val="nil"/>
              <w:bottom w:val="single" w:sz="4" w:space="0" w:color="B56012"/>
              <w:right w:val="nil"/>
            </w:tcBorders>
          </w:tcPr>
          <w:p w14:paraId="3BBE693B" w14:textId="77777777" w:rsidR="001F0103" w:rsidRPr="001F0103" w:rsidRDefault="001F0103" w:rsidP="007B6365">
            <w:pPr>
              <w:pStyle w:val="02Tabletext"/>
            </w:pPr>
            <w:r w:rsidRPr="001F0103">
              <w:t>Change</w:t>
            </w:r>
          </w:p>
        </w:tc>
        <w:tc>
          <w:tcPr>
            <w:tcW w:w="1277" w:type="dxa"/>
            <w:tcBorders>
              <w:top w:val="single" w:sz="4" w:space="0" w:color="B56012"/>
              <w:left w:val="nil"/>
              <w:bottom w:val="single" w:sz="4" w:space="0" w:color="B56012"/>
              <w:right w:val="nil"/>
            </w:tcBorders>
          </w:tcPr>
          <w:p w14:paraId="12D7C8DD" w14:textId="77777777" w:rsidR="001F0103" w:rsidRPr="001F0103" w:rsidRDefault="00533647" w:rsidP="00CF2A6E">
            <w:pPr>
              <w:pStyle w:val="02Tabletext"/>
            </w:pPr>
            <w:r>
              <w:t>4.</w:t>
            </w:r>
            <w:r w:rsidR="00CF2A6E">
              <w:t>17.1</w:t>
            </w:r>
          </w:p>
        </w:tc>
      </w:tr>
      <w:tr w:rsidR="00CF2A6E" w:rsidRPr="001F0103" w14:paraId="727419D6" w14:textId="77777777" w:rsidTr="001F0103">
        <w:trPr>
          <w:trHeight w:val="563"/>
          <w:jc w:val="center"/>
        </w:trPr>
        <w:tc>
          <w:tcPr>
            <w:tcW w:w="851" w:type="dxa"/>
            <w:tcBorders>
              <w:top w:val="single" w:sz="4" w:space="0" w:color="B56012"/>
              <w:left w:val="nil"/>
              <w:bottom w:val="single" w:sz="4" w:space="0" w:color="B56012"/>
              <w:right w:val="nil"/>
            </w:tcBorders>
          </w:tcPr>
          <w:p w14:paraId="1B7B6D69" w14:textId="77777777" w:rsidR="00CF2A6E" w:rsidRPr="001F0103" w:rsidRDefault="00CF2A6E" w:rsidP="00CF2A6E">
            <w:pPr>
              <w:pStyle w:val="02Tabletext"/>
            </w:pPr>
            <w:r w:rsidRPr="001F0103">
              <w:t>71095</w:t>
            </w:r>
          </w:p>
        </w:tc>
        <w:tc>
          <w:tcPr>
            <w:tcW w:w="5109" w:type="dxa"/>
            <w:tcBorders>
              <w:top w:val="single" w:sz="4" w:space="0" w:color="B56012"/>
              <w:left w:val="nil"/>
              <w:bottom w:val="single" w:sz="4" w:space="0" w:color="B56012"/>
              <w:right w:val="nil"/>
            </w:tcBorders>
          </w:tcPr>
          <w:p w14:paraId="692106D2" w14:textId="77777777" w:rsidR="00CF2A6E" w:rsidRPr="001F0103" w:rsidRDefault="00CF2A6E" w:rsidP="00CF2A6E">
            <w:pPr>
              <w:pStyle w:val="02Tabletext"/>
            </w:pPr>
            <w:r w:rsidRPr="001F0103">
              <w:t>Quantitation of serum or plasma eosinophil cationic protein, or both, to a maximum of 3 assays in 1 year, for monitoring the response to therapy in corticosteroid treated asthma, in a child aged less than 12 years</w:t>
            </w:r>
          </w:p>
        </w:tc>
        <w:tc>
          <w:tcPr>
            <w:tcW w:w="1849" w:type="dxa"/>
            <w:tcBorders>
              <w:top w:val="single" w:sz="4" w:space="0" w:color="B56012"/>
              <w:left w:val="nil"/>
              <w:bottom w:val="single" w:sz="4" w:space="0" w:color="B56012"/>
              <w:right w:val="nil"/>
            </w:tcBorders>
          </w:tcPr>
          <w:p w14:paraId="330F908A" w14:textId="77777777" w:rsidR="00CF2A6E" w:rsidRPr="001F0103" w:rsidRDefault="00CF2A6E" w:rsidP="00CF2A6E">
            <w:pPr>
              <w:pStyle w:val="02Tabletext"/>
            </w:pPr>
            <w:r w:rsidRPr="001F0103">
              <w:t>Delete</w:t>
            </w:r>
          </w:p>
        </w:tc>
        <w:tc>
          <w:tcPr>
            <w:tcW w:w="1277" w:type="dxa"/>
            <w:tcBorders>
              <w:top w:val="single" w:sz="4" w:space="0" w:color="B56012"/>
              <w:left w:val="nil"/>
              <w:bottom w:val="single" w:sz="4" w:space="0" w:color="B56012"/>
              <w:right w:val="nil"/>
            </w:tcBorders>
          </w:tcPr>
          <w:p w14:paraId="7728C756" w14:textId="77777777" w:rsidR="00CF2A6E" w:rsidRDefault="00CF2A6E" w:rsidP="00CF2A6E">
            <w:pPr>
              <w:pStyle w:val="02Tabletext"/>
            </w:pPr>
            <w:r>
              <w:t>4.18.1</w:t>
            </w:r>
          </w:p>
        </w:tc>
      </w:tr>
      <w:tr w:rsidR="00CF2A6E" w:rsidRPr="001F0103" w14:paraId="543B8784" w14:textId="77777777" w:rsidTr="001F0103">
        <w:trPr>
          <w:trHeight w:val="563"/>
          <w:jc w:val="center"/>
        </w:trPr>
        <w:tc>
          <w:tcPr>
            <w:tcW w:w="851" w:type="dxa"/>
            <w:tcBorders>
              <w:top w:val="single" w:sz="4" w:space="0" w:color="B56012"/>
              <w:left w:val="nil"/>
              <w:bottom w:val="single" w:sz="4" w:space="0" w:color="B56012"/>
              <w:right w:val="nil"/>
            </w:tcBorders>
          </w:tcPr>
          <w:p w14:paraId="6B1020A6" w14:textId="77777777" w:rsidR="00CF2A6E" w:rsidRPr="001F0103" w:rsidRDefault="00CF2A6E" w:rsidP="00CF2A6E">
            <w:pPr>
              <w:pStyle w:val="02Tabletext"/>
            </w:pPr>
            <w:r w:rsidRPr="001F0103">
              <w:t>71096</w:t>
            </w:r>
          </w:p>
        </w:tc>
        <w:tc>
          <w:tcPr>
            <w:tcW w:w="5109" w:type="dxa"/>
            <w:tcBorders>
              <w:top w:val="single" w:sz="4" w:space="0" w:color="B56012"/>
              <w:left w:val="nil"/>
              <w:bottom w:val="single" w:sz="4" w:space="0" w:color="B56012"/>
              <w:right w:val="nil"/>
            </w:tcBorders>
          </w:tcPr>
          <w:p w14:paraId="64C16E86" w14:textId="77777777" w:rsidR="00CF2A6E" w:rsidRPr="001F0103" w:rsidRDefault="00CF2A6E" w:rsidP="00CF2A6E">
            <w:pPr>
              <w:pStyle w:val="02Tabletext"/>
            </w:pPr>
            <w:r w:rsidRPr="001F0103">
              <w:t>A test described in item 71095 if rendered by a receiving APP, (Item is subject to rule 18)</w:t>
            </w:r>
          </w:p>
        </w:tc>
        <w:tc>
          <w:tcPr>
            <w:tcW w:w="1849" w:type="dxa"/>
            <w:tcBorders>
              <w:top w:val="single" w:sz="4" w:space="0" w:color="B56012"/>
              <w:left w:val="nil"/>
              <w:bottom w:val="single" w:sz="4" w:space="0" w:color="B56012"/>
              <w:right w:val="nil"/>
            </w:tcBorders>
          </w:tcPr>
          <w:p w14:paraId="6BB9EC02" w14:textId="77777777" w:rsidR="00CF2A6E" w:rsidRPr="001F0103" w:rsidRDefault="00CF2A6E" w:rsidP="00CF2A6E">
            <w:pPr>
              <w:pStyle w:val="02Tabletext"/>
            </w:pPr>
            <w:r w:rsidRPr="001F0103">
              <w:t>Delete</w:t>
            </w:r>
          </w:p>
        </w:tc>
        <w:tc>
          <w:tcPr>
            <w:tcW w:w="1277" w:type="dxa"/>
            <w:tcBorders>
              <w:top w:val="single" w:sz="4" w:space="0" w:color="B56012"/>
              <w:left w:val="nil"/>
              <w:bottom w:val="single" w:sz="4" w:space="0" w:color="B56012"/>
              <w:right w:val="nil"/>
            </w:tcBorders>
          </w:tcPr>
          <w:p w14:paraId="56A0070E" w14:textId="77777777" w:rsidR="00CF2A6E" w:rsidRDefault="00CF2A6E" w:rsidP="00CF2A6E">
            <w:pPr>
              <w:pStyle w:val="02Tabletext"/>
            </w:pPr>
            <w:r w:rsidRPr="001B39B7">
              <w:t>4.18.1</w:t>
            </w:r>
          </w:p>
        </w:tc>
      </w:tr>
      <w:tr w:rsidR="00CF2A6E" w:rsidRPr="001F0103" w14:paraId="00210972" w14:textId="77777777" w:rsidTr="001F0103">
        <w:trPr>
          <w:trHeight w:val="563"/>
          <w:jc w:val="center"/>
        </w:trPr>
        <w:tc>
          <w:tcPr>
            <w:tcW w:w="851" w:type="dxa"/>
            <w:tcBorders>
              <w:top w:val="single" w:sz="4" w:space="0" w:color="B56012"/>
              <w:left w:val="nil"/>
              <w:bottom w:val="single" w:sz="4" w:space="0" w:color="B56012"/>
              <w:right w:val="nil"/>
            </w:tcBorders>
          </w:tcPr>
          <w:p w14:paraId="0ACAAE38" w14:textId="77777777" w:rsidR="00CF2A6E" w:rsidRPr="001F0103" w:rsidRDefault="00CF2A6E" w:rsidP="00CF2A6E">
            <w:pPr>
              <w:pStyle w:val="02Tabletext"/>
            </w:pPr>
            <w:r w:rsidRPr="001F0103">
              <w:t>71137</w:t>
            </w:r>
          </w:p>
        </w:tc>
        <w:tc>
          <w:tcPr>
            <w:tcW w:w="5109" w:type="dxa"/>
            <w:tcBorders>
              <w:top w:val="single" w:sz="4" w:space="0" w:color="B56012"/>
              <w:left w:val="nil"/>
              <w:bottom w:val="single" w:sz="4" w:space="0" w:color="B56012"/>
              <w:right w:val="nil"/>
            </w:tcBorders>
          </w:tcPr>
          <w:p w14:paraId="1C8A56F7" w14:textId="77777777" w:rsidR="00CF2A6E" w:rsidRPr="001F0103" w:rsidRDefault="00CF2A6E" w:rsidP="00CF2A6E">
            <w:pPr>
              <w:pStyle w:val="02Tabletext"/>
            </w:pPr>
            <w:r w:rsidRPr="001F0103">
              <w:t>Quantitation of cell-mediated immunity by multiple antigen delayed type hypersensitivity intradermal skin testing using a minimum of 7 antigens, 1 of this item to a maximum of 2 in a 12 month period</w:t>
            </w:r>
          </w:p>
        </w:tc>
        <w:tc>
          <w:tcPr>
            <w:tcW w:w="1849" w:type="dxa"/>
            <w:tcBorders>
              <w:top w:val="single" w:sz="4" w:space="0" w:color="B56012"/>
              <w:left w:val="nil"/>
              <w:bottom w:val="single" w:sz="4" w:space="0" w:color="B56012"/>
              <w:right w:val="nil"/>
            </w:tcBorders>
          </w:tcPr>
          <w:p w14:paraId="0236F330" w14:textId="77777777" w:rsidR="00CF2A6E" w:rsidRPr="001F0103" w:rsidRDefault="00CF2A6E" w:rsidP="00CF2A6E">
            <w:pPr>
              <w:pStyle w:val="02Tabletext"/>
            </w:pPr>
            <w:r w:rsidRPr="001F0103">
              <w:t>Delete</w:t>
            </w:r>
          </w:p>
        </w:tc>
        <w:tc>
          <w:tcPr>
            <w:tcW w:w="1277" w:type="dxa"/>
            <w:tcBorders>
              <w:top w:val="single" w:sz="4" w:space="0" w:color="B56012"/>
              <w:left w:val="nil"/>
              <w:bottom w:val="single" w:sz="4" w:space="0" w:color="B56012"/>
              <w:right w:val="nil"/>
            </w:tcBorders>
          </w:tcPr>
          <w:p w14:paraId="111C276C" w14:textId="77777777" w:rsidR="00CF2A6E" w:rsidRDefault="00CF2A6E" w:rsidP="00CF2A6E">
            <w:pPr>
              <w:pStyle w:val="02Tabletext"/>
            </w:pPr>
            <w:r w:rsidRPr="001B39B7">
              <w:t>4.18.1</w:t>
            </w:r>
          </w:p>
        </w:tc>
      </w:tr>
      <w:tr w:rsidR="00CF2A6E" w:rsidRPr="001F0103" w14:paraId="37167FA6" w14:textId="77777777" w:rsidTr="001F0103">
        <w:trPr>
          <w:trHeight w:val="563"/>
          <w:jc w:val="center"/>
        </w:trPr>
        <w:tc>
          <w:tcPr>
            <w:tcW w:w="851" w:type="dxa"/>
            <w:tcBorders>
              <w:top w:val="single" w:sz="4" w:space="0" w:color="B56012"/>
              <w:left w:val="nil"/>
              <w:bottom w:val="single" w:sz="4" w:space="0" w:color="B56012"/>
              <w:right w:val="nil"/>
            </w:tcBorders>
          </w:tcPr>
          <w:p w14:paraId="0E740F2B" w14:textId="77777777" w:rsidR="00CF2A6E" w:rsidRPr="001F0103" w:rsidRDefault="00CF2A6E" w:rsidP="00CF2A6E">
            <w:pPr>
              <w:pStyle w:val="02Tabletext"/>
            </w:pPr>
            <w:r w:rsidRPr="001F0103">
              <w:t>71203</w:t>
            </w:r>
          </w:p>
        </w:tc>
        <w:tc>
          <w:tcPr>
            <w:tcW w:w="5109" w:type="dxa"/>
            <w:tcBorders>
              <w:top w:val="single" w:sz="4" w:space="0" w:color="B56012"/>
              <w:left w:val="nil"/>
              <w:bottom w:val="single" w:sz="4" w:space="0" w:color="B56012"/>
              <w:right w:val="nil"/>
            </w:tcBorders>
          </w:tcPr>
          <w:p w14:paraId="1576934E" w14:textId="77777777" w:rsidR="00CF2A6E" w:rsidRPr="001F0103" w:rsidRDefault="00CF2A6E" w:rsidP="00CF2A6E">
            <w:pPr>
              <w:pStyle w:val="02Tabletext"/>
            </w:pPr>
            <w:r w:rsidRPr="001F0103">
              <w:t>Determination of hlab5701 status by flow cytometry or cytotoxity assay prior to the initiation of abacavir therapy including item 73323 if performed.</w:t>
            </w:r>
          </w:p>
        </w:tc>
        <w:tc>
          <w:tcPr>
            <w:tcW w:w="1849" w:type="dxa"/>
            <w:tcBorders>
              <w:top w:val="single" w:sz="4" w:space="0" w:color="B56012"/>
              <w:left w:val="nil"/>
              <w:bottom w:val="single" w:sz="4" w:space="0" w:color="B56012"/>
              <w:right w:val="nil"/>
            </w:tcBorders>
          </w:tcPr>
          <w:p w14:paraId="00FDDF67" w14:textId="77777777" w:rsidR="00CF2A6E" w:rsidRPr="001F0103" w:rsidRDefault="00CF2A6E" w:rsidP="00CF2A6E">
            <w:pPr>
              <w:pStyle w:val="02Tabletext"/>
            </w:pPr>
            <w:r w:rsidRPr="001F0103">
              <w:t>Delete</w:t>
            </w:r>
          </w:p>
        </w:tc>
        <w:tc>
          <w:tcPr>
            <w:tcW w:w="1277" w:type="dxa"/>
            <w:tcBorders>
              <w:top w:val="single" w:sz="4" w:space="0" w:color="B56012"/>
              <w:left w:val="nil"/>
              <w:bottom w:val="single" w:sz="4" w:space="0" w:color="B56012"/>
              <w:right w:val="nil"/>
            </w:tcBorders>
          </w:tcPr>
          <w:p w14:paraId="267023B4" w14:textId="77777777" w:rsidR="00CF2A6E" w:rsidRDefault="00CF2A6E" w:rsidP="00CF2A6E">
            <w:pPr>
              <w:pStyle w:val="02Tabletext"/>
            </w:pPr>
            <w:r w:rsidRPr="001B39B7">
              <w:t>4.18.1</w:t>
            </w:r>
          </w:p>
        </w:tc>
      </w:tr>
      <w:tr w:rsidR="001F0103" w:rsidRPr="001F0103" w14:paraId="3BC0982C" w14:textId="77777777" w:rsidTr="001F0103">
        <w:trPr>
          <w:trHeight w:val="563"/>
          <w:jc w:val="center"/>
        </w:trPr>
        <w:tc>
          <w:tcPr>
            <w:tcW w:w="851" w:type="dxa"/>
            <w:tcBorders>
              <w:top w:val="single" w:sz="4" w:space="0" w:color="B56012"/>
              <w:left w:val="nil"/>
              <w:bottom w:val="single" w:sz="4" w:space="0" w:color="B56012"/>
              <w:right w:val="nil"/>
            </w:tcBorders>
          </w:tcPr>
          <w:p w14:paraId="752BD0DA" w14:textId="77777777" w:rsidR="001F0103" w:rsidRPr="001F0103" w:rsidRDefault="001F0103" w:rsidP="007B6365">
            <w:pPr>
              <w:pStyle w:val="02Tabletext"/>
            </w:pPr>
          </w:p>
        </w:tc>
        <w:tc>
          <w:tcPr>
            <w:tcW w:w="5109" w:type="dxa"/>
            <w:tcBorders>
              <w:top w:val="single" w:sz="4" w:space="0" w:color="B56012"/>
              <w:left w:val="nil"/>
              <w:bottom w:val="single" w:sz="4" w:space="0" w:color="B56012"/>
              <w:right w:val="nil"/>
            </w:tcBorders>
          </w:tcPr>
          <w:p w14:paraId="2CF83B53" w14:textId="77777777" w:rsidR="001F0103" w:rsidRPr="001F0103" w:rsidRDefault="001F0103" w:rsidP="007B6365">
            <w:pPr>
              <w:pStyle w:val="02Tabletext"/>
            </w:pPr>
          </w:p>
        </w:tc>
        <w:tc>
          <w:tcPr>
            <w:tcW w:w="1849" w:type="dxa"/>
            <w:tcBorders>
              <w:top w:val="single" w:sz="4" w:space="0" w:color="B56012"/>
              <w:left w:val="nil"/>
              <w:bottom w:val="single" w:sz="4" w:space="0" w:color="B56012"/>
              <w:right w:val="nil"/>
            </w:tcBorders>
          </w:tcPr>
          <w:p w14:paraId="4A08AA01" w14:textId="77777777" w:rsidR="001F0103" w:rsidRPr="001F0103" w:rsidRDefault="001F0103" w:rsidP="007B6365">
            <w:pPr>
              <w:pStyle w:val="02Tabletext"/>
            </w:pPr>
          </w:p>
        </w:tc>
        <w:tc>
          <w:tcPr>
            <w:tcW w:w="1277" w:type="dxa"/>
            <w:tcBorders>
              <w:top w:val="single" w:sz="4" w:space="0" w:color="B56012"/>
              <w:left w:val="nil"/>
              <w:bottom w:val="single" w:sz="4" w:space="0" w:color="B56012"/>
              <w:right w:val="nil"/>
            </w:tcBorders>
          </w:tcPr>
          <w:p w14:paraId="496ED3CF" w14:textId="77777777" w:rsidR="001F0103" w:rsidRPr="001F0103" w:rsidRDefault="001F0103" w:rsidP="007B6365">
            <w:pPr>
              <w:pStyle w:val="02Tabletext"/>
            </w:pPr>
          </w:p>
        </w:tc>
      </w:tr>
      <w:tr w:rsidR="00533647" w:rsidRPr="001F0103" w14:paraId="267EA3B3" w14:textId="77777777" w:rsidTr="001F0103">
        <w:trPr>
          <w:trHeight w:val="563"/>
          <w:jc w:val="center"/>
        </w:trPr>
        <w:tc>
          <w:tcPr>
            <w:tcW w:w="851" w:type="dxa"/>
            <w:tcBorders>
              <w:top w:val="single" w:sz="4" w:space="0" w:color="B56012"/>
              <w:left w:val="nil"/>
              <w:bottom w:val="single" w:sz="4" w:space="0" w:color="B56012"/>
              <w:right w:val="nil"/>
            </w:tcBorders>
          </w:tcPr>
          <w:p w14:paraId="669AA001" w14:textId="77777777" w:rsidR="00533647" w:rsidRPr="001F0103" w:rsidRDefault="00533647" w:rsidP="007B6365">
            <w:pPr>
              <w:pStyle w:val="02Tabletext"/>
            </w:pPr>
            <w:r w:rsidRPr="001F0103">
              <w:t>71170</w:t>
            </w:r>
          </w:p>
        </w:tc>
        <w:tc>
          <w:tcPr>
            <w:tcW w:w="5109" w:type="dxa"/>
            <w:tcBorders>
              <w:top w:val="single" w:sz="4" w:space="0" w:color="B56012"/>
              <w:left w:val="nil"/>
              <w:bottom w:val="single" w:sz="4" w:space="0" w:color="B56012"/>
              <w:right w:val="nil"/>
            </w:tcBorders>
          </w:tcPr>
          <w:p w14:paraId="54F94644" w14:textId="77777777" w:rsidR="00533647" w:rsidRPr="001F0103" w:rsidRDefault="00533647" w:rsidP="007B6365">
            <w:pPr>
              <w:pStyle w:val="02Tabletext"/>
            </w:pPr>
            <w:r w:rsidRPr="001F0103">
              <w:t xml:space="preserve">Tests described in item 71165, other than that described in 71169, if rendered by a receiving APP – each test to a maximum of 3 tests. (Item is subject to rule 6 and 18.) </w:t>
            </w:r>
          </w:p>
        </w:tc>
        <w:tc>
          <w:tcPr>
            <w:tcW w:w="1849" w:type="dxa"/>
            <w:tcBorders>
              <w:top w:val="single" w:sz="4" w:space="0" w:color="B56012"/>
              <w:left w:val="nil"/>
              <w:bottom w:val="single" w:sz="4" w:space="0" w:color="B56012"/>
              <w:right w:val="nil"/>
            </w:tcBorders>
          </w:tcPr>
          <w:p w14:paraId="7A097ADD" w14:textId="77777777" w:rsidR="00533647" w:rsidRPr="001F0103" w:rsidRDefault="00533647" w:rsidP="007B6365">
            <w:pPr>
              <w:pStyle w:val="02Tabletext"/>
            </w:pPr>
            <w:r w:rsidRPr="001F0103">
              <w:t>No change</w:t>
            </w:r>
          </w:p>
        </w:tc>
        <w:tc>
          <w:tcPr>
            <w:tcW w:w="1277" w:type="dxa"/>
            <w:tcBorders>
              <w:top w:val="single" w:sz="4" w:space="0" w:color="B56012"/>
              <w:left w:val="nil"/>
              <w:bottom w:val="single" w:sz="4" w:space="0" w:color="B56012"/>
              <w:right w:val="nil"/>
            </w:tcBorders>
          </w:tcPr>
          <w:p w14:paraId="58BB5A28" w14:textId="77777777" w:rsidR="00533647" w:rsidRPr="001F0103" w:rsidRDefault="00533647" w:rsidP="00CF2A6E">
            <w:pPr>
              <w:pStyle w:val="02Tabletext"/>
            </w:pPr>
            <w:r w:rsidRPr="00E606E0">
              <w:t>4.</w:t>
            </w:r>
            <w:r w:rsidR="00CF2A6E">
              <w:t>19.1</w:t>
            </w:r>
          </w:p>
        </w:tc>
      </w:tr>
      <w:tr w:rsidR="00CF2A6E" w:rsidRPr="001F0103" w14:paraId="30B62955" w14:textId="77777777" w:rsidTr="001F0103">
        <w:trPr>
          <w:trHeight w:val="563"/>
          <w:jc w:val="center"/>
        </w:trPr>
        <w:tc>
          <w:tcPr>
            <w:tcW w:w="851" w:type="dxa"/>
            <w:tcBorders>
              <w:top w:val="single" w:sz="4" w:space="0" w:color="B56012"/>
              <w:left w:val="nil"/>
              <w:bottom w:val="single" w:sz="4" w:space="0" w:color="B56012"/>
              <w:right w:val="nil"/>
            </w:tcBorders>
          </w:tcPr>
          <w:p w14:paraId="635AC478" w14:textId="77777777" w:rsidR="00CF2A6E" w:rsidRPr="001F0103" w:rsidRDefault="00CF2A6E" w:rsidP="00CF2A6E">
            <w:pPr>
              <w:pStyle w:val="02Tabletext"/>
            </w:pPr>
            <w:r w:rsidRPr="001F0103">
              <w:t>71057</w:t>
            </w:r>
          </w:p>
        </w:tc>
        <w:tc>
          <w:tcPr>
            <w:tcW w:w="5109" w:type="dxa"/>
            <w:tcBorders>
              <w:top w:val="single" w:sz="4" w:space="0" w:color="B56012"/>
              <w:left w:val="nil"/>
              <w:bottom w:val="single" w:sz="4" w:space="0" w:color="B56012"/>
              <w:right w:val="nil"/>
            </w:tcBorders>
          </w:tcPr>
          <w:p w14:paraId="2C302382" w14:textId="77777777" w:rsidR="00CF2A6E" w:rsidRPr="001F0103" w:rsidRDefault="00CF2A6E" w:rsidP="00CF2A6E">
            <w:pPr>
              <w:pStyle w:val="02Tabletext"/>
            </w:pPr>
            <w:r w:rsidRPr="001F0103">
              <w:t xml:space="preserve">Electrophoresis, quantitative and qualitative, of serum, urine or other body fluid all collected within a 28 day period, to demonstrate: (a) protein classes; or (b) presence and amount </w:t>
            </w:r>
            <w:r w:rsidRPr="001F0103">
              <w:lastRenderedPageBreak/>
              <w:t>of paraprotein; including the preliminary quantitation of total protein, albumin and globulin - 1 specimen type</w:t>
            </w:r>
          </w:p>
        </w:tc>
        <w:tc>
          <w:tcPr>
            <w:tcW w:w="1849" w:type="dxa"/>
            <w:tcBorders>
              <w:top w:val="single" w:sz="4" w:space="0" w:color="B56012"/>
              <w:left w:val="nil"/>
              <w:bottom w:val="single" w:sz="4" w:space="0" w:color="B56012"/>
              <w:right w:val="nil"/>
            </w:tcBorders>
          </w:tcPr>
          <w:p w14:paraId="4DCF0BFD" w14:textId="77777777" w:rsidR="00CF2A6E" w:rsidRPr="001F0103" w:rsidRDefault="00CF2A6E" w:rsidP="00CF2A6E">
            <w:pPr>
              <w:pStyle w:val="02Tabletext"/>
            </w:pPr>
            <w:r w:rsidRPr="001F0103">
              <w:lastRenderedPageBreak/>
              <w:t>No change</w:t>
            </w:r>
          </w:p>
        </w:tc>
        <w:tc>
          <w:tcPr>
            <w:tcW w:w="1277" w:type="dxa"/>
            <w:tcBorders>
              <w:top w:val="single" w:sz="4" w:space="0" w:color="B56012"/>
              <w:left w:val="nil"/>
              <w:bottom w:val="single" w:sz="4" w:space="0" w:color="B56012"/>
              <w:right w:val="nil"/>
            </w:tcBorders>
          </w:tcPr>
          <w:p w14:paraId="1B0BD9FB" w14:textId="77777777" w:rsidR="00CF2A6E" w:rsidRPr="001F0103" w:rsidRDefault="00CF2A6E" w:rsidP="00CF2A6E">
            <w:pPr>
              <w:pStyle w:val="02Tabletext"/>
            </w:pPr>
            <w:r w:rsidRPr="002C554D">
              <w:t>4.19.1</w:t>
            </w:r>
          </w:p>
        </w:tc>
      </w:tr>
      <w:tr w:rsidR="00CF2A6E" w:rsidRPr="001F0103" w14:paraId="1715BCE1" w14:textId="77777777" w:rsidTr="001F0103">
        <w:trPr>
          <w:trHeight w:val="563"/>
          <w:jc w:val="center"/>
        </w:trPr>
        <w:tc>
          <w:tcPr>
            <w:tcW w:w="851" w:type="dxa"/>
            <w:tcBorders>
              <w:top w:val="single" w:sz="4" w:space="0" w:color="B56012"/>
              <w:left w:val="nil"/>
              <w:bottom w:val="single" w:sz="4" w:space="0" w:color="B56012"/>
              <w:right w:val="nil"/>
            </w:tcBorders>
          </w:tcPr>
          <w:p w14:paraId="575C6FBA" w14:textId="77777777" w:rsidR="00CF2A6E" w:rsidRPr="001F0103" w:rsidRDefault="00CF2A6E" w:rsidP="00CF2A6E">
            <w:pPr>
              <w:pStyle w:val="02Tabletext"/>
            </w:pPr>
            <w:r w:rsidRPr="001F0103">
              <w:t>71058</w:t>
            </w:r>
          </w:p>
        </w:tc>
        <w:tc>
          <w:tcPr>
            <w:tcW w:w="5109" w:type="dxa"/>
            <w:tcBorders>
              <w:top w:val="single" w:sz="4" w:space="0" w:color="B56012"/>
              <w:left w:val="nil"/>
              <w:bottom w:val="single" w:sz="4" w:space="0" w:color="B56012"/>
              <w:right w:val="nil"/>
            </w:tcBorders>
          </w:tcPr>
          <w:p w14:paraId="10372836" w14:textId="77777777" w:rsidR="00CF2A6E" w:rsidRPr="001F0103" w:rsidRDefault="00CF2A6E" w:rsidP="00CF2A6E">
            <w:pPr>
              <w:pStyle w:val="02Tabletext"/>
            </w:pPr>
            <w:r w:rsidRPr="001F0103">
              <w:t>Examination as described in item 71057 of 2 or more specimen types</w:t>
            </w:r>
          </w:p>
        </w:tc>
        <w:tc>
          <w:tcPr>
            <w:tcW w:w="1849" w:type="dxa"/>
            <w:tcBorders>
              <w:top w:val="single" w:sz="4" w:space="0" w:color="B56012"/>
              <w:left w:val="nil"/>
              <w:bottom w:val="single" w:sz="4" w:space="0" w:color="B56012"/>
              <w:right w:val="nil"/>
            </w:tcBorders>
          </w:tcPr>
          <w:p w14:paraId="2F0E59D6"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549945C0" w14:textId="77777777" w:rsidR="00CF2A6E" w:rsidRPr="001F0103" w:rsidRDefault="00CF2A6E" w:rsidP="00CF2A6E">
            <w:pPr>
              <w:pStyle w:val="02Tabletext"/>
            </w:pPr>
            <w:r w:rsidRPr="002C554D">
              <w:t>4.19.1</w:t>
            </w:r>
          </w:p>
        </w:tc>
      </w:tr>
      <w:tr w:rsidR="00CF2A6E" w:rsidRPr="001F0103" w14:paraId="69443187" w14:textId="77777777" w:rsidTr="001F0103">
        <w:trPr>
          <w:trHeight w:val="563"/>
          <w:jc w:val="center"/>
        </w:trPr>
        <w:tc>
          <w:tcPr>
            <w:tcW w:w="851" w:type="dxa"/>
            <w:tcBorders>
              <w:top w:val="single" w:sz="4" w:space="0" w:color="B56012"/>
              <w:left w:val="nil"/>
              <w:bottom w:val="single" w:sz="4" w:space="0" w:color="B56012"/>
              <w:right w:val="nil"/>
            </w:tcBorders>
          </w:tcPr>
          <w:p w14:paraId="37FBCD52" w14:textId="77777777" w:rsidR="00CF2A6E" w:rsidRPr="001F0103" w:rsidRDefault="00CF2A6E" w:rsidP="00CF2A6E">
            <w:pPr>
              <w:pStyle w:val="02Tabletext"/>
            </w:pPr>
            <w:r w:rsidRPr="001F0103">
              <w:t>71059</w:t>
            </w:r>
          </w:p>
        </w:tc>
        <w:tc>
          <w:tcPr>
            <w:tcW w:w="5109" w:type="dxa"/>
            <w:tcBorders>
              <w:top w:val="single" w:sz="4" w:space="0" w:color="B56012"/>
              <w:left w:val="nil"/>
              <w:bottom w:val="single" w:sz="4" w:space="0" w:color="B56012"/>
              <w:right w:val="nil"/>
            </w:tcBorders>
          </w:tcPr>
          <w:p w14:paraId="52008480" w14:textId="77777777" w:rsidR="00CF2A6E" w:rsidRPr="001F0103" w:rsidRDefault="00CF2A6E" w:rsidP="00CF2A6E">
            <w:pPr>
              <w:pStyle w:val="02Tabletext"/>
            </w:pPr>
            <w:r w:rsidRPr="001F0103">
              <w:t>Immunofixation or immunoelectrophoresis or isoelectric focusing of:(a) urine for detection of bence jones proteins; or(b) serum, plasma or other body fluid; and characterisation of a paraprotein or cryoglobulin</w:t>
            </w:r>
            <w:r>
              <w:t xml:space="preserve"> </w:t>
            </w:r>
            <w:r w:rsidRPr="001F0103">
              <w:t>-examination of 1 specimen type (</w:t>
            </w:r>
            <w:r>
              <w:t>e.g.</w:t>
            </w:r>
            <w:r w:rsidRPr="001F0103">
              <w:t xml:space="preserve"> serum, urine or csf) </w:t>
            </w:r>
          </w:p>
        </w:tc>
        <w:tc>
          <w:tcPr>
            <w:tcW w:w="1849" w:type="dxa"/>
            <w:tcBorders>
              <w:top w:val="single" w:sz="4" w:space="0" w:color="B56012"/>
              <w:left w:val="nil"/>
              <w:bottom w:val="single" w:sz="4" w:space="0" w:color="B56012"/>
              <w:right w:val="nil"/>
            </w:tcBorders>
          </w:tcPr>
          <w:p w14:paraId="78E807CD"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7880337D" w14:textId="77777777" w:rsidR="00CF2A6E" w:rsidRPr="001F0103" w:rsidRDefault="00CF2A6E" w:rsidP="00CF2A6E">
            <w:pPr>
              <w:pStyle w:val="02Tabletext"/>
            </w:pPr>
            <w:r w:rsidRPr="002C554D">
              <w:t>4.19.1</w:t>
            </w:r>
          </w:p>
        </w:tc>
      </w:tr>
      <w:tr w:rsidR="00CF2A6E" w:rsidRPr="001F0103" w14:paraId="7E4BE0C7" w14:textId="77777777" w:rsidTr="001F0103">
        <w:trPr>
          <w:trHeight w:val="563"/>
          <w:jc w:val="center"/>
        </w:trPr>
        <w:tc>
          <w:tcPr>
            <w:tcW w:w="851" w:type="dxa"/>
            <w:tcBorders>
              <w:top w:val="single" w:sz="4" w:space="0" w:color="B56012"/>
              <w:left w:val="nil"/>
              <w:bottom w:val="single" w:sz="4" w:space="0" w:color="B56012"/>
              <w:right w:val="nil"/>
            </w:tcBorders>
          </w:tcPr>
          <w:p w14:paraId="782CF044" w14:textId="77777777" w:rsidR="00CF2A6E" w:rsidRPr="001F0103" w:rsidRDefault="00CF2A6E" w:rsidP="00CF2A6E">
            <w:pPr>
              <w:pStyle w:val="02Tabletext"/>
            </w:pPr>
            <w:r w:rsidRPr="001F0103">
              <w:t>71060</w:t>
            </w:r>
          </w:p>
        </w:tc>
        <w:tc>
          <w:tcPr>
            <w:tcW w:w="5109" w:type="dxa"/>
            <w:tcBorders>
              <w:top w:val="single" w:sz="4" w:space="0" w:color="B56012"/>
              <w:left w:val="nil"/>
              <w:bottom w:val="single" w:sz="4" w:space="0" w:color="B56012"/>
              <w:right w:val="nil"/>
            </w:tcBorders>
          </w:tcPr>
          <w:p w14:paraId="6F0A53F1" w14:textId="77777777" w:rsidR="00CF2A6E" w:rsidRPr="001F0103" w:rsidRDefault="00CF2A6E" w:rsidP="00CF2A6E">
            <w:pPr>
              <w:pStyle w:val="02Tabletext"/>
            </w:pPr>
            <w:r w:rsidRPr="001F0103">
              <w:t>Examination as described in item 71059 of 2 or more specimen types</w:t>
            </w:r>
          </w:p>
        </w:tc>
        <w:tc>
          <w:tcPr>
            <w:tcW w:w="1849" w:type="dxa"/>
            <w:tcBorders>
              <w:top w:val="single" w:sz="4" w:space="0" w:color="B56012"/>
              <w:left w:val="nil"/>
              <w:bottom w:val="single" w:sz="4" w:space="0" w:color="B56012"/>
              <w:right w:val="nil"/>
            </w:tcBorders>
          </w:tcPr>
          <w:p w14:paraId="7A432C79"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7E0E1BC2" w14:textId="77777777" w:rsidR="00CF2A6E" w:rsidRPr="001F0103" w:rsidRDefault="00CF2A6E" w:rsidP="00CF2A6E">
            <w:pPr>
              <w:pStyle w:val="02Tabletext"/>
            </w:pPr>
            <w:r w:rsidRPr="002C554D">
              <w:t>4.19.1</w:t>
            </w:r>
          </w:p>
        </w:tc>
      </w:tr>
      <w:tr w:rsidR="00CF2A6E" w:rsidRPr="001F0103" w14:paraId="3ABDAFC9" w14:textId="77777777" w:rsidTr="001F0103">
        <w:trPr>
          <w:trHeight w:val="563"/>
          <w:jc w:val="center"/>
        </w:trPr>
        <w:tc>
          <w:tcPr>
            <w:tcW w:w="851" w:type="dxa"/>
            <w:tcBorders>
              <w:top w:val="single" w:sz="4" w:space="0" w:color="B56012"/>
              <w:left w:val="nil"/>
              <w:bottom w:val="single" w:sz="4" w:space="0" w:color="B56012"/>
              <w:right w:val="nil"/>
            </w:tcBorders>
          </w:tcPr>
          <w:p w14:paraId="3FFB2383" w14:textId="77777777" w:rsidR="00CF2A6E" w:rsidRPr="001F0103" w:rsidRDefault="00CF2A6E" w:rsidP="00CF2A6E">
            <w:pPr>
              <w:pStyle w:val="02Tabletext"/>
            </w:pPr>
            <w:r w:rsidRPr="001F0103">
              <w:t>71062</w:t>
            </w:r>
          </w:p>
        </w:tc>
        <w:tc>
          <w:tcPr>
            <w:tcW w:w="5109" w:type="dxa"/>
            <w:tcBorders>
              <w:top w:val="single" w:sz="4" w:space="0" w:color="B56012"/>
              <w:left w:val="nil"/>
              <w:bottom w:val="single" w:sz="4" w:space="0" w:color="B56012"/>
              <w:right w:val="nil"/>
            </w:tcBorders>
          </w:tcPr>
          <w:p w14:paraId="208E1DC0" w14:textId="77777777" w:rsidR="00CF2A6E" w:rsidRPr="001F0103" w:rsidRDefault="00CF2A6E" w:rsidP="00CF2A6E">
            <w:pPr>
              <w:pStyle w:val="02Tabletext"/>
            </w:pPr>
            <w:r w:rsidRPr="001F0103">
              <w:t>Electrophoresis and immunofixation or immunoelectrophoresis or isoelectric focussing of CSF for the detection of oligoclonal bands and including if required electrophoresis of the patient's serum for comparison purposes - 1 or more tests</w:t>
            </w:r>
          </w:p>
        </w:tc>
        <w:tc>
          <w:tcPr>
            <w:tcW w:w="1849" w:type="dxa"/>
            <w:tcBorders>
              <w:top w:val="single" w:sz="4" w:space="0" w:color="B56012"/>
              <w:left w:val="nil"/>
              <w:bottom w:val="single" w:sz="4" w:space="0" w:color="B56012"/>
              <w:right w:val="nil"/>
            </w:tcBorders>
          </w:tcPr>
          <w:p w14:paraId="07181B55"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42DD316B" w14:textId="77777777" w:rsidR="00CF2A6E" w:rsidRPr="001F0103" w:rsidRDefault="00CF2A6E" w:rsidP="00CF2A6E">
            <w:pPr>
              <w:pStyle w:val="02Tabletext"/>
            </w:pPr>
            <w:r w:rsidRPr="002C554D">
              <w:t>4.19.1</w:t>
            </w:r>
          </w:p>
        </w:tc>
      </w:tr>
      <w:tr w:rsidR="00CF2A6E" w:rsidRPr="001F0103" w14:paraId="781B8B66" w14:textId="77777777" w:rsidTr="001F0103">
        <w:trPr>
          <w:trHeight w:val="563"/>
          <w:jc w:val="center"/>
        </w:trPr>
        <w:tc>
          <w:tcPr>
            <w:tcW w:w="851" w:type="dxa"/>
            <w:tcBorders>
              <w:top w:val="single" w:sz="4" w:space="0" w:color="B56012"/>
              <w:left w:val="nil"/>
              <w:bottom w:val="single" w:sz="4" w:space="0" w:color="B56012"/>
              <w:right w:val="nil"/>
            </w:tcBorders>
          </w:tcPr>
          <w:p w14:paraId="1A0D8AAA" w14:textId="77777777" w:rsidR="00CF2A6E" w:rsidRPr="001F0103" w:rsidRDefault="00CF2A6E" w:rsidP="00CF2A6E">
            <w:pPr>
              <w:pStyle w:val="02Tabletext"/>
            </w:pPr>
            <w:r w:rsidRPr="001F0103">
              <w:t>71068</w:t>
            </w:r>
          </w:p>
        </w:tc>
        <w:tc>
          <w:tcPr>
            <w:tcW w:w="5109" w:type="dxa"/>
            <w:tcBorders>
              <w:top w:val="single" w:sz="4" w:space="0" w:color="B56012"/>
              <w:left w:val="nil"/>
              <w:bottom w:val="single" w:sz="4" w:space="0" w:color="B56012"/>
              <w:right w:val="nil"/>
            </w:tcBorders>
          </w:tcPr>
          <w:p w14:paraId="148D4AAA" w14:textId="77777777" w:rsidR="00CF2A6E" w:rsidRPr="001F0103" w:rsidRDefault="00CF2A6E" w:rsidP="00CF2A6E">
            <w:pPr>
              <w:pStyle w:val="02Tabletext"/>
            </w:pPr>
            <w:r w:rsidRPr="001F0103">
              <w:t>Quantitation of total immunoglobulin g by any method in serum, urine or other body fluid - 1 test</w:t>
            </w:r>
          </w:p>
        </w:tc>
        <w:tc>
          <w:tcPr>
            <w:tcW w:w="1849" w:type="dxa"/>
            <w:tcBorders>
              <w:top w:val="single" w:sz="4" w:space="0" w:color="B56012"/>
              <w:left w:val="nil"/>
              <w:bottom w:val="single" w:sz="4" w:space="0" w:color="B56012"/>
              <w:right w:val="nil"/>
            </w:tcBorders>
          </w:tcPr>
          <w:p w14:paraId="0B762A5C"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4F43D3A7" w14:textId="77777777" w:rsidR="00CF2A6E" w:rsidRPr="001F0103" w:rsidRDefault="00CF2A6E" w:rsidP="00CF2A6E">
            <w:pPr>
              <w:pStyle w:val="02Tabletext"/>
            </w:pPr>
            <w:r w:rsidRPr="002C554D">
              <w:t>4.19.1</w:t>
            </w:r>
          </w:p>
        </w:tc>
      </w:tr>
      <w:tr w:rsidR="00CF2A6E" w:rsidRPr="001F0103" w14:paraId="1E162367" w14:textId="77777777" w:rsidTr="001F0103">
        <w:trPr>
          <w:trHeight w:val="563"/>
          <w:jc w:val="center"/>
        </w:trPr>
        <w:tc>
          <w:tcPr>
            <w:tcW w:w="851" w:type="dxa"/>
            <w:tcBorders>
              <w:top w:val="single" w:sz="4" w:space="0" w:color="B56012"/>
              <w:left w:val="nil"/>
              <w:bottom w:val="single" w:sz="4" w:space="0" w:color="B56012"/>
              <w:right w:val="nil"/>
            </w:tcBorders>
          </w:tcPr>
          <w:p w14:paraId="53BFD12C" w14:textId="77777777" w:rsidR="00CF2A6E" w:rsidRPr="001F0103" w:rsidRDefault="00CF2A6E" w:rsidP="00CF2A6E">
            <w:pPr>
              <w:pStyle w:val="02Tabletext"/>
            </w:pPr>
            <w:r w:rsidRPr="001F0103">
              <w:t>71069</w:t>
            </w:r>
          </w:p>
        </w:tc>
        <w:tc>
          <w:tcPr>
            <w:tcW w:w="5109" w:type="dxa"/>
            <w:tcBorders>
              <w:top w:val="single" w:sz="4" w:space="0" w:color="B56012"/>
              <w:left w:val="nil"/>
              <w:bottom w:val="single" w:sz="4" w:space="0" w:color="B56012"/>
              <w:right w:val="nil"/>
            </w:tcBorders>
          </w:tcPr>
          <w:p w14:paraId="00C86E6A" w14:textId="77777777" w:rsidR="00CF2A6E" w:rsidRPr="001F0103" w:rsidRDefault="00CF2A6E" w:rsidP="00CF2A6E">
            <w:pPr>
              <w:pStyle w:val="02Tabletext"/>
            </w:pPr>
            <w:r w:rsidRPr="001F0103">
              <w:t>2 tests described in items 71066, 71068, 71072 or 71074</w:t>
            </w:r>
          </w:p>
        </w:tc>
        <w:tc>
          <w:tcPr>
            <w:tcW w:w="1849" w:type="dxa"/>
            <w:tcBorders>
              <w:top w:val="single" w:sz="4" w:space="0" w:color="B56012"/>
              <w:left w:val="nil"/>
              <w:bottom w:val="single" w:sz="4" w:space="0" w:color="B56012"/>
              <w:right w:val="nil"/>
            </w:tcBorders>
          </w:tcPr>
          <w:p w14:paraId="24407B6D"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58CBD0CD" w14:textId="77777777" w:rsidR="00CF2A6E" w:rsidRPr="001F0103" w:rsidRDefault="00CF2A6E" w:rsidP="00CF2A6E">
            <w:pPr>
              <w:pStyle w:val="02Tabletext"/>
            </w:pPr>
            <w:r w:rsidRPr="002C554D">
              <w:t>4.19.1</w:t>
            </w:r>
          </w:p>
        </w:tc>
      </w:tr>
      <w:tr w:rsidR="00CF2A6E" w:rsidRPr="001F0103" w14:paraId="31E6D79A" w14:textId="77777777" w:rsidTr="001F0103">
        <w:trPr>
          <w:trHeight w:val="563"/>
          <w:jc w:val="center"/>
        </w:trPr>
        <w:tc>
          <w:tcPr>
            <w:tcW w:w="851" w:type="dxa"/>
            <w:tcBorders>
              <w:top w:val="single" w:sz="4" w:space="0" w:color="B56012"/>
              <w:left w:val="nil"/>
              <w:bottom w:val="single" w:sz="4" w:space="0" w:color="B56012"/>
              <w:right w:val="nil"/>
            </w:tcBorders>
          </w:tcPr>
          <w:p w14:paraId="5258D6D2" w14:textId="77777777" w:rsidR="00CF2A6E" w:rsidRPr="001F0103" w:rsidRDefault="00CF2A6E" w:rsidP="00CF2A6E">
            <w:pPr>
              <w:pStyle w:val="02Tabletext"/>
            </w:pPr>
            <w:r w:rsidRPr="001F0103">
              <w:t>71071</w:t>
            </w:r>
          </w:p>
        </w:tc>
        <w:tc>
          <w:tcPr>
            <w:tcW w:w="5109" w:type="dxa"/>
            <w:tcBorders>
              <w:top w:val="single" w:sz="4" w:space="0" w:color="B56012"/>
              <w:left w:val="nil"/>
              <w:bottom w:val="single" w:sz="4" w:space="0" w:color="B56012"/>
              <w:right w:val="nil"/>
            </w:tcBorders>
          </w:tcPr>
          <w:p w14:paraId="35361D2B" w14:textId="77777777" w:rsidR="00CF2A6E" w:rsidRPr="001F0103" w:rsidRDefault="00CF2A6E" w:rsidP="00CF2A6E">
            <w:pPr>
              <w:pStyle w:val="02Tabletext"/>
            </w:pPr>
            <w:r w:rsidRPr="001F0103">
              <w:t>3 or more tests described in items 71066, 71068, 71072 or 71074</w:t>
            </w:r>
          </w:p>
        </w:tc>
        <w:tc>
          <w:tcPr>
            <w:tcW w:w="1849" w:type="dxa"/>
            <w:tcBorders>
              <w:top w:val="single" w:sz="4" w:space="0" w:color="B56012"/>
              <w:left w:val="nil"/>
              <w:bottom w:val="single" w:sz="4" w:space="0" w:color="B56012"/>
              <w:right w:val="nil"/>
            </w:tcBorders>
          </w:tcPr>
          <w:p w14:paraId="7809BD28"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28AA8CC3" w14:textId="77777777" w:rsidR="00CF2A6E" w:rsidRPr="001F0103" w:rsidRDefault="00CF2A6E" w:rsidP="00CF2A6E">
            <w:pPr>
              <w:pStyle w:val="02Tabletext"/>
            </w:pPr>
            <w:r w:rsidRPr="002C554D">
              <w:t>4.19.1</w:t>
            </w:r>
          </w:p>
        </w:tc>
      </w:tr>
      <w:tr w:rsidR="00CF2A6E" w:rsidRPr="001F0103" w14:paraId="62F09ECC" w14:textId="77777777" w:rsidTr="001F0103">
        <w:trPr>
          <w:trHeight w:val="563"/>
          <w:jc w:val="center"/>
        </w:trPr>
        <w:tc>
          <w:tcPr>
            <w:tcW w:w="851" w:type="dxa"/>
            <w:tcBorders>
              <w:top w:val="single" w:sz="4" w:space="0" w:color="B56012"/>
              <w:left w:val="nil"/>
              <w:bottom w:val="single" w:sz="4" w:space="0" w:color="B56012"/>
              <w:right w:val="nil"/>
            </w:tcBorders>
          </w:tcPr>
          <w:p w14:paraId="7FEA02B6" w14:textId="77777777" w:rsidR="00CF2A6E" w:rsidRPr="001F0103" w:rsidRDefault="00CF2A6E" w:rsidP="00CF2A6E">
            <w:pPr>
              <w:pStyle w:val="02Tabletext"/>
            </w:pPr>
            <w:r w:rsidRPr="001F0103">
              <w:t>71073</w:t>
            </w:r>
          </w:p>
        </w:tc>
        <w:tc>
          <w:tcPr>
            <w:tcW w:w="5109" w:type="dxa"/>
            <w:tcBorders>
              <w:top w:val="single" w:sz="4" w:space="0" w:color="B56012"/>
              <w:left w:val="nil"/>
              <w:bottom w:val="single" w:sz="4" w:space="0" w:color="B56012"/>
              <w:right w:val="nil"/>
            </w:tcBorders>
          </w:tcPr>
          <w:p w14:paraId="4F77032B" w14:textId="77777777" w:rsidR="00CF2A6E" w:rsidRPr="001F0103" w:rsidRDefault="00CF2A6E" w:rsidP="00CF2A6E">
            <w:pPr>
              <w:pStyle w:val="02Tabletext"/>
            </w:pPr>
            <w:r w:rsidRPr="001F0103">
              <w:t>Quantitation of all 4 immunoglobulin G subclasses</w:t>
            </w:r>
          </w:p>
        </w:tc>
        <w:tc>
          <w:tcPr>
            <w:tcW w:w="1849" w:type="dxa"/>
            <w:tcBorders>
              <w:top w:val="single" w:sz="4" w:space="0" w:color="B56012"/>
              <w:left w:val="nil"/>
              <w:bottom w:val="single" w:sz="4" w:space="0" w:color="B56012"/>
              <w:right w:val="nil"/>
            </w:tcBorders>
          </w:tcPr>
          <w:p w14:paraId="23C156A0"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4B24EEF9" w14:textId="77777777" w:rsidR="00CF2A6E" w:rsidRPr="001F0103" w:rsidRDefault="00CF2A6E" w:rsidP="00CF2A6E">
            <w:pPr>
              <w:pStyle w:val="02Tabletext"/>
            </w:pPr>
            <w:r w:rsidRPr="002C554D">
              <w:t>4.19.1</w:t>
            </w:r>
          </w:p>
        </w:tc>
      </w:tr>
      <w:tr w:rsidR="00CF2A6E" w:rsidRPr="001F0103" w14:paraId="4382F13C" w14:textId="77777777" w:rsidTr="001F0103">
        <w:trPr>
          <w:trHeight w:val="563"/>
          <w:jc w:val="center"/>
        </w:trPr>
        <w:tc>
          <w:tcPr>
            <w:tcW w:w="851" w:type="dxa"/>
            <w:tcBorders>
              <w:top w:val="single" w:sz="4" w:space="0" w:color="B56012"/>
              <w:left w:val="nil"/>
              <w:bottom w:val="single" w:sz="4" w:space="0" w:color="B56012"/>
              <w:right w:val="nil"/>
            </w:tcBorders>
          </w:tcPr>
          <w:p w14:paraId="4408D7DE" w14:textId="77777777" w:rsidR="00CF2A6E" w:rsidRPr="001F0103" w:rsidRDefault="00CF2A6E" w:rsidP="00CF2A6E">
            <w:pPr>
              <w:pStyle w:val="02Tabletext"/>
            </w:pPr>
            <w:r w:rsidRPr="001F0103">
              <w:t>71076</w:t>
            </w:r>
          </w:p>
        </w:tc>
        <w:tc>
          <w:tcPr>
            <w:tcW w:w="5109" w:type="dxa"/>
            <w:tcBorders>
              <w:top w:val="single" w:sz="4" w:space="0" w:color="B56012"/>
              <w:left w:val="nil"/>
              <w:bottom w:val="single" w:sz="4" w:space="0" w:color="B56012"/>
              <w:right w:val="nil"/>
            </w:tcBorders>
          </w:tcPr>
          <w:p w14:paraId="224E3EBC" w14:textId="77777777" w:rsidR="00CF2A6E" w:rsidRPr="001F0103" w:rsidRDefault="00CF2A6E" w:rsidP="00CF2A6E">
            <w:pPr>
              <w:pStyle w:val="02Tabletext"/>
            </w:pPr>
            <w:r w:rsidRPr="001F0103">
              <w:t>A test described in item 71073 if rendered by a receiving APP - 1 test(Item is subject to rule 18)</w:t>
            </w:r>
          </w:p>
        </w:tc>
        <w:tc>
          <w:tcPr>
            <w:tcW w:w="1849" w:type="dxa"/>
            <w:tcBorders>
              <w:top w:val="single" w:sz="4" w:space="0" w:color="B56012"/>
              <w:left w:val="nil"/>
              <w:bottom w:val="single" w:sz="4" w:space="0" w:color="B56012"/>
              <w:right w:val="nil"/>
            </w:tcBorders>
          </w:tcPr>
          <w:p w14:paraId="2EC97908"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0234ED5E" w14:textId="77777777" w:rsidR="00CF2A6E" w:rsidRPr="001F0103" w:rsidRDefault="00CF2A6E" w:rsidP="00CF2A6E">
            <w:pPr>
              <w:pStyle w:val="02Tabletext"/>
            </w:pPr>
            <w:r w:rsidRPr="002C554D">
              <w:t>4.19.1</w:t>
            </w:r>
          </w:p>
        </w:tc>
      </w:tr>
      <w:tr w:rsidR="00CF2A6E" w:rsidRPr="001F0103" w14:paraId="3F1E6823" w14:textId="77777777" w:rsidTr="001F0103">
        <w:trPr>
          <w:trHeight w:val="563"/>
          <w:jc w:val="center"/>
        </w:trPr>
        <w:tc>
          <w:tcPr>
            <w:tcW w:w="851" w:type="dxa"/>
            <w:tcBorders>
              <w:top w:val="single" w:sz="4" w:space="0" w:color="B56012"/>
              <w:left w:val="nil"/>
              <w:bottom w:val="single" w:sz="4" w:space="0" w:color="B56012"/>
              <w:right w:val="nil"/>
            </w:tcBorders>
          </w:tcPr>
          <w:p w14:paraId="116D6C95" w14:textId="77777777" w:rsidR="00CF2A6E" w:rsidRPr="001F0103" w:rsidRDefault="00CF2A6E" w:rsidP="00CF2A6E">
            <w:pPr>
              <w:pStyle w:val="02Tabletext"/>
            </w:pPr>
            <w:r w:rsidRPr="001F0103">
              <w:t>71081</w:t>
            </w:r>
          </w:p>
        </w:tc>
        <w:tc>
          <w:tcPr>
            <w:tcW w:w="5109" w:type="dxa"/>
            <w:tcBorders>
              <w:top w:val="single" w:sz="4" w:space="0" w:color="B56012"/>
              <w:left w:val="nil"/>
              <w:bottom w:val="single" w:sz="4" w:space="0" w:color="B56012"/>
              <w:right w:val="nil"/>
            </w:tcBorders>
          </w:tcPr>
          <w:p w14:paraId="2DEB5C2F" w14:textId="77777777" w:rsidR="00CF2A6E" w:rsidRPr="001F0103" w:rsidRDefault="00CF2A6E" w:rsidP="00CF2A6E">
            <w:pPr>
              <w:pStyle w:val="02Tabletext"/>
            </w:pPr>
            <w:r w:rsidRPr="001F0103">
              <w:t>Quantitation of total haemolytic complement</w:t>
            </w:r>
          </w:p>
        </w:tc>
        <w:tc>
          <w:tcPr>
            <w:tcW w:w="1849" w:type="dxa"/>
            <w:tcBorders>
              <w:top w:val="single" w:sz="4" w:space="0" w:color="B56012"/>
              <w:left w:val="nil"/>
              <w:bottom w:val="single" w:sz="4" w:space="0" w:color="B56012"/>
              <w:right w:val="nil"/>
            </w:tcBorders>
          </w:tcPr>
          <w:p w14:paraId="393C3890"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5652BCB6" w14:textId="77777777" w:rsidR="00CF2A6E" w:rsidRPr="001F0103" w:rsidRDefault="00CF2A6E" w:rsidP="00CF2A6E">
            <w:pPr>
              <w:pStyle w:val="02Tabletext"/>
            </w:pPr>
            <w:r w:rsidRPr="002C554D">
              <w:t>4.19.1</w:t>
            </w:r>
          </w:p>
        </w:tc>
      </w:tr>
      <w:tr w:rsidR="00CF2A6E" w:rsidRPr="001F0103" w14:paraId="4CF47E98" w14:textId="77777777" w:rsidTr="001F0103">
        <w:trPr>
          <w:trHeight w:val="563"/>
          <w:jc w:val="center"/>
        </w:trPr>
        <w:tc>
          <w:tcPr>
            <w:tcW w:w="851" w:type="dxa"/>
            <w:tcBorders>
              <w:top w:val="single" w:sz="4" w:space="0" w:color="B56012"/>
              <w:left w:val="nil"/>
              <w:bottom w:val="single" w:sz="4" w:space="0" w:color="B56012"/>
              <w:right w:val="nil"/>
            </w:tcBorders>
          </w:tcPr>
          <w:p w14:paraId="0C8DCE46" w14:textId="77777777" w:rsidR="00CF2A6E" w:rsidRPr="001F0103" w:rsidRDefault="00CF2A6E" w:rsidP="00CF2A6E">
            <w:pPr>
              <w:pStyle w:val="02Tabletext"/>
            </w:pPr>
            <w:r w:rsidRPr="001F0103">
              <w:t>71090</w:t>
            </w:r>
          </w:p>
        </w:tc>
        <w:tc>
          <w:tcPr>
            <w:tcW w:w="5109" w:type="dxa"/>
            <w:tcBorders>
              <w:top w:val="single" w:sz="4" w:space="0" w:color="B56012"/>
              <w:left w:val="nil"/>
              <w:bottom w:val="single" w:sz="4" w:space="0" w:color="B56012"/>
              <w:right w:val="nil"/>
            </w:tcBorders>
          </w:tcPr>
          <w:p w14:paraId="372F18D0" w14:textId="77777777" w:rsidR="00CF2A6E" w:rsidRPr="001F0103" w:rsidRDefault="00CF2A6E" w:rsidP="00CF2A6E">
            <w:pPr>
              <w:pStyle w:val="02Tabletext"/>
            </w:pPr>
            <w:r w:rsidRPr="001F0103">
              <w:t>A test described in item 71089, if rendered by a receiving APP, where no tests in the item have been rendered by the referring APP - 1 test(Item is subject to rule 6 and 18)</w:t>
            </w:r>
          </w:p>
        </w:tc>
        <w:tc>
          <w:tcPr>
            <w:tcW w:w="1849" w:type="dxa"/>
            <w:tcBorders>
              <w:top w:val="single" w:sz="4" w:space="0" w:color="B56012"/>
              <w:left w:val="nil"/>
              <w:bottom w:val="single" w:sz="4" w:space="0" w:color="B56012"/>
              <w:right w:val="nil"/>
            </w:tcBorders>
          </w:tcPr>
          <w:p w14:paraId="24D7C50C"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04AF1CE7" w14:textId="77777777" w:rsidR="00CF2A6E" w:rsidRPr="001F0103" w:rsidRDefault="00CF2A6E" w:rsidP="00CF2A6E">
            <w:pPr>
              <w:pStyle w:val="02Tabletext"/>
            </w:pPr>
            <w:r w:rsidRPr="002C554D">
              <w:t>4.19.1</w:t>
            </w:r>
          </w:p>
        </w:tc>
      </w:tr>
      <w:tr w:rsidR="00CF2A6E" w:rsidRPr="001F0103" w14:paraId="0DD46604" w14:textId="77777777" w:rsidTr="001F0103">
        <w:trPr>
          <w:trHeight w:val="563"/>
          <w:jc w:val="center"/>
        </w:trPr>
        <w:tc>
          <w:tcPr>
            <w:tcW w:w="851" w:type="dxa"/>
            <w:tcBorders>
              <w:top w:val="single" w:sz="4" w:space="0" w:color="B56012"/>
              <w:left w:val="nil"/>
              <w:bottom w:val="single" w:sz="4" w:space="0" w:color="B56012"/>
              <w:right w:val="nil"/>
            </w:tcBorders>
          </w:tcPr>
          <w:p w14:paraId="5AA95B4B" w14:textId="77777777" w:rsidR="00CF2A6E" w:rsidRPr="001F0103" w:rsidRDefault="00CF2A6E" w:rsidP="00CF2A6E">
            <w:pPr>
              <w:pStyle w:val="02Tabletext"/>
            </w:pPr>
            <w:r w:rsidRPr="001F0103">
              <w:t>71092</w:t>
            </w:r>
          </w:p>
        </w:tc>
        <w:tc>
          <w:tcPr>
            <w:tcW w:w="5109" w:type="dxa"/>
            <w:tcBorders>
              <w:top w:val="single" w:sz="4" w:space="0" w:color="B56012"/>
              <w:left w:val="nil"/>
              <w:bottom w:val="single" w:sz="4" w:space="0" w:color="B56012"/>
              <w:right w:val="nil"/>
            </w:tcBorders>
          </w:tcPr>
          <w:p w14:paraId="2E20306D" w14:textId="77777777" w:rsidR="00CF2A6E" w:rsidRPr="001F0103" w:rsidRDefault="00CF2A6E" w:rsidP="00CF2A6E">
            <w:pPr>
              <w:pStyle w:val="02Tabletext"/>
            </w:pPr>
            <w:r w:rsidRPr="001F0103">
              <w:t>Tests described in item 71089, other than that described in 71090, if rendered by a receiving APP - each test to a maximum of 2 tests(Item is subject to rule 6 and 18)</w:t>
            </w:r>
          </w:p>
        </w:tc>
        <w:tc>
          <w:tcPr>
            <w:tcW w:w="1849" w:type="dxa"/>
            <w:tcBorders>
              <w:top w:val="single" w:sz="4" w:space="0" w:color="B56012"/>
              <w:left w:val="nil"/>
              <w:bottom w:val="single" w:sz="4" w:space="0" w:color="B56012"/>
              <w:right w:val="nil"/>
            </w:tcBorders>
          </w:tcPr>
          <w:p w14:paraId="23EE99D2"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138FC710" w14:textId="77777777" w:rsidR="00CF2A6E" w:rsidRPr="001F0103" w:rsidRDefault="00CF2A6E" w:rsidP="00CF2A6E">
            <w:pPr>
              <w:pStyle w:val="02Tabletext"/>
            </w:pPr>
            <w:r w:rsidRPr="002C554D">
              <w:t>4.19.1</w:t>
            </w:r>
          </w:p>
        </w:tc>
      </w:tr>
      <w:tr w:rsidR="00CF2A6E" w:rsidRPr="001F0103" w14:paraId="1A1F2883" w14:textId="77777777" w:rsidTr="001F0103">
        <w:trPr>
          <w:trHeight w:val="563"/>
          <w:jc w:val="center"/>
        </w:trPr>
        <w:tc>
          <w:tcPr>
            <w:tcW w:w="851" w:type="dxa"/>
            <w:tcBorders>
              <w:top w:val="single" w:sz="4" w:space="0" w:color="B56012"/>
              <w:left w:val="nil"/>
              <w:bottom w:val="single" w:sz="4" w:space="0" w:color="B56012"/>
              <w:right w:val="nil"/>
            </w:tcBorders>
          </w:tcPr>
          <w:p w14:paraId="285A5995" w14:textId="77777777" w:rsidR="00CF2A6E" w:rsidRPr="001F0103" w:rsidRDefault="00CF2A6E" w:rsidP="00CF2A6E">
            <w:pPr>
              <w:pStyle w:val="02Tabletext"/>
            </w:pPr>
            <w:r w:rsidRPr="001F0103">
              <w:t>71127</w:t>
            </w:r>
          </w:p>
        </w:tc>
        <w:tc>
          <w:tcPr>
            <w:tcW w:w="5109" w:type="dxa"/>
            <w:tcBorders>
              <w:top w:val="single" w:sz="4" w:space="0" w:color="B56012"/>
              <w:left w:val="nil"/>
              <w:bottom w:val="single" w:sz="4" w:space="0" w:color="B56012"/>
              <w:right w:val="nil"/>
            </w:tcBorders>
          </w:tcPr>
          <w:p w14:paraId="2D2B7076" w14:textId="77777777" w:rsidR="00CF2A6E" w:rsidRPr="001F0103" w:rsidRDefault="00CF2A6E" w:rsidP="00CF2A6E">
            <w:pPr>
              <w:pStyle w:val="02Tabletext"/>
            </w:pPr>
            <w:r w:rsidRPr="001F0103">
              <w:t>Functional tests for lymphocytes - quantitation other than by microscopy of: (a) proliferation induced by 1 or more mitogens; or (b) proliferation induced by 1 or more antigens; or (c) estimation of 1 or more mixed lymphocyte reactions; including a test described in item 65066 or 65070 (if performed), 1 of this item to a maximum of 2 in a 12 month period</w:t>
            </w:r>
          </w:p>
        </w:tc>
        <w:tc>
          <w:tcPr>
            <w:tcW w:w="1849" w:type="dxa"/>
            <w:tcBorders>
              <w:top w:val="single" w:sz="4" w:space="0" w:color="B56012"/>
              <w:left w:val="nil"/>
              <w:bottom w:val="single" w:sz="4" w:space="0" w:color="B56012"/>
              <w:right w:val="nil"/>
            </w:tcBorders>
          </w:tcPr>
          <w:p w14:paraId="768635B5"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15C74E9A" w14:textId="77777777" w:rsidR="00CF2A6E" w:rsidRPr="001F0103" w:rsidRDefault="00CF2A6E" w:rsidP="00CF2A6E">
            <w:pPr>
              <w:pStyle w:val="02Tabletext"/>
            </w:pPr>
            <w:r w:rsidRPr="002C554D">
              <w:t>4.19.1</w:t>
            </w:r>
          </w:p>
        </w:tc>
      </w:tr>
      <w:tr w:rsidR="00CF2A6E" w:rsidRPr="001F0103" w14:paraId="2C4C3025" w14:textId="77777777" w:rsidTr="001F0103">
        <w:trPr>
          <w:trHeight w:val="563"/>
          <w:jc w:val="center"/>
        </w:trPr>
        <w:tc>
          <w:tcPr>
            <w:tcW w:w="851" w:type="dxa"/>
            <w:tcBorders>
              <w:top w:val="single" w:sz="4" w:space="0" w:color="B56012"/>
              <w:left w:val="nil"/>
              <w:bottom w:val="single" w:sz="4" w:space="0" w:color="B56012"/>
              <w:right w:val="nil"/>
            </w:tcBorders>
          </w:tcPr>
          <w:p w14:paraId="3861F6C4" w14:textId="77777777" w:rsidR="00CF2A6E" w:rsidRPr="001F0103" w:rsidRDefault="00CF2A6E" w:rsidP="00CF2A6E">
            <w:pPr>
              <w:pStyle w:val="02Tabletext"/>
            </w:pPr>
            <w:r w:rsidRPr="001F0103">
              <w:t>71129</w:t>
            </w:r>
          </w:p>
        </w:tc>
        <w:tc>
          <w:tcPr>
            <w:tcW w:w="5109" w:type="dxa"/>
            <w:tcBorders>
              <w:top w:val="single" w:sz="4" w:space="0" w:color="B56012"/>
              <w:left w:val="nil"/>
              <w:bottom w:val="single" w:sz="4" w:space="0" w:color="B56012"/>
              <w:right w:val="nil"/>
            </w:tcBorders>
          </w:tcPr>
          <w:p w14:paraId="21449A7E" w14:textId="77777777" w:rsidR="00CF2A6E" w:rsidRPr="001F0103" w:rsidRDefault="00CF2A6E" w:rsidP="00CF2A6E">
            <w:pPr>
              <w:pStyle w:val="02Tabletext"/>
            </w:pPr>
            <w:r w:rsidRPr="001F0103">
              <w:t>2 tests described in item 71127</w:t>
            </w:r>
          </w:p>
        </w:tc>
        <w:tc>
          <w:tcPr>
            <w:tcW w:w="1849" w:type="dxa"/>
            <w:tcBorders>
              <w:top w:val="single" w:sz="4" w:space="0" w:color="B56012"/>
              <w:left w:val="nil"/>
              <w:bottom w:val="single" w:sz="4" w:space="0" w:color="B56012"/>
              <w:right w:val="nil"/>
            </w:tcBorders>
          </w:tcPr>
          <w:p w14:paraId="5FE78CB8"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510E4A7B" w14:textId="77777777" w:rsidR="00CF2A6E" w:rsidRPr="001F0103" w:rsidRDefault="00CF2A6E" w:rsidP="00CF2A6E">
            <w:pPr>
              <w:pStyle w:val="02Tabletext"/>
            </w:pPr>
            <w:r w:rsidRPr="002C554D">
              <w:t>4.19.1</w:t>
            </w:r>
          </w:p>
        </w:tc>
      </w:tr>
      <w:tr w:rsidR="00CF2A6E" w:rsidRPr="001F0103" w14:paraId="7595CD56" w14:textId="77777777" w:rsidTr="001F0103">
        <w:trPr>
          <w:trHeight w:val="563"/>
          <w:jc w:val="center"/>
        </w:trPr>
        <w:tc>
          <w:tcPr>
            <w:tcW w:w="851" w:type="dxa"/>
            <w:tcBorders>
              <w:top w:val="single" w:sz="4" w:space="0" w:color="B56012"/>
              <w:left w:val="nil"/>
              <w:bottom w:val="single" w:sz="4" w:space="0" w:color="B56012"/>
              <w:right w:val="nil"/>
            </w:tcBorders>
          </w:tcPr>
          <w:p w14:paraId="01DFBEA8" w14:textId="77777777" w:rsidR="00CF2A6E" w:rsidRPr="001F0103" w:rsidRDefault="00CF2A6E" w:rsidP="00CF2A6E">
            <w:pPr>
              <w:pStyle w:val="02Tabletext"/>
            </w:pPr>
            <w:r w:rsidRPr="001F0103">
              <w:t>71131</w:t>
            </w:r>
          </w:p>
        </w:tc>
        <w:tc>
          <w:tcPr>
            <w:tcW w:w="5109" w:type="dxa"/>
            <w:tcBorders>
              <w:top w:val="single" w:sz="4" w:space="0" w:color="B56012"/>
              <w:left w:val="nil"/>
              <w:bottom w:val="single" w:sz="4" w:space="0" w:color="B56012"/>
              <w:right w:val="nil"/>
            </w:tcBorders>
          </w:tcPr>
          <w:p w14:paraId="7FA1E3E2" w14:textId="77777777" w:rsidR="00CF2A6E" w:rsidRPr="001F0103" w:rsidRDefault="00CF2A6E" w:rsidP="00CF2A6E">
            <w:pPr>
              <w:pStyle w:val="02Tabletext"/>
            </w:pPr>
            <w:r w:rsidRPr="001F0103">
              <w:t>3 or more tests described in item 71127</w:t>
            </w:r>
          </w:p>
        </w:tc>
        <w:tc>
          <w:tcPr>
            <w:tcW w:w="1849" w:type="dxa"/>
            <w:tcBorders>
              <w:top w:val="single" w:sz="4" w:space="0" w:color="B56012"/>
              <w:left w:val="nil"/>
              <w:bottom w:val="single" w:sz="4" w:space="0" w:color="B56012"/>
              <w:right w:val="nil"/>
            </w:tcBorders>
          </w:tcPr>
          <w:p w14:paraId="00B03F6E"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047E1FC7" w14:textId="77777777" w:rsidR="00CF2A6E" w:rsidRPr="001F0103" w:rsidRDefault="00CF2A6E" w:rsidP="00CF2A6E">
            <w:pPr>
              <w:pStyle w:val="02Tabletext"/>
            </w:pPr>
            <w:r w:rsidRPr="002C554D">
              <w:t>4.19.1</w:t>
            </w:r>
          </w:p>
        </w:tc>
      </w:tr>
      <w:tr w:rsidR="00CF2A6E" w:rsidRPr="001F0103" w14:paraId="4916AF9F" w14:textId="77777777" w:rsidTr="001F0103">
        <w:trPr>
          <w:trHeight w:val="563"/>
          <w:jc w:val="center"/>
        </w:trPr>
        <w:tc>
          <w:tcPr>
            <w:tcW w:w="851" w:type="dxa"/>
            <w:tcBorders>
              <w:top w:val="single" w:sz="4" w:space="0" w:color="B56012"/>
              <w:left w:val="nil"/>
              <w:bottom w:val="single" w:sz="4" w:space="0" w:color="B56012"/>
              <w:right w:val="nil"/>
            </w:tcBorders>
          </w:tcPr>
          <w:p w14:paraId="0EF362D9" w14:textId="77777777" w:rsidR="00CF2A6E" w:rsidRPr="001F0103" w:rsidRDefault="00CF2A6E" w:rsidP="00CF2A6E">
            <w:pPr>
              <w:pStyle w:val="02Tabletext"/>
            </w:pPr>
            <w:r w:rsidRPr="001F0103">
              <w:t>71133</w:t>
            </w:r>
          </w:p>
        </w:tc>
        <w:tc>
          <w:tcPr>
            <w:tcW w:w="5109" w:type="dxa"/>
            <w:tcBorders>
              <w:top w:val="single" w:sz="4" w:space="0" w:color="B56012"/>
              <w:left w:val="nil"/>
              <w:bottom w:val="single" w:sz="4" w:space="0" w:color="B56012"/>
              <w:right w:val="nil"/>
            </w:tcBorders>
          </w:tcPr>
          <w:p w14:paraId="2A23EA23" w14:textId="77777777" w:rsidR="00CF2A6E" w:rsidRPr="001F0103" w:rsidRDefault="00CF2A6E" w:rsidP="00CF2A6E">
            <w:pPr>
              <w:pStyle w:val="02Tabletext"/>
            </w:pPr>
            <w:r w:rsidRPr="001F0103">
              <w:t>Investigation of recurrent infection by qualitative assessment for the presence of defects in oxidative pathways in neutrophils by the nitroblue tetrazolium (nbt) reduction test</w:t>
            </w:r>
          </w:p>
        </w:tc>
        <w:tc>
          <w:tcPr>
            <w:tcW w:w="1849" w:type="dxa"/>
            <w:tcBorders>
              <w:top w:val="single" w:sz="4" w:space="0" w:color="B56012"/>
              <w:left w:val="nil"/>
              <w:bottom w:val="single" w:sz="4" w:space="0" w:color="B56012"/>
              <w:right w:val="nil"/>
            </w:tcBorders>
          </w:tcPr>
          <w:p w14:paraId="3EDA093F"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4DA18922" w14:textId="77777777" w:rsidR="00CF2A6E" w:rsidRPr="001F0103" w:rsidRDefault="00CF2A6E" w:rsidP="00CF2A6E">
            <w:pPr>
              <w:pStyle w:val="02Tabletext"/>
            </w:pPr>
            <w:r w:rsidRPr="002C554D">
              <w:t>4.19.1</w:t>
            </w:r>
          </w:p>
        </w:tc>
      </w:tr>
      <w:tr w:rsidR="00CF2A6E" w:rsidRPr="001F0103" w14:paraId="19E123F8" w14:textId="77777777" w:rsidTr="001F0103">
        <w:trPr>
          <w:trHeight w:val="563"/>
          <w:jc w:val="center"/>
        </w:trPr>
        <w:tc>
          <w:tcPr>
            <w:tcW w:w="851" w:type="dxa"/>
            <w:tcBorders>
              <w:top w:val="single" w:sz="4" w:space="0" w:color="B56012"/>
              <w:left w:val="nil"/>
              <w:bottom w:val="single" w:sz="4" w:space="0" w:color="B56012"/>
              <w:right w:val="nil"/>
            </w:tcBorders>
          </w:tcPr>
          <w:p w14:paraId="065C518A" w14:textId="77777777" w:rsidR="00CF2A6E" w:rsidRPr="001F0103" w:rsidRDefault="00CF2A6E" w:rsidP="00CF2A6E">
            <w:pPr>
              <w:pStyle w:val="02Tabletext"/>
            </w:pPr>
            <w:r w:rsidRPr="001F0103">
              <w:t>71134</w:t>
            </w:r>
          </w:p>
        </w:tc>
        <w:tc>
          <w:tcPr>
            <w:tcW w:w="5109" w:type="dxa"/>
            <w:tcBorders>
              <w:top w:val="single" w:sz="4" w:space="0" w:color="B56012"/>
              <w:left w:val="nil"/>
              <w:bottom w:val="single" w:sz="4" w:space="0" w:color="B56012"/>
              <w:right w:val="nil"/>
            </w:tcBorders>
          </w:tcPr>
          <w:p w14:paraId="1EB0C864" w14:textId="77777777" w:rsidR="00CF2A6E" w:rsidRPr="001F0103" w:rsidRDefault="00CF2A6E" w:rsidP="00CF2A6E">
            <w:pPr>
              <w:pStyle w:val="02Tabletext"/>
            </w:pPr>
            <w:r w:rsidRPr="001F0103">
              <w:t>Investigation of recurrent infection by quantitative assessment of oxidative pathways by flow cytometric techniques, including a test described in 71133 (if performed)</w:t>
            </w:r>
          </w:p>
        </w:tc>
        <w:tc>
          <w:tcPr>
            <w:tcW w:w="1849" w:type="dxa"/>
            <w:tcBorders>
              <w:top w:val="single" w:sz="4" w:space="0" w:color="B56012"/>
              <w:left w:val="nil"/>
              <w:bottom w:val="single" w:sz="4" w:space="0" w:color="B56012"/>
              <w:right w:val="nil"/>
            </w:tcBorders>
          </w:tcPr>
          <w:p w14:paraId="7F047313"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68BF9C6E" w14:textId="77777777" w:rsidR="00CF2A6E" w:rsidRPr="001F0103" w:rsidRDefault="00CF2A6E" w:rsidP="00CF2A6E">
            <w:pPr>
              <w:pStyle w:val="02Tabletext"/>
            </w:pPr>
            <w:r w:rsidRPr="002C554D">
              <w:t>4.19.1</w:t>
            </w:r>
          </w:p>
        </w:tc>
      </w:tr>
      <w:tr w:rsidR="00CF2A6E" w:rsidRPr="001F0103" w14:paraId="3AC0C305" w14:textId="77777777" w:rsidTr="001F0103">
        <w:trPr>
          <w:trHeight w:val="563"/>
          <w:jc w:val="center"/>
        </w:trPr>
        <w:tc>
          <w:tcPr>
            <w:tcW w:w="851" w:type="dxa"/>
            <w:tcBorders>
              <w:top w:val="single" w:sz="4" w:space="0" w:color="B56012"/>
              <w:left w:val="nil"/>
              <w:bottom w:val="single" w:sz="4" w:space="0" w:color="B56012"/>
              <w:right w:val="nil"/>
            </w:tcBorders>
          </w:tcPr>
          <w:p w14:paraId="6D2DAC2B" w14:textId="77777777" w:rsidR="00CF2A6E" w:rsidRPr="001F0103" w:rsidRDefault="00CF2A6E" w:rsidP="00CF2A6E">
            <w:pPr>
              <w:pStyle w:val="02Tabletext"/>
            </w:pPr>
            <w:r w:rsidRPr="001F0103">
              <w:t>71135</w:t>
            </w:r>
          </w:p>
        </w:tc>
        <w:tc>
          <w:tcPr>
            <w:tcW w:w="5109" w:type="dxa"/>
            <w:tcBorders>
              <w:top w:val="single" w:sz="4" w:space="0" w:color="B56012"/>
              <w:left w:val="nil"/>
              <w:bottom w:val="single" w:sz="4" w:space="0" w:color="B56012"/>
              <w:right w:val="nil"/>
            </w:tcBorders>
          </w:tcPr>
          <w:p w14:paraId="0C32EDFA" w14:textId="77777777" w:rsidR="00CF2A6E" w:rsidRPr="001F0103" w:rsidRDefault="00CF2A6E" w:rsidP="00CF2A6E">
            <w:pPr>
              <w:pStyle w:val="02Tabletext"/>
            </w:pPr>
            <w:r w:rsidRPr="001F0103">
              <w:t xml:space="preserve">Quantitation of neutrophil function, comprising at least 2 of the following: (a) chemotaxis; (b) phagocytosis; (c) oxidative metabolism; (d) bactericidal activity; including any test </w:t>
            </w:r>
            <w:r w:rsidRPr="001F0103">
              <w:lastRenderedPageBreak/>
              <w:t>described in items 65066, 65070, 71133 or 71134 (if performed), 1 of this item to a maximum of 2 in a 12 month period</w:t>
            </w:r>
          </w:p>
        </w:tc>
        <w:tc>
          <w:tcPr>
            <w:tcW w:w="1849" w:type="dxa"/>
            <w:tcBorders>
              <w:top w:val="single" w:sz="4" w:space="0" w:color="B56012"/>
              <w:left w:val="nil"/>
              <w:bottom w:val="single" w:sz="4" w:space="0" w:color="B56012"/>
              <w:right w:val="nil"/>
            </w:tcBorders>
          </w:tcPr>
          <w:p w14:paraId="18E04925" w14:textId="77777777" w:rsidR="00CF2A6E" w:rsidRPr="001F0103" w:rsidRDefault="00CF2A6E" w:rsidP="00CF2A6E">
            <w:pPr>
              <w:pStyle w:val="02Tabletext"/>
            </w:pPr>
            <w:r w:rsidRPr="001F0103">
              <w:lastRenderedPageBreak/>
              <w:t>No change</w:t>
            </w:r>
          </w:p>
        </w:tc>
        <w:tc>
          <w:tcPr>
            <w:tcW w:w="1277" w:type="dxa"/>
            <w:tcBorders>
              <w:top w:val="single" w:sz="4" w:space="0" w:color="B56012"/>
              <w:left w:val="nil"/>
              <w:bottom w:val="single" w:sz="4" w:space="0" w:color="B56012"/>
              <w:right w:val="nil"/>
            </w:tcBorders>
          </w:tcPr>
          <w:p w14:paraId="6F62C231" w14:textId="77777777" w:rsidR="00CF2A6E" w:rsidRPr="001F0103" w:rsidRDefault="00CF2A6E" w:rsidP="00CF2A6E">
            <w:pPr>
              <w:pStyle w:val="02Tabletext"/>
            </w:pPr>
            <w:r w:rsidRPr="002C554D">
              <w:t>4.19.1</w:t>
            </w:r>
          </w:p>
        </w:tc>
      </w:tr>
      <w:tr w:rsidR="00D34F71" w:rsidRPr="001F0103" w14:paraId="5081AE03" w14:textId="77777777" w:rsidTr="001F0103">
        <w:trPr>
          <w:trHeight w:val="563"/>
          <w:jc w:val="center"/>
        </w:trPr>
        <w:tc>
          <w:tcPr>
            <w:tcW w:w="851" w:type="dxa"/>
            <w:tcBorders>
              <w:top w:val="single" w:sz="4" w:space="0" w:color="B56012"/>
              <w:left w:val="nil"/>
              <w:bottom w:val="single" w:sz="4" w:space="0" w:color="B56012"/>
              <w:right w:val="nil"/>
            </w:tcBorders>
          </w:tcPr>
          <w:p w14:paraId="10065BFA" w14:textId="77777777" w:rsidR="00D34F71" w:rsidRPr="001F0103" w:rsidRDefault="00D34F71" w:rsidP="00D34F71">
            <w:pPr>
              <w:pStyle w:val="02Tabletext"/>
            </w:pPr>
            <w:r w:rsidRPr="00E0560C">
              <w:t>71139</w:t>
            </w:r>
          </w:p>
        </w:tc>
        <w:tc>
          <w:tcPr>
            <w:tcW w:w="5109" w:type="dxa"/>
            <w:tcBorders>
              <w:top w:val="single" w:sz="4" w:space="0" w:color="B56012"/>
              <w:left w:val="nil"/>
              <w:bottom w:val="single" w:sz="4" w:space="0" w:color="B56012"/>
              <w:right w:val="nil"/>
            </w:tcBorders>
          </w:tcPr>
          <w:p w14:paraId="5F035265" w14:textId="77777777" w:rsidR="00D34F71" w:rsidRPr="001F0103" w:rsidRDefault="00D34F71" w:rsidP="00D34F71">
            <w:pPr>
              <w:pStyle w:val="02Tabletext"/>
            </w:pPr>
            <w:r w:rsidRPr="00E0560C">
              <w:t>Characterisation of 3 or more leucocyte surface antigens by immunofluorescence or immunoenzyme techniques to assess lymphoid or myeloid cell populations, including a total lymphocyte count or total leucocyte count by any method, on 1 or more specimens of blood, CSF or serous fluid</w:t>
            </w:r>
          </w:p>
        </w:tc>
        <w:tc>
          <w:tcPr>
            <w:tcW w:w="1849" w:type="dxa"/>
            <w:tcBorders>
              <w:top w:val="single" w:sz="4" w:space="0" w:color="B56012"/>
              <w:left w:val="nil"/>
              <w:bottom w:val="single" w:sz="4" w:space="0" w:color="B56012"/>
              <w:right w:val="nil"/>
            </w:tcBorders>
          </w:tcPr>
          <w:p w14:paraId="1D7CDEF6" w14:textId="77777777" w:rsidR="00D34F71" w:rsidRPr="001F0103" w:rsidRDefault="00D34F71" w:rsidP="00D34F71">
            <w:pPr>
              <w:pStyle w:val="02Tabletext"/>
            </w:pPr>
            <w:r w:rsidRPr="001F0103">
              <w:t>No change</w:t>
            </w:r>
          </w:p>
        </w:tc>
        <w:tc>
          <w:tcPr>
            <w:tcW w:w="1277" w:type="dxa"/>
            <w:tcBorders>
              <w:top w:val="single" w:sz="4" w:space="0" w:color="B56012"/>
              <w:left w:val="nil"/>
              <w:bottom w:val="single" w:sz="4" w:space="0" w:color="B56012"/>
              <w:right w:val="nil"/>
            </w:tcBorders>
          </w:tcPr>
          <w:p w14:paraId="5A8236EB" w14:textId="77777777" w:rsidR="00D34F71" w:rsidRPr="000F18EB" w:rsidRDefault="00D34F71" w:rsidP="00D34F71">
            <w:pPr>
              <w:pStyle w:val="02Tabletext"/>
            </w:pPr>
            <w:r>
              <w:t>4.19.1</w:t>
            </w:r>
          </w:p>
        </w:tc>
      </w:tr>
      <w:tr w:rsidR="00CF2A6E" w:rsidRPr="001F0103" w14:paraId="6866A391" w14:textId="77777777" w:rsidTr="001F0103">
        <w:trPr>
          <w:trHeight w:val="563"/>
          <w:jc w:val="center"/>
        </w:trPr>
        <w:tc>
          <w:tcPr>
            <w:tcW w:w="851" w:type="dxa"/>
            <w:tcBorders>
              <w:top w:val="single" w:sz="4" w:space="0" w:color="B56012"/>
              <w:left w:val="nil"/>
              <w:bottom w:val="single" w:sz="4" w:space="0" w:color="B56012"/>
              <w:right w:val="nil"/>
            </w:tcBorders>
          </w:tcPr>
          <w:p w14:paraId="19FD7E5C" w14:textId="77777777" w:rsidR="00CF2A6E" w:rsidRPr="001F0103" w:rsidRDefault="00CF2A6E" w:rsidP="00CF2A6E">
            <w:pPr>
              <w:pStyle w:val="02Tabletext"/>
            </w:pPr>
            <w:r w:rsidRPr="001F0103">
              <w:t>71141</w:t>
            </w:r>
          </w:p>
        </w:tc>
        <w:tc>
          <w:tcPr>
            <w:tcW w:w="5109" w:type="dxa"/>
            <w:tcBorders>
              <w:top w:val="single" w:sz="4" w:space="0" w:color="B56012"/>
              <w:left w:val="nil"/>
              <w:bottom w:val="single" w:sz="4" w:space="0" w:color="B56012"/>
              <w:right w:val="nil"/>
            </w:tcBorders>
          </w:tcPr>
          <w:p w14:paraId="2CE55E06" w14:textId="77777777" w:rsidR="00CF2A6E" w:rsidRPr="001F0103" w:rsidRDefault="00CF2A6E" w:rsidP="00CF2A6E">
            <w:pPr>
              <w:pStyle w:val="02Tabletext"/>
            </w:pPr>
            <w:r w:rsidRPr="001F0103">
              <w:t>Characterisation of 3 or more leucocyte surface antigens by immunofluorescence or immunoenzyme techniques to assess lymphoid or myeloid cell populations on 1 or more disaggregated tissue specimens</w:t>
            </w:r>
          </w:p>
        </w:tc>
        <w:tc>
          <w:tcPr>
            <w:tcW w:w="1849" w:type="dxa"/>
            <w:tcBorders>
              <w:top w:val="single" w:sz="4" w:space="0" w:color="B56012"/>
              <w:left w:val="nil"/>
              <w:bottom w:val="single" w:sz="4" w:space="0" w:color="B56012"/>
              <w:right w:val="nil"/>
            </w:tcBorders>
          </w:tcPr>
          <w:p w14:paraId="7654D468"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2F659DE2" w14:textId="77777777" w:rsidR="00CF2A6E" w:rsidRPr="001F0103" w:rsidRDefault="00CF2A6E" w:rsidP="00CF2A6E">
            <w:pPr>
              <w:pStyle w:val="02Tabletext"/>
            </w:pPr>
            <w:r w:rsidRPr="00563FBB">
              <w:t>4.19.1</w:t>
            </w:r>
          </w:p>
        </w:tc>
      </w:tr>
      <w:tr w:rsidR="00CF2A6E" w:rsidRPr="001F0103" w14:paraId="72651CDE" w14:textId="77777777" w:rsidTr="001F0103">
        <w:trPr>
          <w:trHeight w:val="563"/>
          <w:jc w:val="center"/>
        </w:trPr>
        <w:tc>
          <w:tcPr>
            <w:tcW w:w="851" w:type="dxa"/>
            <w:tcBorders>
              <w:top w:val="single" w:sz="4" w:space="0" w:color="B56012"/>
              <w:left w:val="nil"/>
              <w:bottom w:val="single" w:sz="4" w:space="0" w:color="B56012"/>
              <w:right w:val="nil"/>
            </w:tcBorders>
          </w:tcPr>
          <w:p w14:paraId="449DE1EB" w14:textId="77777777" w:rsidR="00CF2A6E" w:rsidRPr="001F0103" w:rsidRDefault="00CF2A6E" w:rsidP="00CF2A6E">
            <w:pPr>
              <w:pStyle w:val="02Tabletext"/>
            </w:pPr>
            <w:r w:rsidRPr="001F0103">
              <w:t>71143</w:t>
            </w:r>
          </w:p>
        </w:tc>
        <w:tc>
          <w:tcPr>
            <w:tcW w:w="5109" w:type="dxa"/>
            <w:tcBorders>
              <w:top w:val="single" w:sz="4" w:space="0" w:color="B56012"/>
              <w:left w:val="nil"/>
              <w:bottom w:val="single" w:sz="4" w:space="0" w:color="B56012"/>
              <w:right w:val="nil"/>
            </w:tcBorders>
          </w:tcPr>
          <w:p w14:paraId="77F0D1F4" w14:textId="77777777" w:rsidR="00CF2A6E" w:rsidRPr="001F0103" w:rsidRDefault="00CF2A6E" w:rsidP="00CF2A6E">
            <w:pPr>
              <w:pStyle w:val="02Tabletext"/>
            </w:pPr>
            <w:r w:rsidRPr="001F0103">
              <w:t>Characterisation of 6 or more leucocyte surface antigens by immunofluorescence or immunoenzyme techniques to assess lymphoid or myeloid cell populations for the diagnosis (but not monitoring) of an immunological or haematological malignancy, including a service described in 1 or both of items 71139 and 71141 (if performed), on a specimen of blood, CSF, serous fluid or disaggregated tissue</w:t>
            </w:r>
          </w:p>
        </w:tc>
        <w:tc>
          <w:tcPr>
            <w:tcW w:w="1849" w:type="dxa"/>
            <w:tcBorders>
              <w:top w:val="single" w:sz="4" w:space="0" w:color="B56012"/>
              <w:left w:val="nil"/>
              <w:bottom w:val="single" w:sz="4" w:space="0" w:color="B56012"/>
              <w:right w:val="nil"/>
            </w:tcBorders>
          </w:tcPr>
          <w:p w14:paraId="6CB378D2"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3C2F01CE" w14:textId="77777777" w:rsidR="00CF2A6E" w:rsidRPr="001F0103" w:rsidRDefault="00CF2A6E" w:rsidP="00CF2A6E">
            <w:pPr>
              <w:pStyle w:val="02Tabletext"/>
            </w:pPr>
            <w:r w:rsidRPr="00563FBB">
              <w:t>4.19.1</w:t>
            </w:r>
          </w:p>
        </w:tc>
      </w:tr>
      <w:tr w:rsidR="00CF2A6E" w:rsidRPr="001F0103" w14:paraId="5663C996" w14:textId="77777777" w:rsidTr="001F0103">
        <w:trPr>
          <w:trHeight w:val="563"/>
          <w:jc w:val="center"/>
        </w:trPr>
        <w:tc>
          <w:tcPr>
            <w:tcW w:w="851" w:type="dxa"/>
            <w:tcBorders>
              <w:top w:val="single" w:sz="4" w:space="0" w:color="B56012"/>
              <w:left w:val="nil"/>
              <w:bottom w:val="single" w:sz="4" w:space="0" w:color="B56012"/>
              <w:right w:val="nil"/>
            </w:tcBorders>
          </w:tcPr>
          <w:p w14:paraId="2C11531B" w14:textId="77777777" w:rsidR="00CF2A6E" w:rsidRPr="001F0103" w:rsidRDefault="00CF2A6E" w:rsidP="00CF2A6E">
            <w:pPr>
              <w:pStyle w:val="02Tabletext"/>
            </w:pPr>
            <w:r w:rsidRPr="001F0103">
              <w:t>71145</w:t>
            </w:r>
          </w:p>
        </w:tc>
        <w:tc>
          <w:tcPr>
            <w:tcW w:w="5109" w:type="dxa"/>
            <w:tcBorders>
              <w:top w:val="single" w:sz="4" w:space="0" w:color="B56012"/>
              <w:left w:val="nil"/>
              <w:bottom w:val="single" w:sz="4" w:space="0" w:color="B56012"/>
              <w:right w:val="nil"/>
            </w:tcBorders>
          </w:tcPr>
          <w:p w14:paraId="2FAE005C" w14:textId="77777777" w:rsidR="00CF2A6E" w:rsidRPr="001F0103" w:rsidRDefault="00CF2A6E" w:rsidP="00CF2A6E">
            <w:pPr>
              <w:pStyle w:val="02Tabletext"/>
            </w:pPr>
            <w:r w:rsidRPr="001F0103">
              <w:t>Characterisation of 6 or more leucocyte surface antigens by immunofluorescence or immunoenzyme techniques to assess lymphoid or myeloid cell populations for the diagnosis (but not monitoring) of an immunological or haematological malignancy, including a service described in 1 or more of items 71139, 71141 and 71143 (if performed), on 2 or more specimens of disaggregated tissues or 1 specimen of disaggregated tissue and 1 or more specimens of blood, CSF or serous fluid</w:t>
            </w:r>
          </w:p>
        </w:tc>
        <w:tc>
          <w:tcPr>
            <w:tcW w:w="1849" w:type="dxa"/>
            <w:tcBorders>
              <w:top w:val="single" w:sz="4" w:space="0" w:color="B56012"/>
              <w:left w:val="nil"/>
              <w:bottom w:val="single" w:sz="4" w:space="0" w:color="B56012"/>
              <w:right w:val="nil"/>
            </w:tcBorders>
          </w:tcPr>
          <w:p w14:paraId="4150A330"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4D913324" w14:textId="77777777" w:rsidR="00CF2A6E" w:rsidRPr="001F0103" w:rsidRDefault="00CF2A6E" w:rsidP="00CF2A6E">
            <w:pPr>
              <w:pStyle w:val="02Tabletext"/>
            </w:pPr>
            <w:r w:rsidRPr="00563FBB">
              <w:t>4.19.1</w:t>
            </w:r>
          </w:p>
        </w:tc>
      </w:tr>
      <w:tr w:rsidR="00CF2A6E" w:rsidRPr="001F0103" w14:paraId="295F91FB" w14:textId="77777777" w:rsidTr="001F0103">
        <w:trPr>
          <w:trHeight w:val="563"/>
          <w:jc w:val="center"/>
        </w:trPr>
        <w:tc>
          <w:tcPr>
            <w:tcW w:w="851" w:type="dxa"/>
            <w:tcBorders>
              <w:top w:val="single" w:sz="4" w:space="0" w:color="B56012"/>
              <w:left w:val="nil"/>
              <w:bottom w:val="single" w:sz="4" w:space="0" w:color="B56012"/>
              <w:right w:val="nil"/>
            </w:tcBorders>
          </w:tcPr>
          <w:p w14:paraId="4D3973B5" w14:textId="77777777" w:rsidR="00CF2A6E" w:rsidRPr="001F0103" w:rsidRDefault="00CF2A6E" w:rsidP="00CF2A6E">
            <w:pPr>
              <w:pStyle w:val="02Tabletext"/>
            </w:pPr>
            <w:r w:rsidRPr="001F0103">
              <w:t>71146</w:t>
            </w:r>
          </w:p>
        </w:tc>
        <w:tc>
          <w:tcPr>
            <w:tcW w:w="5109" w:type="dxa"/>
            <w:tcBorders>
              <w:top w:val="single" w:sz="4" w:space="0" w:color="B56012"/>
              <w:left w:val="nil"/>
              <w:bottom w:val="single" w:sz="4" w:space="0" w:color="B56012"/>
              <w:right w:val="nil"/>
            </w:tcBorders>
          </w:tcPr>
          <w:p w14:paraId="3018B608" w14:textId="77777777" w:rsidR="00CF2A6E" w:rsidRPr="001F0103" w:rsidRDefault="00CF2A6E" w:rsidP="00CF2A6E">
            <w:pPr>
              <w:pStyle w:val="02Tabletext"/>
            </w:pPr>
            <w:r w:rsidRPr="001F0103">
              <w:t>Enumeration of cd34+ cells, only for the purposes of autologous or directed allogeneic haemopoietic stem cell transplantation, including a total white cell count on the pherisis collection</w:t>
            </w:r>
          </w:p>
        </w:tc>
        <w:tc>
          <w:tcPr>
            <w:tcW w:w="1849" w:type="dxa"/>
            <w:tcBorders>
              <w:top w:val="single" w:sz="4" w:space="0" w:color="B56012"/>
              <w:left w:val="nil"/>
              <w:bottom w:val="single" w:sz="4" w:space="0" w:color="B56012"/>
              <w:right w:val="nil"/>
            </w:tcBorders>
          </w:tcPr>
          <w:p w14:paraId="3F0C0B20"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4C13A9A2" w14:textId="77777777" w:rsidR="00CF2A6E" w:rsidRPr="001F0103" w:rsidRDefault="00CF2A6E" w:rsidP="00CF2A6E">
            <w:pPr>
              <w:pStyle w:val="02Tabletext"/>
            </w:pPr>
            <w:r w:rsidRPr="00563FBB">
              <w:t>4.19.1</w:t>
            </w:r>
          </w:p>
        </w:tc>
      </w:tr>
      <w:tr w:rsidR="00CF2A6E" w:rsidRPr="001F0103" w14:paraId="01C99287" w14:textId="77777777" w:rsidTr="001F0103">
        <w:trPr>
          <w:trHeight w:val="563"/>
          <w:jc w:val="center"/>
        </w:trPr>
        <w:tc>
          <w:tcPr>
            <w:tcW w:w="851" w:type="dxa"/>
            <w:tcBorders>
              <w:top w:val="single" w:sz="4" w:space="0" w:color="B56012"/>
              <w:left w:val="nil"/>
              <w:bottom w:val="single" w:sz="4" w:space="0" w:color="B56012"/>
              <w:right w:val="nil"/>
            </w:tcBorders>
          </w:tcPr>
          <w:p w14:paraId="527013C3" w14:textId="77777777" w:rsidR="00CF2A6E" w:rsidRPr="001F0103" w:rsidRDefault="00CF2A6E" w:rsidP="00CF2A6E">
            <w:pPr>
              <w:pStyle w:val="02Tabletext"/>
            </w:pPr>
            <w:r w:rsidRPr="001F0103">
              <w:t>71147</w:t>
            </w:r>
          </w:p>
        </w:tc>
        <w:tc>
          <w:tcPr>
            <w:tcW w:w="5109" w:type="dxa"/>
            <w:tcBorders>
              <w:top w:val="single" w:sz="4" w:space="0" w:color="B56012"/>
              <w:left w:val="nil"/>
              <w:bottom w:val="single" w:sz="4" w:space="0" w:color="B56012"/>
              <w:right w:val="nil"/>
            </w:tcBorders>
          </w:tcPr>
          <w:p w14:paraId="30B307EB" w14:textId="77777777" w:rsidR="00CF2A6E" w:rsidRPr="001F0103" w:rsidRDefault="00CF2A6E" w:rsidP="00CF2A6E">
            <w:pPr>
              <w:pStyle w:val="02Tabletext"/>
            </w:pPr>
            <w:r w:rsidRPr="001F0103">
              <w:t>HLA-B27 typing (Item is subject to rule 27)</w:t>
            </w:r>
          </w:p>
        </w:tc>
        <w:tc>
          <w:tcPr>
            <w:tcW w:w="1849" w:type="dxa"/>
            <w:tcBorders>
              <w:top w:val="single" w:sz="4" w:space="0" w:color="B56012"/>
              <w:left w:val="nil"/>
              <w:bottom w:val="single" w:sz="4" w:space="0" w:color="B56012"/>
              <w:right w:val="nil"/>
            </w:tcBorders>
          </w:tcPr>
          <w:p w14:paraId="5F43814F"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3BC4A3B8" w14:textId="77777777" w:rsidR="00CF2A6E" w:rsidRPr="001F0103" w:rsidRDefault="00CF2A6E" w:rsidP="00CF2A6E">
            <w:pPr>
              <w:pStyle w:val="02Tabletext"/>
            </w:pPr>
            <w:r w:rsidRPr="00563FBB">
              <w:t>4.19.1</w:t>
            </w:r>
          </w:p>
        </w:tc>
      </w:tr>
      <w:tr w:rsidR="00CF2A6E" w:rsidRPr="001F0103" w14:paraId="44263060" w14:textId="77777777" w:rsidTr="001F0103">
        <w:trPr>
          <w:trHeight w:val="563"/>
          <w:jc w:val="center"/>
        </w:trPr>
        <w:tc>
          <w:tcPr>
            <w:tcW w:w="851" w:type="dxa"/>
            <w:tcBorders>
              <w:top w:val="single" w:sz="4" w:space="0" w:color="B56012"/>
              <w:left w:val="nil"/>
              <w:bottom w:val="single" w:sz="4" w:space="0" w:color="B56012"/>
              <w:right w:val="nil"/>
            </w:tcBorders>
          </w:tcPr>
          <w:p w14:paraId="2D06FFDD" w14:textId="77777777" w:rsidR="00CF2A6E" w:rsidRPr="001F0103" w:rsidRDefault="00CF2A6E" w:rsidP="00CF2A6E">
            <w:pPr>
              <w:pStyle w:val="02Tabletext"/>
            </w:pPr>
            <w:r w:rsidRPr="001F0103">
              <w:t>71148</w:t>
            </w:r>
          </w:p>
        </w:tc>
        <w:tc>
          <w:tcPr>
            <w:tcW w:w="5109" w:type="dxa"/>
            <w:tcBorders>
              <w:top w:val="single" w:sz="4" w:space="0" w:color="B56012"/>
              <w:left w:val="nil"/>
              <w:bottom w:val="single" w:sz="4" w:space="0" w:color="B56012"/>
              <w:right w:val="nil"/>
            </w:tcBorders>
          </w:tcPr>
          <w:p w14:paraId="00928B52" w14:textId="77777777" w:rsidR="00CF2A6E" w:rsidRPr="001F0103" w:rsidRDefault="00CF2A6E" w:rsidP="00CF2A6E">
            <w:pPr>
              <w:pStyle w:val="02Tabletext"/>
            </w:pPr>
            <w:r w:rsidRPr="001F0103">
              <w:t>A test described in item 71147 if rendered by a receiving APP. (Item is subject to rule 18 and 27)</w:t>
            </w:r>
          </w:p>
        </w:tc>
        <w:tc>
          <w:tcPr>
            <w:tcW w:w="1849" w:type="dxa"/>
            <w:tcBorders>
              <w:top w:val="single" w:sz="4" w:space="0" w:color="B56012"/>
              <w:left w:val="nil"/>
              <w:bottom w:val="single" w:sz="4" w:space="0" w:color="B56012"/>
              <w:right w:val="nil"/>
            </w:tcBorders>
          </w:tcPr>
          <w:p w14:paraId="10F77E97"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01C02A5F" w14:textId="77777777" w:rsidR="00CF2A6E" w:rsidRPr="001F0103" w:rsidRDefault="00CF2A6E" w:rsidP="00CF2A6E">
            <w:pPr>
              <w:pStyle w:val="02Tabletext"/>
            </w:pPr>
            <w:r w:rsidRPr="00563FBB">
              <w:t>4.19.1</w:t>
            </w:r>
          </w:p>
        </w:tc>
      </w:tr>
      <w:tr w:rsidR="00CF2A6E" w:rsidRPr="001F0103" w14:paraId="56AB6FE3" w14:textId="77777777" w:rsidTr="001F0103">
        <w:trPr>
          <w:trHeight w:val="563"/>
          <w:jc w:val="center"/>
        </w:trPr>
        <w:tc>
          <w:tcPr>
            <w:tcW w:w="851" w:type="dxa"/>
            <w:tcBorders>
              <w:top w:val="single" w:sz="4" w:space="0" w:color="B56012"/>
              <w:left w:val="nil"/>
              <w:bottom w:val="single" w:sz="4" w:space="0" w:color="B56012"/>
              <w:right w:val="nil"/>
            </w:tcBorders>
          </w:tcPr>
          <w:p w14:paraId="081ABB5E" w14:textId="77777777" w:rsidR="00CF2A6E" w:rsidRPr="001F0103" w:rsidRDefault="00CF2A6E" w:rsidP="00CF2A6E">
            <w:pPr>
              <w:pStyle w:val="02Tabletext"/>
            </w:pPr>
            <w:r w:rsidRPr="001F0103">
              <w:t>71149</w:t>
            </w:r>
          </w:p>
        </w:tc>
        <w:tc>
          <w:tcPr>
            <w:tcW w:w="5109" w:type="dxa"/>
            <w:tcBorders>
              <w:top w:val="single" w:sz="4" w:space="0" w:color="B56012"/>
              <w:left w:val="nil"/>
              <w:bottom w:val="single" w:sz="4" w:space="0" w:color="B56012"/>
              <w:right w:val="nil"/>
            </w:tcBorders>
          </w:tcPr>
          <w:p w14:paraId="0492C7D7" w14:textId="77777777" w:rsidR="00CF2A6E" w:rsidRPr="001F0103" w:rsidRDefault="00CF2A6E" w:rsidP="00CF2A6E">
            <w:pPr>
              <w:pStyle w:val="02Tabletext"/>
            </w:pPr>
            <w:r w:rsidRPr="001F0103">
              <w:t>Complete tissue typing for 4 HLA-A and HLA-B Class I antigens (including any separation of leucocytes), including (if performed) a service described in item 71147</w:t>
            </w:r>
          </w:p>
        </w:tc>
        <w:tc>
          <w:tcPr>
            <w:tcW w:w="1849" w:type="dxa"/>
            <w:tcBorders>
              <w:top w:val="single" w:sz="4" w:space="0" w:color="B56012"/>
              <w:left w:val="nil"/>
              <w:bottom w:val="single" w:sz="4" w:space="0" w:color="B56012"/>
              <w:right w:val="nil"/>
            </w:tcBorders>
          </w:tcPr>
          <w:p w14:paraId="0E09298C"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108B9A4F" w14:textId="77777777" w:rsidR="00CF2A6E" w:rsidRPr="001F0103" w:rsidRDefault="00CF2A6E" w:rsidP="00CF2A6E">
            <w:pPr>
              <w:pStyle w:val="02Tabletext"/>
            </w:pPr>
            <w:r w:rsidRPr="00563FBB">
              <w:t>4.19.1</w:t>
            </w:r>
          </w:p>
        </w:tc>
      </w:tr>
      <w:tr w:rsidR="00CF2A6E" w:rsidRPr="001F0103" w14:paraId="7B621A01" w14:textId="77777777" w:rsidTr="001F0103">
        <w:trPr>
          <w:trHeight w:val="563"/>
          <w:jc w:val="center"/>
        </w:trPr>
        <w:tc>
          <w:tcPr>
            <w:tcW w:w="851" w:type="dxa"/>
            <w:tcBorders>
              <w:top w:val="single" w:sz="4" w:space="0" w:color="B56012"/>
              <w:left w:val="nil"/>
              <w:bottom w:val="single" w:sz="4" w:space="0" w:color="B56012"/>
              <w:right w:val="nil"/>
            </w:tcBorders>
          </w:tcPr>
          <w:p w14:paraId="09F0313C" w14:textId="77777777" w:rsidR="00CF2A6E" w:rsidRPr="001F0103" w:rsidRDefault="00CF2A6E" w:rsidP="00CF2A6E">
            <w:pPr>
              <w:pStyle w:val="02Tabletext"/>
            </w:pPr>
            <w:r w:rsidRPr="001F0103">
              <w:t>71153</w:t>
            </w:r>
          </w:p>
        </w:tc>
        <w:tc>
          <w:tcPr>
            <w:tcW w:w="5109" w:type="dxa"/>
            <w:tcBorders>
              <w:top w:val="single" w:sz="4" w:space="0" w:color="B56012"/>
              <w:left w:val="nil"/>
              <w:bottom w:val="single" w:sz="4" w:space="0" w:color="B56012"/>
              <w:right w:val="nil"/>
            </w:tcBorders>
          </w:tcPr>
          <w:p w14:paraId="5E9D6F23" w14:textId="77777777" w:rsidR="00CF2A6E" w:rsidRPr="001F0103" w:rsidRDefault="00CF2A6E" w:rsidP="00CF2A6E">
            <w:pPr>
              <w:pStyle w:val="02Tabletext"/>
            </w:pPr>
            <w:r w:rsidRPr="001F0103">
              <w:t>Investigations in the assessment or diagnosis of systemic inflammatory disease or vasculitis - antineutrophil cytoplasmic antibody immunofluorescence (anca test), antineutrophil proteinase 3 antibody (pr-3 anca test), antimyeloperoxidase antibody (mpo anca test) or antiglomerular basement membrane antibody (gbm test) - detection of 1 antibody (item is subject to rule 6 and 23)</w:t>
            </w:r>
          </w:p>
        </w:tc>
        <w:tc>
          <w:tcPr>
            <w:tcW w:w="1849" w:type="dxa"/>
            <w:tcBorders>
              <w:top w:val="single" w:sz="4" w:space="0" w:color="B56012"/>
              <w:left w:val="nil"/>
              <w:bottom w:val="single" w:sz="4" w:space="0" w:color="B56012"/>
              <w:right w:val="nil"/>
            </w:tcBorders>
          </w:tcPr>
          <w:p w14:paraId="58BD6F39"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7660D1EB" w14:textId="77777777" w:rsidR="00CF2A6E" w:rsidRPr="001F0103" w:rsidRDefault="00CF2A6E" w:rsidP="00CF2A6E">
            <w:pPr>
              <w:pStyle w:val="02Tabletext"/>
            </w:pPr>
            <w:r w:rsidRPr="00563FBB">
              <w:t>4.19.1</w:t>
            </w:r>
          </w:p>
        </w:tc>
      </w:tr>
      <w:tr w:rsidR="00CF2A6E" w:rsidRPr="001F0103" w14:paraId="777F541E" w14:textId="77777777" w:rsidTr="001F0103">
        <w:trPr>
          <w:trHeight w:val="563"/>
          <w:jc w:val="center"/>
        </w:trPr>
        <w:tc>
          <w:tcPr>
            <w:tcW w:w="851" w:type="dxa"/>
            <w:tcBorders>
              <w:top w:val="single" w:sz="4" w:space="0" w:color="B56012"/>
              <w:left w:val="nil"/>
              <w:bottom w:val="single" w:sz="4" w:space="0" w:color="B56012"/>
              <w:right w:val="nil"/>
            </w:tcBorders>
          </w:tcPr>
          <w:p w14:paraId="7D8C9F75" w14:textId="77777777" w:rsidR="00CF2A6E" w:rsidRPr="001F0103" w:rsidRDefault="00CF2A6E" w:rsidP="00CF2A6E">
            <w:pPr>
              <w:pStyle w:val="02Tabletext"/>
            </w:pPr>
            <w:r w:rsidRPr="001F0103">
              <w:t>71154</w:t>
            </w:r>
          </w:p>
        </w:tc>
        <w:tc>
          <w:tcPr>
            <w:tcW w:w="5109" w:type="dxa"/>
            <w:tcBorders>
              <w:top w:val="single" w:sz="4" w:space="0" w:color="B56012"/>
              <w:left w:val="nil"/>
              <w:bottom w:val="single" w:sz="4" w:space="0" w:color="B56012"/>
              <w:right w:val="nil"/>
            </w:tcBorders>
          </w:tcPr>
          <w:p w14:paraId="16CE3887" w14:textId="77777777" w:rsidR="00CF2A6E" w:rsidRPr="001F0103" w:rsidRDefault="00CF2A6E" w:rsidP="00CF2A6E">
            <w:pPr>
              <w:pStyle w:val="02Tabletext"/>
            </w:pPr>
            <w:r w:rsidRPr="001F0103">
              <w:t>A test described in item 71153, if rendered by a receiving APP, where no tests in the item have been rendered by the referring APP - 1 test.(Item is subject to rule 6, 18 and 23)</w:t>
            </w:r>
          </w:p>
        </w:tc>
        <w:tc>
          <w:tcPr>
            <w:tcW w:w="1849" w:type="dxa"/>
            <w:tcBorders>
              <w:top w:val="single" w:sz="4" w:space="0" w:color="B56012"/>
              <w:left w:val="nil"/>
              <w:bottom w:val="single" w:sz="4" w:space="0" w:color="B56012"/>
              <w:right w:val="nil"/>
            </w:tcBorders>
          </w:tcPr>
          <w:p w14:paraId="005B519D"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4A569AD9" w14:textId="77777777" w:rsidR="00CF2A6E" w:rsidRPr="001F0103" w:rsidRDefault="00CF2A6E" w:rsidP="00CF2A6E">
            <w:pPr>
              <w:pStyle w:val="02Tabletext"/>
            </w:pPr>
            <w:r w:rsidRPr="00563FBB">
              <w:t>4.19.1</w:t>
            </w:r>
          </w:p>
        </w:tc>
      </w:tr>
      <w:tr w:rsidR="00CF2A6E" w:rsidRPr="001F0103" w14:paraId="67A7EAD2" w14:textId="77777777" w:rsidTr="001F0103">
        <w:trPr>
          <w:trHeight w:val="563"/>
          <w:jc w:val="center"/>
        </w:trPr>
        <w:tc>
          <w:tcPr>
            <w:tcW w:w="851" w:type="dxa"/>
            <w:tcBorders>
              <w:top w:val="single" w:sz="4" w:space="0" w:color="B56012"/>
              <w:left w:val="nil"/>
              <w:bottom w:val="single" w:sz="4" w:space="0" w:color="B56012"/>
              <w:right w:val="nil"/>
            </w:tcBorders>
          </w:tcPr>
          <w:p w14:paraId="6ACAF097" w14:textId="77777777" w:rsidR="00CF2A6E" w:rsidRPr="001F0103" w:rsidRDefault="00CF2A6E" w:rsidP="00CF2A6E">
            <w:pPr>
              <w:pStyle w:val="02Tabletext"/>
            </w:pPr>
            <w:r w:rsidRPr="001F0103">
              <w:t>71155</w:t>
            </w:r>
          </w:p>
        </w:tc>
        <w:tc>
          <w:tcPr>
            <w:tcW w:w="5109" w:type="dxa"/>
            <w:tcBorders>
              <w:top w:val="single" w:sz="4" w:space="0" w:color="B56012"/>
              <w:left w:val="nil"/>
              <w:bottom w:val="single" w:sz="4" w:space="0" w:color="B56012"/>
              <w:right w:val="nil"/>
            </w:tcBorders>
          </w:tcPr>
          <w:p w14:paraId="067CCE11" w14:textId="77777777" w:rsidR="00CF2A6E" w:rsidRPr="001F0103" w:rsidRDefault="00CF2A6E" w:rsidP="00CF2A6E">
            <w:pPr>
              <w:pStyle w:val="02Tabletext"/>
            </w:pPr>
            <w:r w:rsidRPr="001F0103">
              <w:t>Detection of 2 antibodies described in item 71153</w:t>
            </w:r>
          </w:p>
        </w:tc>
        <w:tc>
          <w:tcPr>
            <w:tcW w:w="1849" w:type="dxa"/>
            <w:tcBorders>
              <w:top w:val="single" w:sz="4" w:space="0" w:color="B56012"/>
              <w:left w:val="nil"/>
              <w:bottom w:val="single" w:sz="4" w:space="0" w:color="B56012"/>
              <w:right w:val="nil"/>
            </w:tcBorders>
          </w:tcPr>
          <w:p w14:paraId="7CFA035E"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1E6018E6" w14:textId="77777777" w:rsidR="00CF2A6E" w:rsidRPr="001F0103" w:rsidRDefault="00CF2A6E" w:rsidP="00CF2A6E">
            <w:pPr>
              <w:pStyle w:val="02Tabletext"/>
            </w:pPr>
            <w:r w:rsidRPr="00563FBB">
              <w:t>4.19.1</w:t>
            </w:r>
          </w:p>
        </w:tc>
      </w:tr>
      <w:tr w:rsidR="00CF2A6E" w:rsidRPr="001F0103" w14:paraId="5F7E48AF" w14:textId="77777777" w:rsidTr="001F0103">
        <w:trPr>
          <w:trHeight w:val="563"/>
          <w:jc w:val="center"/>
        </w:trPr>
        <w:tc>
          <w:tcPr>
            <w:tcW w:w="851" w:type="dxa"/>
            <w:tcBorders>
              <w:top w:val="single" w:sz="4" w:space="0" w:color="B56012"/>
              <w:left w:val="nil"/>
              <w:bottom w:val="single" w:sz="4" w:space="0" w:color="B56012"/>
              <w:right w:val="nil"/>
            </w:tcBorders>
          </w:tcPr>
          <w:p w14:paraId="2FE86E21" w14:textId="77777777" w:rsidR="00CF2A6E" w:rsidRPr="001F0103" w:rsidRDefault="00CF2A6E" w:rsidP="00CF2A6E">
            <w:pPr>
              <w:pStyle w:val="02Tabletext"/>
            </w:pPr>
            <w:r w:rsidRPr="001F0103">
              <w:t>71156</w:t>
            </w:r>
          </w:p>
        </w:tc>
        <w:tc>
          <w:tcPr>
            <w:tcW w:w="5109" w:type="dxa"/>
            <w:tcBorders>
              <w:top w:val="single" w:sz="4" w:space="0" w:color="B56012"/>
              <w:left w:val="nil"/>
              <w:bottom w:val="single" w:sz="4" w:space="0" w:color="B56012"/>
              <w:right w:val="nil"/>
            </w:tcBorders>
          </w:tcPr>
          <w:p w14:paraId="02D5BACA" w14:textId="77777777" w:rsidR="00CF2A6E" w:rsidRPr="001F0103" w:rsidRDefault="00CF2A6E" w:rsidP="00CF2A6E">
            <w:pPr>
              <w:pStyle w:val="02Tabletext"/>
            </w:pPr>
            <w:r w:rsidRPr="001F0103">
              <w:t>Tests described in item 71153, other than that described in 71154, if rendered by a receiving APP</w:t>
            </w:r>
            <w:r>
              <w:t xml:space="preserve"> </w:t>
            </w:r>
            <w:r w:rsidRPr="001F0103">
              <w:t>each test to a maximum of 3 tests(Item is subject to rule 6, 18 and 23)</w:t>
            </w:r>
          </w:p>
        </w:tc>
        <w:tc>
          <w:tcPr>
            <w:tcW w:w="1849" w:type="dxa"/>
            <w:tcBorders>
              <w:top w:val="single" w:sz="4" w:space="0" w:color="B56012"/>
              <w:left w:val="nil"/>
              <w:bottom w:val="single" w:sz="4" w:space="0" w:color="B56012"/>
              <w:right w:val="nil"/>
            </w:tcBorders>
          </w:tcPr>
          <w:p w14:paraId="5C6B7FD8"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23145E9C" w14:textId="77777777" w:rsidR="00CF2A6E" w:rsidRPr="001F0103" w:rsidRDefault="00CF2A6E" w:rsidP="00CF2A6E">
            <w:pPr>
              <w:pStyle w:val="02Tabletext"/>
            </w:pPr>
            <w:r w:rsidRPr="00563FBB">
              <w:t>4.19.1</w:t>
            </w:r>
          </w:p>
        </w:tc>
      </w:tr>
      <w:tr w:rsidR="00CF2A6E" w:rsidRPr="001F0103" w14:paraId="013E660A" w14:textId="77777777" w:rsidTr="001F0103">
        <w:trPr>
          <w:trHeight w:val="563"/>
          <w:jc w:val="center"/>
        </w:trPr>
        <w:tc>
          <w:tcPr>
            <w:tcW w:w="851" w:type="dxa"/>
            <w:tcBorders>
              <w:top w:val="single" w:sz="4" w:space="0" w:color="B56012"/>
              <w:left w:val="nil"/>
              <w:bottom w:val="single" w:sz="4" w:space="0" w:color="B56012"/>
              <w:right w:val="nil"/>
            </w:tcBorders>
          </w:tcPr>
          <w:p w14:paraId="0AB73C64" w14:textId="77777777" w:rsidR="00CF2A6E" w:rsidRPr="001F0103" w:rsidRDefault="00CF2A6E" w:rsidP="00CF2A6E">
            <w:pPr>
              <w:pStyle w:val="02Tabletext"/>
            </w:pPr>
            <w:r w:rsidRPr="001F0103">
              <w:t>71157</w:t>
            </w:r>
          </w:p>
        </w:tc>
        <w:tc>
          <w:tcPr>
            <w:tcW w:w="5109" w:type="dxa"/>
            <w:tcBorders>
              <w:top w:val="single" w:sz="4" w:space="0" w:color="B56012"/>
              <w:left w:val="nil"/>
              <w:bottom w:val="single" w:sz="4" w:space="0" w:color="B56012"/>
              <w:right w:val="nil"/>
            </w:tcBorders>
          </w:tcPr>
          <w:p w14:paraId="32948180" w14:textId="77777777" w:rsidR="00CF2A6E" w:rsidRPr="001F0103" w:rsidRDefault="00CF2A6E" w:rsidP="00CF2A6E">
            <w:pPr>
              <w:pStyle w:val="02Tabletext"/>
            </w:pPr>
            <w:r w:rsidRPr="001F0103">
              <w:t>Detection of 3 antibodies described in item 71153</w:t>
            </w:r>
            <w:r w:rsidRPr="00533647">
              <w:t xml:space="preserve"> </w:t>
            </w:r>
            <w:r w:rsidRPr="001F0103">
              <w:t>(item is subject to rule 6 and 23)</w:t>
            </w:r>
          </w:p>
        </w:tc>
        <w:tc>
          <w:tcPr>
            <w:tcW w:w="1849" w:type="dxa"/>
            <w:tcBorders>
              <w:top w:val="single" w:sz="4" w:space="0" w:color="B56012"/>
              <w:left w:val="nil"/>
              <w:bottom w:val="single" w:sz="4" w:space="0" w:color="B56012"/>
              <w:right w:val="nil"/>
            </w:tcBorders>
          </w:tcPr>
          <w:p w14:paraId="0638D5AF"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4D6A474E" w14:textId="77777777" w:rsidR="00CF2A6E" w:rsidRPr="001F0103" w:rsidRDefault="00CF2A6E" w:rsidP="00CF2A6E">
            <w:pPr>
              <w:pStyle w:val="02Tabletext"/>
            </w:pPr>
            <w:r w:rsidRPr="00563FBB">
              <w:t>4.19.1</w:t>
            </w:r>
          </w:p>
        </w:tc>
      </w:tr>
      <w:tr w:rsidR="00CF2A6E" w:rsidRPr="001F0103" w14:paraId="2629F2E3" w14:textId="77777777" w:rsidTr="001F0103">
        <w:trPr>
          <w:trHeight w:val="563"/>
          <w:jc w:val="center"/>
        </w:trPr>
        <w:tc>
          <w:tcPr>
            <w:tcW w:w="851" w:type="dxa"/>
            <w:tcBorders>
              <w:top w:val="single" w:sz="4" w:space="0" w:color="B56012"/>
              <w:left w:val="nil"/>
              <w:bottom w:val="single" w:sz="4" w:space="0" w:color="B56012"/>
              <w:right w:val="nil"/>
            </w:tcBorders>
          </w:tcPr>
          <w:p w14:paraId="51DD33EC" w14:textId="77777777" w:rsidR="00CF2A6E" w:rsidRPr="001F0103" w:rsidRDefault="00CF2A6E" w:rsidP="00CF2A6E">
            <w:pPr>
              <w:pStyle w:val="02Tabletext"/>
            </w:pPr>
            <w:r w:rsidRPr="001F0103">
              <w:lastRenderedPageBreak/>
              <w:t>71159</w:t>
            </w:r>
          </w:p>
        </w:tc>
        <w:tc>
          <w:tcPr>
            <w:tcW w:w="5109" w:type="dxa"/>
            <w:tcBorders>
              <w:top w:val="single" w:sz="4" w:space="0" w:color="B56012"/>
              <w:left w:val="nil"/>
              <w:bottom w:val="single" w:sz="4" w:space="0" w:color="B56012"/>
              <w:right w:val="nil"/>
            </w:tcBorders>
          </w:tcPr>
          <w:p w14:paraId="2E1DB79C" w14:textId="77777777" w:rsidR="00CF2A6E" w:rsidRPr="001F0103" w:rsidRDefault="00CF2A6E" w:rsidP="00CF2A6E">
            <w:pPr>
              <w:pStyle w:val="02Tabletext"/>
            </w:pPr>
            <w:r w:rsidRPr="00533647">
              <w:t>Detection of 4 or more antibodies described in item 71153 (Item is subject to rule 6 and 23)</w:t>
            </w:r>
          </w:p>
        </w:tc>
        <w:tc>
          <w:tcPr>
            <w:tcW w:w="1849" w:type="dxa"/>
            <w:tcBorders>
              <w:top w:val="single" w:sz="4" w:space="0" w:color="B56012"/>
              <w:left w:val="nil"/>
              <w:bottom w:val="single" w:sz="4" w:space="0" w:color="B56012"/>
              <w:right w:val="nil"/>
            </w:tcBorders>
          </w:tcPr>
          <w:p w14:paraId="45199691"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01B209AD" w14:textId="77777777" w:rsidR="00CF2A6E" w:rsidRPr="001F0103" w:rsidRDefault="00CF2A6E" w:rsidP="00CF2A6E">
            <w:pPr>
              <w:pStyle w:val="02Tabletext"/>
            </w:pPr>
            <w:r w:rsidRPr="00563FBB">
              <w:t>4.19.1</w:t>
            </w:r>
          </w:p>
        </w:tc>
      </w:tr>
      <w:tr w:rsidR="00CF2A6E" w:rsidRPr="001F0103" w14:paraId="0CC9B32A" w14:textId="77777777" w:rsidTr="001F0103">
        <w:trPr>
          <w:trHeight w:val="563"/>
          <w:jc w:val="center"/>
        </w:trPr>
        <w:tc>
          <w:tcPr>
            <w:tcW w:w="851" w:type="dxa"/>
            <w:tcBorders>
              <w:top w:val="single" w:sz="4" w:space="0" w:color="B56012"/>
              <w:left w:val="nil"/>
              <w:bottom w:val="single" w:sz="4" w:space="0" w:color="B56012"/>
              <w:right w:val="nil"/>
            </w:tcBorders>
          </w:tcPr>
          <w:p w14:paraId="3257BB6B" w14:textId="77777777" w:rsidR="00CF2A6E" w:rsidRPr="001F0103" w:rsidRDefault="00CF2A6E" w:rsidP="00CF2A6E">
            <w:pPr>
              <w:pStyle w:val="02Tabletext"/>
            </w:pPr>
            <w:r w:rsidRPr="001F0103">
              <w:t>71189</w:t>
            </w:r>
          </w:p>
        </w:tc>
        <w:tc>
          <w:tcPr>
            <w:tcW w:w="5109" w:type="dxa"/>
            <w:tcBorders>
              <w:top w:val="single" w:sz="4" w:space="0" w:color="B56012"/>
              <w:left w:val="nil"/>
              <w:bottom w:val="single" w:sz="4" w:space="0" w:color="B56012"/>
              <w:right w:val="nil"/>
            </w:tcBorders>
          </w:tcPr>
          <w:p w14:paraId="6ABDD741" w14:textId="77777777" w:rsidR="00CF2A6E" w:rsidRPr="001F0103" w:rsidRDefault="00CF2A6E" w:rsidP="00CF2A6E">
            <w:pPr>
              <w:pStyle w:val="02Tabletext"/>
            </w:pPr>
            <w:r w:rsidRPr="001F0103">
              <w:t xml:space="preserve">Detection of specific </w:t>
            </w:r>
            <w:r>
              <w:t>I</w:t>
            </w:r>
            <w:r w:rsidRPr="001F0103">
              <w:t>g</w:t>
            </w:r>
            <w:r>
              <w:t>G</w:t>
            </w:r>
            <w:r w:rsidRPr="001F0103">
              <w:t xml:space="preserve"> antibodies to 1 or more respiratory disease allergens not elsewhere specified.</w:t>
            </w:r>
          </w:p>
        </w:tc>
        <w:tc>
          <w:tcPr>
            <w:tcW w:w="1849" w:type="dxa"/>
            <w:tcBorders>
              <w:top w:val="single" w:sz="4" w:space="0" w:color="B56012"/>
              <w:left w:val="nil"/>
              <w:bottom w:val="single" w:sz="4" w:space="0" w:color="B56012"/>
              <w:right w:val="nil"/>
            </w:tcBorders>
          </w:tcPr>
          <w:p w14:paraId="0FF7BB39"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2DD62EAF" w14:textId="77777777" w:rsidR="00CF2A6E" w:rsidRPr="001F0103" w:rsidRDefault="00CF2A6E" w:rsidP="00CF2A6E">
            <w:pPr>
              <w:pStyle w:val="02Tabletext"/>
            </w:pPr>
            <w:r w:rsidRPr="00563FBB">
              <w:t>4.19.1</w:t>
            </w:r>
          </w:p>
        </w:tc>
      </w:tr>
      <w:tr w:rsidR="00CF2A6E" w:rsidRPr="001F0103" w14:paraId="357DA4ED" w14:textId="77777777" w:rsidTr="001F0103">
        <w:trPr>
          <w:trHeight w:val="563"/>
          <w:jc w:val="center"/>
        </w:trPr>
        <w:tc>
          <w:tcPr>
            <w:tcW w:w="851" w:type="dxa"/>
            <w:tcBorders>
              <w:top w:val="single" w:sz="4" w:space="0" w:color="B56012"/>
              <w:left w:val="nil"/>
              <w:bottom w:val="single" w:sz="4" w:space="0" w:color="B56012"/>
              <w:right w:val="nil"/>
            </w:tcBorders>
          </w:tcPr>
          <w:p w14:paraId="30EAFF97" w14:textId="77777777" w:rsidR="00CF2A6E" w:rsidRPr="001F0103" w:rsidRDefault="00CF2A6E" w:rsidP="00CF2A6E">
            <w:pPr>
              <w:pStyle w:val="02Tabletext"/>
            </w:pPr>
            <w:r w:rsidRPr="001F0103">
              <w:t>71192</w:t>
            </w:r>
          </w:p>
        </w:tc>
        <w:tc>
          <w:tcPr>
            <w:tcW w:w="5109" w:type="dxa"/>
            <w:tcBorders>
              <w:top w:val="single" w:sz="4" w:space="0" w:color="B56012"/>
              <w:left w:val="nil"/>
              <w:bottom w:val="single" w:sz="4" w:space="0" w:color="B56012"/>
              <w:right w:val="nil"/>
            </w:tcBorders>
          </w:tcPr>
          <w:p w14:paraId="425C1993" w14:textId="77777777" w:rsidR="00CF2A6E" w:rsidRPr="001F0103" w:rsidRDefault="00CF2A6E" w:rsidP="00CF2A6E">
            <w:pPr>
              <w:pStyle w:val="02Tabletext"/>
            </w:pPr>
            <w:r w:rsidRPr="001F0103">
              <w:t>2 items described in item 71189.</w:t>
            </w:r>
          </w:p>
        </w:tc>
        <w:tc>
          <w:tcPr>
            <w:tcW w:w="1849" w:type="dxa"/>
            <w:tcBorders>
              <w:top w:val="single" w:sz="4" w:space="0" w:color="B56012"/>
              <w:left w:val="nil"/>
              <w:bottom w:val="single" w:sz="4" w:space="0" w:color="B56012"/>
              <w:right w:val="nil"/>
            </w:tcBorders>
          </w:tcPr>
          <w:p w14:paraId="624DEE72"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62C187A5" w14:textId="77777777" w:rsidR="00CF2A6E" w:rsidRPr="001F0103" w:rsidRDefault="00CF2A6E" w:rsidP="00CF2A6E">
            <w:pPr>
              <w:pStyle w:val="02Tabletext"/>
            </w:pPr>
            <w:r w:rsidRPr="00563FBB">
              <w:t>4.19.1</w:t>
            </w:r>
          </w:p>
        </w:tc>
      </w:tr>
      <w:tr w:rsidR="00CF2A6E" w:rsidRPr="001F0103" w14:paraId="07F4427E" w14:textId="77777777" w:rsidTr="001F0103">
        <w:trPr>
          <w:trHeight w:val="563"/>
          <w:jc w:val="center"/>
        </w:trPr>
        <w:tc>
          <w:tcPr>
            <w:tcW w:w="851" w:type="dxa"/>
            <w:tcBorders>
              <w:top w:val="single" w:sz="4" w:space="0" w:color="B56012"/>
              <w:left w:val="nil"/>
              <w:bottom w:val="single" w:sz="4" w:space="0" w:color="B56012"/>
              <w:right w:val="nil"/>
            </w:tcBorders>
          </w:tcPr>
          <w:p w14:paraId="302CE5BA" w14:textId="77777777" w:rsidR="00CF2A6E" w:rsidRPr="001F0103" w:rsidRDefault="00CF2A6E" w:rsidP="00CF2A6E">
            <w:pPr>
              <w:pStyle w:val="02Tabletext"/>
            </w:pPr>
            <w:r w:rsidRPr="001F0103">
              <w:t>71195</w:t>
            </w:r>
          </w:p>
        </w:tc>
        <w:tc>
          <w:tcPr>
            <w:tcW w:w="5109" w:type="dxa"/>
            <w:tcBorders>
              <w:top w:val="single" w:sz="4" w:space="0" w:color="B56012"/>
              <w:left w:val="nil"/>
              <w:bottom w:val="single" w:sz="4" w:space="0" w:color="B56012"/>
              <w:right w:val="nil"/>
            </w:tcBorders>
          </w:tcPr>
          <w:p w14:paraId="4575CAF0" w14:textId="77777777" w:rsidR="00CF2A6E" w:rsidRPr="001F0103" w:rsidRDefault="00CF2A6E" w:rsidP="00CF2A6E">
            <w:pPr>
              <w:pStyle w:val="02Tabletext"/>
            </w:pPr>
            <w:r w:rsidRPr="001F0103">
              <w:t>3 or more items described in item 71189.</w:t>
            </w:r>
          </w:p>
        </w:tc>
        <w:tc>
          <w:tcPr>
            <w:tcW w:w="1849" w:type="dxa"/>
            <w:tcBorders>
              <w:top w:val="single" w:sz="4" w:space="0" w:color="B56012"/>
              <w:left w:val="nil"/>
              <w:bottom w:val="single" w:sz="4" w:space="0" w:color="B56012"/>
              <w:right w:val="nil"/>
            </w:tcBorders>
          </w:tcPr>
          <w:p w14:paraId="52F74622"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734A643C" w14:textId="77777777" w:rsidR="00CF2A6E" w:rsidRPr="001F0103" w:rsidRDefault="00CF2A6E" w:rsidP="00CF2A6E">
            <w:pPr>
              <w:pStyle w:val="02Tabletext"/>
            </w:pPr>
            <w:r w:rsidRPr="00563FBB">
              <w:t>4.19.1</w:t>
            </w:r>
          </w:p>
        </w:tc>
      </w:tr>
      <w:tr w:rsidR="00CF2A6E" w:rsidRPr="001F0103" w14:paraId="5816A53E" w14:textId="77777777" w:rsidTr="001F0103">
        <w:trPr>
          <w:trHeight w:val="563"/>
          <w:jc w:val="center"/>
        </w:trPr>
        <w:tc>
          <w:tcPr>
            <w:tcW w:w="851" w:type="dxa"/>
            <w:tcBorders>
              <w:top w:val="single" w:sz="4" w:space="0" w:color="B56012"/>
              <w:left w:val="nil"/>
              <w:bottom w:val="single" w:sz="4" w:space="0" w:color="B56012"/>
              <w:right w:val="nil"/>
            </w:tcBorders>
          </w:tcPr>
          <w:p w14:paraId="40A79671" w14:textId="77777777" w:rsidR="00CF2A6E" w:rsidRPr="001F0103" w:rsidRDefault="00CF2A6E" w:rsidP="00CF2A6E">
            <w:pPr>
              <w:pStyle w:val="02Tabletext"/>
            </w:pPr>
            <w:r w:rsidRPr="001F0103">
              <w:t>71198</w:t>
            </w:r>
          </w:p>
        </w:tc>
        <w:tc>
          <w:tcPr>
            <w:tcW w:w="5109" w:type="dxa"/>
            <w:tcBorders>
              <w:top w:val="single" w:sz="4" w:space="0" w:color="B56012"/>
              <w:left w:val="nil"/>
              <w:bottom w:val="single" w:sz="4" w:space="0" w:color="B56012"/>
              <w:right w:val="nil"/>
            </w:tcBorders>
          </w:tcPr>
          <w:p w14:paraId="78434F81" w14:textId="77777777" w:rsidR="00CF2A6E" w:rsidRPr="001F0103" w:rsidRDefault="00CF2A6E" w:rsidP="00CF2A6E">
            <w:pPr>
              <w:pStyle w:val="02Tabletext"/>
            </w:pPr>
            <w:r w:rsidRPr="001F0103">
              <w:t>Estimation of serum tryptase for the evaluation of unexplained acute hypotension or suspected anaphylactic event, assessment of risk in stinging insect anaphylaxis, exclusion of mastocytosis, monitoring of known mastocytosis.</w:t>
            </w:r>
          </w:p>
        </w:tc>
        <w:tc>
          <w:tcPr>
            <w:tcW w:w="1849" w:type="dxa"/>
            <w:tcBorders>
              <w:top w:val="single" w:sz="4" w:space="0" w:color="B56012"/>
              <w:left w:val="nil"/>
              <w:bottom w:val="single" w:sz="4" w:space="0" w:color="B56012"/>
              <w:right w:val="nil"/>
            </w:tcBorders>
          </w:tcPr>
          <w:p w14:paraId="494DFBA1"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4FBB1B64" w14:textId="77777777" w:rsidR="00CF2A6E" w:rsidRPr="001F0103" w:rsidRDefault="00CF2A6E" w:rsidP="00CF2A6E">
            <w:pPr>
              <w:pStyle w:val="02Tabletext"/>
            </w:pPr>
            <w:r w:rsidRPr="00563FBB">
              <w:t>4.19.1</w:t>
            </w:r>
          </w:p>
        </w:tc>
      </w:tr>
      <w:tr w:rsidR="00CF2A6E" w:rsidRPr="001F0103" w14:paraId="5ECB8880" w14:textId="77777777" w:rsidTr="001F0103">
        <w:trPr>
          <w:trHeight w:val="563"/>
          <w:jc w:val="center"/>
        </w:trPr>
        <w:tc>
          <w:tcPr>
            <w:tcW w:w="851" w:type="dxa"/>
            <w:tcBorders>
              <w:top w:val="single" w:sz="4" w:space="0" w:color="B56012"/>
              <w:left w:val="nil"/>
              <w:bottom w:val="single" w:sz="4" w:space="0" w:color="B56012"/>
              <w:right w:val="nil"/>
            </w:tcBorders>
          </w:tcPr>
          <w:p w14:paraId="77CE1429" w14:textId="77777777" w:rsidR="00CF2A6E" w:rsidRPr="001F0103" w:rsidRDefault="00CF2A6E" w:rsidP="00CF2A6E">
            <w:pPr>
              <w:pStyle w:val="02Tabletext"/>
            </w:pPr>
            <w:r w:rsidRPr="001F0103">
              <w:t>65060</w:t>
            </w:r>
          </w:p>
        </w:tc>
        <w:tc>
          <w:tcPr>
            <w:tcW w:w="5109" w:type="dxa"/>
            <w:tcBorders>
              <w:top w:val="single" w:sz="4" w:space="0" w:color="B56012"/>
              <w:left w:val="nil"/>
              <w:bottom w:val="single" w:sz="4" w:space="0" w:color="B56012"/>
              <w:right w:val="nil"/>
            </w:tcBorders>
          </w:tcPr>
          <w:p w14:paraId="37E86487" w14:textId="77777777" w:rsidR="00CF2A6E" w:rsidRPr="001F0103" w:rsidRDefault="00CF2A6E" w:rsidP="00CF2A6E">
            <w:pPr>
              <w:pStyle w:val="02Tabletext"/>
            </w:pPr>
            <w:r w:rsidRPr="001F0103">
              <w:t>Haemoglobin, erythrocyte sedimentation rate, blood viscosity -1 or more tests</w:t>
            </w:r>
          </w:p>
        </w:tc>
        <w:tc>
          <w:tcPr>
            <w:tcW w:w="1849" w:type="dxa"/>
            <w:tcBorders>
              <w:top w:val="single" w:sz="4" w:space="0" w:color="B56012"/>
              <w:left w:val="nil"/>
              <w:bottom w:val="single" w:sz="4" w:space="0" w:color="B56012"/>
              <w:right w:val="nil"/>
            </w:tcBorders>
          </w:tcPr>
          <w:p w14:paraId="69655DCA" w14:textId="77777777" w:rsidR="00CF2A6E" w:rsidRPr="001F0103" w:rsidRDefault="00CF2A6E" w:rsidP="00CF2A6E">
            <w:pPr>
              <w:pStyle w:val="02Tabletext"/>
            </w:pPr>
            <w:r w:rsidRPr="001F0103">
              <w:t>No change</w:t>
            </w:r>
          </w:p>
        </w:tc>
        <w:tc>
          <w:tcPr>
            <w:tcW w:w="1277" w:type="dxa"/>
            <w:tcBorders>
              <w:top w:val="single" w:sz="4" w:space="0" w:color="B56012"/>
              <w:left w:val="nil"/>
              <w:bottom w:val="single" w:sz="4" w:space="0" w:color="B56012"/>
              <w:right w:val="nil"/>
            </w:tcBorders>
          </w:tcPr>
          <w:p w14:paraId="70CC0AE9" w14:textId="77777777" w:rsidR="00CF2A6E" w:rsidRPr="00563FBB" w:rsidRDefault="00CF2A6E" w:rsidP="00CF2A6E">
            <w:pPr>
              <w:pStyle w:val="02Tabletext"/>
            </w:pPr>
            <w:r>
              <w:t>5.1.1</w:t>
            </w:r>
          </w:p>
        </w:tc>
      </w:tr>
    </w:tbl>
    <w:p w14:paraId="41407A14" w14:textId="77777777" w:rsidR="005E260A" w:rsidRDefault="00AF5D75">
      <w:pPr>
        <w:spacing w:before="0" w:after="0"/>
        <w:rPr>
          <w:color w:val="BFBFBF" w:themeColor="background1" w:themeShade="BF"/>
          <w:lang w:val="en-US" w:eastAsia="en-US"/>
        </w:rPr>
      </w:pPr>
      <w:r>
        <w:rPr>
          <w:color w:val="BFBFBF" w:themeColor="background1" w:themeShade="BF"/>
          <w:lang w:val="en-US" w:eastAsia="en-US"/>
        </w:rPr>
        <w:br w:type="page"/>
      </w:r>
    </w:p>
    <w:p w14:paraId="61983A77" w14:textId="77777777" w:rsidR="00AF5D75" w:rsidRDefault="00AF5D75" w:rsidP="00AF5D75">
      <w:pPr>
        <w:spacing w:before="0" w:after="0"/>
        <w:rPr>
          <w:color w:val="BFBFBF" w:themeColor="background1" w:themeShade="BF"/>
        </w:rPr>
        <w:sectPr w:rsidR="00AF5D75">
          <w:pgSz w:w="11906" w:h="16838"/>
          <w:pgMar w:top="1440" w:right="1440" w:bottom="1276" w:left="1440" w:header="720" w:footer="720" w:gutter="0"/>
          <w:paperSrc w:first="2" w:other="2"/>
          <w:cols w:space="720"/>
        </w:sectPr>
      </w:pPr>
    </w:p>
    <w:p w14:paraId="2807C1F8" w14:textId="77777777" w:rsidR="00AF5D75" w:rsidRPr="001F0103" w:rsidRDefault="00455052" w:rsidP="007B6365">
      <w:pPr>
        <w:pStyle w:val="Heading1"/>
        <w:numPr>
          <w:ilvl w:val="0"/>
          <w:numId w:val="0"/>
        </w:numPr>
      </w:pPr>
      <w:bookmarkStart w:id="165" w:name="_Ref499282992"/>
      <w:bookmarkStart w:id="166" w:name="_Ref499283074"/>
      <w:bookmarkStart w:id="167" w:name="_Toc499293063"/>
      <w:r>
        <w:lastRenderedPageBreak/>
        <w:t>Appendix B</w:t>
      </w:r>
      <w:r w:rsidR="006C0FE3">
        <w:t xml:space="preserve"> –</w:t>
      </w:r>
      <w:r>
        <w:t xml:space="preserve"> </w:t>
      </w:r>
      <w:r w:rsidR="00AF5D75" w:rsidRPr="001F0103">
        <w:t>Summary for consumers</w:t>
      </w:r>
      <w:bookmarkEnd w:id="165"/>
      <w:bookmarkEnd w:id="166"/>
      <w:bookmarkEnd w:id="167"/>
    </w:p>
    <w:p w14:paraId="4CA91FA9" w14:textId="77777777" w:rsidR="007878CD" w:rsidRDefault="007878CD" w:rsidP="00E95F8E">
      <w:bookmarkStart w:id="168" w:name="_Toc459291163"/>
      <w:r w:rsidRPr="007878CD">
        <w:t>This summary describes the medical service, the recommendations of the clinical experts and why the recommendation(s) has been made.</w:t>
      </w:r>
    </w:p>
    <w:bookmarkEnd w:id="168"/>
    <w:p w14:paraId="0F3064B3" w14:textId="77777777" w:rsidR="00A6399C" w:rsidRPr="00A6399C" w:rsidRDefault="00A6399C" w:rsidP="00E95F8E"/>
    <w:tbl>
      <w:tblPr>
        <w:tblStyle w:val="TableGrid"/>
        <w:tblW w:w="14142"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27"/>
        <w:gridCol w:w="372"/>
        <w:gridCol w:w="2340"/>
        <w:gridCol w:w="3257"/>
        <w:gridCol w:w="2845"/>
        <w:gridCol w:w="4101"/>
      </w:tblGrid>
      <w:tr w:rsidR="00A6399C" w14:paraId="182144D3" w14:textId="77777777" w:rsidTr="009B2D7B">
        <w:trPr>
          <w:cantSplit/>
          <w:tblHeader/>
        </w:trPr>
        <w:tc>
          <w:tcPr>
            <w:tcW w:w="14142" w:type="dxa"/>
            <w:gridSpan w:val="6"/>
            <w:tcBorders>
              <w:top w:val="single" w:sz="4" w:space="0" w:color="B56011"/>
              <w:left w:val="nil"/>
              <w:bottom w:val="single" w:sz="4" w:space="0" w:color="B56011"/>
              <w:right w:val="nil"/>
            </w:tcBorders>
            <w:shd w:val="clear" w:color="auto" w:fill="EEECE1" w:themeFill="background2"/>
            <w:hideMark/>
          </w:tcPr>
          <w:p w14:paraId="4E93D362" w14:textId="77777777" w:rsidR="00A6399C" w:rsidRPr="00E70DCB" w:rsidRDefault="00A6399C" w:rsidP="00B708EA">
            <w:pPr>
              <w:spacing w:before="40" w:after="40"/>
              <w:rPr>
                <w:rFonts w:cs="Arial"/>
                <w:color w:val="BFBFBF" w:themeColor="background1" w:themeShade="BF"/>
                <w:sz w:val="18"/>
                <w:szCs w:val="18"/>
                <w:lang w:val="en-US" w:eastAsia="en-US"/>
              </w:rPr>
            </w:pPr>
            <w:r w:rsidRPr="00E70DCB">
              <w:rPr>
                <w:b/>
              </w:rPr>
              <w:t xml:space="preserve">Recommendation 1: Coeliac disease </w:t>
            </w:r>
            <w:r w:rsidR="00B708EA">
              <w:rPr>
                <w:b/>
              </w:rPr>
              <w:t>tests</w:t>
            </w:r>
          </w:p>
        </w:tc>
      </w:tr>
      <w:tr w:rsidR="00A6399C" w14:paraId="7B309D29" w14:textId="77777777" w:rsidTr="009B2D7B">
        <w:trPr>
          <w:cantSplit/>
        </w:trPr>
        <w:tc>
          <w:tcPr>
            <w:tcW w:w="1599" w:type="dxa"/>
            <w:gridSpan w:val="2"/>
            <w:tcBorders>
              <w:top w:val="single" w:sz="4" w:space="0" w:color="B56011"/>
              <w:left w:val="nil"/>
              <w:bottom w:val="single" w:sz="4" w:space="0" w:color="B56011"/>
              <w:right w:val="nil"/>
            </w:tcBorders>
            <w:hideMark/>
          </w:tcPr>
          <w:p w14:paraId="4F5A0D8C" w14:textId="77777777" w:rsidR="00A6399C" w:rsidRPr="00E70DCB" w:rsidRDefault="00A6399C" w:rsidP="00A6399C">
            <w:pPr>
              <w:spacing w:before="40" w:after="40"/>
              <w:rPr>
                <w:rFonts w:cs="Arial"/>
                <w:b/>
                <w:sz w:val="18"/>
                <w:szCs w:val="18"/>
                <w:lang w:val="en-US" w:eastAsia="en-US"/>
              </w:rPr>
            </w:pPr>
            <w:r w:rsidRPr="00E70DCB">
              <w:rPr>
                <w:rFonts w:cs="Arial"/>
                <w:b/>
                <w:sz w:val="18"/>
                <w:szCs w:val="18"/>
                <w:lang w:val="en-US" w:eastAsia="en-US"/>
              </w:rPr>
              <w:t>Item</w:t>
            </w:r>
            <w:r>
              <w:rPr>
                <w:rFonts w:cs="Arial"/>
                <w:b/>
                <w:sz w:val="18"/>
                <w:szCs w:val="18"/>
                <w:lang w:val="en-US" w:eastAsia="en-US"/>
              </w:rPr>
              <w:t>s</w:t>
            </w:r>
          </w:p>
        </w:tc>
        <w:tc>
          <w:tcPr>
            <w:tcW w:w="2340" w:type="dxa"/>
            <w:tcBorders>
              <w:top w:val="single" w:sz="4" w:space="0" w:color="B56011"/>
              <w:left w:val="nil"/>
              <w:bottom w:val="single" w:sz="4" w:space="0" w:color="B56011"/>
              <w:right w:val="nil"/>
            </w:tcBorders>
            <w:hideMark/>
          </w:tcPr>
          <w:p w14:paraId="4CC684DB" w14:textId="77777777" w:rsidR="00A6399C" w:rsidRPr="00E70DCB" w:rsidRDefault="00A6399C" w:rsidP="00A6399C">
            <w:pPr>
              <w:spacing w:before="40" w:after="40"/>
              <w:rPr>
                <w:rFonts w:cs="Arial"/>
                <w:b/>
                <w:sz w:val="18"/>
                <w:szCs w:val="18"/>
                <w:lang w:val="en-US" w:eastAsia="en-US"/>
              </w:rPr>
            </w:pPr>
            <w:r w:rsidRPr="00E70DCB">
              <w:rPr>
                <w:rFonts w:cs="Arial"/>
                <w:b/>
                <w:sz w:val="18"/>
                <w:szCs w:val="18"/>
                <w:lang w:val="en-US" w:eastAsia="en-US"/>
              </w:rPr>
              <w:t>What it does</w:t>
            </w:r>
          </w:p>
        </w:tc>
        <w:tc>
          <w:tcPr>
            <w:tcW w:w="3257" w:type="dxa"/>
            <w:tcBorders>
              <w:top w:val="single" w:sz="4" w:space="0" w:color="B56011"/>
              <w:left w:val="nil"/>
              <w:bottom w:val="single" w:sz="4" w:space="0" w:color="B56011"/>
              <w:right w:val="nil"/>
            </w:tcBorders>
            <w:hideMark/>
          </w:tcPr>
          <w:p w14:paraId="76E3ACF5" w14:textId="77777777" w:rsidR="00A6399C" w:rsidRPr="00E70DCB" w:rsidRDefault="00A6399C" w:rsidP="00A6399C">
            <w:pPr>
              <w:spacing w:before="40" w:after="40"/>
              <w:jc w:val="center"/>
              <w:rPr>
                <w:rFonts w:cs="Arial"/>
                <w:b/>
                <w:sz w:val="18"/>
                <w:szCs w:val="18"/>
                <w:lang w:val="en-US" w:eastAsia="en-US"/>
              </w:rPr>
            </w:pPr>
            <w:r w:rsidRPr="00E70DCB">
              <w:rPr>
                <w:rFonts w:cs="Arial"/>
                <w:b/>
                <w:sz w:val="18"/>
                <w:szCs w:val="18"/>
                <w:lang w:val="en-US" w:eastAsia="en-US"/>
              </w:rPr>
              <w:t>Committee recommendation</w:t>
            </w:r>
          </w:p>
        </w:tc>
        <w:tc>
          <w:tcPr>
            <w:tcW w:w="2845" w:type="dxa"/>
            <w:tcBorders>
              <w:top w:val="single" w:sz="4" w:space="0" w:color="B56011"/>
              <w:left w:val="nil"/>
              <w:bottom w:val="single" w:sz="4" w:space="0" w:color="B56011"/>
              <w:right w:val="nil"/>
            </w:tcBorders>
            <w:hideMark/>
          </w:tcPr>
          <w:p w14:paraId="176F2652" w14:textId="77777777" w:rsidR="00A6399C" w:rsidRPr="00E70DCB" w:rsidRDefault="00A6399C" w:rsidP="00A6399C">
            <w:pPr>
              <w:spacing w:before="40" w:after="40"/>
              <w:jc w:val="center"/>
              <w:rPr>
                <w:rFonts w:cs="Arial"/>
                <w:b/>
                <w:sz w:val="18"/>
                <w:szCs w:val="18"/>
                <w:lang w:val="en-US" w:eastAsia="en-US"/>
              </w:rPr>
            </w:pPr>
            <w:r w:rsidRPr="00E70DCB">
              <w:rPr>
                <w:rFonts w:cs="Arial"/>
                <w:b/>
                <w:sz w:val="18"/>
                <w:szCs w:val="18"/>
                <w:lang w:val="en-US" w:eastAsia="en-US"/>
              </w:rPr>
              <w:t>What would be different</w:t>
            </w:r>
          </w:p>
        </w:tc>
        <w:tc>
          <w:tcPr>
            <w:tcW w:w="4101" w:type="dxa"/>
            <w:tcBorders>
              <w:top w:val="single" w:sz="4" w:space="0" w:color="B56011"/>
              <w:left w:val="nil"/>
              <w:bottom w:val="single" w:sz="4" w:space="0" w:color="B56011"/>
              <w:right w:val="nil"/>
            </w:tcBorders>
            <w:hideMark/>
          </w:tcPr>
          <w:p w14:paraId="1E1DE03F" w14:textId="77777777" w:rsidR="00A6399C" w:rsidRPr="00E70DCB" w:rsidRDefault="00A6399C" w:rsidP="00A6399C">
            <w:pPr>
              <w:spacing w:before="40" w:after="40"/>
              <w:jc w:val="center"/>
              <w:rPr>
                <w:rFonts w:cs="Arial"/>
                <w:b/>
                <w:sz w:val="18"/>
                <w:szCs w:val="18"/>
                <w:lang w:val="en-US" w:eastAsia="en-US"/>
              </w:rPr>
            </w:pPr>
            <w:r w:rsidRPr="00E70DCB">
              <w:rPr>
                <w:rFonts w:cs="Arial"/>
                <w:b/>
                <w:sz w:val="18"/>
                <w:szCs w:val="18"/>
                <w:lang w:val="en-US" w:eastAsia="en-US"/>
              </w:rPr>
              <w:t>Why</w:t>
            </w:r>
          </w:p>
        </w:tc>
      </w:tr>
      <w:tr w:rsidR="00A6399C" w14:paraId="19C35A27" w14:textId="77777777" w:rsidTr="009B2D7B">
        <w:trPr>
          <w:cantSplit/>
        </w:trPr>
        <w:tc>
          <w:tcPr>
            <w:tcW w:w="1227" w:type="dxa"/>
            <w:tcBorders>
              <w:top w:val="single" w:sz="4" w:space="0" w:color="B56011"/>
              <w:left w:val="nil"/>
              <w:bottom w:val="single" w:sz="4" w:space="0" w:color="B56011"/>
              <w:right w:val="nil"/>
            </w:tcBorders>
            <w:hideMark/>
          </w:tcPr>
          <w:p w14:paraId="130A2AA7" w14:textId="77777777" w:rsidR="00A6399C" w:rsidRDefault="00A6399C" w:rsidP="00A6399C">
            <w:pPr>
              <w:spacing w:before="40" w:after="40"/>
              <w:rPr>
                <w:rFonts w:cs="Arial"/>
                <w:b/>
                <w:color w:val="BFBFBF" w:themeColor="background1" w:themeShade="BF"/>
                <w:sz w:val="18"/>
                <w:szCs w:val="18"/>
                <w:lang w:val="en-US" w:eastAsia="en-US"/>
              </w:rPr>
            </w:pPr>
            <w:r w:rsidRPr="00E70DCB">
              <w:rPr>
                <w:rFonts w:cs="Arial"/>
                <w:b/>
                <w:sz w:val="18"/>
                <w:szCs w:val="18"/>
              </w:rPr>
              <w:t>71163, 71164</w:t>
            </w:r>
          </w:p>
        </w:tc>
        <w:tc>
          <w:tcPr>
            <w:tcW w:w="2712" w:type="dxa"/>
            <w:gridSpan w:val="2"/>
            <w:tcBorders>
              <w:top w:val="single" w:sz="4" w:space="0" w:color="B56011"/>
              <w:left w:val="nil"/>
              <w:bottom w:val="single" w:sz="4" w:space="0" w:color="B56011"/>
              <w:right w:val="nil"/>
            </w:tcBorders>
            <w:hideMark/>
          </w:tcPr>
          <w:p w14:paraId="08130CC8" w14:textId="77777777" w:rsidR="00A6399C" w:rsidRDefault="00B708EA" w:rsidP="00E32CD1">
            <w:pPr>
              <w:spacing w:before="40" w:after="40"/>
              <w:rPr>
                <w:rFonts w:cs="Arial"/>
                <w:color w:val="BFBFBF" w:themeColor="background1" w:themeShade="BF"/>
                <w:sz w:val="18"/>
                <w:szCs w:val="18"/>
              </w:rPr>
            </w:pPr>
            <w:r>
              <w:rPr>
                <w:rFonts w:cs="Arial"/>
                <w:sz w:val="18"/>
                <w:szCs w:val="18"/>
              </w:rPr>
              <w:t>These tests detect one (71163) or more (71164) immune-responses to gluten. They are used to diagnose coeliac disease or gluten-hypersensitivity syndromes.</w:t>
            </w:r>
          </w:p>
        </w:tc>
        <w:tc>
          <w:tcPr>
            <w:tcW w:w="3257" w:type="dxa"/>
            <w:tcBorders>
              <w:top w:val="single" w:sz="4" w:space="0" w:color="B56011"/>
              <w:left w:val="nil"/>
              <w:bottom w:val="single" w:sz="4" w:space="0" w:color="B56011"/>
              <w:right w:val="nil"/>
            </w:tcBorders>
            <w:hideMark/>
          </w:tcPr>
          <w:p w14:paraId="5DDE0C67" w14:textId="77777777" w:rsidR="00E32CD1" w:rsidRDefault="000F227B" w:rsidP="000F227B">
            <w:pPr>
              <w:spacing w:before="40" w:after="40"/>
              <w:rPr>
                <w:rFonts w:cs="Arial"/>
                <w:sz w:val="18"/>
                <w:szCs w:val="18"/>
              </w:rPr>
            </w:pPr>
            <w:r w:rsidRPr="000F227B">
              <w:rPr>
                <w:rFonts w:cs="Arial"/>
                <w:sz w:val="18"/>
                <w:szCs w:val="18"/>
              </w:rPr>
              <w:t>Advise health professionals on the appropriate use of the</w:t>
            </w:r>
            <w:r w:rsidR="00B708EA">
              <w:rPr>
                <w:rFonts w:cs="Arial"/>
                <w:sz w:val="18"/>
                <w:szCs w:val="18"/>
              </w:rPr>
              <w:t>se tests</w:t>
            </w:r>
            <w:r w:rsidR="00E32CD1">
              <w:rPr>
                <w:rFonts w:cs="Arial"/>
                <w:sz w:val="18"/>
                <w:szCs w:val="18"/>
              </w:rPr>
              <w:t>.</w:t>
            </w:r>
          </w:p>
          <w:p w14:paraId="2A8EAAA7" w14:textId="77777777" w:rsidR="00E32CD1" w:rsidRDefault="00E32CD1" w:rsidP="000F227B">
            <w:pPr>
              <w:spacing w:before="40" w:after="40"/>
              <w:rPr>
                <w:rFonts w:cs="Arial"/>
                <w:sz w:val="18"/>
                <w:szCs w:val="18"/>
              </w:rPr>
            </w:pPr>
          </w:p>
          <w:p w14:paraId="3E359D56" w14:textId="77777777" w:rsidR="00A6399C" w:rsidRPr="00E70DCB" w:rsidRDefault="00A6399C" w:rsidP="00D77C5F">
            <w:pPr>
              <w:spacing w:before="40" w:after="40"/>
              <w:rPr>
                <w:rFonts w:cs="Arial"/>
                <w:color w:val="BFBFBF" w:themeColor="background1" w:themeShade="BF"/>
                <w:sz w:val="18"/>
                <w:szCs w:val="18"/>
                <w:lang w:val="en-US" w:eastAsia="en-US"/>
              </w:rPr>
            </w:pPr>
            <w:r>
              <w:rPr>
                <w:rFonts w:cs="Arial"/>
                <w:sz w:val="18"/>
                <w:szCs w:val="18"/>
              </w:rPr>
              <w:t>Limit testing to four times a year per patient</w:t>
            </w:r>
          </w:p>
        </w:tc>
        <w:tc>
          <w:tcPr>
            <w:tcW w:w="2845" w:type="dxa"/>
            <w:tcBorders>
              <w:top w:val="single" w:sz="4" w:space="0" w:color="B56011"/>
              <w:left w:val="nil"/>
              <w:bottom w:val="single" w:sz="4" w:space="0" w:color="B56011"/>
              <w:right w:val="nil"/>
            </w:tcBorders>
          </w:tcPr>
          <w:p w14:paraId="29E1CFD3" w14:textId="77777777" w:rsidR="00A6399C" w:rsidRDefault="00A6399C" w:rsidP="00B708EA">
            <w:pPr>
              <w:spacing w:before="40" w:after="40"/>
              <w:rPr>
                <w:rFonts w:cs="Arial"/>
                <w:b/>
                <w:color w:val="BFBFBF" w:themeColor="background1" w:themeShade="BF"/>
                <w:sz w:val="18"/>
                <w:szCs w:val="18"/>
                <w:lang w:val="en-US" w:eastAsia="en-US"/>
              </w:rPr>
            </w:pPr>
            <w:r w:rsidRPr="00E70DCB">
              <w:rPr>
                <w:rFonts w:cs="Arial"/>
                <w:sz w:val="18"/>
                <w:szCs w:val="18"/>
              </w:rPr>
              <w:t xml:space="preserve">The </w:t>
            </w:r>
            <w:r>
              <w:rPr>
                <w:rFonts w:cs="Arial"/>
                <w:sz w:val="18"/>
                <w:szCs w:val="18"/>
              </w:rPr>
              <w:t xml:space="preserve">description of the </w:t>
            </w:r>
            <w:r w:rsidRPr="00E70DCB">
              <w:rPr>
                <w:rFonts w:cs="Arial"/>
                <w:sz w:val="18"/>
                <w:szCs w:val="18"/>
              </w:rPr>
              <w:t xml:space="preserve">test would be </w:t>
            </w:r>
            <w:r>
              <w:rPr>
                <w:rFonts w:cs="Arial"/>
                <w:sz w:val="18"/>
                <w:szCs w:val="18"/>
              </w:rPr>
              <w:t>changed to reflect the</w:t>
            </w:r>
            <w:r w:rsidR="00B708EA">
              <w:rPr>
                <w:rFonts w:cs="Arial"/>
                <w:sz w:val="18"/>
                <w:szCs w:val="18"/>
              </w:rPr>
              <w:t xml:space="preserve"> Committee’s</w:t>
            </w:r>
            <w:r>
              <w:rPr>
                <w:rFonts w:cs="Arial"/>
                <w:sz w:val="18"/>
                <w:szCs w:val="18"/>
              </w:rPr>
              <w:t xml:space="preserve"> recommendations, so that only at-risk people qualify for testing</w:t>
            </w:r>
          </w:p>
        </w:tc>
        <w:tc>
          <w:tcPr>
            <w:tcW w:w="4101" w:type="dxa"/>
            <w:tcBorders>
              <w:top w:val="single" w:sz="4" w:space="0" w:color="B56011"/>
              <w:left w:val="nil"/>
              <w:bottom w:val="single" w:sz="4" w:space="0" w:color="B56011"/>
              <w:right w:val="nil"/>
            </w:tcBorders>
            <w:hideMark/>
          </w:tcPr>
          <w:p w14:paraId="56EE947D" w14:textId="77777777" w:rsidR="00A6399C" w:rsidRDefault="00F34FDD" w:rsidP="00020F53">
            <w:pPr>
              <w:spacing w:before="40" w:after="40"/>
              <w:rPr>
                <w:rFonts w:cs="Arial"/>
                <w:b/>
                <w:color w:val="BFBFBF" w:themeColor="background1" w:themeShade="BF"/>
                <w:sz w:val="18"/>
                <w:szCs w:val="18"/>
                <w:lang w:val="en-US" w:eastAsia="en-US"/>
              </w:rPr>
            </w:pPr>
            <w:r>
              <w:rPr>
                <w:rFonts w:cs="Arial"/>
                <w:sz w:val="18"/>
                <w:szCs w:val="18"/>
              </w:rPr>
              <w:t>M</w:t>
            </w:r>
            <w:r w:rsidR="00A6399C">
              <w:rPr>
                <w:rFonts w:cs="Arial"/>
                <w:sz w:val="18"/>
                <w:szCs w:val="18"/>
              </w:rPr>
              <w:t>any</w:t>
            </w:r>
            <w:r w:rsidR="000F227B">
              <w:rPr>
                <w:rFonts w:cs="Arial"/>
                <w:sz w:val="18"/>
                <w:szCs w:val="18"/>
              </w:rPr>
              <w:t xml:space="preserve"> more</w:t>
            </w:r>
            <w:r w:rsidR="00A6399C">
              <w:rPr>
                <w:rFonts w:cs="Arial"/>
                <w:sz w:val="18"/>
                <w:szCs w:val="18"/>
              </w:rPr>
              <w:t xml:space="preserve"> people are being tested than end up having the condition, possibly because increased awareness campaigns about gluten intolerance have overstated how common coeliac disease is</w:t>
            </w:r>
            <w:r w:rsidR="00C37816">
              <w:rPr>
                <w:rFonts w:cs="Arial"/>
                <w:sz w:val="18"/>
                <w:szCs w:val="18"/>
              </w:rPr>
              <w:t>.</w:t>
            </w:r>
            <w:r w:rsidR="00A6399C">
              <w:t xml:space="preserve"> </w:t>
            </w:r>
          </w:p>
        </w:tc>
      </w:tr>
    </w:tbl>
    <w:p w14:paraId="76663C5E" w14:textId="77777777" w:rsidR="009B2D7B" w:rsidRDefault="009B2D7B"/>
    <w:tbl>
      <w:tblPr>
        <w:tblStyle w:val="TableGrid"/>
        <w:tblW w:w="14123"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78"/>
        <w:gridCol w:w="3205"/>
        <w:gridCol w:w="2713"/>
        <w:gridCol w:w="2986"/>
        <w:gridCol w:w="3941"/>
      </w:tblGrid>
      <w:tr w:rsidR="00024095" w14:paraId="2C0BBC5C" w14:textId="77777777" w:rsidTr="009B2D7B">
        <w:trPr>
          <w:cantSplit/>
          <w:tblHeader/>
        </w:trPr>
        <w:tc>
          <w:tcPr>
            <w:tcW w:w="14123" w:type="dxa"/>
            <w:gridSpan w:val="5"/>
            <w:tcBorders>
              <w:top w:val="single" w:sz="4" w:space="0" w:color="B56011"/>
              <w:left w:val="nil"/>
              <w:bottom w:val="single" w:sz="4" w:space="0" w:color="B56011"/>
              <w:right w:val="nil"/>
            </w:tcBorders>
            <w:shd w:val="clear" w:color="auto" w:fill="EEECE1" w:themeFill="background2"/>
          </w:tcPr>
          <w:p w14:paraId="4B26D6D0" w14:textId="77777777" w:rsidR="00024095" w:rsidRDefault="00024095" w:rsidP="00E32CD1">
            <w:pPr>
              <w:spacing w:before="40" w:after="40"/>
              <w:ind w:left="2019" w:hanging="2019"/>
              <w:rPr>
                <w:b/>
                <w:color w:val="BFBFBF" w:themeColor="background1" w:themeShade="BF"/>
              </w:rPr>
            </w:pPr>
            <w:r>
              <w:rPr>
                <w:b/>
              </w:rPr>
              <w:t>Recommendation 2</w:t>
            </w:r>
            <w:r w:rsidRPr="00C32944">
              <w:rPr>
                <w:b/>
              </w:rPr>
              <w:t xml:space="preserve">: </w:t>
            </w:r>
            <w:r w:rsidRPr="002D13DA">
              <w:rPr>
                <w:b/>
              </w:rPr>
              <w:t>Genotyping for coeliac disease risk for DQ2 and DQ8</w:t>
            </w:r>
          </w:p>
        </w:tc>
      </w:tr>
      <w:tr w:rsidR="00024095" w:rsidRPr="0065614A" w14:paraId="6EA13EC8" w14:textId="77777777" w:rsidTr="00024095">
        <w:trPr>
          <w:cantSplit/>
        </w:trPr>
        <w:tc>
          <w:tcPr>
            <w:tcW w:w="1278" w:type="dxa"/>
            <w:tcBorders>
              <w:top w:val="single" w:sz="4" w:space="0" w:color="B56011"/>
              <w:left w:val="nil"/>
              <w:bottom w:val="single" w:sz="4" w:space="0" w:color="B56011"/>
              <w:right w:val="nil"/>
            </w:tcBorders>
            <w:hideMark/>
          </w:tcPr>
          <w:p w14:paraId="5945E43F" w14:textId="77777777" w:rsidR="00024095" w:rsidRPr="0065614A" w:rsidRDefault="00024095" w:rsidP="001D52B6">
            <w:pPr>
              <w:spacing w:before="40" w:after="40"/>
              <w:rPr>
                <w:rFonts w:cs="Arial"/>
                <w:b/>
                <w:sz w:val="18"/>
                <w:szCs w:val="18"/>
                <w:lang w:val="en-US" w:eastAsia="en-US"/>
              </w:rPr>
            </w:pPr>
            <w:r w:rsidRPr="0065614A">
              <w:rPr>
                <w:rFonts w:cs="Arial"/>
                <w:b/>
                <w:sz w:val="18"/>
                <w:szCs w:val="18"/>
                <w:lang w:val="en-US" w:eastAsia="en-US"/>
              </w:rPr>
              <w:t>Item</w:t>
            </w:r>
          </w:p>
        </w:tc>
        <w:tc>
          <w:tcPr>
            <w:tcW w:w="3205" w:type="dxa"/>
            <w:tcBorders>
              <w:top w:val="single" w:sz="4" w:space="0" w:color="B56011"/>
              <w:left w:val="nil"/>
              <w:bottom w:val="single" w:sz="4" w:space="0" w:color="B56011"/>
              <w:right w:val="nil"/>
            </w:tcBorders>
            <w:hideMark/>
          </w:tcPr>
          <w:p w14:paraId="69522205" w14:textId="77777777" w:rsidR="00024095" w:rsidRPr="0065614A" w:rsidRDefault="00024095" w:rsidP="001D52B6">
            <w:pPr>
              <w:spacing w:before="40" w:after="40"/>
              <w:jc w:val="center"/>
              <w:rPr>
                <w:rFonts w:cs="Arial"/>
                <w:b/>
                <w:sz w:val="18"/>
                <w:szCs w:val="18"/>
                <w:lang w:val="en-US" w:eastAsia="en-US"/>
              </w:rPr>
            </w:pPr>
            <w:r w:rsidRPr="0065614A">
              <w:rPr>
                <w:rFonts w:cs="Arial"/>
                <w:b/>
                <w:sz w:val="18"/>
                <w:szCs w:val="18"/>
                <w:lang w:val="en-US" w:eastAsia="en-US"/>
              </w:rPr>
              <w:t>What it does</w:t>
            </w:r>
          </w:p>
        </w:tc>
        <w:tc>
          <w:tcPr>
            <w:tcW w:w="2713" w:type="dxa"/>
            <w:tcBorders>
              <w:top w:val="single" w:sz="4" w:space="0" w:color="B56011"/>
              <w:left w:val="nil"/>
              <w:bottom w:val="single" w:sz="4" w:space="0" w:color="B56011"/>
              <w:right w:val="nil"/>
            </w:tcBorders>
            <w:hideMark/>
          </w:tcPr>
          <w:p w14:paraId="0EF0118E" w14:textId="77777777" w:rsidR="00024095" w:rsidRPr="0065614A" w:rsidRDefault="00024095" w:rsidP="001D52B6">
            <w:pPr>
              <w:spacing w:before="40" w:after="40"/>
              <w:jc w:val="center"/>
              <w:rPr>
                <w:rFonts w:cs="Arial"/>
                <w:b/>
                <w:sz w:val="18"/>
                <w:szCs w:val="18"/>
                <w:lang w:val="en-US" w:eastAsia="en-US"/>
              </w:rPr>
            </w:pPr>
            <w:r w:rsidRPr="0065614A">
              <w:rPr>
                <w:rFonts w:cs="Arial"/>
                <w:b/>
                <w:sz w:val="18"/>
                <w:szCs w:val="18"/>
                <w:lang w:val="en-US" w:eastAsia="en-US"/>
              </w:rPr>
              <w:t>Committee recommendation</w:t>
            </w:r>
          </w:p>
        </w:tc>
        <w:tc>
          <w:tcPr>
            <w:tcW w:w="2986" w:type="dxa"/>
            <w:tcBorders>
              <w:top w:val="single" w:sz="4" w:space="0" w:color="B56011"/>
              <w:left w:val="nil"/>
              <w:bottom w:val="single" w:sz="4" w:space="0" w:color="B56011"/>
              <w:right w:val="nil"/>
            </w:tcBorders>
            <w:hideMark/>
          </w:tcPr>
          <w:p w14:paraId="2ADE321B" w14:textId="77777777" w:rsidR="00024095" w:rsidRPr="0065614A" w:rsidRDefault="00024095" w:rsidP="001D52B6">
            <w:pPr>
              <w:spacing w:before="40" w:after="40"/>
              <w:jc w:val="center"/>
              <w:rPr>
                <w:rFonts w:cs="Arial"/>
                <w:b/>
                <w:sz w:val="18"/>
                <w:szCs w:val="18"/>
                <w:lang w:val="en-US" w:eastAsia="en-US"/>
              </w:rPr>
            </w:pPr>
            <w:r w:rsidRPr="0065614A">
              <w:rPr>
                <w:rFonts w:cs="Arial"/>
                <w:b/>
                <w:sz w:val="18"/>
                <w:szCs w:val="18"/>
                <w:lang w:val="en-US" w:eastAsia="en-US"/>
              </w:rPr>
              <w:t>What would be different</w:t>
            </w:r>
          </w:p>
        </w:tc>
        <w:tc>
          <w:tcPr>
            <w:tcW w:w="3941" w:type="dxa"/>
            <w:tcBorders>
              <w:top w:val="single" w:sz="4" w:space="0" w:color="B56011"/>
              <w:left w:val="nil"/>
              <w:bottom w:val="single" w:sz="4" w:space="0" w:color="B56011"/>
              <w:right w:val="nil"/>
            </w:tcBorders>
            <w:hideMark/>
          </w:tcPr>
          <w:p w14:paraId="2934EE28" w14:textId="77777777" w:rsidR="00024095" w:rsidRPr="0065614A" w:rsidRDefault="00024095" w:rsidP="001D52B6">
            <w:pPr>
              <w:spacing w:before="40" w:after="40"/>
              <w:jc w:val="center"/>
              <w:rPr>
                <w:rFonts w:cs="Arial"/>
                <w:b/>
                <w:sz w:val="18"/>
                <w:szCs w:val="18"/>
                <w:lang w:val="en-US" w:eastAsia="en-US"/>
              </w:rPr>
            </w:pPr>
            <w:r w:rsidRPr="0065614A">
              <w:rPr>
                <w:rFonts w:cs="Arial"/>
                <w:b/>
                <w:sz w:val="18"/>
                <w:szCs w:val="18"/>
                <w:lang w:val="en-US" w:eastAsia="en-US"/>
              </w:rPr>
              <w:t>Why</w:t>
            </w:r>
          </w:p>
        </w:tc>
      </w:tr>
      <w:tr w:rsidR="00024095" w:rsidRPr="0065614A" w14:paraId="24535345" w14:textId="77777777" w:rsidTr="00024095">
        <w:trPr>
          <w:cantSplit/>
        </w:trPr>
        <w:tc>
          <w:tcPr>
            <w:tcW w:w="1278" w:type="dxa"/>
            <w:tcBorders>
              <w:top w:val="single" w:sz="4" w:space="0" w:color="B56011"/>
              <w:left w:val="nil"/>
              <w:bottom w:val="single" w:sz="4" w:space="0" w:color="B56011"/>
              <w:right w:val="nil"/>
            </w:tcBorders>
          </w:tcPr>
          <w:p w14:paraId="3AF27F16" w14:textId="77777777" w:rsidR="00024095" w:rsidRPr="0065614A" w:rsidRDefault="00024095" w:rsidP="001D52B6">
            <w:pPr>
              <w:spacing w:before="40" w:after="40"/>
              <w:rPr>
                <w:rFonts w:cs="Arial"/>
                <w:b/>
                <w:sz w:val="18"/>
                <w:szCs w:val="18"/>
                <w:lang w:val="en-US" w:eastAsia="en-US"/>
              </w:rPr>
            </w:pPr>
            <w:r>
              <w:rPr>
                <w:rFonts w:cs="Arial"/>
                <w:b/>
                <w:sz w:val="18"/>
                <w:szCs w:val="18"/>
                <w:lang w:val="en-US" w:eastAsia="en-US"/>
              </w:rPr>
              <w:t>71151 and new item</w:t>
            </w:r>
          </w:p>
        </w:tc>
        <w:tc>
          <w:tcPr>
            <w:tcW w:w="3205" w:type="dxa"/>
            <w:tcBorders>
              <w:top w:val="single" w:sz="4" w:space="0" w:color="B56011"/>
              <w:left w:val="nil"/>
              <w:bottom w:val="single" w:sz="4" w:space="0" w:color="B56011"/>
              <w:right w:val="nil"/>
            </w:tcBorders>
          </w:tcPr>
          <w:p w14:paraId="04022F5C" w14:textId="77777777" w:rsidR="00E32CD1" w:rsidRDefault="000B30FF" w:rsidP="00D77C5F">
            <w:pPr>
              <w:spacing w:before="40" w:after="40"/>
              <w:rPr>
                <w:rFonts w:cs="Arial"/>
                <w:sz w:val="18"/>
                <w:szCs w:val="18"/>
              </w:rPr>
            </w:pPr>
            <w:r>
              <w:rPr>
                <w:rFonts w:cs="Arial"/>
                <w:sz w:val="18"/>
                <w:szCs w:val="18"/>
              </w:rPr>
              <w:t>This item provides rebates for ‘tissue typing’ tests, which are needed when transplanting organs and tissues.</w:t>
            </w:r>
          </w:p>
          <w:p w14:paraId="62DF9105" w14:textId="77777777" w:rsidR="00E32CD1" w:rsidRDefault="00E32CD1" w:rsidP="00D77C5F">
            <w:pPr>
              <w:spacing w:before="40" w:after="40"/>
              <w:rPr>
                <w:rFonts w:cs="Arial"/>
                <w:sz w:val="18"/>
                <w:szCs w:val="18"/>
              </w:rPr>
            </w:pPr>
          </w:p>
          <w:p w14:paraId="35CB5A4A" w14:textId="77777777" w:rsidR="000B30FF" w:rsidRPr="0065614A" w:rsidRDefault="000B30FF">
            <w:pPr>
              <w:spacing w:before="40" w:after="40"/>
              <w:rPr>
                <w:rFonts w:cs="Arial"/>
                <w:sz w:val="18"/>
                <w:szCs w:val="18"/>
              </w:rPr>
            </w:pPr>
            <w:r>
              <w:rPr>
                <w:rFonts w:cs="Arial"/>
                <w:sz w:val="18"/>
                <w:szCs w:val="18"/>
              </w:rPr>
              <w:t>This item can currently be used to test for the ‘DQ2’ and ‘DQ8’ genes, which can indicate whether a person has coeliac disease.</w:t>
            </w:r>
          </w:p>
        </w:tc>
        <w:tc>
          <w:tcPr>
            <w:tcW w:w="2713" w:type="dxa"/>
            <w:tcBorders>
              <w:top w:val="single" w:sz="4" w:space="0" w:color="B56011"/>
              <w:left w:val="nil"/>
              <w:bottom w:val="single" w:sz="4" w:space="0" w:color="B56011"/>
              <w:right w:val="nil"/>
            </w:tcBorders>
          </w:tcPr>
          <w:p w14:paraId="55538AD2" w14:textId="77777777" w:rsidR="00E32CD1" w:rsidRDefault="00024095" w:rsidP="001D52B6">
            <w:pPr>
              <w:spacing w:before="40" w:after="40"/>
              <w:rPr>
                <w:rFonts w:cs="Arial"/>
                <w:sz w:val="18"/>
                <w:szCs w:val="18"/>
              </w:rPr>
            </w:pPr>
            <w:r>
              <w:rPr>
                <w:rFonts w:cs="Arial"/>
                <w:sz w:val="18"/>
                <w:szCs w:val="18"/>
              </w:rPr>
              <w:t>Change the description of the existing item to prevent it from being used to check for coeliac disease.</w:t>
            </w:r>
          </w:p>
          <w:p w14:paraId="01016E23" w14:textId="77777777" w:rsidR="00E32CD1" w:rsidRDefault="00E32CD1" w:rsidP="001D52B6">
            <w:pPr>
              <w:spacing w:before="40" w:after="40"/>
              <w:rPr>
                <w:rFonts w:cs="Arial"/>
                <w:sz w:val="18"/>
                <w:szCs w:val="18"/>
              </w:rPr>
            </w:pPr>
          </w:p>
          <w:p w14:paraId="2EEAF202" w14:textId="77777777" w:rsidR="00024095" w:rsidRPr="0065614A" w:rsidRDefault="00024095" w:rsidP="001D52B6">
            <w:pPr>
              <w:spacing w:before="40" w:after="40"/>
              <w:rPr>
                <w:rFonts w:cs="Arial"/>
                <w:sz w:val="18"/>
                <w:szCs w:val="18"/>
              </w:rPr>
            </w:pPr>
            <w:r>
              <w:rPr>
                <w:rFonts w:cs="Arial"/>
                <w:sz w:val="18"/>
                <w:szCs w:val="18"/>
              </w:rPr>
              <w:t>Create a new item to use</w:t>
            </w:r>
            <w:r w:rsidR="000B30FF">
              <w:rPr>
                <w:rFonts w:cs="Arial"/>
                <w:sz w:val="18"/>
                <w:szCs w:val="18"/>
              </w:rPr>
              <w:t xml:space="preserve"> specifically</w:t>
            </w:r>
            <w:r>
              <w:rPr>
                <w:rFonts w:cs="Arial"/>
                <w:sz w:val="18"/>
                <w:szCs w:val="18"/>
              </w:rPr>
              <w:t xml:space="preserve"> for checking </w:t>
            </w:r>
            <w:r w:rsidR="000B30FF">
              <w:rPr>
                <w:rFonts w:cs="Arial"/>
                <w:sz w:val="18"/>
                <w:szCs w:val="18"/>
              </w:rPr>
              <w:t xml:space="preserve">for </w:t>
            </w:r>
            <w:r>
              <w:rPr>
                <w:rFonts w:cs="Arial"/>
                <w:sz w:val="18"/>
                <w:szCs w:val="18"/>
              </w:rPr>
              <w:t>coeliac disease and limit it to twice a year per patient</w:t>
            </w:r>
            <w:r w:rsidR="000B30FF">
              <w:rPr>
                <w:rFonts w:cs="Arial"/>
                <w:sz w:val="18"/>
                <w:szCs w:val="18"/>
              </w:rPr>
              <w:t>.</w:t>
            </w:r>
          </w:p>
        </w:tc>
        <w:tc>
          <w:tcPr>
            <w:tcW w:w="2986" w:type="dxa"/>
            <w:tcBorders>
              <w:top w:val="single" w:sz="4" w:space="0" w:color="B56011"/>
              <w:left w:val="nil"/>
              <w:bottom w:val="single" w:sz="4" w:space="0" w:color="B56011"/>
              <w:right w:val="nil"/>
            </w:tcBorders>
          </w:tcPr>
          <w:p w14:paraId="06530089" w14:textId="77777777" w:rsidR="00024095" w:rsidRPr="0065614A" w:rsidRDefault="00024095" w:rsidP="001D52B6">
            <w:pPr>
              <w:spacing w:before="40" w:after="40"/>
              <w:ind w:left="57" w:right="57"/>
              <w:rPr>
                <w:rFonts w:cs="Arial"/>
                <w:sz w:val="18"/>
                <w:szCs w:val="18"/>
              </w:rPr>
            </w:pPr>
            <w:r>
              <w:rPr>
                <w:rFonts w:cs="Arial"/>
                <w:sz w:val="18"/>
                <w:szCs w:val="18"/>
              </w:rPr>
              <w:t>Only the new test would be used to check for</w:t>
            </w:r>
            <w:r w:rsidR="000B30FF">
              <w:rPr>
                <w:rFonts w:cs="Arial"/>
                <w:sz w:val="18"/>
                <w:szCs w:val="18"/>
              </w:rPr>
              <w:t xml:space="preserve"> the</w:t>
            </w:r>
            <w:r>
              <w:rPr>
                <w:rFonts w:cs="Arial"/>
                <w:sz w:val="18"/>
                <w:szCs w:val="18"/>
              </w:rPr>
              <w:t xml:space="preserve"> possibility coeliac disease</w:t>
            </w:r>
          </w:p>
        </w:tc>
        <w:tc>
          <w:tcPr>
            <w:tcW w:w="3941" w:type="dxa"/>
            <w:tcBorders>
              <w:top w:val="single" w:sz="4" w:space="0" w:color="B56011"/>
              <w:left w:val="nil"/>
              <w:bottom w:val="single" w:sz="4" w:space="0" w:color="B56011"/>
              <w:right w:val="nil"/>
            </w:tcBorders>
          </w:tcPr>
          <w:p w14:paraId="39484387" w14:textId="77777777" w:rsidR="00024095" w:rsidRPr="0065614A" w:rsidRDefault="00024095" w:rsidP="001D52B6">
            <w:pPr>
              <w:spacing w:before="40" w:after="40"/>
              <w:rPr>
                <w:rFonts w:cs="Arial"/>
                <w:sz w:val="18"/>
                <w:szCs w:val="18"/>
              </w:rPr>
            </w:pPr>
            <w:r>
              <w:rPr>
                <w:rFonts w:cs="Arial"/>
                <w:sz w:val="18"/>
                <w:szCs w:val="18"/>
              </w:rPr>
              <w:t>It is likely that requests for testing tissue types in possible coeliac disease are being included under existing item 71151, which includes other tests not related to coeliac disease</w:t>
            </w:r>
            <w:r w:rsidR="000B30FF">
              <w:rPr>
                <w:rFonts w:cs="Arial"/>
                <w:sz w:val="18"/>
                <w:szCs w:val="18"/>
              </w:rPr>
              <w:t>.</w:t>
            </w:r>
          </w:p>
        </w:tc>
      </w:tr>
    </w:tbl>
    <w:p w14:paraId="2BAE494C" w14:textId="77777777" w:rsidR="00B708EA" w:rsidRDefault="00B708EA">
      <w:pPr>
        <w:spacing w:before="0" w:after="0"/>
      </w:pPr>
      <w:r>
        <w:br w:type="page"/>
      </w:r>
    </w:p>
    <w:tbl>
      <w:tblPr>
        <w:tblStyle w:val="TableGrid"/>
        <w:tblW w:w="13521"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27"/>
        <w:gridCol w:w="372"/>
        <w:gridCol w:w="2340"/>
        <w:gridCol w:w="3257"/>
        <w:gridCol w:w="2845"/>
        <w:gridCol w:w="3480"/>
      </w:tblGrid>
      <w:tr w:rsidR="00A6399C" w14:paraId="77133159" w14:textId="77777777" w:rsidTr="009B2D7B">
        <w:trPr>
          <w:cantSplit/>
          <w:tblHeader/>
        </w:trPr>
        <w:tc>
          <w:tcPr>
            <w:tcW w:w="13521" w:type="dxa"/>
            <w:gridSpan w:val="6"/>
            <w:tcBorders>
              <w:top w:val="single" w:sz="4" w:space="0" w:color="B56011"/>
              <w:left w:val="nil"/>
              <w:bottom w:val="single" w:sz="4" w:space="0" w:color="B56011"/>
              <w:right w:val="nil"/>
            </w:tcBorders>
            <w:shd w:val="clear" w:color="auto" w:fill="EEECE1" w:themeFill="background2"/>
            <w:hideMark/>
          </w:tcPr>
          <w:p w14:paraId="583EAA2C" w14:textId="77777777" w:rsidR="00A6399C" w:rsidRPr="00E70DCB" w:rsidRDefault="00A6399C" w:rsidP="00E32CD1">
            <w:pPr>
              <w:spacing w:before="40" w:after="40"/>
              <w:rPr>
                <w:rFonts w:cs="Arial"/>
                <w:color w:val="BFBFBF" w:themeColor="background1" w:themeShade="BF"/>
                <w:sz w:val="18"/>
                <w:szCs w:val="18"/>
                <w:lang w:val="en-US" w:eastAsia="en-US"/>
              </w:rPr>
            </w:pPr>
            <w:r w:rsidRPr="00E70DCB">
              <w:rPr>
                <w:b/>
              </w:rPr>
              <w:lastRenderedPageBreak/>
              <w:t xml:space="preserve">Recommendation </w:t>
            </w:r>
            <w:r w:rsidR="00B708EA">
              <w:rPr>
                <w:b/>
              </w:rPr>
              <w:t>3</w:t>
            </w:r>
            <w:r w:rsidRPr="00E70DCB">
              <w:rPr>
                <w:b/>
              </w:rPr>
              <w:t xml:space="preserve">: </w:t>
            </w:r>
            <w:r w:rsidRPr="00B9137A">
              <w:rPr>
                <w:b/>
              </w:rPr>
              <w:t>Specific immunoglobulin E antibodies</w:t>
            </w:r>
          </w:p>
        </w:tc>
      </w:tr>
      <w:tr w:rsidR="00A6399C" w14:paraId="20619A20" w14:textId="77777777" w:rsidTr="00B708EA">
        <w:trPr>
          <w:cantSplit/>
        </w:trPr>
        <w:tc>
          <w:tcPr>
            <w:tcW w:w="1599" w:type="dxa"/>
            <w:gridSpan w:val="2"/>
            <w:tcBorders>
              <w:top w:val="single" w:sz="4" w:space="0" w:color="B56011"/>
              <w:left w:val="nil"/>
              <w:bottom w:val="single" w:sz="4" w:space="0" w:color="B56011"/>
              <w:right w:val="nil"/>
            </w:tcBorders>
            <w:hideMark/>
          </w:tcPr>
          <w:p w14:paraId="36591B98" w14:textId="77777777" w:rsidR="00A6399C" w:rsidRPr="00E70DCB" w:rsidRDefault="00A6399C" w:rsidP="00A6399C">
            <w:pPr>
              <w:spacing w:before="40" w:after="40"/>
              <w:rPr>
                <w:rFonts w:cs="Arial"/>
                <w:b/>
                <w:sz w:val="18"/>
                <w:szCs w:val="18"/>
                <w:lang w:val="en-US" w:eastAsia="en-US"/>
              </w:rPr>
            </w:pPr>
            <w:r w:rsidRPr="00E70DCB">
              <w:rPr>
                <w:rFonts w:cs="Arial"/>
                <w:b/>
                <w:sz w:val="18"/>
                <w:szCs w:val="18"/>
                <w:lang w:val="en-US" w:eastAsia="en-US"/>
              </w:rPr>
              <w:t>Item</w:t>
            </w:r>
          </w:p>
        </w:tc>
        <w:tc>
          <w:tcPr>
            <w:tcW w:w="2340" w:type="dxa"/>
            <w:tcBorders>
              <w:top w:val="single" w:sz="4" w:space="0" w:color="B56011"/>
              <w:left w:val="nil"/>
              <w:bottom w:val="single" w:sz="4" w:space="0" w:color="B56011"/>
              <w:right w:val="nil"/>
            </w:tcBorders>
            <w:hideMark/>
          </w:tcPr>
          <w:p w14:paraId="13845E3A" w14:textId="77777777" w:rsidR="00A6399C" w:rsidRPr="00E70DCB" w:rsidRDefault="00A6399C" w:rsidP="00A6399C">
            <w:pPr>
              <w:spacing w:before="40" w:after="40"/>
              <w:rPr>
                <w:rFonts w:cs="Arial"/>
                <w:b/>
                <w:sz w:val="18"/>
                <w:szCs w:val="18"/>
                <w:lang w:val="en-US" w:eastAsia="en-US"/>
              </w:rPr>
            </w:pPr>
            <w:r w:rsidRPr="00E70DCB">
              <w:rPr>
                <w:rFonts w:cs="Arial"/>
                <w:b/>
                <w:sz w:val="18"/>
                <w:szCs w:val="18"/>
                <w:lang w:val="en-US" w:eastAsia="en-US"/>
              </w:rPr>
              <w:t>What it does</w:t>
            </w:r>
          </w:p>
        </w:tc>
        <w:tc>
          <w:tcPr>
            <w:tcW w:w="3257" w:type="dxa"/>
            <w:tcBorders>
              <w:top w:val="single" w:sz="4" w:space="0" w:color="B56011"/>
              <w:left w:val="nil"/>
              <w:bottom w:val="single" w:sz="4" w:space="0" w:color="B56011"/>
              <w:right w:val="nil"/>
            </w:tcBorders>
            <w:hideMark/>
          </w:tcPr>
          <w:p w14:paraId="581F9FE6" w14:textId="77777777" w:rsidR="00A6399C" w:rsidRPr="00E70DCB" w:rsidRDefault="00A6399C" w:rsidP="00A6399C">
            <w:pPr>
              <w:spacing w:before="40" w:after="40"/>
              <w:jc w:val="center"/>
              <w:rPr>
                <w:rFonts w:cs="Arial"/>
                <w:b/>
                <w:sz w:val="18"/>
                <w:szCs w:val="18"/>
                <w:lang w:val="en-US" w:eastAsia="en-US"/>
              </w:rPr>
            </w:pPr>
            <w:r w:rsidRPr="00E70DCB">
              <w:rPr>
                <w:rFonts w:cs="Arial"/>
                <w:b/>
                <w:sz w:val="18"/>
                <w:szCs w:val="18"/>
                <w:lang w:val="en-US" w:eastAsia="en-US"/>
              </w:rPr>
              <w:t>Committee recommendation</w:t>
            </w:r>
          </w:p>
        </w:tc>
        <w:tc>
          <w:tcPr>
            <w:tcW w:w="2845" w:type="dxa"/>
            <w:tcBorders>
              <w:top w:val="single" w:sz="4" w:space="0" w:color="B56011"/>
              <w:left w:val="nil"/>
              <w:bottom w:val="single" w:sz="4" w:space="0" w:color="B56011"/>
              <w:right w:val="nil"/>
            </w:tcBorders>
            <w:hideMark/>
          </w:tcPr>
          <w:p w14:paraId="504629AC" w14:textId="77777777" w:rsidR="00A6399C" w:rsidRPr="00E70DCB" w:rsidRDefault="00A6399C" w:rsidP="00A6399C">
            <w:pPr>
              <w:spacing w:before="40" w:after="40"/>
              <w:jc w:val="center"/>
              <w:rPr>
                <w:rFonts w:cs="Arial"/>
                <w:b/>
                <w:sz w:val="18"/>
                <w:szCs w:val="18"/>
                <w:lang w:val="en-US" w:eastAsia="en-US"/>
              </w:rPr>
            </w:pPr>
            <w:r w:rsidRPr="00E70DCB">
              <w:rPr>
                <w:rFonts w:cs="Arial"/>
                <w:b/>
                <w:sz w:val="18"/>
                <w:szCs w:val="18"/>
                <w:lang w:val="en-US" w:eastAsia="en-US"/>
              </w:rPr>
              <w:t>What would be different</w:t>
            </w:r>
          </w:p>
        </w:tc>
        <w:tc>
          <w:tcPr>
            <w:tcW w:w="3480" w:type="dxa"/>
            <w:tcBorders>
              <w:top w:val="single" w:sz="4" w:space="0" w:color="B56011"/>
              <w:left w:val="nil"/>
              <w:bottom w:val="single" w:sz="4" w:space="0" w:color="B56011"/>
              <w:right w:val="nil"/>
            </w:tcBorders>
            <w:hideMark/>
          </w:tcPr>
          <w:p w14:paraId="2EB993A3" w14:textId="77777777" w:rsidR="00A6399C" w:rsidRDefault="00A6399C" w:rsidP="00A6399C">
            <w:pPr>
              <w:spacing w:before="40" w:after="40"/>
              <w:jc w:val="center"/>
              <w:rPr>
                <w:rFonts w:cs="Arial"/>
                <w:b/>
                <w:color w:val="BFBFBF" w:themeColor="background1" w:themeShade="BF"/>
                <w:sz w:val="18"/>
                <w:szCs w:val="18"/>
                <w:lang w:val="en-US" w:eastAsia="en-US"/>
              </w:rPr>
            </w:pPr>
            <w:r w:rsidRPr="00E70DCB">
              <w:rPr>
                <w:rFonts w:cs="Arial"/>
                <w:b/>
                <w:sz w:val="18"/>
                <w:szCs w:val="18"/>
                <w:lang w:val="en-US" w:eastAsia="en-US"/>
              </w:rPr>
              <w:t>Why</w:t>
            </w:r>
          </w:p>
        </w:tc>
      </w:tr>
      <w:tr w:rsidR="00A6399C" w14:paraId="754D883B" w14:textId="77777777" w:rsidTr="00B708EA">
        <w:trPr>
          <w:cantSplit/>
        </w:trPr>
        <w:tc>
          <w:tcPr>
            <w:tcW w:w="1227" w:type="dxa"/>
            <w:tcBorders>
              <w:top w:val="single" w:sz="4" w:space="0" w:color="B56011"/>
              <w:left w:val="nil"/>
              <w:bottom w:val="single" w:sz="4" w:space="0" w:color="B56011"/>
              <w:right w:val="nil"/>
            </w:tcBorders>
            <w:hideMark/>
          </w:tcPr>
          <w:p w14:paraId="5B628328" w14:textId="77777777" w:rsidR="00A6399C" w:rsidRDefault="00A6399C" w:rsidP="00A6399C">
            <w:pPr>
              <w:spacing w:before="40" w:after="40"/>
              <w:rPr>
                <w:rFonts w:cs="Arial"/>
                <w:b/>
                <w:color w:val="BFBFBF" w:themeColor="background1" w:themeShade="BF"/>
                <w:sz w:val="18"/>
                <w:szCs w:val="18"/>
                <w:lang w:val="en-US" w:eastAsia="en-US"/>
              </w:rPr>
            </w:pPr>
            <w:r w:rsidRPr="00E70DCB">
              <w:rPr>
                <w:rFonts w:cs="Arial"/>
                <w:b/>
                <w:sz w:val="18"/>
                <w:szCs w:val="18"/>
              </w:rPr>
              <w:t>71079</w:t>
            </w:r>
          </w:p>
        </w:tc>
        <w:tc>
          <w:tcPr>
            <w:tcW w:w="2712" w:type="dxa"/>
            <w:gridSpan w:val="2"/>
            <w:tcBorders>
              <w:top w:val="single" w:sz="4" w:space="0" w:color="B56011"/>
              <w:left w:val="nil"/>
              <w:bottom w:val="single" w:sz="4" w:space="0" w:color="B56011"/>
              <w:right w:val="nil"/>
            </w:tcBorders>
            <w:hideMark/>
          </w:tcPr>
          <w:p w14:paraId="6D4E84F2" w14:textId="77777777" w:rsidR="00CA14C4" w:rsidRDefault="00B708EA" w:rsidP="00B708EA">
            <w:pPr>
              <w:spacing w:before="40" w:after="40"/>
              <w:rPr>
                <w:rFonts w:cs="Arial"/>
                <w:sz w:val="18"/>
                <w:szCs w:val="18"/>
              </w:rPr>
            </w:pPr>
            <w:r>
              <w:rPr>
                <w:rFonts w:cs="Arial"/>
                <w:sz w:val="18"/>
                <w:szCs w:val="18"/>
              </w:rPr>
              <w:t>This test is used to detect</w:t>
            </w:r>
            <w:r w:rsidR="00A6399C">
              <w:rPr>
                <w:rFonts w:cs="Arial"/>
                <w:sz w:val="18"/>
                <w:szCs w:val="18"/>
              </w:rPr>
              <w:t xml:space="preserve"> allergic responses to specific allergens, </w:t>
            </w:r>
            <w:r w:rsidR="00CA14C4">
              <w:rPr>
                <w:rFonts w:cs="Arial"/>
                <w:sz w:val="18"/>
                <w:szCs w:val="18"/>
              </w:rPr>
              <w:t>by detecting and measuring immunoglobulin E (a type of antibody associated with allergic reactions).</w:t>
            </w:r>
          </w:p>
          <w:p w14:paraId="784F3BEF" w14:textId="77777777" w:rsidR="00A6399C" w:rsidRDefault="00A6399C" w:rsidP="00B708EA">
            <w:pPr>
              <w:spacing w:before="40" w:after="40"/>
              <w:rPr>
                <w:rFonts w:cs="Arial"/>
                <w:color w:val="BFBFBF" w:themeColor="background1" w:themeShade="BF"/>
                <w:sz w:val="18"/>
                <w:szCs w:val="18"/>
              </w:rPr>
            </w:pPr>
          </w:p>
        </w:tc>
        <w:tc>
          <w:tcPr>
            <w:tcW w:w="3257" w:type="dxa"/>
            <w:tcBorders>
              <w:top w:val="single" w:sz="4" w:space="0" w:color="B56011"/>
              <w:left w:val="nil"/>
              <w:bottom w:val="single" w:sz="4" w:space="0" w:color="B56011"/>
              <w:right w:val="nil"/>
            </w:tcBorders>
          </w:tcPr>
          <w:p w14:paraId="12BB4221" w14:textId="77777777" w:rsidR="00E32CD1" w:rsidRDefault="00A6399C" w:rsidP="00A6399C">
            <w:pPr>
              <w:spacing w:before="40" w:after="40"/>
              <w:rPr>
                <w:rFonts w:cs="Arial"/>
                <w:sz w:val="18"/>
                <w:szCs w:val="18"/>
              </w:rPr>
            </w:pPr>
            <w:r>
              <w:rPr>
                <w:rFonts w:cs="Arial"/>
                <w:sz w:val="18"/>
                <w:szCs w:val="18"/>
              </w:rPr>
              <w:t>Create a new</w:t>
            </w:r>
            <w:r w:rsidR="00E32CD1">
              <w:rPr>
                <w:rFonts w:cs="Arial"/>
                <w:sz w:val="18"/>
                <w:szCs w:val="18"/>
              </w:rPr>
              <w:t xml:space="preserve"> item for</w:t>
            </w:r>
            <w:r>
              <w:rPr>
                <w:rFonts w:cs="Arial"/>
                <w:sz w:val="18"/>
                <w:szCs w:val="18"/>
              </w:rPr>
              <w:t xml:space="preserve"> the newer, more accurate (but more expensive) te</w:t>
            </w:r>
            <w:r w:rsidR="00E32CD1">
              <w:rPr>
                <w:rFonts w:cs="Arial"/>
                <w:sz w:val="18"/>
                <w:szCs w:val="18"/>
              </w:rPr>
              <w:t>sts</w:t>
            </w:r>
            <w:r>
              <w:rPr>
                <w:rFonts w:cs="Arial"/>
                <w:sz w:val="18"/>
                <w:szCs w:val="18"/>
              </w:rPr>
              <w:t xml:space="preserve"> that have been developed</w:t>
            </w:r>
            <w:r w:rsidR="00E32CD1">
              <w:rPr>
                <w:rFonts w:cs="Arial"/>
                <w:sz w:val="18"/>
                <w:szCs w:val="18"/>
              </w:rPr>
              <w:t xml:space="preserve"> for measuring IgE. K</w:t>
            </w:r>
            <w:r w:rsidRPr="00E70DCB">
              <w:rPr>
                <w:rFonts w:cs="Arial"/>
                <w:sz w:val="18"/>
                <w:szCs w:val="18"/>
              </w:rPr>
              <w:t xml:space="preserve">eep </w:t>
            </w:r>
            <w:r>
              <w:rPr>
                <w:rFonts w:cs="Arial"/>
                <w:sz w:val="18"/>
                <w:szCs w:val="18"/>
              </w:rPr>
              <w:t xml:space="preserve">only </w:t>
            </w:r>
            <w:r w:rsidRPr="00E70DCB">
              <w:rPr>
                <w:rFonts w:cs="Arial"/>
                <w:sz w:val="18"/>
                <w:szCs w:val="18"/>
              </w:rPr>
              <w:t>the older</w:t>
            </w:r>
            <w:r>
              <w:rPr>
                <w:rFonts w:cs="Arial"/>
                <w:sz w:val="18"/>
                <w:szCs w:val="18"/>
              </w:rPr>
              <w:t>,</w:t>
            </w:r>
            <w:r w:rsidRPr="00E70DCB">
              <w:rPr>
                <w:rFonts w:cs="Arial"/>
                <w:sz w:val="18"/>
                <w:szCs w:val="18"/>
              </w:rPr>
              <w:t xml:space="preserve"> more established tests in the current item</w:t>
            </w:r>
            <w:r>
              <w:rPr>
                <w:rFonts w:cs="Arial"/>
                <w:sz w:val="18"/>
                <w:szCs w:val="18"/>
              </w:rPr>
              <w:t xml:space="preserve">. </w:t>
            </w:r>
          </w:p>
          <w:p w14:paraId="34E49AAB" w14:textId="77777777" w:rsidR="00E32CD1" w:rsidRDefault="00E32CD1" w:rsidP="00A6399C">
            <w:pPr>
              <w:spacing w:before="40" w:after="40"/>
              <w:rPr>
                <w:rFonts w:cs="Arial"/>
                <w:sz w:val="18"/>
                <w:szCs w:val="18"/>
              </w:rPr>
            </w:pPr>
          </w:p>
          <w:p w14:paraId="410E722E" w14:textId="77777777" w:rsidR="00A6399C" w:rsidRPr="00E70DCB" w:rsidRDefault="00A6399C" w:rsidP="00E32CD1">
            <w:pPr>
              <w:spacing w:before="40" w:after="40"/>
              <w:rPr>
                <w:rFonts w:cs="Arial"/>
                <w:sz w:val="18"/>
                <w:szCs w:val="18"/>
              </w:rPr>
            </w:pPr>
            <w:r>
              <w:rPr>
                <w:rFonts w:cs="Arial"/>
                <w:sz w:val="18"/>
                <w:szCs w:val="18"/>
              </w:rPr>
              <w:t xml:space="preserve">Limit testing with the new test to </w:t>
            </w:r>
            <w:r w:rsidR="00E32CD1">
              <w:rPr>
                <w:rFonts w:cs="Arial"/>
                <w:sz w:val="18"/>
                <w:szCs w:val="18"/>
              </w:rPr>
              <w:t>four</w:t>
            </w:r>
            <w:r>
              <w:rPr>
                <w:rFonts w:cs="Arial"/>
                <w:sz w:val="18"/>
                <w:szCs w:val="18"/>
              </w:rPr>
              <w:t xml:space="preserve"> times a year per patient</w:t>
            </w:r>
            <w:r w:rsidR="00E32CD1">
              <w:rPr>
                <w:rFonts w:cs="Arial"/>
                <w:sz w:val="18"/>
                <w:szCs w:val="18"/>
              </w:rPr>
              <w:t>.</w:t>
            </w:r>
          </w:p>
        </w:tc>
        <w:tc>
          <w:tcPr>
            <w:tcW w:w="2845" w:type="dxa"/>
            <w:tcBorders>
              <w:top w:val="single" w:sz="4" w:space="0" w:color="B56011"/>
              <w:left w:val="nil"/>
              <w:bottom w:val="single" w:sz="4" w:space="0" w:color="B56011"/>
              <w:right w:val="nil"/>
            </w:tcBorders>
            <w:hideMark/>
          </w:tcPr>
          <w:p w14:paraId="623F234E" w14:textId="77777777" w:rsidR="00A6399C" w:rsidRPr="00E70DCB" w:rsidRDefault="00A6399C" w:rsidP="00A6399C">
            <w:pPr>
              <w:spacing w:before="40" w:after="40"/>
              <w:ind w:left="57" w:right="57"/>
              <w:rPr>
                <w:rFonts w:cs="Arial"/>
                <w:sz w:val="18"/>
                <w:szCs w:val="18"/>
              </w:rPr>
            </w:pPr>
            <w:r>
              <w:rPr>
                <w:rFonts w:cs="Arial"/>
                <w:sz w:val="18"/>
                <w:szCs w:val="18"/>
              </w:rPr>
              <w:t>Overuse of the newer techniques would be reduced, and a separate test would enable monitoring of how many people require the newer techniques and who requests them</w:t>
            </w:r>
            <w:r w:rsidR="00E32CD1">
              <w:rPr>
                <w:rFonts w:cs="Arial"/>
                <w:sz w:val="18"/>
                <w:szCs w:val="18"/>
              </w:rPr>
              <w:t>.</w:t>
            </w:r>
          </w:p>
        </w:tc>
        <w:tc>
          <w:tcPr>
            <w:tcW w:w="3480" w:type="dxa"/>
            <w:tcBorders>
              <w:top w:val="single" w:sz="4" w:space="0" w:color="B56011"/>
              <w:left w:val="nil"/>
              <w:bottom w:val="single" w:sz="4" w:space="0" w:color="B56011"/>
              <w:right w:val="nil"/>
            </w:tcBorders>
            <w:hideMark/>
          </w:tcPr>
          <w:p w14:paraId="2B3A43F3" w14:textId="77777777" w:rsidR="00A6399C" w:rsidRPr="00E70DCB" w:rsidRDefault="00020F53" w:rsidP="000F227B">
            <w:pPr>
              <w:spacing w:before="40" w:after="40"/>
              <w:rPr>
                <w:rFonts w:cs="Arial"/>
                <w:sz w:val="18"/>
                <w:szCs w:val="18"/>
              </w:rPr>
            </w:pPr>
            <w:r w:rsidRPr="00020F53">
              <w:rPr>
                <w:rFonts w:cs="Arial"/>
                <w:sz w:val="18"/>
                <w:szCs w:val="18"/>
              </w:rPr>
              <w:t xml:space="preserve">To enable more accurate diagnosis </w:t>
            </w:r>
            <w:r w:rsidR="00E32CD1">
              <w:rPr>
                <w:rFonts w:cs="Arial"/>
                <w:sz w:val="18"/>
                <w:szCs w:val="18"/>
              </w:rPr>
              <w:t>and greater monitoring.</w:t>
            </w:r>
          </w:p>
        </w:tc>
      </w:tr>
    </w:tbl>
    <w:p w14:paraId="3A704029" w14:textId="77777777" w:rsidR="00B708EA" w:rsidRDefault="00B708EA">
      <w:pPr>
        <w:spacing w:before="0" w:after="0"/>
      </w:pPr>
    </w:p>
    <w:tbl>
      <w:tblPr>
        <w:tblStyle w:val="TableGrid"/>
        <w:tblW w:w="13521"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27"/>
        <w:gridCol w:w="372"/>
        <w:gridCol w:w="2340"/>
        <w:gridCol w:w="3257"/>
        <w:gridCol w:w="2845"/>
        <w:gridCol w:w="3480"/>
      </w:tblGrid>
      <w:tr w:rsidR="00A6399C" w14:paraId="44817FD5" w14:textId="77777777" w:rsidTr="009B2D7B">
        <w:trPr>
          <w:cantSplit/>
          <w:tblHeader/>
        </w:trPr>
        <w:tc>
          <w:tcPr>
            <w:tcW w:w="13521" w:type="dxa"/>
            <w:gridSpan w:val="6"/>
            <w:tcBorders>
              <w:top w:val="single" w:sz="4" w:space="0" w:color="B56011"/>
              <w:left w:val="nil"/>
              <w:bottom w:val="single" w:sz="4" w:space="0" w:color="B56011"/>
              <w:right w:val="nil"/>
            </w:tcBorders>
            <w:shd w:val="clear" w:color="auto" w:fill="EEECE1" w:themeFill="background2"/>
            <w:hideMark/>
          </w:tcPr>
          <w:p w14:paraId="7F5A4121" w14:textId="77777777" w:rsidR="00A6399C" w:rsidRPr="00E70DCB" w:rsidRDefault="00024095" w:rsidP="00E32CD1">
            <w:pPr>
              <w:spacing w:before="40" w:after="40"/>
              <w:rPr>
                <w:rFonts w:cs="Arial"/>
                <w:b/>
                <w:sz w:val="18"/>
                <w:szCs w:val="18"/>
                <w:lang w:val="en-US" w:eastAsia="en-US"/>
              </w:rPr>
            </w:pPr>
            <w:r>
              <w:rPr>
                <w:b/>
              </w:rPr>
              <w:t>Recommendation 4</w:t>
            </w:r>
            <w:r w:rsidR="00A6399C" w:rsidRPr="00E70DCB">
              <w:rPr>
                <w:b/>
              </w:rPr>
              <w:t>: Antinuclear antibodies tests</w:t>
            </w:r>
          </w:p>
        </w:tc>
      </w:tr>
      <w:tr w:rsidR="00A6399C" w14:paraId="12757A42" w14:textId="77777777" w:rsidTr="00B708EA">
        <w:trPr>
          <w:cantSplit/>
        </w:trPr>
        <w:tc>
          <w:tcPr>
            <w:tcW w:w="1599" w:type="dxa"/>
            <w:gridSpan w:val="2"/>
            <w:tcBorders>
              <w:top w:val="single" w:sz="4" w:space="0" w:color="B56011"/>
              <w:left w:val="nil"/>
              <w:bottom w:val="single" w:sz="4" w:space="0" w:color="B56011"/>
              <w:right w:val="nil"/>
            </w:tcBorders>
            <w:hideMark/>
          </w:tcPr>
          <w:p w14:paraId="3711D723" w14:textId="77777777" w:rsidR="00A6399C" w:rsidRPr="00E70DCB" w:rsidRDefault="00A6399C" w:rsidP="00A6399C">
            <w:pPr>
              <w:spacing w:before="40" w:after="40"/>
              <w:rPr>
                <w:rFonts w:cs="Arial"/>
                <w:b/>
                <w:sz w:val="18"/>
                <w:szCs w:val="18"/>
                <w:lang w:val="en-US" w:eastAsia="en-US"/>
              </w:rPr>
            </w:pPr>
            <w:r w:rsidRPr="00E70DCB">
              <w:rPr>
                <w:rFonts w:cs="Arial"/>
                <w:b/>
                <w:sz w:val="18"/>
                <w:szCs w:val="18"/>
                <w:lang w:val="en-US" w:eastAsia="en-US"/>
              </w:rPr>
              <w:t>Item</w:t>
            </w:r>
          </w:p>
        </w:tc>
        <w:tc>
          <w:tcPr>
            <w:tcW w:w="2340" w:type="dxa"/>
            <w:tcBorders>
              <w:top w:val="single" w:sz="4" w:space="0" w:color="B56011"/>
              <w:left w:val="nil"/>
              <w:bottom w:val="single" w:sz="4" w:space="0" w:color="B56011"/>
              <w:right w:val="nil"/>
            </w:tcBorders>
            <w:hideMark/>
          </w:tcPr>
          <w:p w14:paraId="42771B81" w14:textId="77777777" w:rsidR="00A6399C" w:rsidRPr="00E70DCB" w:rsidRDefault="00A6399C" w:rsidP="00A6399C">
            <w:pPr>
              <w:spacing w:before="40" w:after="40"/>
              <w:rPr>
                <w:rFonts w:cs="Arial"/>
                <w:b/>
                <w:sz w:val="18"/>
                <w:szCs w:val="18"/>
                <w:lang w:val="en-US" w:eastAsia="en-US"/>
              </w:rPr>
            </w:pPr>
            <w:r w:rsidRPr="00E70DCB">
              <w:rPr>
                <w:rFonts w:cs="Arial"/>
                <w:b/>
                <w:sz w:val="18"/>
                <w:szCs w:val="18"/>
                <w:lang w:val="en-US" w:eastAsia="en-US"/>
              </w:rPr>
              <w:t>What it does</w:t>
            </w:r>
          </w:p>
        </w:tc>
        <w:tc>
          <w:tcPr>
            <w:tcW w:w="3257" w:type="dxa"/>
            <w:tcBorders>
              <w:top w:val="single" w:sz="4" w:space="0" w:color="B56011"/>
              <w:left w:val="nil"/>
              <w:bottom w:val="single" w:sz="4" w:space="0" w:color="B56011"/>
              <w:right w:val="nil"/>
            </w:tcBorders>
            <w:hideMark/>
          </w:tcPr>
          <w:p w14:paraId="6E66E9C5" w14:textId="77777777" w:rsidR="00A6399C" w:rsidRPr="00E70DCB" w:rsidRDefault="00A6399C" w:rsidP="00A6399C">
            <w:pPr>
              <w:spacing w:before="40" w:after="40"/>
              <w:jc w:val="center"/>
              <w:rPr>
                <w:rFonts w:cs="Arial"/>
                <w:b/>
                <w:sz w:val="18"/>
                <w:szCs w:val="18"/>
                <w:lang w:val="en-US" w:eastAsia="en-US"/>
              </w:rPr>
            </w:pPr>
            <w:r w:rsidRPr="00E70DCB">
              <w:rPr>
                <w:rFonts w:cs="Arial"/>
                <w:b/>
                <w:sz w:val="18"/>
                <w:szCs w:val="18"/>
                <w:lang w:val="en-US" w:eastAsia="en-US"/>
              </w:rPr>
              <w:t>Committee recommendation</w:t>
            </w:r>
          </w:p>
        </w:tc>
        <w:tc>
          <w:tcPr>
            <w:tcW w:w="2845" w:type="dxa"/>
            <w:tcBorders>
              <w:top w:val="single" w:sz="4" w:space="0" w:color="B56011"/>
              <w:left w:val="nil"/>
              <w:bottom w:val="single" w:sz="4" w:space="0" w:color="B56011"/>
              <w:right w:val="nil"/>
            </w:tcBorders>
            <w:hideMark/>
          </w:tcPr>
          <w:p w14:paraId="7D231676" w14:textId="77777777" w:rsidR="00A6399C" w:rsidRPr="00E70DCB" w:rsidRDefault="00A6399C" w:rsidP="00A6399C">
            <w:pPr>
              <w:spacing w:before="40" w:after="40"/>
              <w:jc w:val="center"/>
              <w:rPr>
                <w:rFonts w:cs="Arial"/>
                <w:b/>
                <w:sz w:val="18"/>
                <w:szCs w:val="18"/>
                <w:lang w:val="en-US" w:eastAsia="en-US"/>
              </w:rPr>
            </w:pPr>
            <w:r w:rsidRPr="00E70DCB">
              <w:rPr>
                <w:rFonts w:cs="Arial"/>
                <w:b/>
                <w:sz w:val="18"/>
                <w:szCs w:val="18"/>
                <w:lang w:val="en-US" w:eastAsia="en-US"/>
              </w:rPr>
              <w:t>What would be different</w:t>
            </w:r>
          </w:p>
        </w:tc>
        <w:tc>
          <w:tcPr>
            <w:tcW w:w="3480" w:type="dxa"/>
            <w:tcBorders>
              <w:top w:val="single" w:sz="4" w:space="0" w:color="B56011"/>
              <w:left w:val="nil"/>
              <w:bottom w:val="single" w:sz="4" w:space="0" w:color="B56011"/>
              <w:right w:val="nil"/>
            </w:tcBorders>
            <w:hideMark/>
          </w:tcPr>
          <w:p w14:paraId="46219C49" w14:textId="77777777" w:rsidR="00A6399C" w:rsidRDefault="00A6399C" w:rsidP="00A6399C">
            <w:pPr>
              <w:spacing w:before="40" w:after="40"/>
              <w:jc w:val="center"/>
              <w:rPr>
                <w:rFonts w:cs="Arial"/>
                <w:b/>
                <w:color w:val="BFBFBF" w:themeColor="background1" w:themeShade="BF"/>
                <w:sz w:val="18"/>
                <w:szCs w:val="18"/>
                <w:lang w:val="en-US" w:eastAsia="en-US"/>
              </w:rPr>
            </w:pPr>
            <w:r w:rsidRPr="00E70DCB">
              <w:rPr>
                <w:rFonts w:cs="Arial"/>
                <w:b/>
                <w:sz w:val="18"/>
                <w:szCs w:val="18"/>
                <w:lang w:val="en-US" w:eastAsia="en-US"/>
              </w:rPr>
              <w:t>Why</w:t>
            </w:r>
          </w:p>
        </w:tc>
      </w:tr>
      <w:tr w:rsidR="00A6399C" w14:paraId="2883B52F" w14:textId="77777777" w:rsidTr="00B708EA">
        <w:trPr>
          <w:cantSplit/>
        </w:trPr>
        <w:tc>
          <w:tcPr>
            <w:tcW w:w="1227" w:type="dxa"/>
            <w:tcBorders>
              <w:top w:val="single" w:sz="4" w:space="0" w:color="B56011"/>
              <w:left w:val="nil"/>
              <w:bottom w:val="single" w:sz="4" w:space="0" w:color="B56011"/>
              <w:right w:val="nil"/>
            </w:tcBorders>
          </w:tcPr>
          <w:p w14:paraId="3FDFF25E" w14:textId="77777777" w:rsidR="00A6399C" w:rsidRPr="00E70DCB" w:rsidRDefault="00A6399C" w:rsidP="00A6399C">
            <w:pPr>
              <w:spacing w:before="40" w:after="40"/>
              <w:rPr>
                <w:rFonts w:cs="Arial"/>
                <w:b/>
                <w:sz w:val="18"/>
                <w:szCs w:val="18"/>
              </w:rPr>
            </w:pPr>
            <w:r>
              <w:rPr>
                <w:rFonts w:cs="Arial"/>
                <w:b/>
                <w:sz w:val="18"/>
                <w:szCs w:val="18"/>
              </w:rPr>
              <w:t>71</w:t>
            </w:r>
            <w:r w:rsidRPr="00E70DCB">
              <w:rPr>
                <w:rFonts w:cs="Arial"/>
                <w:b/>
                <w:sz w:val="18"/>
                <w:szCs w:val="18"/>
              </w:rPr>
              <w:t>097</w:t>
            </w:r>
          </w:p>
        </w:tc>
        <w:tc>
          <w:tcPr>
            <w:tcW w:w="2712" w:type="dxa"/>
            <w:gridSpan w:val="2"/>
            <w:tcBorders>
              <w:top w:val="single" w:sz="4" w:space="0" w:color="B56011"/>
              <w:left w:val="nil"/>
              <w:bottom w:val="single" w:sz="4" w:space="0" w:color="B56011"/>
              <w:right w:val="nil"/>
            </w:tcBorders>
          </w:tcPr>
          <w:p w14:paraId="0D61E96D" w14:textId="77777777" w:rsidR="00D77C5F" w:rsidRDefault="00D77C5F" w:rsidP="00A6399C">
            <w:pPr>
              <w:spacing w:before="40" w:after="40"/>
              <w:rPr>
                <w:rFonts w:cs="Arial"/>
                <w:sz w:val="18"/>
                <w:szCs w:val="18"/>
              </w:rPr>
            </w:pPr>
            <w:r>
              <w:rPr>
                <w:rFonts w:cs="Arial"/>
                <w:sz w:val="18"/>
                <w:szCs w:val="18"/>
              </w:rPr>
              <w:t>An antinuclear antibody is an antibody that targets the “normal” proteins where the DNA is stored inside cells.</w:t>
            </w:r>
          </w:p>
          <w:p w14:paraId="0044B5F2" w14:textId="77777777" w:rsidR="00D77C5F" w:rsidRDefault="00D77C5F" w:rsidP="00A6399C">
            <w:pPr>
              <w:spacing w:before="40" w:after="40"/>
              <w:rPr>
                <w:rFonts w:cs="Arial"/>
                <w:sz w:val="18"/>
                <w:szCs w:val="18"/>
              </w:rPr>
            </w:pPr>
          </w:p>
          <w:p w14:paraId="6704B2FE" w14:textId="77777777" w:rsidR="00D77C5F" w:rsidRDefault="00D77C5F" w:rsidP="00A6399C">
            <w:pPr>
              <w:spacing w:before="40" w:after="40"/>
              <w:rPr>
                <w:rFonts w:cs="Arial"/>
                <w:sz w:val="18"/>
                <w:szCs w:val="18"/>
              </w:rPr>
            </w:pPr>
            <w:r>
              <w:rPr>
                <w:rFonts w:cs="Arial"/>
                <w:sz w:val="18"/>
                <w:szCs w:val="18"/>
              </w:rPr>
              <w:t>The presence of large amount of antinuclear antibodies can indicate a person has an autoimmune disease.</w:t>
            </w:r>
          </w:p>
          <w:p w14:paraId="3A53AF50" w14:textId="77777777" w:rsidR="00D77C5F" w:rsidRDefault="00D77C5F" w:rsidP="00A6399C">
            <w:pPr>
              <w:spacing w:before="40" w:after="40"/>
              <w:rPr>
                <w:rFonts w:cs="Arial"/>
                <w:sz w:val="18"/>
                <w:szCs w:val="18"/>
              </w:rPr>
            </w:pPr>
          </w:p>
          <w:p w14:paraId="37796DA6" w14:textId="77777777" w:rsidR="00A6399C" w:rsidRPr="00E70DCB" w:rsidRDefault="00C41B65" w:rsidP="00D77C5F">
            <w:pPr>
              <w:spacing w:before="40" w:after="40"/>
              <w:rPr>
                <w:rFonts w:cs="Arial"/>
                <w:sz w:val="18"/>
                <w:szCs w:val="18"/>
              </w:rPr>
            </w:pPr>
            <w:r>
              <w:rPr>
                <w:rFonts w:cs="Arial"/>
                <w:sz w:val="18"/>
                <w:szCs w:val="18"/>
              </w:rPr>
              <w:t>This test</w:t>
            </w:r>
            <w:r w:rsidR="00767469">
              <w:rPr>
                <w:rFonts w:cs="Arial"/>
                <w:sz w:val="18"/>
                <w:szCs w:val="18"/>
              </w:rPr>
              <w:t xml:space="preserve"> is used to measure the amount of antinuclear antibodies a person has.</w:t>
            </w:r>
          </w:p>
        </w:tc>
        <w:tc>
          <w:tcPr>
            <w:tcW w:w="3257" w:type="dxa"/>
            <w:tcBorders>
              <w:top w:val="single" w:sz="4" w:space="0" w:color="B56011"/>
              <w:left w:val="nil"/>
              <w:bottom w:val="single" w:sz="4" w:space="0" w:color="B56011"/>
              <w:right w:val="nil"/>
            </w:tcBorders>
          </w:tcPr>
          <w:p w14:paraId="48704E20" w14:textId="77777777" w:rsidR="00E32CD1" w:rsidRDefault="00A6399C" w:rsidP="00D77C5F">
            <w:pPr>
              <w:spacing w:before="40" w:after="40"/>
              <w:rPr>
                <w:rFonts w:cs="Arial"/>
                <w:sz w:val="18"/>
                <w:szCs w:val="18"/>
              </w:rPr>
            </w:pPr>
            <w:r>
              <w:rPr>
                <w:rFonts w:cs="Arial"/>
                <w:sz w:val="18"/>
                <w:szCs w:val="18"/>
              </w:rPr>
              <w:t>Educate health professionals about correct us</w:t>
            </w:r>
            <w:r w:rsidR="000F227B">
              <w:rPr>
                <w:rFonts w:cs="Arial"/>
                <w:sz w:val="18"/>
                <w:szCs w:val="18"/>
              </w:rPr>
              <w:t>e</w:t>
            </w:r>
            <w:r>
              <w:rPr>
                <w:rFonts w:cs="Arial"/>
                <w:sz w:val="18"/>
                <w:szCs w:val="18"/>
              </w:rPr>
              <w:t xml:space="preserve"> of this test.</w:t>
            </w:r>
          </w:p>
          <w:p w14:paraId="1771ECC8" w14:textId="77777777" w:rsidR="00A6399C" w:rsidRPr="00E70DCB" w:rsidRDefault="00A6399C" w:rsidP="00A55047">
            <w:pPr>
              <w:spacing w:before="40" w:after="40"/>
              <w:rPr>
                <w:rFonts w:cs="Arial"/>
                <w:sz w:val="18"/>
                <w:szCs w:val="18"/>
              </w:rPr>
            </w:pPr>
          </w:p>
        </w:tc>
        <w:tc>
          <w:tcPr>
            <w:tcW w:w="2845" w:type="dxa"/>
            <w:tcBorders>
              <w:top w:val="single" w:sz="4" w:space="0" w:color="B56011"/>
              <w:left w:val="nil"/>
              <w:bottom w:val="single" w:sz="4" w:space="0" w:color="B56011"/>
              <w:right w:val="nil"/>
            </w:tcBorders>
          </w:tcPr>
          <w:p w14:paraId="08956F41" w14:textId="77777777" w:rsidR="00A6399C" w:rsidRPr="00E70DCB" w:rsidRDefault="00A6399C" w:rsidP="00A6399C">
            <w:pPr>
              <w:spacing w:before="40" w:after="40"/>
              <w:ind w:left="57" w:right="57"/>
              <w:rPr>
                <w:sz w:val="18"/>
                <w:szCs w:val="18"/>
              </w:rPr>
            </w:pPr>
            <w:r>
              <w:rPr>
                <w:sz w:val="18"/>
                <w:szCs w:val="18"/>
              </w:rPr>
              <w:t>Health professionals would better understand the intended use of repeat testing for this item, reducing incorrect use of the test</w:t>
            </w:r>
          </w:p>
        </w:tc>
        <w:tc>
          <w:tcPr>
            <w:tcW w:w="3480" w:type="dxa"/>
            <w:tcBorders>
              <w:top w:val="single" w:sz="4" w:space="0" w:color="B56011"/>
              <w:left w:val="nil"/>
              <w:bottom w:val="single" w:sz="4" w:space="0" w:color="B56011"/>
              <w:right w:val="nil"/>
            </w:tcBorders>
          </w:tcPr>
          <w:p w14:paraId="67D9C5BC" w14:textId="77777777" w:rsidR="00A6399C" w:rsidRPr="00E70DCB" w:rsidRDefault="00020F53" w:rsidP="00020F53">
            <w:pPr>
              <w:spacing w:before="40" w:after="40"/>
              <w:rPr>
                <w:rFonts w:cs="Arial"/>
                <w:sz w:val="18"/>
                <w:szCs w:val="18"/>
              </w:rPr>
            </w:pPr>
            <w:r>
              <w:rPr>
                <w:rFonts w:cs="Arial"/>
                <w:sz w:val="18"/>
                <w:szCs w:val="18"/>
              </w:rPr>
              <w:t>In some patient</w:t>
            </w:r>
            <w:r w:rsidR="00F34FDD">
              <w:rPr>
                <w:rFonts w:cs="Arial"/>
                <w:sz w:val="18"/>
                <w:szCs w:val="18"/>
              </w:rPr>
              <w:t>s</w:t>
            </w:r>
            <w:r>
              <w:rPr>
                <w:rFonts w:cs="Arial"/>
                <w:sz w:val="18"/>
                <w:szCs w:val="18"/>
              </w:rPr>
              <w:t>, this</w:t>
            </w:r>
            <w:r w:rsidR="00A6399C">
              <w:rPr>
                <w:rFonts w:cs="Arial"/>
                <w:sz w:val="18"/>
                <w:szCs w:val="18"/>
              </w:rPr>
              <w:t xml:space="preserve"> test is being ordered too </w:t>
            </w:r>
            <w:r>
              <w:rPr>
                <w:rFonts w:cs="Arial"/>
                <w:sz w:val="18"/>
                <w:szCs w:val="18"/>
              </w:rPr>
              <w:t>frequently without any clinical benefit to the patient.</w:t>
            </w:r>
          </w:p>
        </w:tc>
      </w:tr>
    </w:tbl>
    <w:p w14:paraId="5FCA9787" w14:textId="77777777" w:rsidR="00B708EA" w:rsidRDefault="00B708EA" w:rsidP="009B2D7B"/>
    <w:tbl>
      <w:tblPr>
        <w:tblStyle w:val="TableGrid"/>
        <w:tblW w:w="13571"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63"/>
        <w:gridCol w:w="2676"/>
        <w:gridCol w:w="3257"/>
        <w:gridCol w:w="2714"/>
        <w:gridCol w:w="3661"/>
      </w:tblGrid>
      <w:tr w:rsidR="00A6399C" w14:paraId="4F352898" w14:textId="77777777" w:rsidTr="009B2D7B">
        <w:trPr>
          <w:cantSplit/>
          <w:tblHeader/>
        </w:trPr>
        <w:tc>
          <w:tcPr>
            <w:tcW w:w="13571" w:type="dxa"/>
            <w:gridSpan w:val="5"/>
            <w:tcBorders>
              <w:top w:val="single" w:sz="4" w:space="0" w:color="B56011"/>
              <w:left w:val="nil"/>
              <w:bottom w:val="single" w:sz="4" w:space="0" w:color="B56011"/>
              <w:right w:val="nil"/>
            </w:tcBorders>
            <w:shd w:val="clear" w:color="auto" w:fill="EEECE1" w:themeFill="background2"/>
            <w:hideMark/>
          </w:tcPr>
          <w:p w14:paraId="7A23EC82" w14:textId="77777777" w:rsidR="00A6399C" w:rsidRPr="00E70DCB" w:rsidRDefault="00024095" w:rsidP="00E32CD1">
            <w:pPr>
              <w:keepNext/>
              <w:spacing w:before="40" w:after="40"/>
              <w:ind w:left="1826" w:hanging="1826"/>
              <w:rPr>
                <w:rFonts w:cs="Arial"/>
                <w:b/>
                <w:color w:val="BFBFBF" w:themeColor="background1" w:themeShade="BF"/>
                <w:spacing w:val="-4"/>
                <w:sz w:val="18"/>
                <w:szCs w:val="18"/>
                <w:lang w:val="en-US" w:eastAsia="en-US"/>
              </w:rPr>
            </w:pPr>
            <w:r>
              <w:rPr>
                <w:b/>
                <w:spacing w:val="-4"/>
              </w:rPr>
              <w:t>Recommendation 5</w:t>
            </w:r>
            <w:r w:rsidR="00A6399C" w:rsidRPr="00E70DCB">
              <w:rPr>
                <w:b/>
                <w:spacing w:val="-4"/>
              </w:rPr>
              <w:t>: Double-stranded DNA antibodies</w:t>
            </w:r>
          </w:p>
        </w:tc>
      </w:tr>
      <w:tr w:rsidR="00A6399C" w14:paraId="2F8E7650" w14:textId="77777777" w:rsidTr="00B708EA">
        <w:trPr>
          <w:cantSplit/>
        </w:trPr>
        <w:tc>
          <w:tcPr>
            <w:tcW w:w="1263" w:type="dxa"/>
            <w:tcBorders>
              <w:top w:val="single" w:sz="4" w:space="0" w:color="B56011"/>
              <w:left w:val="nil"/>
              <w:bottom w:val="single" w:sz="4" w:space="0" w:color="B56011"/>
              <w:right w:val="nil"/>
            </w:tcBorders>
            <w:hideMark/>
          </w:tcPr>
          <w:p w14:paraId="45632250" w14:textId="77777777" w:rsidR="00A6399C" w:rsidRPr="00E70DCB" w:rsidRDefault="00A6399C" w:rsidP="007B6365">
            <w:pPr>
              <w:keepNext/>
              <w:spacing w:before="40" w:after="40"/>
              <w:rPr>
                <w:rFonts w:cs="Arial"/>
                <w:b/>
                <w:sz w:val="18"/>
                <w:szCs w:val="18"/>
                <w:lang w:val="en-US" w:eastAsia="en-US"/>
              </w:rPr>
            </w:pPr>
            <w:r w:rsidRPr="00E70DCB">
              <w:rPr>
                <w:rFonts w:cs="Arial"/>
                <w:b/>
                <w:sz w:val="18"/>
                <w:szCs w:val="18"/>
                <w:lang w:val="en-US" w:eastAsia="en-US"/>
              </w:rPr>
              <w:t>Item</w:t>
            </w:r>
          </w:p>
        </w:tc>
        <w:tc>
          <w:tcPr>
            <w:tcW w:w="2676" w:type="dxa"/>
            <w:tcBorders>
              <w:top w:val="single" w:sz="4" w:space="0" w:color="B56011"/>
              <w:left w:val="nil"/>
              <w:bottom w:val="single" w:sz="4" w:space="0" w:color="B56011"/>
              <w:right w:val="nil"/>
            </w:tcBorders>
            <w:hideMark/>
          </w:tcPr>
          <w:p w14:paraId="072841C4" w14:textId="77777777" w:rsidR="00A6399C" w:rsidRPr="00E70DCB" w:rsidRDefault="00A6399C" w:rsidP="007B6365">
            <w:pPr>
              <w:keepNext/>
              <w:spacing w:before="40" w:after="40"/>
              <w:jc w:val="center"/>
              <w:rPr>
                <w:rFonts w:cs="Arial"/>
                <w:b/>
                <w:sz w:val="18"/>
                <w:szCs w:val="18"/>
                <w:lang w:val="en-US" w:eastAsia="en-US"/>
              </w:rPr>
            </w:pPr>
            <w:r w:rsidRPr="00E70DCB">
              <w:rPr>
                <w:rFonts w:cs="Arial"/>
                <w:b/>
                <w:sz w:val="18"/>
                <w:szCs w:val="18"/>
                <w:lang w:val="en-US" w:eastAsia="en-US"/>
              </w:rPr>
              <w:t>What it does</w:t>
            </w:r>
          </w:p>
        </w:tc>
        <w:tc>
          <w:tcPr>
            <w:tcW w:w="3257" w:type="dxa"/>
            <w:tcBorders>
              <w:top w:val="single" w:sz="4" w:space="0" w:color="B56011"/>
              <w:left w:val="nil"/>
              <w:bottom w:val="single" w:sz="4" w:space="0" w:color="B56011"/>
              <w:right w:val="nil"/>
            </w:tcBorders>
            <w:hideMark/>
          </w:tcPr>
          <w:p w14:paraId="2E6FA27E" w14:textId="77777777" w:rsidR="00A6399C" w:rsidRPr="00E70DCB" w:rsidRDefault="00A6399C" w:rsidP="007B6365">
            <w:pPr>
              <w:keepNext/>
              <w:spacing w:before="40" w:after="40"/>
              <w:jc w:val="center"/>
              <w:rPr>
                <w:rFonts w:cs="Arial"/>
                <w:b/>
                <w:sz w:val="18"/>
                <w:szCs w:val="18"/>
                <w:lang w:val="en-US" w:eastAsia="en-US"/>
              </w:rPr>
            </w:pPr>
            <w:r w:rsidRPr="00E70DCB">
              <w:rPr>
                <w:rFonts w:cs="Arial"/>
                <w:b/>
                <w:sz w:val="18"/>
                <w:szCs w:val="18"/>
                <w:lang w:val="en-US" w:eastAsia="en-US"/>
              </w:rPr>
              <w:t>Committee recommendation</w:t>
            </w:r>
          </w:p>
        </w:tc>
        <w:tc>
          <w:tcPr>
            <w:tcW w:w="2714" w:type="dxa"/>
            <w:tcBorders>
              <w:top w:val="single" w:sz="4" w:space="0" w:color="B56011"/>
              <w:left w:val="nil"/>
              <w:bottom w:val="single" w:sz="4" w:space="0" w:color="B56011"/>
              <w:right w:val="nil"/>
            </w:tcBorders>
            <w:hideMark/>
          </w:tcPr>
          <w:p w14:paraId="0BB98EA6" w14:textId="77777777" w:rsidR="00A6399C" w:rsidRPr="00E70DCB" w:rsidRDefault="00A6399C" w:rsidP="007B6365">
            <w:pPr>
              <w:keepNext/>
              <w:spacing w:before="40" w:after="40"/>
              <w:jc w:val="center"/>
              <w:rPr>
                <w:rFonts w:cs="Arial"/>
                <w:b/>
                <w:sz w:val="18"/>
                <w:szCs w:val="18"/>
                <w:lang w:val="en-US" w:eastAsia="en-US"/>
              </w:rPr>
            </w:pPr>
            <w:r w:rsidRPr="00E70DCB">
              <w:rPr>
                <w:rFonts w:cs="Arial"/>
                <w:b/>
                <w:sz w:val="18"/>
                <w:szCs w:val="18"/>
                <w:lang w:val="en-US" w:eastAsia="en-US"/>
              </w:rPr>
              <w:t>What would be different</w:t>
            </w:r>
          </w:p>
        </w:tc>
        <w:tc>
          <w:tcPr>
            <w:tcW w:w="3661" w:type="dxa"/>
            <w:tcBorders>
              <w:top w:val="single" w:sz="4" w:space="0" w:color="B56011"/>
              <w:left w:val="nil"/>
              <w:bottom w:val="single" w:sz="4" w:space="0" w:color="B56011"/>
              <w:right w:val="nil"/>
            </w:tcBorders>
            <w:hideMark/>
          </w:tcPr>
          <w:p w14:paraId="68A225BB" w14:textId="77777777" w:rsidR="00A6399C" w:rsidRPr="00E70DCB" w:rsidRDefault="00A6399C" w:rsidP="007B6365">
            <w:pPr>
              <w:keepNext/>
              <w:spacing w:before="40" w:after="40"/>
              <w:jc w:val="center"/>
              <w:rPr>
                <w:rFonts w:cs="Arial"/>
                <w:b/>
                <w:sz w:val="18"/>
                <w:szCs w:val="18"/>
                <w:lang w:val="en-US" w:eastAsia="en-US"/>
              </w:rPr>
            </w:pPr>
            <w:r w:rsidRPr="00E70DCB">
              <w:rPr>
                <w:rFonts w:cs="Arial"/>
                <w:b/>
                <w:sz w:val="18"/>
                <w:szCs w:val="18"/>
                <w:lang w:val="en-US" w:eastAsia="en-US"/>
              </w:rPr>
              <w:t>Why</w:t>
            </w:r>
          </w:p>
        </w:tc>
      </w:tr>
      <w:tr w:rsidR="00A6399C" w14:paraId="2BBB8E20" w14:textId="77777777" w:rsidTr="00B708EA">
        <w:trPr>
          <w:cantSplit/>
        </w:trPr>
        <w:tc>
          <w:tcPr>
            <w:tcW w:w="1263" w:type="dxa"/>
            <w:tcBorders>
              <w:top w:val="single" w:sz="4" w:space="0" w:color="B56011"/>
              <w:left w:val="nil"/>
              <w:bottom w:val="single" w:sz="4" w:space="0" w:color="B56011"/>
              <w:right w:val="nil"/>
            </w:tcBorders>
          </w:tcPr>
          <w:p w14:paraId="075DACD0" w14:textId="77777777" w:rsidR="00A6399C" w:rsidRDefault="00A6399C" w:rsidP="00A6399C">
            <w:pPr>
              <w:spacing w:before="40" w:after="40"/>
              <w:rPr>
                <w:rFonts w:cs="Arial"/>
                <w:b/>
                <w:color w:val="BFBFBF" w:themeColor="background1" w:themeShade="BF"/>
                <w:sz w:val="18"/>
                <w:szCs w:val="18"/>
                <w:lang w:val="en-US" w:eastAsia="en-US"/>
              </w:rPr>
            </w:pPr>
            <w:r w:rsidRPr="00E70DCB">
              <w:rPr>
                <w:rFonts w:cs="Arial"/>
                <w:b/>
                <w:sz w:val="18"/>
                <w:szCs w:val="18"/>
              </w:rPr>
              <w:t>71099</w:t>
            </w:r>
          </w:p>
        </w:tc>
        <w:tc>
          <w:tcPr>
            <w:tcW w:w="2676" w:type="dxa"/>
            <w:tcBorders>
              <w:top w:val="single" w:sz="4" w:space="0" w:color="B56011"/>
              <w:left w:val="nil"/>
              <w:bottom w:val="single" w:sz="4" w:space="0" w:color="B56011"/>
              <w:right w:val="nil"/>
            </w:tcBorders>
          </w:tcPr>
          <w:p w14:paraId="2FBB618F" w14:textId="77777777" w:rsidR="00A55047" w:rsidRDefault="00767469" w:rsidP="00A6399C">
            <w:pPr>
              <w:spacing w:before="40" w:after="40"/>
              <w:rPr>
                <w:rFonts w:cs="Arial"/>
                <w:sz w:val="18"/>
                <w:szCs w:val="18"/>
              </w:rPr>
            </w:pPr>
            <w:r>
              <w:rPr>
                <w:rFonts w:cs="Arial"/>
                <w:sz w:val="18"/>
                <w:szCs w:val="18"/>
              </w:rPr>
              <w:t>A double stranded DNA antibody is an antibody that targets DNA within a person’s own body.</w:t>
            </w:r>
          </w:p>
          <w:p w14:paraId="429A750E" w14:textId="77777777" w:rsidR="00767469" w:rsidRDefault="00767469" w:rsidP="00A6399C">
            <w:pPr>
              <w:spacing w:before="40" w:after="40"/>
              <w:rPr>
                <w:rFonts w:cs="Arial"/>
                <w:sz w:val="18"/>
                <w:szCs w:val="18"/>
              </w:rPr>
            </w:pPr>
          </w:p>
          <w:p w14:paraId="3A896637" w14:textId="77777777" w:rsidR="00767469" w:rsidRDefault="00767469" w:rsidP="00A6399C">
            <w:pPr>
              <w:spacing w:before="40" w:after="40"/>
              <w:rPr>
                <w:rFonts w:cs="Arial"/>
                <w:sz w:val="18"/>
                <w:szCs w:val="18"/>
              </w:rPr>
            </w:pPr>
            <w:r>
              <w:rPr>
                <w:rFonts w:cs="Arial"/>
                <w:sz w:val="18"/>
                <w:szCs w:val="18"/>
              </w:rPr>
              <w:t>The presence of large amount of this antibody can indicate a person has an autoimmune disease.</w:t>
            </w:r>
          </w:p>
          <w:p w14:paraId="44231470" w14:textId="77777777" w:rsidR="00767469" w:rsidRDefault="00767469" w:rsidP="00A6399C">
            <w:pPr>
              <w:spacing w:before="40" w:after="40"/>
              <w:rPr>
                <w:rFonts w:cs="Arial"/>
                <w:sz w:val="18"/>
                <w:szCs w:val="18"/>
              </w:rPr>
            </w:pPr>
          </w:p>
          <w:p w14:paraId="10D3D8F8" w14:textId="77777777" w:rsidR="00A6399C" w:rsidRPr="00E70DCB" w:rsidRDefault="00767469" w:rsidP="00767469">
            <w:pPr>
              <w:spacing w:before="40" w:after="40"/>
              <w:rPr>
                <w:rFonts w:cs="Arial"/>
                <w:sz w:val="18"/>
                <w:szCs w:val="18"/>
              </w:rPr>
            </w:pPr>
            <w:r>
              <w:rPr>
                <w:rFonts w:cs="Arial"/>
                <w:sz w:val="18"/>
                <w:szCs w:val="18"/>
              </w:rPr>
              <w:t>This test determines if a person has any double stranded DNA antibodies.</w:t>
            </w:r>
          </w:p>
        </w:tc>
        <w:tc>
          <w:tcPr>
            <w:tcW w:w="3257" w:type="dxa"/>
            <w:tcBorders>
              <w:top w:val="single" w:sz="4" w:space="0" w:color="B56011"/>
              <w:left w:val="nil"/>
              <w:bottom w:val="single" w:sz="4" w:space="0" w:color="B56011"/>
              <w:right w:val="nil"/>
            </w:tcBorders>
          </w:tcPr>
          <w:p w14:paraId="2A375220" w14:textId="77777777" w:rsidR="00A6399C" w:rsidRPr="00E70DCB" w:rsidRDefault="00A6399C" w:rsidP="00A6399C">
            <w:pPr>
              <w:spacing w:before="40" w:after="40"/>
              <w:rPr>
                <w:rFonts w:cs="Arial"/>
                <w:sz w:val="18"/>
                <w:szCs w:val="18"/>
              </w:rPr>
            </w:pPr>
            <w:r w:rsidRPr="00E70DCB">
              <w:rPr>
                <w:rFonts w:cs="Arial"/>
                <w:sz w:val="18"/>
                <w:szCs w:val="18"/>
              </w:rPr>
              <w:t>Change the description so that the ‘Crithidia method’ is not excluded</w:t>
            </w:r>
          </w:p>
        </w:tc>
        <w:tc>
          <w:tcPr>
            <w:tcW w:w="2714" w:type="dxa"/>
            <w:tcBorders>
              <w:top w:val="single" w:sz="4" w:space="0" w:color="B56011"/>
              <w:left w:val="nil"/>
              <w:bottom w:val="single" w:sz="4" w:space="0" w:color="B56011"/>
              <w:right w:val="nil"/>
            </w:tcBorders>
          </w:tcPr>
          <w:p w14:paraId="275659A9" w14:textId="77777777" w:rsidR="00A6399C" w:rsidRPr="00E70DCB" w:rsidRDefault="00A6399C" w:rsidP="00E32CD1">
            <w:pPr>
              <w:spacing w:before="40" w:after="40"/>
              <w:ind w:left="57" w:right="57"/>
              <w:rPr>
                <w:rFonts w:cs="Arial"/>
                <w:sz w:val="18"/>
                <w:szCs w:val="18"/>
              </w:rPr>
            </w:pPr>
            <w:r>
              <w:rPr>
                <w:rFonts w:cs="Arial"/>
                <w:sz w:val="18"/>
                <w:szCs w:val="18"/>
              </w:rPr>
              <w:t>The test would no longer exclude this method of testing for an immune response against the body’s own DNA</w:t>
            </w:r>
          </w:p>
        </w:tc>
        <w:tc>
          <w:tcPr>
            <w:tcW w:w="3661" w:type="dxa"/>
            <w:tcBorders>
              <w:top w:val="single" w:sz="4" w:space="0" w:color="B56011"/>
              <w:left w:val="nil"/>
              <w:bottom w:val="single" w:sz="4" w:space="0" w:color="B56011"/>
              <w:right w:val="nil"/>
            </w:tcBorders>
          </w:tcPr>
          <w:p w14:paraId="36BA7F89" w14:textId="77777777" w:rsidR="00A6399C" w:rsidRPr="00E70DCB" w:rsidRDefault="00A6399C" w:rsidP="00A6399C">
            <w:pPr>
              <w:spacing w:before="40" w:after="40"/>
              <w:rPr>
                <w:rFonts w:cs="Arial"/>
                <w:sz w:val="18"/>
                <w:szCs w:val="18"/>
              </w:rPr>
            </w:pPr>
            <w:r>
              <w:rPr>
                <w:rFonts w:cs="Arial"/>
                <w:sz w:val="18"/>
                <w:szCs w:val="18"/>
              </w:rPr>
              <w:t>T</w:t>
            </w:r>
            <w:r w:rsidRPr="00C32944">
              <w:rPr>
                <w:rFonts w:cs="Arial"/>
                <w:sz w:val="18"/>
                <w:szCs w:val="18"/>
              </w:rPr>
              <w:t>he Crithidia method</w:t>
            </w:r>
            <w:r>
              <w:rPr>
                <w:rFonts w:cs="Arial"/>
                <w:sz w:val="18"/>
                <w:szCs w:val="18"/>
              </w:rPr>
              <w:t xml:space="preserve"> is considered to be a </w:t>
            </w:r>
            <w:r w:rsidR="000F227B">
              <w:rPr>
                <w:rFonts w:cs="Arial"/>
                <w:sz w:val="18"/>
                <w:szCs w:val="18"/>
              </w:rPr>
              <w:t>valid</w:t>
            </w:r>
            <w:r>
              <w:rPr>
                <w:rFonts w:cs="Arial"/>
                <w:sz w:val="18"/>
                <w:szCs w:val="18"/>
              </w:rPr>
              <w:t xml:space="preserve"> test and there is no reason to exclude it</w:t>
            </w:r>
          </w:p>
        </w:tc>
      </w:tr>
    </w:tbl>
    <w:p w14:paraId="554835EB" w14:textId="77777777" w:rsidR="00D75049" w:rsidRDefault="00D75049">
      <w:pPr>
        <w:spacing w:before="0" w:after="0"/>
      </w:pPr>
    </w:p>
    <w:tbl>
      <w:tblPr>
        <w:tblStyle w:val="TableGrid"/>
        <w:tblW w:w="13571"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63"/>
        <w:gridCol w:w="2676"/>
        <w:gridCol w:w="3257"/>
        <w:gridCol w:w="2714"/>
        <w:gridCol w:w="3661"/>
      </w:tblGrid>
      <w:tr w:rsidR="00A6399C" w14:paraId="6FE07C65" w14:textId="77777777" w:rsidTr="009B2D7B">
        <w:trPr>
          <w:cantSplit/>
          <w:tblHeader/>
        </w:trPr>
        <w:tc>
          <w:tcPr>
            <w:tcW w:w="13571" w:type="dxa"/>
            <w:gridSpan w:val="5"/>
            <w:tcBorders>
              <w:top w:val="single" w:sz="4" w:space="0" w:color="B56011"/>
              <w:left w:val="nil"/>
              <w:bottom w:val="single" w:sz="4" w:space="0" w:color="B56011"/>
              <w:right w:val="nil"/>
            </w:tcBorders>
            <w:shd w:val="clear" w:color="auto" w:fill="EEECE1" w:themeFill="background2"/>
            <w:hideMark/>
          </w:tcPr>
          <w:p w14:paraId="4E495F79" w14:textId="77777777" w:rsidR="00A6399C" w:rsidRDefault="00024095" w:rsidP="00E32CD1">
            <w:pPr>
              <w:spacing w:before="40" w:after="40"/>
              <w:ind w:left="1810" w:hanging="1810"/>
              <w:rPr>
                <w:rFonts w:cs="Arial"/>
                <w:b/>
                <w:color w:val="BFBFBF" w:themeColor="background1" w:themeShade="BF"/>
                <w:sz w:val="18"/>
                <w:szCs w:val="18"/>
                <w:lang w:val="en-US" w:eastAsia="en-US"/>
              </w:rPr>
            </w:pPr>
            <w:r>
              <w:rPr>
                <w:b/>
                <w:spacing w:val="-4"/>
              </w:rPr>
              <w:t>Recommendation 6</w:t>
            </w:r>
            <w:r w:rsidR="00A6399C" w:rsidRPr="00E70DCB">
              <w:rPr>
                <w:b/>
                <w:spacing w:val="-4"/>
              </w:rPr>
              <w:t xml:space="preserve">: </w:t>
            </w:r>
            <w:r w:rsidR="00A6399C" w:rsidRPr="00ED3694">
              <w:rPr>
                <w:b/>
                <w:spacing w:val="-4"/>
              </w:rPr>
              <w:t>Antibodies to extractable nuclear antigens</w:t>
            </w:r>
          </w:p>
        </w:tc>
      </w:tr>
      <w:tr w:rsidR="00A6399C" w14:paraId="1A6AD3F7" w14:textId="77777777" w:rsidTr="00B708EA">
        <w:trPr>
          <w:cantSplit/>
        </w:trPr>
        <w:tc>
          <w:tcPr>
            <w:tcW w:w="1263" w:type="dxa"/>
            <w:tcBorders>
              <w:top w:val="single" w:sz="4" w:space="0" w:color="B56011"/>
              <w:left w:val="nil"/>
              <w:bottom w:val="single" w:sz="4" w:space="0" w:color="B56011"/>
              <w:right w:val="nil"/>
            </w:tcBorders>
            <w:hideMark/>
          </w:tcPr>
          <w:p w14:paraId="12112DEC" w14:textId="77777777" w:rsidR="00A6399C" w:rsidRDefault="00A6399C" w:rsidP="00A6399C">
            <w:pPr>
              <w:spacing w:before="40" w:after="40"/>
              <w:rPr>
                <w:rFonts w:cs="Arial"/>
                <w:b/>
                <w:color w:val="BFBFBF" w:themeColor="background1" w:themeShade="BF"/>
                <w:sz w:val="18"/>
                <w:szCs w:val="18"/>
                <w:lang w:val="en-US" w:eastAsia="en-US"/>
              </w:rPr>
            </w:pPr>
            <w:r w:rsidRPr="00C32944">
              <w:rPr>
                <w:rFonts w:cs="Arial"/>
                <w:b/>
                <w:sz w:val="18"/>
                <w:szCs w:val="18"/>
                <w:lang w:val="en-US" w:eastAsia="en-US"/>
              </w:rPr>
              <w:t>Item</w:t>
            </w:r>
            <w:r>
              <w:rPr>
                <w:rFonts w:cs="Arial"/>
                <w:b/>
                <w:sz w:val="18"/>
                <w:szCs w:val="18"/>
                <w:lang w:val="en-US" w:eastAsia="en-US"/>
              </w:rPr>
              <w:t>s</w:t>
            </w:r>
          </w:p>
        </w:tc>
        <w:tc>
          <w:tcPr>
            <w:tcW w:w="2676" w:type="dxa"/>
            <w:tcBorders>
              <w:top w:val="single" w:sz="4" w:space="0" w:color="B56011"/>
              <w:left w:val="nil"/>
              <w:bottom w:val="single" w:sz="4" w:space="0" w:color="B56011"/>
              <w:right w:val="nil"/>
            </w:tcBorders>
            <w:hideMark/>
          </w:tcPr>
          <w:p w14:paraId="381B7AB2" w14:textId="77777777" w:rsidR="00A6399C" w:rsidRDefault="00A6399C" w:rsidP="00A6399C">
            <w:pPr>
              <w:spacing w:before="40" w:after="40"/>
              <w:jc w:val="center"/>
              <w:rPr>
                <w:rFonts w:cs="Arial"/>
                <w:b/>
                <w:color w:val="BFBFBF" w:themeColor="background1" w:themeShade="BF"/>
                <w:sz w:val="18"/>
                <w:szCs w:val="18"/>
                <w:lang w:val="en-US" w:eastAsia="en-US"/>
              </w:rPr>
            </w:pPr>
            <w:r w:rsidRPr="00C32944">
              <w:rPr>
                <w:rFonts w:cs="Arial"/>
                <w:b/>
                <w:sz w:val="18"/>
                <w:szCs w:val="18"/>
                <w:lang w:val="en-US" w:eastAsia="en-US"/>
              </w:rPr>
              <w:t>What it does</w:t>
            </w:r>
          </w:p>
        </w:tc>
        <w:tc>
          <w:tcPr>
            <w:tcW w:w="3257" w:type="dxa"/>
            <w:tcBorders>
              <w:top w:val="single" w:sz="4" w:space="0" w:color="B56011"/>
              <w:left w:val="nil"/>
              <w:bottom w:val="single" w:sz="4" w:space="0" w:color="B56011"/>
              <w:right w:val="nil"/>
            </w:tcBorders>
            <w:hideMark/>
          </w:tcPr>
          <w:p w14:paraId="113ECED7" w14:textId="77777777" w:rsidR="00A6399C" w:rsidRDefault="00A6399C" w:rsidP="00A6399C">
            <w:pPr>
              <w:spacing w:before="40" w:after="40"/>
              <w:jc w:val="center"/>
              <w:rPr>
                <w:rFonts w:cs="Arial"/>
                <w:b/>
                <w:color w:val="BFBFBF" w:themeColor="background1" w:themeShade="BF"/>
                <w:sz w:val="18"/>
                <w:szCs w:val="18"/>
                <w:lang w:val="en-US" w:eastAsia="en-US"/>
              </w:rPr>
            </w:pPr>
            <w:r w:rsidRPr="00C32944">
              <w:rPr>
                <w:rFonts w:cs="Arial"/>
                <w:b/>
                <w:sz w:val="18"/>
                <w:szCs w:val="18"/>
                <w:lang w:val="en-US" w:eastAsia="en-US"/>
              </w:rPr>
              <w:t>Committee recommendation</w:t>
            </w:r>
          </w:p>
        </w:tc>
        <w:tc>
          <w:tcPr>
            <w:tcW w:w="2714" w:type="dxa"/>
            <w:tcBorders>
              <w:top w:val="single" w:sz="4" w:space="0" w:color="B56011"/>
              <w:left w:val="nil"/>
              <w:bottom w:val="single" w:sz="4" w:space="0" w:color="B56011"/>
              <w:right w:val="nil"/>
            </w:tcBorders>
            <w:hideMark/>
          </w:tcPr>
          <w:p w14:paraId="3191CF38" w14:textId="77777777" w:rsidR="00A6399C" w:rsidRDefault="00A6399C" w:rsidP="00A6399C">
            <w:pPr>
              <w:spacing w:before="40" w:after="40"/>
              <w:jc w:val="center"/>
              <w:rPr>
                <w:rFonts w:cs="Arial"/>
                <w:b/>
                <w:color w:val="BFBFBF" w:themeColor="background1" w:themeShade="BF"/>
                <w:sz w:val="18"/>
                <w:szCs w:val="18"/>
                <w:lang w:val="en-US" w:eastAsia="en-US"/>
              </w:rPr>
            </w:pPr>
            <w:r w:rsidRPr="00C32944">
              <w:rPr>
                <w:rFonts w:cs="Arial"/>
                <w:b/>
                <w:sz w:val="18"/>
                <w:szCs w:val="18"/>
                <w:lang w:val="en-US" w:eastAsia="en-US"/>
              </w:rPr>
              <w:t>What would be different</w:t>
            </w:r>
          </w:p>
        </w:tc>
        <w:tc>
          <w:tcPr>
            <w:tcW w:w="3661" w:type="dxa"/>
            <w:tcBorders>
              <w:top w:val="single" w:sz="4" w:space="0" w:color="B56011"/>
              <w:left w:val="nil"/>
              <w:bottom w:val="single" w:sz="4" w:space="0" w:color="B56011"/>
              <w:right w:val="nil"/>
            </w:tcBorders>
            <w:hideMark/>
          </w:tcPr>
          <w:p w14:paraId="41C76B43" w14:textId="77777777" w:rsidR="00A6399C" w:rsidRDefault="00A6399C" w:rsidP="00A6399C">
            <w:pPr>
              <w:spacing w:before="40" w:after="40"/>
              <w:jc w:val="center"/>
              <w:rPr>
                <w:rFonts w:cs="Arial"/>
                <w:b/>
                <w:color w:val="BFBFBF" w:themeColor="background1" w:themeShade="BF"/>
                <w:sz w:val="18"/>
                <w:szCs w:val="18"/>
                <w:lang w:val="en-US" w:eastAsia="en-US"/>
              </w:rPr>
            </w:pPr>
            <w:r w:rsidRPr="00C32944">
              <w:rPr>
                <w:rFonts w:cs="Arial"/>
                <w:b/>
                <w:sz w:val="18"/>
                <w:szCs w:val="18"/>
                <w:lang w:val="en-US" w:eastAsia="en-US"/>
              </w:rPr>
              <w:t>Why</w:t>
            </w:r>
          </w:p>
        </w:tc>
      </w:tr>
      <w:tr w:rsidR="00A6399C" w14:paraId="5BEFDCA1" w14:textId="77777777" w:rsidTr="00B708EA">
        <w:trPr>
          <w:cantSplit/>
        </w:trPr>
        <w:tc>
          <w:tcPr>
            <w:tcW w:w="1263" w:type="dxa"/>
            <w:tcBorders>
              <w:top w:val="single" w:sz="4" w:space="0" w:color="B56011"/>
              <w:left w:val="nil"/>
              <w:bottom w:val="single" w:sz="4" w:space="0" w:color="B56011"/>
              <w:right w:val="nil"/>
            </w:tcBorders>
          </w:tcPr>
          <w:p w14:paraId="0F52706B" w14:textId="77777777" w:rsidR="00A6399C" w:rsidRDefault="00A6399C" w:rsidP="00A6399C">
            <w:pPr>
              <w:spacing w:before="40" w:after="40"/>
              <w:rPr>
                <w:rFonts w:cs="Arial"/>
                <w:b/>
                <w:color w:val="BFBFBF" w:themeColor="background1" w:themeShade="BF"/>
                <w:sz w:val="18"/>
                <w:szCs w:val="18"/>
              </w:rPr>
            </w:pPr>
            <w:r w:rsidRPr="00E70DCB">
              <w:rPr>
                <w:rFonts w:cs="Arial"/>
                <w:b/>
                <w:sz w:val="18"/>
                <w:szCs w:val="18"/>
                <w:lang w:val="en-US" w:eastAsia="en-US"/>
              </w:rPr>
              <w:t>71101,</w:t>
            </w:r>
            <w:r>
              <w:rPr>
                <w:rFonts w:cs="Arial"/>
                <w:b/>
                <w:sz w:val="18"/>
                <w:szCs w:val="18"/>
                <w:lang w:val="en-US" w:eastAsia="en-US"/>
              </w:rPr>
              <w:t xml:space="preserve"> </w:t>
            </w:r>
            <w:r w:rsidRPr="00E70DCB">
              <w:rPr>
                <w:rFonts w:cs="Arial"/>
                <w:b/>
                <w:sz w:val="18"/>
                <w:szCs w:val="18"/>
                <w:lang w:val="en-US" w:eastAsia="en-US"/>
              </w:rPr>
              <w:t>71103</w:t>
            </w:r>
          </w:p>
        </w:tc>
        <w:tc>
          <w:tcPr>
            <w:tcW w:w="2676" w:type="dxa"/>
            <w:tcBorders>
              <w:top w:val="single" w:sz="4" w:space="0" w:color="B56011"/>
              <w:left w:val="nil"/>
              <w:bottom w:val="single" w:sz="4" w:space="0" w:color="B56011"/>
              <w:right w:val="nil"/>
            </w:tcBorders>
          </w:tcPr>
          <w:p w14:paraId="68AF697F" w14:textId="77777777" w:rsidR="00A6399C" w:rsidRPr="00E70DCB" w:rsidRDefault="00A6399C" w:rsidP="00A6399C">
            <w:pPr>
              <w:spacing w:before="40" w:after="40"/>
              <w:rPr>
                <w:rFonts w:cs="Arial"/>
                <w:sz w:val="18"/>
                <w:szCs w:val="18"/>
              </w:rPr>
            </w:pPr>
            <w:r w:rsidRPr="00E70DCB">
              <w:rPr>
                <w:rFonts w:cs="Arial"/>
                <w:sz w:val="18"/>
                <w:szCs w:val="18"/>
              </w:rPr>
              <w:t>Extracts (71101) and identifies (71103</w:t>
            </w:r>
            <w:r>
              <w:rPr>
                <w:rFonts w:cs="Arial"/>
                <w:sz w:val="18"/>
                <w:szCs w:val="18"/>
              </w:rPr>
              <w:t xml:space="preserve">) inappropriate </w:t>
            </w:r>
            <w:r w:rsidRPr="00E70DCB">
              <w:rPr>
                <w:rFonts w:cs="Arial"/>
                <w:sz w:val="18"/>
                <w:szCs w:val="18"/>
              </w:rPr>
              <w:t>immune response</w:t>
            </w:r>
            <w:r>
              <w:rPr>
                <w:rFonts w:cs="Arial"/>
                <w:sz w:val="18"/>
                <w:szCs w:val="18"/>
              </w:rPr>
              <w:t>s</w:t>
            </w:r>
            <w:r w:rsidRPr="00E70DCB">
              <w:rPr>
                <w:rFonts w:cs="Arial"/>
                <w:sz w:val="18"/>
                <w:szCs w:val="18"/>
              </w:rPr>
              <w:t xml:space="preserve"> to various </w:t>
            </w:r>
            <w:r>
              <w:rPr>
                <w:rFonts w:cs="Arial"/>
                <w:sz w:val="18"/>
                <w:szCs w:val="18"/>
              </w:rPr>
              <w:t>proteins</w:t>
            </w:r>
            <w:r w:rsidRPr="00E70DCB">
              <w:rPr>
                <w:rFonts w:cs="Arial"/>
                <w:sz w:val="18"/>
                <w:szCs w:val="18"/>
              </w:rPr>
              <w:t xml:space="preserve"> from the cell </w:t>
            </w:r>
            <w:r>
              <w:rPr>
                <w:rFonts w:cs="Arial"/>
                <w:sz w:val="18"/>
                <w:szCs w:val="18"/>
              </w:rPr>
              <w:t>nucleus (central portion of the cell containing DNA/genes)</w:t>
            </w:r>
          </w:p>
        </w:tc>
        <w:tc>
          <w:tcPr>
            <w:tcW w:w="3257" w:type="dxa"/>
            <w:tcBorders>
              <w:top w:val="single" w:sz="4" w:space="0" w:color="B56011"/>
              <w:left w:val="nil"/>
              <w:bottom w:val="single" w:sz="4" w:space="0" w:color="B56011"/>
              <w:right w:val="nil"/>
            </w:tcBorders>
          </w:tcPr>
          <w:p w14:paraId="2C6F28EB" w14:textId="77777777" w:rsidR="00A6399C" w:rsidRDefault="00A6399C" w:rsidP="00A6399C">
            <w:pPr>
              <w:spacing w:before="40" w:after="40"/>
              <w:rPr>
                <w:rFonts w:cs="Arial"/>
                <w:sz w:val="18"/>
                <w:szCs w:val="18"/>
              </w:rPr>
            </w:pPr>
          </w:p>
          <w:p w14:paraId="3F819BE8" w14:textId="77777777" w:rsidR="00E80F4F" w:rsidRPr="00E80F4F" w:rsidRDefault="00E80F4F" w:rsidP="00E80F4F">
            <w:pPr>
              <w:spacing w:before="40" w:after="40"/>
              <w:rPr>
                <w:rFonts w:cs="Arial"/>
                <w:sz w:val="18"/>
                <w:szCs w:val="18"/>
              </w:rPr>
            </w:pPr>
            <w:r>
              <w:rPr>
                <w:rFonts w:cs="Arial"/>
                <w:sz w:val="18"/>
                <w:szCs w:val="18"/>
              </w:rPr>
              <w:t>Change item</w:t>
            </w:r>
            <w:r w:rsidRPr="00E80F4F">
              <w:rPr>
                <w:rFonts w:cs="Arial"/>
                <w:sz w:val="18"/>
                <w:szCs w:val="18"/>
              </w:rPr>
              <w:t xml:space="preserve"> 71101 to </w:t>
            </w:r>
            <w:r>
              <w:rPr>
                <w:rFonts w:cs="Arial"/>
                <w:sz w:val="18"/>
                <w:szCs w:val="18"/>
              </w:rPr>
              <w:t>ensure that the test is performed using serum.</w:t>
            </w:r>
          </w:p>
          <w:p w14:paraId="6A46F9A2" w14:textId="77777777" w:rsidR="00E80F4F" w:rsidRDefault="00E80F4F" w:rsidP="00E80F4F">
            <w:pPr>
              <w:spacing w:before="40" w:after="40"/>
              <w:rPr>
                <w:rFonts w:cs="Arial"/>
                <w:sz w:val="18"/>
                <w:szCs w:val="18"/>
              </w:rPr>
            </w:pPr>
            <w:r>
              <w:rPr>
                <w:rFonts w:cs="Arial"/>
                <w:sz w:val="18"/>
                <w:szCs w:val="18"/>
              </w:rPr>
              <w:t xml:space="preserve">Monitor items </w:t>
            </w:r>
            <w:r w:rsidRPr="00E80F4F">
              <w:rPr>
                <w:rFonts w:cs="Arial"/>
                <w:sz w:val="18"/>
                <w:szCs w:val="18"/>
              </w:rPr>
              <w:t>71101 and 71103</w:t>
            </w:r>
            <w:r>
              <w:rPr>
                <w:rFonts w:cs="Arial"/>
                <w:sz w:val="18"/>
                <w:szCs w:val="18"/>
              </w:rPr>
              <w:t>.</w:t>
            </w:r>
          </w:p>
          <w:p w14:paraId="3FE39A56" w14:textId="77777777" w:rsidR="00E80F4F" w:rsidRPr="00E70DCB" w:rsidRDefault="00E80F4F" w:rsidP="00E80F4F">
            <w:pPr>
              <w:spacing w:before="40" w:after="40"/>
              <w:rPr>
                <w:rFonts w:cs="Arial"/>
                <w:sz w:val="18"/>
                <w:szCs w:val="18"/>
              </w:rPr>
            </w:pPr>
            <w:r>
              <w:rPr>
                <w:rFonts w:cs="Arial"/>
                <w:sz w:val="18"/>
                <w:szCs w:val="18"/>
              </w:rPr>
              <w:t>Audit laboratories where the ratio of item 71103: 71101 is more than one third.</w:t>
            </w:r>
          </w:p>
        </w:tc>
        <w:tc>
          <w:tcPr>
            <w:tcW w:w="2714" w:type="dxa"/>
            <w:tcBorders>
              <w:top w:val="single" w:sz="4" w:space="0" w:color="B56011"/>
              <w:left w:val="nil"/>
              <w:bottom w:val="single" w:sz="4" w:space="0" w:color="B56011"/>
              <w:right w:val="nil"/>
            </w:tcBorders>
          </w:tcPr>
          <w:p w14:paraId="19A4B0F5" w14:textId="77777777" w:rsidR="00A6399C" w:rsidRPr="00E70DCB" w:rsidRDefault="00A6399C" w:rsidP="00A6399C">
            <w:pPr>
              <w:spacing w:before="40" w:after="40"/>
              <w:ind w:left="57" w:right="57"/>
              <w:rPr>
                <w:rFonts w:cs="Arial"/>
                <w:sz w:val="18"/>
                <w:szCs w:val="18"/>
              </w:rPr>
            </w:pPr>
            <w:r>
              <w:rPr>
                <w:rFonts w:cs="Arial"/>
                <w:sz w:val="18"/>
                <w:szCs w:val="18"/>
              </w:rPr>
              <w:t>Testing would only</w:t>
            </w:r>
            <w:r w:rsidR="00767469">
              <w:rPr>
                <w:rFonts w:cs="Arial"/>
                <w:sz w:val="18"/>
                <w:szCs w:val="18"/>
              </w:rPr>
              <w:t xml:space="preserve"> be</w:t>
            </w:r>
            <w:r>
              <w:rPr>
                <w:rFonts w:cs="Arial"/>
                <w:sz w:val="18"/>
                <w:szCs w:val="18"/>
              </w:rPr>
              <w:t xml:space="preserve"> possible four times a year for individual patients</w:t>
            </w:r>
          </w:p>
        </w:tc>
        <w:tc>
          <w:tcPr>
            <w:tcW w:w="3661" w:type="dxa"/>
            <w:tcBorders>
              <w:top w:val="single" w:sz="4" w:space="0" w:color="B56011"/>
              <w:left w:val="nil"/>
              <w:bottom w:val="single" w:sz="4" w:space="0" w:color="B56011"/>
              <w:right w:val="nil"/>
            </w:tcBorders>
          </w:tcPr>
          <w:p w14:paraId="5E256711" w14:textId="77777777" w:rsidR="00A6399C" w:rsidRPr="00E70DCB" w:rsidRDefault="00A6399C" w:rsidP="00A6399C">
            <w:pPr>
              <w:spacing w:before="40" w:after="40"/>
              <w:rPr>
                <w:rFonts w:cs="Arial"/>
                <w:sz w:val="18"/>
                <w:szCs w:val="18"/>
              </w:rPr>
            </w:pPr>
            <w:r>
              <w:rPr>
                <w:rFonts w:cs="Arial"/>
                <w:sz w:val="18"/>
                <w:szCs w:val="18"/>
              </w:rPr>
              <w:t>Test 71101 may be being repeated unnecessarily for monitoring (it should only be repeated if the patient’s condition changes)</w:t>
            </w:r>
          </w:p>
        </w:tc>
      </w:tr>
    </w:tbl>
    <w:p w14:paraId="1BEFE415" w14:textId="77777777" w:rsidR="00B708EA" w:rsidRDefault="00B708EA"/>
    <w:tbl>
      <w:tblPr>
        <w:tblStyle w:val="TableGrid"/>
        <w:tblW w:w="13571"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63"/>
        <w:gridCol w:w="2676"/>
        <w:gridCol w:w="3257"/>
        <w:gridCol w:w="2714"/>
        <w:gridCol w:w="3661"/>
      </w:tblGrid>
      <w:tr w:rsidR="00A6399C" w14:paraId="72A8001B" w14:textId="77777777" w:rsidTr="009B2D7B">
        <w:trPr>
          <w:cantSplit/>
          <w:tblHeader/>
        </w:trPr>
        <w:tc>
          <w:tcPr>
            <w:tcW w:w="13571" w:type="dxa"/>
            <w:gridSpan w:val="5"/>
            <w:tcBorders>
              <w:top w:val="single" w:sz="4" w:space="0" w:color="B56011"/>
              <w:left w:val="nil"/>
              <w:bottom w:val="single" w:sz="4" w:space="0" w:color="B56011"/>
              <w:right w:val="nil"/>
            </w:tcBorders>
            <w:shd w:val="clear" w:color="auto" w:fill="EEECE1" w:themeFill="background2"/>
            <w:hideMark/>
          </w:tcPr>
          <w:p w14:paraId="5D0DBA11" w14:textId="77777777" w:rsidR="00A6399C" w:rsidRPr="00E70DCB" w:rsidRDefault="00024095" w:rsidP="00E32CD1">
            <w:pPr>
              <w:spacing w:before="40" w:after="40"/>
              <w:ind w:left="1877" w:hanging="1877"/>
              <w:rPr>
                <w:rFonts w:cs="Arial"/>
                <w:b/>
                <w:sz w:val="18"/>
                <w:szCs w:val="18"/>
                <w:lang w:val="en-US" w:eastAsia="en-US"/>
              </w:rPr>
            </w:pPr>
            <w:r>
              <w:rPr>
                <w:b/>
              </w:rPr>
              <w:t>Recommendation 7</w:t>
            </w:r>
            <w:r w:rsidR="00A6399C" w:rsidRPr="00E70DCB">
              <w:rPr>
                <w:b/>
              </w:rPr>
              <w:t xml:space="preserve">: </w:t>
            </w:r>
            <w:r w:rsidR="00A6399C" w:rsidRPr="002549F6">
              <w:rPr>
                <w:b/>
              </w:rPr>
              <w:t>Quantitation of complement components</w:t>
            </w:r>
          </w:p>
        </w:tc>
      </w:tr>
      <w:tr w:rsidR="00A6399C" w14:paraId="5F46B85A" w14:textId="77777777" w:rsidTr="00B708EA">
        <w:trPr>
          <w:cantSplit/>
        </w:trPr>
        <w:tc>
          <w:tcPr>
            <w:tcW w:w="1263" w:type="dxa"/>
            <w:tcBorders>
              <w:top w:val="single" w:sz="4" w:space="0" w:color="B56011"/>
              <w:left w:val="nil"/>
              <w:bottom w:val="single" w:sz="4" w:space="0" w:color="B56011"/>
              <w:right w:val="nil"/>
            </w:tcBorders>
            <w:hideMark/>
          </w:tcPr>
          <w:p w14:paraId="3218F529" w14:textId="77777777" w:rsidR="00A6399C" w:rsidRPr="00E70DCB" w:rsidRDefault="00A6399C" w:rsidP="00A6399C">
            <w:pPr>
              <w:spacing w:before="40" w:after="40"/>
              <w:rPr>
                <w:rFonts w:cs="Arial"/>
                <w:b/>
                <w:sz w:val="18"/>
                <w:szCs w:val="18"/>
                <w:lang w:val="en-US" w:eastAsia="en-US"/>
              </w:rPr>
            </w:pPr>
            <w:r w:rsidRPr="00E70DCB">
              <w:rPr>
                <w:rFonts w:cs="Arial"/>
                <w:b/>
                <w:sz w:val="18"/>
                <w:szCs w:val="18"/>
                <w:lang w:val="en-US" w:eastAsia="en-US"/>
              </w:rPr>
              <w:t>Item</w:t>
            </w:r>
          </w:p>
        </w:tc>
        <w:tc>
          <w:tcPr>
            <w:tcW w:w="2676" w:type="dxa"/>
            <w:tcBorders>
              <w:top w:val="single" w:sz="4" w:space="0" w:color="B56011"/>
              <w:left w:val="nil"/>
              <w:bottom w:val="single" w:sz="4" w:space="0" w:color="B56011"/>
              <w:right w:val="nil"/>
            </w:tcBorders>
            <w:hideMark/>
          </w:tcPr>
          <w:p w14:paraId="0281E85C" w14:textId="77777777" w:rsidR="00A6399C" w:rsidRPr="00E70DCB" w:rsidRDefault="00A6399C" w:rsidP="00A6399C">
            <w:pPr>
              <w:spacing w:before="40" w:after="40"/>
              <w:jc w:val="center"/>
              <w:rPr>
                <w:rFonts w:cs="Arial"/>
                <w:b/>
                <w:sz w:val="18"/>
                <w:szCs w:val="18"/>
                <w:lang w:val="en-US" w:eastAsia="en-US"/>
              </w:rPr>
            </w:pPr>
            <w:r w:rsidRPr="00E70DCB">
              <w:rPr>
                <w:rFonts w:cs="Arial"/>
                <w:b/>
                <w:sz w:val="18"/>
                <w:szCs w:val="18"/>
                <w:lang w:val="en-US" w:eastAsia="en-US"/>
              </w:rPr>
              <w:t>What it does</w:t>
            </w:r>
          </w:p>
        </w:tc>
        <w:tc>
          <w:tcPr>
            <w:tcW w:w="3257" w:type="dxa"/>
            <w:tcBorders>
              <w:top w:val="single" w:sz="4" w:space="0" w:color="B56011"/>
              <w:left w:val="nil"/>
              <w:bottom w:val="single" w:sz="4" w:space="0" w:color="B56011"/>
              <w:right w:val="nil"/>
            </w:tcBorders>
            <w:hideMark/>
          </w:tcPr>
          <w:p w14:paraId="4CBBC951" w14:textId="77777777" w:rsidR="00A6399C" w:rsidRPr="00E70DCB" w:rsidRDefault="00A6399C" w:rsidP="00A6399C">
            <w:pPr>
              <w:spacing w:before="40" w:after="40"/>
              <w:jc w:val="center"/>
              <w:rPr>
                <w:rFonts w:cs="Arial"/>
                <w:b/>
                <w:sz w:val="18"/>
                <w:szCs w:val="18"/>
                <w:lang w:val="en-US" w:eastAsia="en-US"/>
              </w:rPr>
            </w:pPr>
            <w:r w:rsidRPr="00E70DCB">
              <w:rPr>
                <w:rFonts w:cs="Arial"/>
                <w:b/>
                <w:sz w:val="18"/>
                <w:szCs w:val="18"/>
                <w:lang w:val="en-US" w:eastAsia="en-US"/>
              </w:rPr>
              <w:t>Committee recommendation</w:t>
            </w:r>
          </w:p>
        </w:tc>
        <w:tc>
          <w:tcPr>
            <w:tcW w:w="2714" w:type="dxa"/>
            <w:tcBorders>
              <w:top w:val="single" w:sz="4" w:space="0" w:color="B56011"/>
              <w:left w:val="nil"/>
              <w:bottom w:val="single" w:sz="4" w:space="0" w:color="B56011"/>
              <w:right w:val="nil"/>
            </w:tcBorders>
            <w:hideMark/>
          </w:tcPr>
          <w:p w14:paraId="5B271599" w14:textId="77777777" w:rsidR="00A6399C" w:rsidRPr="00E70DCB" w:rsidRDefault="00A6399C" w:rsidP="00A6399C">
            <w:pPr>
              <w:spacing w:before="40" w:after="40"/>
              <w:jc w:val="center"/>
              <w:rPr>
                <w:rFonts w:cs="Arial"/>
                <w:b/>
                <w:sz w:val="18"/>
                <w:szCs w:val="18"/>
                <w:lang w:val="en-US" w:eastAsia="en-US"/>
              </w:rPr>
            </w:pPr>
            <w:r w:rsidRPr="00E70DCB">
              <w:rPr>
                <w:rFonts w:cs="Arial"/>
                <w:b/>
                <w:sz w:val="18"/>
                <w:szCs w:val="18"/>
                <w:lang w:val="en-US" w:eastAsia="en-US"/>
              </w:rPr>
              <w:t>What would be different</w:t>
            </w:r>
          </w:p>
        </w:tc>
        <w:tc>
          <w:tcPr>
            <w:tcW w:w="3661" w:type="dxa"/>
            <w:tcBorders>
              <w:top w:val="single" w:sz="4" w:space="0" w:color="B56011"/>
              <w:left w:val="nil"/>
              <w:bottom w:val="single" w:sz="4" w:space="0" w:color="B56011"/>
              <w:right w:val="nil"/>
            </w:tcBorders>
            <w:hideMark/>
          </w:tcPr>
          <w:p w14:paraId="05747204" w14:textId="77777777" w:rsidR="00A6399C" w:rsidRPr="00E70DCB" w:rsidRDefault="00A6399C" w:rsidP="00A6399C">
            <w:pPr>
              <w:spacing w:before="40" w:after="40"/>
              <w:jc w:val="center"/>
              <w:rPr>
                <w:rFonts w:cs="Arial"/>
                <w:b/>
                <w:sz w:val="18"/>
                <w:szCs w:val="18"/>
                <w:lang w:val="en-US" w:eastAsia="en-US"/>
              </w:rPr>
            </w:pPr>
            <w:r w:rsidRPr="00E70DCB">
              <w:rPr>
                <w:rFonts w:cs="Arial"/>
                <w:b/>
                <w:sz w:val="18"/>
                <w:szCs w:val="18"/>
                <w:lang w:val="en-US" w:eastAsia="en-US"/>
              </w:rPr>
              <w:t>Why</w:t>
            </w:r>
          </w:p>
        </w:tc>
      </w:tr>
      <w:tr w:rsidR="00A6399C" w14:paraId="428C887F" w14:textId="77777777" w:rsidTr="00B708EA">
        <w:trPr>
          <w:cantSplit/>
        </w:trPr>
        <w:tc>
          <w:tcPr>
            <w:tcW w:w="1263" w:type="dxa"/>
            <w:tcBorders>
              <w:top w:val="single" w:sz="4" w:space="0" w:color="B56011"/>
              <w:left w:val="nil"/>
              <w:bottom w:val="single" w:sz="4" w:space="0" w:color="B56011"/>
              <w:right w:val="nil"/>
            </w:tcBorders>
          </w:tcPr>
          <w:p w14:paraId="371B37AD" w14:textId="77777777" w:rsidR="00A6399C" w:rsidRDefault="00A6399C" w:rsidP="00A6399C">
            <w:pPr>
              <w:spacing w:before="40" w:after="40"/>
              <w:rPr>
                <w:rFonts w:cs="Arial"/>
                <w:b/>
                <w:color w:val="BFBFBF" w:themeColor="background1" w:themeShade="BF"/>
                <w:sz w:val="18"/>
                <w:szCs w:val="18"/>
                <w:lang w:val="en-US" w:eastAsia="en-US"/>
              </w:rPr>
            </w:pPr>
            <w:r w:rsidRPr="00081EC3">
              <w:rPr>
                <w:rFonts w:cs="Arial"/>
                <w:b/>
                <w:sz w:val="18"/>
                <w:szCs w:val="18"/>
                <w:lang w:val="en-US" w:eastAsia="en-US"/>
              </w:rPr>
              <w:t>71083, 71085, 71087, 71089, 71091, 71093</w:t>
            </w:r>
          </w:p>
        </w:tc>
        <w:tc>
          <w:tcPr>
            <w:tcW w:w="2676" w:type="dxa"/>
            <w:tcBorders>
              <w:top w:val="single" w:sz="4" w:space="0" w:color="B56011"/>
              <w:left w:val="nil"/>
              <w:bottom w:val="single" w:sz="4" w:space="0" w:color="B56011"/>
              <w:right w:val="nil"/>
            </w:tcBorders>
          </w:tcPr>
          <w:p w14:paraId="2A33BFAA" w14:textId="77777777" w:rsidR="00A6399C" w:rsidRDefault="00A6399C">
            <w:pPr>
              <w:spacing w:before="40" w:after="40"/>
              <w:rPr>
                <w:rFonts w:cs="Arial"/>
                <w:b/>
                <w:color w:val="BFBFBF" w:themeColor="background1" w:themeShade="BF"/>
                <w:sz w:val="18"/>
                <w:szCs w:val="18"/>
                <w:lang w:val="en-US" w:eastAsia="en-US"/>
              </w:rPr>
            </w:pPr>
            <w:r>
              <w:rPr>
                <w:rFonts w:cs="Arial"/>
                <w:sz w:val="18"/>
                <w:szCs w:val="18"/>
              </w:rPr>
              <w:t>Tests for chemicals produced by the body in an immune response, which complement the response by immune cells</w:t>
            </w:r>
          </w:p>
        </w:tc>
        <w:tc>
          <w:tcPr>
            <w:tcW w:w="3257" w:type="dxa"/>
            <w:tcBorders>
              <w:top w:val="single" w:sz="4" w:space="0" w:color="B56011"/>
              <w:left w:val="nil"/>
              <w:bottom w:val="single" w:sz="4" w:space="0" w:color="B56011"/>
              <w:right w:val="nil"/>
            </w:tcBorders>
          </w:tcPr>
          <w:p w14:paraId="1E4CB21B" w14:textId="77777777" w:rsidR="00A6399C" w:rsidRDefault="00A6399C" w:rsidP="00A6399C">
            <w:pPr>
              <w:spacing w:before="40" w:after="40"/>
              <w:rPr>
                <w:rFonts w:cs="Arial"/>
                <w:b/>
                <w:color w:val="BFBFBF" w:themeColor="background1" w:themeShade="BF"/>
                <w:sz w:val="18"/>
                <w:szCs w:val="18"/>
                <w:lang w:val="en-US" w:eastAsia="en-US"/>
              </w:rPr>
            </w:pPr>
            <w:r>
              <w:rPr>
                <w:rFonts w:cs="Arial"/>
                <w:sz w:val="18"/>
                <w:szCs w:val="18"/>
              </w:rPr>
              <w:t>Delete item 71087 and update the descriptions for the other items to reflect advances in testing and remove outdated information</w:t>
            </w:r>
          </w:p>
        </w:tc>
        <w:tc>
          <w:tcPr>
            <w:tcW w:w="2714" w:type="dxa"/>
            <w:tcBorders>
              <w:top w:val="single" w:sz="4" w:space="0" w:color="B56011"/>
              <w:left w:val="nil"/>
              <w:bottom w:val="single" w:sz="4" w:space="0" w:color="B56011"/>
              <w:right w:val="nil"/>
            </w:tcBorders>
          </w:tcPr>
          <w:p w14:paraId="7F596503" w14:textId="77777777" w:rsidR="00A6399C" w:rsidRDefault="00A6399C">
            <w:pPr>
              <w:spacing w:before="40" w:after="40"/>
              <w:rPr>
                <w:rFonts w:cs="Arial"/>
                <w:b/>
                <w:color w:val="BFBFBF" w:themeColor="background1" w:themeShade="BF"/>
                <w:sz w:val="18"/>
                <w:szCs w:val="18"/>
                <w:lang w:val="en-US" w:eastAsia="en-US"/>
              </w:rPr>
            </w:pPr>
            <w:r>
              <w:rPr>
                <w:rFonts w:cs="Arial"/>
                <w:sz w:val="18"/>
                <w:szCs w:val="18"/>
              </w:rPr>
              <w:t>Item 71087 would no longer be available, while the descriptions for the remaining items would be brought into line with advances in testing</w:t>
            </w:r>
          </w:p>
        </w:tc>
        <w:tc>
          <w:tcPr>
            <w:tcW w:w="3661" w:type="dxa"/>
            <w:tcBorders>
              <w:top w:val="single" w:sz="4" w:space="0" w:color="B56011"/>
              <w:left w:val="nil"/>
              <w:bottom w:val="single" w:sz="4" w:space="0" w:color="B56011"/>
              <w:right w:val="nil"/>
            </w:tcBorders>
          </w:tcPr>
          <w:p w14:paraId="23850E91" w14:textId="77777777" w:rsidR="00A6399C" w:rsidRDefault="00A6399C" w:rsidP="00A6399C">
            <w:pPr>
              <w:spacing w:before="40" w:after="40"/>
              <w:rPr>
                <w:rFonts w:cs="Arial"/>
                <w:b/>
                <w:color w:val="BFBFBF" w:themeColor="background1" w:themeShade="BF"/>
                <w:sz w:val="18"/>
                <w:szCs w:val="18"/>
                <w:lang w:val="en-US" w:eastAsia="en-US"/>
              </w:rPr>
            </w:pPr>
            <w:r>
              <w:rPr>
                <w:rFonts w:cs="Arial"/>
                <w:sz w:val="18"/>
                <w:szCs w:val="18"/>
              </w:rPr>
              <w:t>Item 71087 is now outdated. Knowledge and use of the more advanced testing has increased, so the available tests need to reflect this</w:t>
            </w:r>
          </w:p>
        </w:tc>
      </w:tr>
    </w:tbl>
    <w:p w14:paraId="245D5657" w14:textId="77777777" w:rsidR="00B708EA" w:rsidRDefault="00B708EA"/>
    <w:tbl>
      <w:tblPr>
        <w:tblStyle w:val="TableGrid"/>
        <w:tblW w:w="13571"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27"/>
        <w:gridCol w:w="112"/>
        <w:gridCol w:w="2600"/>
        <w:gridCol w:w="137"/>
        <w:gridCol w:w="2984"/>
        <w:gridCol w:w="272"/>
        <w:gridCol w:w="2578"/>
        <w:gridCol w:w="3661"/>
      </w:tblGrid>
      <w:tr w:rsidR="00482144" w14:paraId="6999741F" w14:textId="77777777" w:rsidTr="009B2D7B">
        <w:trPr>
          <w:cantSplit/>
          <w:tblHeader/>
        </w:trPr>
        <w:tc>
          <w:tcPr>
            <w:tcW w:w="13571" w:type="dxa"/>
            <w:gridSpan w:val="8"/>
            <w:tcBorders>
              <w:top w:val="single" w:sz="4" w:space="0" w:color="B56011"/>
              <w:left w:val="nil"/>
              <w:bottom w:val="single" w:sz="4" w:space="0" w:color="auto"/>
              <w:right w:val="nil"/>
            </w:tcBorders>
            <w:shd w:val="clear" w:color="auto" w:fill="EEECE1" w:themeFill="background2"/>
          </w:tcPr>
          <w:p w14:paraId="2BC61828" w14:textId="77777777" w:rsidR="00482144" w:rsidRDefault="00024095" w:rsidP="00E32CD1">
            <w:pPr>
              <w:spacing w:before="40" w:after="40"/>
              <w:rPr>
                <w:rFonts w:cs="Arial"/>
                <w:sz w:val="18"/>
                <w:szCs w:val="18"/>
              </w:rPr>
            </w:pPr>
            <w:r>
              <w:rPr>
                <w:b/>
              </w:rPr>
              <w:t>Recommendation 8</w:t>
            </w:r>
            <w:r w:rsidR="00482144" w:rsidRPr="00C32944">
              <w:rPr>
                <w:b/>
              </w:rPr>
              <w:t xml:space="preserve">: </w:t>
            </w:r>
            <w:r w:rsidR="00482144" w:rsidRPr="00837E14">
              <w:rPr>
                <w:b/>
              </w:rPr>
              <w:t>Antibodies to tissue antigens</w:t>
            </w:r>
          </w:p>
        </w:tc>
      </w:tr>
      <w:tr w:rsidR="00482144" w:rsidRPr="00E70DCB" w14:paraId="34F11709" w14:textId="77777777" w:rsidTr="00B708EA">
        <w:trPr>
          <w:cantSplit/>
        </w:trPr>
        <w:tc>
          <w:tcPr>
            <w:tcW w:w="1339" w:type="dxa"/>
            <w:gridSpan w:val="2"/>
            <w:tcBorders>
              <w:top w:val="single" w:sz="4" w:space="0" w:color="auto"/>
              <w:left w:val="nil"/>
              <w:bottom w:val="nil"/>
              <w:right w:val="nil"/>
            </w:tcBorders>
            <w:hideMark/>
          </w:tcPr>
          <w:p w14:paraId="3F08AEF1" w14:textId="77777777" w:rsidR="00482144" w:rsidRPr="00E70DCB" w:rsidRDefault="00482144" w:rsidP="00E266BF">
            <w:pPr>
              <w:spacing w:before="40" w:after="40"/>
              <w:rPr>
                <w:rFonts w:cs="Arial"/>
                <w:b/>
                <w:sz w:val="18"/>
                <w:szCs w:val="18"/>
                <w:lang w:val="en-US" w:eastAsia="en-US"/>
              </w:rPr>
            </w:pPr>
            <w:r w:rsidRPr="00E70DCB">
              <w:rPr>
                <w:rFonts w:cs="Arial"/>
                <w:b/>
                <w:sz w:val="18"/>
                <w:szCs w:val="18"/>
                <w:lang w:val="en-US" w:eastAsia="en-US"/>
              </w:rPr>
              <w:t>Item</w:t>
            </w:r>
          </w:p>
        </w:tc>
        <w:tc>
          <w:tcPr>
            <w:tcW w:w="2600" w:type="dxa"/>
            <w:tcBorders>
              <w:top w:val="single" w:sz="4" w:space="0" w:color="auto"/>
              <w:left w:val="nil"/>
              <w:bottom w:val="nil"/>
              <w:right w:val="nil"/>
            </w:tcBorders>
            <w:hideMark/>
          </w:tcPr>
          <w:p w14:paraId="4B2C19AF" w14:textId="77777777" w:rsidR="00482144" w:rsidRPr="00E70DCB" w:rsidRDefault="00482144" w:rsidP="00E266BF">
            <w:pPr>
              <w:spacing w:before="40" w:after="40"/>
              <w:jc w:val="center"/>
              <w:rPr>
                <w:rFonts w:cs="Arial"/>
                <w:b/>
                <w:sz w:val="18"/>
                <w:szCs w:val="18"/>
                <w:lang w:val="en-US" w:eastAsia="en-US"/>
              </w:rPr>
            </w:pPr>
            <w:r w:rsidRPr="00E70DCB">
              <w:rPr>
                <w:rFonts w:cs="Arial"/>
                <w:b/>
                <w:sz w:val="18"/>
                <w:szCs w:val="18"/>
                <w:lang w:val="en-US" w:eastAsia="en-US"/>
              </w:rPr>
              <w:t>What it does</w:t>
            </w:r>
          </w:p>
        </w:tc>
        <w:tc>
          <w:tcPr>
            <w:tcW w:w="3121" w:type="dxa"/>
            <w:gridSpan w:val="2"/>
            <w:tcBorders>
              <w:top w:val="single" w:sz="4" w:space="0" w:color="auto"/>
              <w:left w:val="nil"/>
              <w:bottom w:val="nil"/>
              <w:right w:val="nil"/>
            </w:tcBorders>
            <w:hideMark/>
          </w:tcPr>
          <w:p w14:paraId="75E22902" w14:textId="77777777" w:rsidR="00482144" w:rsidRPr="00E70DCB" w:rsidRDefault="00482144" w:rsidP="00E266BF">
            <w:pPr>
              <w:spacing w:before="40" w:after="40"/>
              <w:jc w:val="center"/>
              <w:rPr>
                <w:rFonts w:cs="Arial"/>
                <w:b/>
                <w:sz w:val="18"/>
                <w:szCs w:val="18"/>
                <w:lang w:val="en-US" w:eastAsia="en-US"/>
              </w:rPr>
            </w:pPr>
            <w:r w:rsidRPr="00E70DCB">
              <w:rPr>
                <w:rFonts w:cs="Arial"/>
                <w:b/>
                <w:sz w:val="18"/>
                <w:szCs w:val="18"/>
                <w:lang w:val="en-US" w:eastAsia="en-US"/>
              </w:rPr>
              <w:t>Committee recommendation</w:t>
            </w:r>
          </w:p>
        </w:tc>
        <w:tc>
          <w:tcPr>
            <w:tcW w:w="2850" w:type="dxa"/>
            <w:gridSpan w:val="2"/>
            <w:tcBorders>
              <w:top w:val="single" w:sz="4" w:space="0" w:color="auto"/>
              <w:left w:val="nil"/>
              <w:bottom w:val="nil"/>
              <w:right w:val="nil"/>
            </w:tcBorders>
            <w:hideMark/>
          </w:tcPr>
          <w:p w14:paraId="004C3B26" w14:textId="77777777" w:rsidR="00482144" w:rsidRPr="00E70DCB" w:rsidRDefault="00482144" w:rsidP="00E266BF">
            <w:pPr>
              <w:spacing w:before="40" w:after="40"/>
              <w:jc w:val="center"/>
              <w:rPr>
                <w:rFonts w:cs="Arial"/>
                <w:b/>
                <w:sz w:val="18"/>
                <w:szCs w:val="18"/>
                <w:lang w:val="en-US" w:eastAsia="en-US"/>
              </w:rPr>
            </w:pPr>
            <w:r w:rsidRPr="00E70DCB">
              <w:rPr>
                <w:rFonts w:cs="Arial"/>
                <w:b/>
                <w:sz w:val="18"/>
                <w:szCs w:val="18"/>
                <w:lang w:val="en-US" w:eastAsia="en-US"/>
              </w:rPr>
              <w:t>What would be different</w:t>
            </w:r>
          </w:p>
        </w:tc>
        <w:tc>
          <w:tcPr>
            <w:tcW w:w="3661" w:type="dxa"/>
            <w:tcBorders>
              <w:top w:val="single" w:sz="4" w:space="0" w:color="auto"/>
              <w:left w:val="nil"/>
              <w:bottom w:val="nil"/>
              <w:right w:val="nil"/>
            </w:tcBorders>
            <w:hideMark/>
          </w:tcPr>
          <w:p w14:paraId="0785D961" w14:textId="77777777" w:rsidR="00482144" w:rsidRPr="00E70DCB" w:rsidRDefault="00482144" w:rsidP="00E266BF">
            <w:pPr>
              <w:spacing w:before="40" w:after="40"/>
              <w:jc w:val="center"/>
              <w:rPr>
                <w:rFonts w:cs="Arial"/>
                <w:b/>
                <w:sz w:val="18"/>
                <w:szCs w:val="18"/>
                <w:lang w:val="en-US" w:eastAsia="en-US"/>
              </w:rPr>
            </w:pPr>
            <w:r w:rsidRPr="00E70DCB">
              <w:rPr>
                <w:rFonts w:cs="Arial"/>
                <w:b/>
                <w:sz w:val="18"/>
                <w:szCs w:val="18"/>
                <w:lang w:val="en-US" w:eastAsia="en-US"/>
              </w:rPr>
              <w:t>Why</w:t>
            </w:r>
          </w:p>
        </w:tc>
      </w:tr>
      <w:tr w:rsidR="00084AF3" w14:paraId="562809A3" w14:textId="77777777" w:rsidTr="00B708EA">
        <w:trPr>
          <w:cantSplit/>
        </w:trPr>
        <w:tc>
          <w:tcPr>
            <w:tcW w:w="1227" w:type="dxa"/>
            <w:tcBorders>
              <w:top w:val="single" w:sz="4" w:space="0" w:color="B56011"/>
              <w:left w:val="nil"/>
              <w:bottom w:val="single" w:sz="4" w:space="0" w:color="B56011"/>
              <w:right w:val="nil"/>
            </w:tcBorders>
          </w:tcPr>
          <w:p w14:paraId="200D9059" w14:textId="77777777" w:rsidR="00A6399C" w:rsidRDefault="00A6399C" w:rsidP="00A6399C">
            <w:pPr>
              <w:spacing w:before="40" w:after="40"/>
              <w:rPr>
                <w:rFonts w:cs="Arial"/>
                <w:b/>
                <w:color w:val="BFBFBF" w:themeColor="background1" w:themeShade="BF"/>
                <w:sz w:val="18"/>
                <w:szCs w:val="18"/>
                <w:lang w:val="en-US" w:eastAsia="en-US"/>
              </w:rPr>
            </w:pPr>
            <w:r w:rsidRPr="009B4C92">
              <w:rPr>
                <w:rFonts w:cs="Arial"/>
                <w:b/>
                <w:sz w:val="18"/>
                <w:szCs w:val="18"/>
                <w:lang w:val="en-US" w:eastAsia="en-US"/>
              </w:rPr>
              <w:t>71119, 71121, 71123, 71125</w:t>
            </w:r>
          </w:p>
        </w:tc>
        <w:tc>
          <w:tcPr>
            <w:tcW w:w="2849" w:type="dxa"/>
            <w:gridSpan w:val="3"/>
            <w:tcBorders>
              <w:top w:val="single" w:sz="4" w:space="0" w:color="B56011"/>
              <w:left w:val="nil"/>
              <w:bottom w:val="single" w:sz="4" w:space="0" w:color="B56011"/>
              <w:right w:val="nil"/>
            </w:tcBorders>
          </w:tcPr>
          <w:p w14:paraId="436779FD" w14:textId="77777777" w:rsidR="00A6399C" w:rsidRDefault="00A6399C" w:rsidP="00A6399C">
            <w:pPr>
              <w:spacing w:before="40" w:after="40"/>
              <w:rPr>
                <w:rFonts w:cs="Arial"/>
                <w:sz w:val="18"/>
                <w:szCs w:val="18"/>
              </w:rPr>
            </w:pPr>
            <w:r>
              <w:rPr>
                <w:rFonts w:cs="Arial"/>
                <w:sz w:val="18"/>
                <w:szCs w:val="18"/>
              </w:rPr>
              <w:t>Identifies inappropriate immune responses to specific body tissues not included in the next Recommendation</w:t>
            </w:r>
          </w:p>
          <w:p w14:paraId="73BFC453" w14:textId="77777777" w:rsidR="00A6399C" w:rsidRPr="00E70DCB" w:rsidRDefault="00A6399C" w:rsidP="00A6399C">
            <w:pPr>
              <w:spacing w:before="40" w:after="40"/>
              <w:rPr>
                <w:rFonts w:cs="Arial"/>
                <w:sz w:val="18"/>
                <w:szCs w:val="18"/>
              </w:rPr>
            </w:pPr>
          </w:p>
        </w:tc>
        <w:tc>
          <w:tcPr>
            <w:tcW w:w="3256" w:type="dxa"/>
            <w:gridSpan w:val="2"/>
            <w:tcBorders>
              <w:top w:val="single" w:sz="4" w:space="0" w:color="B56011"/>
              <w:left w:val="nil"/>
              <w:bottom w:val="single" w:sz="4" w:space="0" w:color="B56011"/>
              <w:right w:val="nil"/>
            </w:tcBorders>
          </w:tcPr>
          <w:p w14:paraId="1EDB8B68" w14:textId="77777777" w:rsidR="00A6399C" w:rsidRPr="00E70DCB" w:rsidRDefault="00A6399C" w:rsidP="00A6399C">
            <w:pPr>
              <w:spacing w:before="40" w:after="40"/>
              <w:rPr>
                <w:rFonts w:cs="Arial"/>
                <w:sz w:val="18"/>
                <w:szCs w:val="18"/>
              </w:rPr>
            </w:pPr>
            <w:r>
              <w:rPr>
                <w:rFonts w:cs="Arial"/>
                <w:sz w:val="18"/>
                <w:szCs w:val="18"/>
              </w:rPr>
              <w:t>Create a new item to capture how many people have 5 or more such immune responses</w:t>
            </w:r>
          </w:p>
        </w:tc>
        <w:tc>
          <w:tcPr>
            <w:tcW w:w="2578" w:type="dxa"/>
            <w:tcBorders>
              <w:top w:val="single" w:sz="4" w:space="0" w:color="B56011"/>
              <w:left w:val="nil"/>
              <w:bottom w:val="single" w:sz="4" w:space="0" w:color="B56011"/>
              <w:right w:val="nil"/>
            </w:tcBorders>
          </w:tcPr>
          <w:p w14:paraId="677FD3F2" w14:textId="77777777" w:rsidR="00A6399C" w:rsidRPr="00E70DCB" w:rsidRDefault="00A6399C" w:rsidP="00A6399C">
            <w:pPr>
              <w:spacing w:before="40" w:after="40"/>
              <w:ind w:left="57" w:right="57"/>
              <w:rPr>
                <w:rFonts w:cs="Arial"/>
                <w:sz w:val="18"/>
                <w:szCs w:val="18"/>
              </w:rPr>
            </w:pPr>
            <w:r>
              <w:rPr>
                <w:rFonts w:cs="Arial"/>
                <w:sz w:val="18"/>
                <w:szCs w:val="18"/>
              </w:rPr>
              <w:t>We could know how many patients need 4 tests and how many needed 5 or more (we can’t do this currently)</w:t>
            </w:r>
          </w:p>
        </w:tc>
        <w:tc>
          <w:tcPr>
            <w:tcW w:w="3661" w:type="dxa"/>
            <w:tcBorders>
              <w:top w:val="single" w:sz="4" w:space="0" w:color="B56011"/>
              <w:left w:val="nil"/>
              <w:bottom w:val="single" w:sz="4" w:space="0" w:color="B56011"/>
              <w:right w:val="nil"/>
            </w:tcBorders>
          </w:tcPr>
          <w:p w14:paraId="2DF2C97A" w14:textId="77777777" w:rsidR="00A6399C" w:rsidRPr="00E70DCB" w:rsidRDefault="00A6399C" w:rsidP="00A6399C">
            <w:pPr>
              <w:spacing w:before="40" w:after="40"/>
              <w:rPr>
                <w:rFonts w:cs="Arial"/>
                <w:sz w:val="18"/>
                <w:szCs w:val="18"/>
              </w:rPr>
            </w:pPr>
            <w:r>
              <w:rPr>
                <w:rFonts w:cs="Arial"/>
                <w:sz w:val="18"/>
                <w:szCs w:val="18"/>
              </w:rPr>
              <w:t>Some patients need a test for 4 specific immune responses, others for 5 or more to identify the cause of their disease</w:t>
            </w:r>
            <w:r w:rsidR="000F227B">
              <w:rPr>
                <w:rFonts w:cs="Arial"/>
                <w:sz w:val="18"/>
                <w:szCs w:val="18"/>
              </w:rPr>
              <w:t xml:space="preserve"> Patients with one abnormal immune response have a tendency to produce more than one immune response</w:t>
            </w:r>
          </w:p>
        </w:tc>
      </w:tr>
    </w:tbl>
    <w:p w14:paraId="59069485" w14:textId="77777777" w:rsidR="00024095" w:rsidRDefault="00024095">
      <w:pPr>
        <w:spacing w:before="0" w:after="0"/>
      </w:pPr>
    </w:p>
    <w:tbl>
      <w:tblPr>
        <w:tblStyle w:val="TableGrid"/>
        <w:tblW w:w="13571"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27"/>
        <w:gridCol w:w="2849"/>
        <w:gridCol w:w="3256"/>
        <w:gridCol w:w="2929"/>
        <w:gridCol w:w="3310"/>
      </w:tblGrid>
      <w:tr w:rsidR="00A6399C" w14:paraId="02E59784" w14:textId="77777777" w:rsidTr="009B2D7B">
        <w:trPr>
          <w:cantSplit/>
          <w:tblHeader/>
        </w:trPr>
        <w:tc>
          <w:tcPr>
            <w:tcW w:w="13571" w:type="dxa"/>
            <w:gridSpan w:val="5"/>
            <w:tcBorders>
              <w:top w:val="single" w:sz="4" w:space="0" w:color="B56011"/>
              <w:left w:val="nil"/>
              <w:bottom w:val="single" w:sz="4" w:space="0" w:color="B56011"/>
              <w:right w:val="nil"/>
            </w:tcBorders>
            <w:shd w:val="clear" w:color="auto" w:fill="EEECE1" w:themeFill="background2"/>
          </w:tcPr>
          <w:p w14:paraId="6C7C9824" w14:textId="77777777" w:rsidR="00A6399C" w:rsidRDefault="00024095" w:rsidP="00E32CD1">
            <w:pPr>
              <w:keepNext/>
              <w:spacing w:before="40" w:after="40"/>
              <w:ind w:left="1877" w:hanging="1877"/>
              <w:rPr>
                <w:b/>
                <w:color w:val="BFBFBF" w:themeColor="background1" w:themeShade="BF"/>
              </w:rPr>
            </w:pPr>
            <w:r>
              <w:rPr>
                <w:b/>
              </w:rPr>
              <w:t>Recommendation 9</w:t>
            </w:r>
            <w:r w:rsidR="00A6399C" w:rsidRPr="00C32944">
              <w:rPr>
                <w:b/>
              </w:rPr>
              <w:t xml:space="preserve">: </w:t>
            </w:r>
            <w:r w:rsidR="00A6399C" w:rsidRPr="00837E14">
              <w:rPr>
                <w:b/>
              </w:rPr>
              <w:t>Antibodies to tissue antigens</w:t>
            </w:r>
          </w:p>
        </w:tc>
      </w:tr>
      <w:tr w:rsidR="007760C0" w:rsidRPr="0065614A" w14:paraId="1A84CC99" w14:textId="77777777" w:rsidTr="00B708EA">
        <w:trPr>
          <w:cantSplit/>
        </w:trPr>
        <w:tc>
          <w:tcPr>
            <w:tcW w:w="1227" w:type="dxa"/>
            <w:tcBorders>
              <w:top w:val="single" w:sz="4" w:space="0" w:color="B56011"/>
              <w:left w:val="nil"/>
              <w:bottom w:val="single" w:sz="4" w:space="0" w:color="B56011"/>
              <w:right w:val="nil"/>
            </w:tcBorders>
            <w:hideMark/>
          </w:tcPr>
          <w:p w14:paraId="3CF24EF0" w14:textId="77777777" w:rsidR="00A6399C" w:rsidRPr="0065614A" w:rsidRDefault="00A6399C" w:rsidP="007B6365">
            <w:pPr>
              <w:keepNext/>
              <w:spacing w:before="40" w:after="40"/>
              <w:rPr>
                <w:rFonts w:cs="Arial"/>
                <w:b/>
                <w:sz w:val="18"/>
                <w:szCs w:val="18"/>
                <w:lang w:val="en-US" w:eastAsia="en-US"/>
              </w:rPr>
            </w:pPr>
            <w:r w:rsidRPr="0065614A">
              <w:rPr>
                <w:rFonts w:cs="Arial"/>
                <w:b/>
                <w:sz w:val="18"/>
                <w:szCs w:val="18"/>
                <w:lang w:val="en-US" w:eastAsia="en-US"/>
              </w:rPr>
              <w:t>Item</w:t>
            </w:r>
          </w:p>
        </w:tc>
        <w:tc>
          <w:tcPr>
            <w:tcW w:w="2849" w:type="dxa"/>
            <w:tcBorders>
              <w:top w:val="single" w:sz="4" w:space="0" w:color="B56011"/>
              <w:left w:val="nil"/>
              <w:bottom w:val="single" w:sz="4" w:space="0" w:color="B56011"/>
              <w:right w:val="nil"/>
            </w:tcBorders>
            <w:hideMark/>
          </w:tcPr>
          <w:p w14:paraId="36CB1892" w14:textId="77777777" w:rsidR="00A6399C" w:rsidRPr="0065614A" w:rsidRDefault="00A6399C" w:rsidP="007B6365">
            <w:pPr>
              <w:keepNext/>
              <w:spacing w:before="40" w:after="40"/>
              <w:jc w:val="center"/>
              <w:rPr>
                <w:rFonts w:cs="Arial"/>
                <w:b/>
                <w:sz w:val="18"/>
                <w:szCs w:val="18"/>
                <w:lang w:val="en-US" w:eastAsia="en-US"/>
              </w:rPr>
            </w:pPr>
            <w:r w:rsidRPr="0065614A">
              <w:rPr>
                <w:rFonts w:cs="Arial"/>
                <w:b/>
                <w:sz w:val="18"/>
                <w:szCs w:val="18"/>
                <w:lang w:val="en-US" w:eastAsia="en-US"/>
              </w:rPr>
              <w:t>What it does</w:t>
            </w:r>
          </w:p>
        </w:tc>
        <w:tc>
          <w:tcPr>
            <w:tcW w:w="3256" w:type="dxa"/>
            <w:tcBorders>
              <w:top w:val="single" w:sz="4" w:space="0" w:color="B56011"/>
              <w:left w:val="nil"/>
              <w:bottom w:val="single" w:sz="4" w:space="0" w:color="B56011"/>
              <w:right w:val="nil"/>
            </w:tcBorders>
            <w:hideMark/>
          </w:tcPr>
          <w:p w14:paraId="287A592E" w14:textId="77777777" w:rsidR="00A6399C" w:rsidRPr="0065614A" w:rsidRDefault="00A6399C" w:rsidP="007B6365">
            <w:pPr>
              <w:keepNext/>
              <w:spacing w:before="40" w:after="40"/>
              <w:jc w:val="center"/>
              <w:rPr>
                <w:rFonts w:cs="Arial"/>
                <w:b/>
                <w:sz w:val="18"/>
                <w:szCs w:val="18"/>
                <w:lang w:val="en-US" w:eastAsia="en-US"/>
              </w:rPr>
            </w:pPr>
            <w:r w:rsidRPr="0065614A">
              <w:rPr>
                <w:rFonts w:cs="Arial"/>
                <w:b/>
                <w:sz w:val="18"/>
                <w:szCs w:val="18"/>
                <w:lang w:val="en-US" w:eastAsia="en-US"/>
              </w:rPr>
              <w:t>Committee recommendation</w:t>
            </w:r>
          </w:p>
        </w:tc>
        <w:tc>
          <w:tcPr>
            <w:tcW w:w="2929" w:type="dxa"/>
            <w:tcBorders>
              <w:top w:val="single" w:sz="4" w:space="0" w:color="B56011"/>
              <w:left w:val="nil"/>
              <w:bottom w:val="single" w:sz="4" w:space="0" w:color="B56011"/>
              <w:right w:val="nil"/>
            </w:tcBorders>
            <w:hideMark/>
          </w:tcPr>
          <w:p w14:paraId="78BBFFC4" w14:textId="77777777" w:rsidR="00A6399C" w:rsidRPr="0065614A" w:rsidRDefault="00A6399C" w:rsidP="007B6365">
            <w:pPr>
              <w:keepNext/>
              <w:spacing w:before="40" w:after="40"/>
              <w:jc w:val="center"/>
              <w:rPr>
                <w:rFonts w:cs="Arial"/>
                <w:b/>
                <w:sz w:val="18"/>
                <w:szCs w:val="18"/>
                <w:lang w:val="en-US" w:eastAsia="en-US"/>
              </w:rPr>
            </w:pPr>
            <w:r w:rsidRPr="0065614A">
              <w:rPr>
                <w:rFonts w:cs="Arial"/>
                <w:b/>
                <w:sz w:val="18"/>
                <w:szCs w:val="18"/>
                <w:lang w:val="en-US" w:eastAsia="en-US"/>
              </w:rPr>
              <w:t>What would be different</w:t>
            </w:r>
          </w:p>
        </w:tc>
        <w:tc>
          <w:tcPr>
            <w:tcW w:w="3310" w:type="dxa"/>
            <w:tcBorders>
              <w:top w:val="single" w:sz="4" w:space="0" w:color="B56011"/>
              <w:left w:val="nil"/>
              <w:bottom w:val="single" w:sz="4" w:space="0" w:color="B56011"/>
              <w:right w:val="nil"/>
            </w:tcBorders>
            <w:hideMark/>
          </w:tcPr>
          <w:p w14:paraId="5F4FFC09" w14:textId="77777777" w:rsidR="00A6399C" w:rsidRPr="0065614A" w:rsidRDefault="00A6399C" w:rsidP="007B6365">
            <w:pPr>
              <w:keepNext/>
              <w:spacing w:before="40" w:after="40"/>
              <w:jc w:val="center"/>
              <w:rPr>
                <w:rFonts w:cs="Arial"/>
                <w:b/>
                <w:sz w:val="18"/>
                <w:szCs w:val="18"/>
                <w:lang w:val="en-US" w:eastAsia="en-US"/>
              </w:rPr>
            </w:pPr>
            <w:r w:rsidRPr="0065614A">
              <w:rPr>
                <w:rFonts w:cs="Arial"/>
                <w:b/>
                <w:sz w:val="18"/>
                <w:szCs w:val="18"/>
                <w:lang w:val="en-US" w:eastAsia="en-US"/>
              </w:rPr>
              <w:t>Why</w:t>
            </w:r>
          </w:p>
        </w:tc>
      </w:tr>
      <w:tr w:rsidR="007760C0" w:rsidRPr="0065614A" w14:paraId="5573EC3B" w14:textId="77777777" w:rsidTr="00B708EA">
        <w:trPr>
          <w:cantSplit/>
        </w:trPr>
        <w:tc>
          <w:tcPr>
            <w:tcW w:w="1227" w:type="dxa"/>
            <w:tcBorders>
              <w:top w:val="single" w:sz="4" w:space="0" w:color="B56011"/>
              <w:left w:val="nil"/>
              <w:bottom w:val="single" w:sz="4" w:space="0" w:color="B56011"/>
              <w:right w:val="nil"/>
            </w:tcBorders>
          </w:tcPr>
          <w:p w14:paraId="73A9CF90" w14:textId="77777777" w:rsidR="00A6399C" w:rsidRPr="0065614A" w:rsidRDefault="00A6399C" w:rsidP="00A6399C">
            <w:pPr>
              <w:spacing w:before="40" w:after="40"/>
              <w:rPr>
                <w:rFonts w:cs="Arial"/>
                <w:b/>
                <w:sz w:val="18"/>
                <w:szCs w:val="18"/>
                <w:lang w:val="en-US" w:eastAsia="en-US"/>
              </w:rPr>
            </w:pPr>
            <w:r>
              <w:rPr>
                <w:rFonts w:cs="Arial"/>
                <w:b/>
                <w:sz w:val="18"/>
                <w:szCs w:val="18"/>
                <w:lang w:val="en-US" w:eastAsia="en-US"/>
              </w:rPr>
              <w:t>71165</w:t>
            </w:r>
          </w:p>
        </w:tc>
        <w:tc>
          <w:tcPr>
            <w:tcW w:w="2849" w:type="dxa"/>
            <w:tcBorders>
              <w:top w:val="single" w:sz="4" w:space="0" w:color="B56011"/>
              <w:left w:val="nil"/>
              <w:bottom w:val="single" w:sz="4" w:space="0" w:color="B56011"/>
              <w:right w:val="nil"/>
            </w:tcBorders>
          </w:tcPr>
          <w:p w14:paraId="548CBA2D" w14:textId="77777777" w:rsidR="00A6399C" w:rsidRPr="001C350E" w:rsidRDefault="00A6399C" w:rsidP="00A6399C">
            <w:pPr>
              <w:spacing w:before="40" w:after="40"/>
              <w:rPr>
                <w:rFonts w:cs="Arial"/>
                <w:sz w:val="18"/>
                <w:szCs w:val="18"/>
              </w:rPr>
            </w:pPr>
            <w:r>
              <w:rPr>
                <w:rFonts w:cs="Arial"/>
                <w:sz w:val="18"/>
                <w:szCs w:val="18"/>
              </w:rPr>
              <w:t>Identifies inappropriate immune responses to specific body tissues</w:t>
            </w:r>
          </w:p>
        </w:tc>
        <w:tc>
          <w:tcPr>
            <w:tcW w:w="3256" w:type="dxa"/>
            <w:tcBorders>
              <w:top w:val="single" w:sz="4" w:space="0" w:color="B56011"/>
              <w:left w:val="nil"/>
              <w:bottom w:val="single" w:sz="4" w:space="0" w:color="B56011"/>
              <w:right w:val="nil"/>
            </w:tcBorders>
          </w:tcPr>
          <w:p w14:paraId="35CF3BB9" w14:textId="77777777" w:rsidR="00A6399C" w:rsidRPr="0065614A" w:rsidRDefault="00A6399C" w:rsidP="00A6399C">
            <w:pPr>
              <w:spacing w:before="40" w:after="40"/>
              <w:rPr>
                <w:rFonts w:cs="Arial"/>
                <w:sz w:val="18"/>
                <w:szCs w:val="18"/>
              </w:rPr>
            </w:pPr>
            <w:r>
              <w:rPr>
                <w:rFonts w:cs="Arial"/>
                <w:sz w:val="18"/>
                <w:szCs w:val="18"/>
              </w:rPr>
              <w:t>Remove the references to thyroid gland and salivary gland</w:t>
            </w:r>
          </w:p>
        </w:tc>
        <w:tc>
          <w:tcPr>
            <w:tcW w:w="2929" w:type="dxa"/>
            <w:tcBorders>
              <w:top w:val="single" w:sz="4" w:space="0" w:color="B56011"/>
              <w:left w:val="nil"/>
              <w:bottom w:val="single" w:sz="4" w:space="0" w:color="B56011"/>
              <w:right w:val="nil"/>
            </w:tcBorders>
          </w:tcPr>
          <w:p w14:paraId="6A32E6D8" w14:textId="77777777" w:rsidR="00A6399C" w:rsidRPr="0065614A" w:rsidRDefault="00A6399C" w:rsidP="00A6399C">
            <w:pPr>
              <w:spacing w:before="40" w:after="40"/>
              <w:ind w:left="57" w:right="57"/>
              <w:rPr>
                <w:rFonts w:cs="Arial"/>
                <w:sz w:val="18"/>
                <w:szCs w:val="18"/>
              </w:rPr>
            </w:pPr>
            <w:r>
              <w:rPr>
                <w:rFonts w:cs="Arial"/>
                <w:sz w:val="18"/>
                <w:szCs w:val="18"/>
              </w:rPr>
              <w:t>The item description would not refer to testing for immune responses to these two glands</w:t>
            </w:r>
          </w:p>
        </w:tc>
        <w:tc>
          <w:tcPr>
            <w:tcW w:w="3310" w:type="dxa"/>
            <w:tcBorders>
              <w:top w:val="single" w:sz="4" w:space="0" w:color="B56011"/>
              <w:left w:val="nil"/>
              <w:bottom w:val="single" w:sz="4" w:space="0" w:color="B56011"/>
              <w:right w:val="nil"/>
            </w:tcBorders>
          </w:tcPr>
          <w:p w14:paraId="3DCEE6FA" w14:textId="77777777" w:rsidR="00A6399C" w:rsidRDefault="00A6399C" w:rsidP="00A6399C">
            <w:pPr>
              <w:spacing w:before="40" w:after="40"/>
              <w:rPr>
                <w:rFonts w:cs="Arial"/>
                <w:sz w:val="18"/>
                <w:szCs w:val="18"/>
              </w:rPr>
            </w:pPr>
            <w:r>
              <w:rPr>
                <w:rFonts w:cs="Arial"/>
                <w:sz w:val="18"/>
                <w:szCs w:val="18"/>
              </w:rPr>
              <w:t>The salivary gland test is no longer considered useful, and a</w:t>
            </w:r>
            <w:r w:rsidRPr="00935D65">
              <w:rPr>
                <w:rFonts w:cs="Arial"/>
                <w:sz w:val="18"/>
                <w:szCs w:val="18"/>
              </w:rPr>
              <w:t xml:space="preserve"> new </w:t>
            </w:r>
            <w:r>
              <w:rPr>
                <w:rFonts w:cs="Arial"/>
                <w:sz w:val="18"/>
                <w:szCs w:val="18"/>
              </w:rPr>
              <w:t xml:space="preserve">thyroid test is </w:t>
            </w:r>
            <w:r w:rsidRPr="00935D65">
              <w:rPr>
                <w:rFonts w:cs="Arial"/>
                <w:sz w:val="18"/>
                <w:szCs w:val="18"/>
              </w:rPr>
              <w:t xml:space="preserve">proposed in the pathology section of the </w:t>
            </w:r>
            <w:r w:rsidR="0041508C">
              <w:rPr>
                <w:rFonts w:cs="Arial"/>
                <w:sz w:val="18"/>
                <w:szCs w:val="18"/>
              </w:rPr>
              <w:t>MBS</w:t>
            </w:r>
          </w:p>
          <w:p w14:paraId="457FDDFC" w14:textId="77777777" w:rsidR="00A6399C" w:rsidRPr="0065614A" w:rsidRDefault="00A6399C" w:rsidP="00A6399C">
            <w:pPr>
              <w:spacing w:before="40" w:after="40"/>
              <w:rPr>
                <w:rFonts w:cs="Arial"/>
                <w:sz w:val="18"/>
                <w:szCs w:val="18"/>
              </w:rPr>
            </w:pPr>
          </w:p>
        </w:tc>
      </w:tr>
    </w:tbl>
    <w:p w14:paraId="5B3A6B8C" w14:textId="77777777" w:rsidR="00B708EA" w:rsidRDefault="00B708EA"/>
    <w:tbl>
      <w:tblPr>
        <w:tblStyle w:val="TableGrid"/>
        <w:tblW w:w="13571"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27"/>
        <w:gridCol w:w="2849"/>
        <w:gridCol w:w="3256"/>
        <w:gridCol w:w="2929"/>
        <w:gridCol w:w="3310"/>
      </w:tblGrid>
      <w:tr w:rsidR="00A6399C" w14:paraId="1647835A" w14:textId="77777777" w:rsidTr="009B2D7B">
        <w:trPr>
          <w:cantSplit/>
          <w:tblHeader/>
        </w:trPr>
        <w:tc>
          <w:tcPr>
            <w:tcW w:w="13571" w:type="dxa"/>
            <w:gridSpan w:val="5"/>
            <w:tcBorders>
              <w:top w:val="single" w:sz="4" w:space="0" w:color="B56011"/>
              <w:left w:val="nil"/>
              <w:bottom w:val="single" w:sz="4" w:space="0" w:color="B56011"/>
              <w:right w:val="nil"/>
            </w:tcBorders>
            <w:shd w:val="clear" w:color="auto" w:fill="EEECE1" w:themeFill="background2"/>
          </w:tcPr>
          <w:p w14:paraId="6B3CCB13" w14:textId="77777777" w:rsidR="00A6399C" w:rsidRDefault="00024095" w:rsidP="00E32CD1">
            <w:pPr>
              <w:spacing w:before="40" w:after="40"/>
              <w:rPr>
                <w:b/>
                <w:color w:val="BFBFBF" w:themeColor="background1" w:themeShade="BF"/>
              </w:rPr>
            </w:pPr>
            <w:r>
              <w:rPr>
                <w:b/>
              </w:rPr>
              <w:t>Recommendation 10</w:t>
            </w:r>
            <w:r w:rsidR="00A6399C" w:rsidRPr="00C32944">
              <w:rPr>
                <w:b/>
              </w:rPr>
              <w:t xml:space="preserve">: </w:t>
            </w:r>
            <w:r w:rsidR="00A6399C" w:rsidRPr="00C7396E">
              <w:rPr>
                <w:b/>
              </w:rPr>
              <w:t>Quantitation of Immunoglobulin E</w:t>
            </w:r>
          </w:p>
        </w:tc>
      </w:tr>
      <w:tr w:rsidR="007760C0" w:rsidRPr="0065614A" w14:paraId="71C66DE8" w14:textId="77777777" w:rsidTr="00B708EA">
        <w:trPr>
          <w:cantSplit/>
        </w:trPr>
        <w:tc>
          <w:tcPr>
            <w:tcW w:w="1227" w:type="dxa"/>
            <w:tcBorders>
              <w:top w:val="single" w:sz="4" w:space="0" w:color="B56011"/>
              <w:left w:val="nil"/>
              <w:bottom w:val="single" w:sz="4" w:space="0" w:color="B56011"/>
              <w:right w:val="nil"/>
            </w:tcBorders>
            <w:hideMark/>
          </w:tcPr>
          <w:p w14:paraId="5086D974" w14:textId="77777777" w:rsidR="00A6399C" w:rsidRPr="0065614A" w:rsidRDefault="00A6399C" w:rsidP="00A6399C">
            <w:pPr>
              <w:spacing w:before="40" w:after="40"/>
              <w:rPr>
                <w:rFonts w:cs="Arial"/>
                <w:b/>
                <w:sz w:val="18"/>
                <w:szCs w:val="18"/>
                <w:lang w:val="en-US" w:eastAsia="en-US"/>
              </w:rPr>
            </w:pPr>
            <w:r w:rsidRPr="0065614A">
              <w:rPr>
                <w:rFonts w:cs="Arial"/>
                <w:b/>
                <w:sz w:val="18"/>
                <w:szCs w:val="18"/>
                <w:lang w:val="en-US" w:eastAsia="en-US"/>
              </w:rPr>
              <w:t>Item</w:t>
            </w:r>
          </w:p>
        </w:tc>
        <w:tc>
          <w:tcPr>
            <w:tcW w:w="2849" w:type="dxa"/>
            <w:tcBorders>
              <w:top w:val="single" w:sz="4" w:space="0" w:color="B56011"/>
              <w:left w:val="nil"/>
              <w:bottom w:val="single" w:sz="4" w:space="0" w:color="B56011"/>
              <w:right w:val="nil"/>
            </w:tcBorders>
            <w:hideMark/>
          </w:tcPr>
          <w:p w14:paraId="60511519"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What it does</w:t>
            </w:r>
          </w:p>
        </w:tc>
        <w:tc>
          <w:tcPr>
            <w:tcW w:w="3256" w:type="dxa"/>
            <w:tcBorders>
              <w:top w:val="single" w:sz="4" w:space="0" w:color="B56011"/>
              <w:left w:val="nil"/>
              <w:bottom w:val="single" w:sz="4" w:space="0" w:color="B56011"/>
              <w:right w:val="nil"/>
            </w:tcBorders>
            <w:hideMark/>
          </w:tcPr>
          <w:p w14:paraId="21A357BF"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Committee recommendation</w:t>
            </w:r>
          </w:p>
        </w:tc>
        <w:tc>
          <w:tcPr>
            <w:tcW w:w="2929" w:type="dxa"/>
            <w:tcBorders>
              <w:top w:val="single" w:sz="4" w:space="0" w:color="B56011"/>
              <w:left w:val="nil"/>
              <w:bottom w:val="single" w:sz="4" w:space="0" w:color="B56011"/>
              <w:right w:val="nil"/>
            </w:tcBorders>
            <w:hideMark/>
          </w:tcPr>
          <w:p w14:paraId="1269F0F0"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What would be different</w:t>
            </w:r>
          </w:p>
        </w:tc>
        <w:tc>
          <w:tcPr>
            <w:tcW w:w="3310" w:type="dxa"/>
            <w:tcBorders>
              <w:top w:val="single" w:sz="4" w:space="0" w:color="B56011"/>
              <w:left w:val="nil"/>
              <w:bottom w:val="single" w:sz="4" w:space="0" w:color="B56011"/>
              <w:right w:val="nil"/>
            </w:tcBorders>
            <w:hideMark/>
          </w:tcPr>
          <w:p w14:paraId="054CE3A9"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Why</w:t>
            </w:r>
          </w:p>
        </w:tc>
      </w:tr>
      <w:tr w:rsidR="007760C0" w:rsidRPr="0065614A" w14:paraId="6AEBB3FB" w14:textId="77777777" w:rsidTr="00B708EA">
        <w:trPr>
          <w:cantSplit/>
        </w:trPr>
        <w:tc>
          <w:tcPr>
            <w:tcW w:w="1227" w:type="dxa"/>
            <w:tcBorders>
              <w:top w:val="single" w:sz="4" w:space="0" w:color="B56011"/>
              <w:left w:val="nil"/>
              <w:bottom w:val="single" w:sz="4" w:space="0" w:color="B56011"/>
              <w:right w:val="nil"/>
            </w:tcBorders>
          </w:tcPr>
          <w:p w14:paraId="6473613A" w14:textId="77777777" w:rsidR="00A6399C" w:rsidRPr="0065614A" w:rsidRDefault="00A6399C" w:rsidP="00A6399C">
            <w:pPr>
              <w:spacing w:before="40" w:after="40"/>
              <w:rPr>
                <w:rFonts w:cs="Arial"/>
                <w:b/>
                <w:sz w:val="18"/>
                <w:szCs w:val="18"/>
                <w:lang w:val="en-US" w:eastAsia="en-US"/>
              </w:rPr>
            </w:pPr>
            <w:r w:rsidRPr="00B73DCE">
              <w:rPr>
                <w:rFonts w:cs="Arial"/>
                <w:b/>
                <w:sz w:val="18"/>
                <w:szCs w:val="18"/>
                <w:lang w:val="en-US" w:eastAsia="en-US"/>
              </w:rPr>
              <w:t>71075, 71077</w:t>
            </w:r>
          </w:p>
        </w:tc>
        <w:tc>
          <w:tcPr>
            <w:tcW w:w="2849" w:type="dxa"/>
            <w:tcBorders>
              <w:top w:val="single" w:sz="4" w:space="0" w:color="B56011"/>
              <w:left w:val="nil"/>
              <w:bottom w:val="single" w:sz="4" w:space="0" w:color="B56011"/>
              <w:right w:val="nil"/>
            </w:tcBorders>
          </w:tcPr>
          <w:p w14:paraId="3965E954" w14:textId="77777777" w:rsidR="00A6399C" w:rsidRDefault="00A6399C" w:rsidP="00A6399C">
            <w:pPr>
              <w:spacing w:before="40" w:after="40"/>
              <w:rPr>
                <w:rFonts w:cs="Arial"/>
                <w:sz w:val="18"/>
                <w:szCs w:val="18"/>
              </w:rPr>
            </w:pPr>
            <w:r w:rsidRPr="00B73DCE">
              <w:rPr>
                <w:rFonts w:cs="Arial"/>
                <w:sz w:val="18"/>
                <w:szCs w:val="18"/>
              </w:rPr>
              <w:t>Measures the extent of an immune response</w:t>
            </w:r>
            <w:r>
              <w:rPr>
                <w:rFonts w:cs="Arial"/>
                <w:sz w:val="18"/>
                <w:szCs w:val="18"/>
              </w:rPr>
              <w:t xml:space="preserve"> handled by ‘IgE’ (one of the body’s main immune molecules), either at an initial consultation (item 71077) or when following up certain conditions (71077)</w:t>
            </w:r>
          </w:p>
          <w:p w14:paraId="15B50DA4" w14:textId="77777777" w:rsidR="00A6399C" w:rsidRPr="0065614A" w:rsidRDefault="00A6399C" w:rsidP="00A6399C">
            <w:pPr>
              <w:spacing w:before="40" w:after="40"/>
              <w:rPr>
                <w:rFonts w:cs="Arial"/>
                <w:sz w:val="18"/>
                <w:szCs w:val="18"/>
              </w:rPr>
            </w:pPr>
          </w:p>
        </w:tc>
        <w:tc>
          <w:tcPr>
            <w:tcW w:w="3256" w:type="dxa"/>
            <w:tcBorders>
              <w:top w:val="single" w:sz="4" w:space="0" w:color="B56011"/>
              <w:left w:val="nil"/>
              <w:bottom w:val="single" w:sz="4" w:space="0" w:color="B56011"/>
              <w:right w:val="nil"/>
            </w:tcBorders>
          </w:tcPr>
          <w:p w14:paraId="5DD9030D" w14:textId="77777777" w:rsidR="00A6399C" w:rsidRPr="0065614A" w:rsidRDefault="00A6399C" w:rsidP="00A6399C">
            <w:pPr>
              <w:spacing w:before="40" w:after="40"/>
              <w:rPr>
                <w:rFonts w:cs="Arial"/>
                <w:sz w:val="18"/>
                <w:szCs w:val="18"/>
              </w:rPr>
            </w:pPr>
            <w:r>
              <w:rPr>
                <w:rFonts w:cs="Arial"/>
                <w:sz w:val="18"/>
                <w:szCs w:val="18"/>
              </w:rPr>
              <w:t>Merge these two items into one and limit testing to four times a year per patient</w:t>
            </w:r>
          </w:p>
        </w:tc>
        <w:tc>
          <w:tcPr>
            <w:tcW w:w="2929" w:type="dxa"/>
            <w:tcBorders>
              <w:top w:val="single" w:sz="4" w:space="0" w:color="B56011"/>
              <w:left w:val="nil"/>
              <w:bottom w:val="single" w:sz="4" w:space="0" w:color="B56011"/>
              <w:right w:val="nil"/>
            </w:tcBorders>
          </w:tcPr>
          <w:p w14:paraId="6956E595" w14:textId="77777777" w:rsidR="00A6399C" w:rsidRPr="0065614A" w:rsidRDefault="00A6399C" w:rsidP="001F0103">
            <w:pPr>
              <w:spacing w:before="40" w:after="40"/>
              <w:ind w:left="57" w:right="57"/>
              <w:rPr>
                <w:rFonts w:cs="Arial"/>
                <w:sz w:val="18"/>
                <w:szCs w:val="18"/>
              </w:rPr>
            </w:pPr>
            <w:r>
              <w:rPr>
                <w:rFonts w:cs="Arial"/>
                <w:sz w:val="18"/>
                <w:szCs w:val="18"/>
              </w:rPr>
              <w:t xml:space="preserve">Item 71077 would be merged into item 71075, with the </w:t>
            </w:r>
            <w:r w:rsidR="001F0103">
              <w:rPr>
                <w:rFonts w:cs="Arial"/>
                <w:sz w:val="18"/>
                <w:szCs w:val="18"/>
              </w:rPr>
              <w:t xml:space="preserve">lower </w:t>
            </w:r>
            <w:r>
              <w:rPr>
                <w:rFonts w:cs="Arial"/>
                <w:sz w:val="18"/>
                <w:szCs w:val="18"/>
              </w:rPr>
              <w:t>cost of 71077 applied to 71075, then item 71077 would be deleted</w:t>
            </w:r>
          </w:p>
        </w:tc>
        <w:tc>
          <w:tcPr>
            <w:tcW w:w="3310" w:type="dxa"/>
            <w:tcBorders>
              <w:top w:val="single" w:sz="4" w:space="0" w:color="B56011"/>
              <w:left w:val="nil"/>
              <w:bottom w:val="single" w:sz="4" w:space="0" w:color="B56011"/>
              <w:right w:val="nil"/>
            </w:tcBorders>
          </w:tcPr>
          <w:p w14:paraId="45B2797E" w14:textId="77777777" w:rsidR="00A6399C" w:rsidRPr="00D201D1" w:rsidRDefault="00A6399C" w:rsidP="000F227B">
            <w:pPr>
              <w:spacing w:before="40" w:after="40"/>
              <w:rPr>
                <w:rFonts w:cs="Arial"/>
                <w:sz w:val="18"/>
                <w:szCs w:val="18"/>
              </w:rPr>
            </w:pPr>
            <w:r w:rsidRPr="00A6399C">
              <w:rPr>
                <w:rFonts w:cs="Arial"/>
                <w:sz w:val="18"/>
                <w:szCs w:val="18"/>
              </w:rPr>
              <w:t>Item 71077</w:t>
            </w:r>
            <w:r>
              <w:rPr>
                <w:rFonts w:cs="Arial"/>
                <w:sz w:val="18"/>
                <w:szCs w:val="18"/>
              </w:rPr>
              <w:t xml:space="preserve"> is under-used because of difficulty with the description and higher cost. The changes will simplify </w:t>
            </w:r>
            <w:r w:rsidR="000F227B">
              <w:rPr>
                <w:rFonts w:cs="Arial"/>
                <w:sz w:val="18"/>
                <w:szCs w:val="18"/>
              </w:rPr>
              <w:t>the MBS.</w:t>
            </w:r>
          </w:p>
        </w:tc>
      </w:tr>
    </w:tbl>
    <w:p w14:paraId="6F64A2E3" w14:textId="77777777" w:rsidR="00767469" w:rsidRDefault="00767469"/>
    <w:p w14:paraId="02C9BE4D" w14:textId="77777777" w:rsidR="00767469" w:rsidRDefault="00767469">
      <w:pPr>
        <w:spacing w:before="0" w:after="0"/>
      </w:pPr>
      <w:r>
        <w:br w:type="page"/>
      </w:r>
    </w:p>
    <w:tbl>
      <w:tblPr>
        <w:tblStyle w:val="TableGrid"/>
        <w:tblW w:w="13571"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27"/>
        <w:gridCol w:w="2849"/>
        <w:gridCol w:w="3256"/>
        <w:gridCol w:w="2929"/>
        <w:gridCol w:w="3310"/>
      </w:tblGrid>
      <w:tr w:rsidR="007760C0" w:rsidRPr="0065614A" w14:paraId="717DCF3D" w14:textId="77777777" w:rsidTr="009B2D7B">
        <w:trPr>
          <w:cantSplit/>
          <w:tblHeader/>
        </w:trPr>
        <w:tc>
          <w:tcPr>
            <w:tcW w:w="13571" w:type="dxa"/>
            <w:gridSpan w:val="5"/>
            <w:tcBorders>
              <w:top w:val="single" w:sz="4" w:space="0" w:color="B56011"/>
              <w:left w:val="nil"/>
              <w:bottom w:val="single" w:sz="4" w:space="0" w:color="B56011"/>
              <w:right w:val="nil"/>
            </w:tcBorders>
            <w:shd w:val="clear" w:color="auto" w:fill="EEECE1" w:themeFill="background2"/>
          </w:tcPr>
          <w:p w14:paraId="10964FBD" w14:textId="77777777" w:rsidR="007760C0" w:rsidRPr="00A6399C" w:rsidRDefault="00024095" w:rsidP="00E32CD1">
            <w:pPr>
              <w:spacing w:before="40" w:after="40"/>
              <w:rPr>
                <w:rFonts w:cs="Arial"/>
                <w:sz w:val="18"/>
                <w:szCs w:val="18"/>
              </w:rPr>
            </w:pPr>
            <w:r>
              <w:rPr>
                <w:b/>
              </w:rPr>
              <w:t>Recommendation 11:</w:t>
            </w:r>
            <w:r w:rsidR="007760C0" w:rsidRPr="00C32944">
              <w:rPr>
                <w:b/>
              </w:rPr>
              <w:t xml:space="preserve"> </w:t>
            </w:r>
            <w:r w:rsidR="007760C0" w:rsidRPr="009777D8">
              <w:rPr>
                <w:b/>
              </w:rPr>
              <w:t>Quantitation of total Immunoglobulin A</w:t>
            </w:r>
          </w:p>
        </w:tc>
      </w:tr>
      <w:tr w:rsidR="00084AF3" w:rsidRPr="0065614A" w14:paraId="60B23303" w14:textId="77777777" w:rsidTr="00B708EA">
        <w:trPr>
          <w:cantSplit/>
        </w:trPr>
        <w:tc>
          <w:tcPr>
            <w:tcW w:w="1227" w:type="dxa"/>
            <w:tcBorders>
              <w:top w:val="single" w:sz="4" w:space="0" w:color="B56011"/>
              <w:left w:val="nil"/>
              <w:bottom w:val="single" w:sz="4" w:space="0" w:color="B56011"/>
              <w:right w:val="nil"/>
            </w:tcBorders>
          </w:tcPr>
          <w:p w14:paraId="0284563E" w14:textId="77777777" w:rsidR="007760C0" w:rsidRPr="00B73DCE" w:rsidRDefault="007760C0" w:rsidP="007760C0">
            <w:pPr>
              <w:spacing w:before="40" w:after="40"/>
              <w:rPr>
                <w:rFonts w:cs="Arial"/>
                <w:b/>
                <w:sz w:val="18"/>
                <w:szCs w:val="18"/>
                <w:lang w:val="en-US" w:eastAsia="en-US"/>
              </w:rPr>
            </w:pPr>
            <w:r w:rsidRPr="0065614A">
              <w:rPr>
                <w:rFonts w:cs="Arial"/>
                <w:b/>
                <w:sz w:val="18"/>
                <w:szCs w:val="18"/>
                <w:lang w:val="en-US" w:eastAsia="en-US"/>
              </w:rPr>
              <w:t>Item</w:t>
            </w:r>
          </w:p>
        </w:tc>
        <w:tc>
          <w:tcPr>
            <w:tcW w:w="2849" w:type="dxa"/>
            <w:tcBorders>
              <w:top w:val="single" w:sz="4" w:space="0" w:color="B56011"/>
              <w:left w:val="nil"/>
              <w:bottom w:val="single" w:sz="4" w:space="0" w:color="B56011"/>
              <w:right w:val="nil"/>
            </w:tcBorders>
          </w:tcPr>
          <w:p w14:paraId="29ED3E66" w14:textId="77777777" w:rsidR="007760C0" w:rsidRPr="00B73DCE" w:rsidRDefault="007760C0" w:rsidP="007B6365">
            <w:pPr>
              <w:spacing w:before="40" w:after="40"/>
              <w:jc w:val="center"/>
              <w:rPr>
                <w:rFonts w:cs="Arial"/>
                <w:sz w:val="18"/>
                <w:szCs w:val="18"/>
              </w:rPr>
            </w:pPr>
            <w:r w:rsidRPr="0065614A">
              <w:rPr>
                <w:rFonts w:cs="Arial"/>
                <w:b/>
                <w:sz w:val="18"/>
                <w:szCs w:val="18"/>
                <w:lang w:val="en-US" w:eastAsia="en-US"/>
              </w:rPr>
              <w:t>What it does</w:t>
            </w:r>
          </w:p>
        </w:tc>
        <w:tc>
          <w:tcPr>
            <w:tcW w:w="3256" w:type="dxa"/>
            <w:tcBorders>
              <w:top w:val="single" w:sz="4" w:space="0" w:color="B56011"/>
              <w:left w:val="nil"/>
              <w:bottom w:val="single" w:sz="4" w:space="0" w:color="B56011"/>
              <w:right w:val="nil"/>
            </w:tcBorders>
          </w:tcPr>
          <w:p w14:paraId="0D7F998A" w14:textId="77777777" w:rsidR="007760C0" w:rsidRDefault="007760C0" w:rsidP="007B6365">
            <w:pPr>
              <w:spacing w:before="40" w:after="40"/>
              <w:jc w:val="center"/>
              <w:rPr>
                <w:rFonts w:cs="Arial"/>
                <w:sz w:val="18"/>
                <w:szCs w:val="18"/>
              </w:rPr>
            </w:pPr>
            <w:r w:rsidRPr="0065614A">
              <w:rPr>
                <w:rFonts w:cs="Arial"/>
                <w:b/>
                <w:sz w:val="18"/>
                <w:szCs w:val="18"/>
                <w:lang w:val="en-US" w:eastAsia="en-US"/>
              </w:rPr>
              <w:t>Committee recommendation</w:t>
            </w:r>
          </w:p>
        </w:tc>
        <w:tc>
          <w:tcPr>
            <w:tcW w:w="2929" w:type="dxa"/>
            <w:tcBorders>
              <w:top w:val="single" w:sz="4" w:space="0" w:color="B56011"/>
              <w:left w:val="nil"/>
              <w:bottom w:val="single" w:sz="4" w:space="0" w:color="B56011"/>
              <w:right w:val="nil"/>
            </w:tcBorders>
          </w:tcPr>
          <w:p w14:paraId="7331FC60" w14:textId="77777777" w:rsidR="007760C0" w:rsidRDefault="007760C0" w:rsidP="007B6365">
            <w:pPr>
              <w:spacing w:before="40" w:after="40"/>
              <w:ind w:left="57" w:right="57"/>
              <w:jc w:val="center"/>
              <w:rPr>
                <w:rFonts w:cs="Arial"/>
                <w:sz w:val="18"/>
                <w:szCs w:val="18"/>
              </w:rPr>
            </w:pPr>
            <w:r w:rsidRPr="0065614A">
              <w:rPr>
                <w:rFonts w:cs="Arial"/>
                <w:b/>
                <w:sz w:val="18"/>
                <w:szCs w:val="18"/>
                <w:lang w:val="en-US" w:eastAsia="en-US"/>
              </w:rPr>
              <w:t>What would be different</w:t>
            </w:r>
          </w:p>
        </w:tc>
        <w:tc>
          <w:tcPr>
            <w:tcW w:w="3310" w:type="dxa"/>
            <w:tcBorders>
              <w:top w:val="single" w:sz="4" w:space="0" w:color="B56011"/>
              <w:left w:val="nil"/>
              <w:bottom w:val="single" w:sz="4" w:space="0" w:color="B56011"/>
              <w:right w:val="nil"/>
            </w:tcBorders>
          </w:tcPr>
          <w:p w14:paraId="5FABE662" w14:textId="77777777" w:rsidR="007760C0" w:rsidRPr="00A6399C" w:rsidRDefault="007760C0" w:rsidP="007B6365">
            <w:pPr>
              <w:spacing w:before="40" w:after="40"/>
              <w:jc w:val="center"/>
              <w:rPr>
                <w:rFonts w:cs="Arial"/>
                <w:sz w:val="18"/>
                <w:szCs w:val="18"/>
              </w:rPr>
            </w:pPr>
            <w:r w:rsidRPr="0065614A">
              <w:rPr>
                <w:rFonts w:cs="Arial"/>
                <w:b/>
                <w:sz w:val="18"/>
                <w:szCs w:val="18"/>
                <w:lang w:val="en-US" w:eastAsia="en-US"/>
              </w:rPr>
              <w:t>Why</w:t>
            </w:r>
          </w:p>
        </w:tc>
      </w:tr>
      <w:tr w:rsidR="007760C0" w:rsidRPr="0065614A" w14:paraId="75D64C1E" w14:textId="77777777" w:rsidTr="00B708EA">
        <w:trPr>
          <w:cantSplit/>
        </w:trPr>
        <w:tc>
          <w:tcPr>
            <w:tcW w:w="1227" w:type="dxa"/>
            <w:tcBorders>
              <w:top w:val="single" w:sz="4" w:space="0" w:color="B56011"/>
              <w:left w:val="nil"/>
              <w:bottom w:val="single" w:sz="4" w:space="0" w:color="B56011"/>
              <w:right w:val="nil"/>
            </w:tcBorders>
          </w:tcPr>
          <w:p w14:paraId="2F5BEC22" w14:textId="77777777" w:rsidR="007760C0" w:rsidRPr="0065614A" w:rsidRDefault="007760C0" w:rsidP="007760C0">
            <w:pPr>
              <w:spacing w:before="40" w:after="40"/>
              <w:rPr>
                <w:rFonts w:cs="Arial"/>
                <w:b/>
                <w:sz w:val="18"/>
                <w:szCs w:val="18"/>
                <w:lang w:val="en-US" w:eastAsia="en-US"/>
              </w:rPr>
            </w:pPr>
            <w:r>
              <w:rPr>
                <w:rFonts w:cs="Arial"/>
                <w:b/>
                <w:sz w:val="18"/>
                <w:szCs w:val="18"/>
                <w:lang w:val="en-US" w:eastAsia="en-US"/>
              </w:rPr>
              <w:t>71072</w:t>
            </w:r>
          </w:p>
        </w:tc>
        <w:tc>
          <w:tcPr>
            <w:tcW w:w="2849" w:type="dxa"/>
            <w:tcBorders>
              <w:top w:val="single" w:sz="4" w:space="0" w:color="B56011"/>
              <w:left w:val="nil"/>
              <w:bottom w:val="single" w:sz="4" w:space="0" w:color="B56011"/>
              <w:right w:val="nil"/>
            </w:tcBorders>
          </w:tcPr>
          <w:p w14:paraId="747E995C" w14:textId="77777777" w:rsidR="007760C0" w:rsidRDefault="007760C0" w:rsidP="007760C0">
            <w:pPr>
              <w:spacing w:before="40" w:after="40"/>
              <w:rPr>
                <w:rFonts w:cs="Arial"/>
                <w:sz w:val="18"/>
                <w:szCs w:val="18"/>
              </w:rPr>
            </w:pPr>
            <w:r w:rsidRPr="00B73DCE">
              <w:rPr>
                <w:rFonts w:cs="Arial"/>
                <w:sz w:val="18"/>
                <w:szCs w:val="18"/>
              </w:rPr>
              <w:t>Measures the extent of an immune response</w:t>
            </w:r>
            <w:r>
              <w:rPr>
                <w:rFonts w:cs="Arial"/>
                <w:sz w:val="18"/>
                <w:szCs w:val="18"/>
              </w:rPr>
              <w:t xml:space="preserve"> handled by ‘IgM’ (one of the body’s main immune molecules)</w:t>
            </w:r>
          </w:p>
          <w:p w14:paraId="37CE436D" w14:textId="77777777" w:rsidR="007760C0" w:rsidRPr="0065614A" w:rsidRDefault="007760C0" w:rsidP="007760C0">
            <w:pPr>
              <w:spacing w:before="40" w:after="40"/>
              <w:rPr>
                <w:rFonts w:cs="Arial"/>
                <w:b/>
                <w:sz w:val="18"/>
                <w:szCs w:val="18"/>
                <w:lang w:val="en-US" w:eastAsia="en-US"/>
              </w:rPr>
            </w:pPr>
          </w:p>
        </w:tc>
        <w:tc>
          <w:tcPr>
            <w:tcW w:w="3256" w:type="dxa"/>
            <w:tcBorders>
              <w:top w:val="single" w:sz="4" w:space="0" w:color="B56011"/>
              <w:left w:val="nil"/>
              <w:bottom w:val="single" w:sz="4" w:space="0" w:color="B56011"/>
              <w:right w:val="nil"/>
            </w:tcBorders>
          </w:tcPr>
          <w:p w14:paraId="7EFD80BD" w14:textId="77777777" w:rsidR="007760C0" w:rsidRPr="0065614A" w:rsidRDefault="007760C0" w:rsidP="007B6365">
            <w:pPr>
              <w:spacing w:before="40" w:after="40"/>
              <w:rPr>
                <w:rFonts w:cs="Arial"/>
                <w:b/>
                <w:sz w:val="18"/>
                <w:szCs w:val="18"/>
                <w:lang w:val="en-US" w:eastAsia="en-US"/>
              </w:rPr>
            </w:pPr>
            <w:r>
              <w:rPr>
                <w:rFonts w:cs="Arial"/>
                <w:sz w:val="18"/>
                <w:szCs w:val="18"/>
              </w:rPr>
              <w:t>R</w:t>
            </w:r>
            <w:r w:rsidRPr="00BF338C">
              <w:rPr>
                <w:rFonts w:cs="Arial"/>
                <w:sz w:val="18"/>
                <w:szCs w:val="18"/>
              </w:rPr>
              <w:t>emove the words ‘urine or other body fluid’ from</w:t>
            </w:r>
            <w:r>
              <w:rPr>
                <w:rFonts w:cs="Arial"/>
                <w:sz w:val="18"/>
                <w:szCs w:val="18"/>
              </w:rPr>
              <w:t xml:space="preserve"> the description</w:t>
            </w:r>
          </w:p>
        </w:tc>
        <w:tc>
          <w:tcPr>
            <w:tcW w:w="2929" w:type="dxa"/>
            <w:tcBorders>
              <w:top w:val="single" w:sz="4" w:space="0" w:color="B56011"/>
              <w:left w:val="nil"/>
              <w:bottom w:val="single" w:sz="4" w:space="0" w:color="B56011"/>
              <w:right w:val="nil"/>
            </w:tcBorders>
          </w:tcPr>
          <w:p w14:paraId="5E40D230" w14:textId="77777777" w:rsidR="007760C0" w:rsidRPr="0065614A" w:rsidRDefault="007760C0" w:rsidP="007B6365">
            <w:pPr>
              <w:spacing w:before="40" w:after="40"/>
              <w:ind w:left="57" w:right="57"/>
              <w:rPr>
                <w:rFonts w:cs="Arial"/>
                <w:b/>
                <w:sz w:val="18"/>
                <w:szCs w:val="18"/>
                <w:lang w:val="en-US" w:eastAsia="en-US"/>
              </w:rPr>
            </w:pPr>
            <w:r>
              <w:rPr>
                <w:rFonts w:cs="Arial"/>
                <w:sz w:val="18"/>
                <w:szCs w:val="18"/>
              </w:rPr>
              <w:t>The test would refer only to blood serum, not to urine or other body fluids</w:t>
            </w:r>
          </w:p>
        </w:tc>
        <w:tc>
          <w:tcPr>
            <w:tcW w:w="3310" w:type="dxa"/>
            <w:tcBorders>
              <w:top w:val="single" w:sz="4" w:space="0" w:color="B56011"/>
              <w:left w:val="nil"/>
              <w:bottom w:val="single" w:sz="4" w:space="0" w:color="B56011"/>
              <w:right w:val="nil"/>
            </w:tcBorders>
          </w:tcPr>
          <w:p w14:paraId="77CC5B45" w14:textId="77777777" w:rsidR="007760C0" w:rsidRPr="0065614A" w:rsidRDefault="007760C0" w:rsidP="007B6365">
            <w:pPr>
              <w:spacing w:before="40" w:after="40"/>
              <w:rPr>
                <w:rFonts w:cs="Arial"/>
                <w:b/>
                <w:sz w:val="18"/>
                <w:szCs w:val="18"/>
                <w:lang w:val="en-US" w:eastAsia="en-US"/>
              </w:rPr>
            </w:pPr>
            <w:r w:rsidRPr="00BF338C">
              <w:rPr>
                <w:rFonts w:cs="Arial"/>
                <w:sz w:val="18"/>
                <w:szCs w:val="18"/>
              </w:rPr>
              <w:t xml:space="preserve">This test should not be performed </w:t>
            </w:r>
            <w:r>
              <w:rPr>
                <w:rFonts w:cs="Arial"/>
                <w:sz w:val="18"/>
                <w:szCs w:val="18"/>
              </w:rPr>
              <w:t>using</w:t>
            </w:r>
            <w:r w:rsidRPr="00BF338C">
              <w:rPr>
                <w:rFonts w:cs="Arial"/>
                <w:sz w:val="18"/>
                <w:szCs w:val="18"/>
              </w:rPr>
              <w:t xml:space="preserve"> urine or other body fluid</w:t>
            </w:r>
            <w:r>
              <w:rPr>
                <w:rFonts w:cs="Arial"/>
                <w:sz w:val="18"/>
                <w:szCs w:val="18"/>
              </w:rPr>
              <w:t>s as it is of no medical value</w:t>
            </w:r>
          </w:p>
        </w:tc>
      </w:tr>
    </w:tbl>
    <w:p w14:paraId="39330406" w14:textId="77777777" w:rsidR="00B708EA" w:rsidRDefault="00B708EA"/>
    <w:tbl>
      <w:tblPr>
        <w:tblStyle w:val="TableGrid"/>
        <w:tblW w:w="1385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27"/>
        <w:gridCol w:w="2849"/>
        <w:gridCol w:w="3256"/>
        <w:gridCol w:w="2929"/>
        <w:gridCol w:w="3597"/>
      </w:tblGrid>
      <w:tr w:rsidR="005540EB" w:rsidRPr="0065614A" w14:paraId="07A87FD7" w14:textId="77777777" w:rsidTr="009B2D7B">
        <w:trPr>
          <w:cantSplit/>
          <w:tblHeader/>
        </w:trPr>
        <w:tc>
          <w:tcPr>
            <w:tcW w:w="13858" w:type="dxa"/>
            <w:gridSpan w:val="5"/>
            <w:tcBorders>
              <w:top w:val="single" w:sz="4" w:space="0" w:color="B56011"/>
              <w:left w:val="nil"/>
              <w:bottom w:val="single" w:sz="4" w:space="0" w:color="B56011"/>
              <w:right w:val="nil"/>
            </w:tcBorders>
            <w:shd w:val="clear" w:color="auto" w:fill="EEECE1" w:themeFill="background2"/>
          </w:tcPr>
          <w:p w14:paraId="752E2E06" w14:textId="77777777" w:rsidR="005540EB" w:rsidRPr="00BF338C" w:rsidRDefault="00024095" w:rsidP="00E32CD1">
            <w:pPr>
              <w:keepNext/>
              <w:spacing w:before="40" w:after="40"/>
              <w:rPr>
                <w:rFonts w:cs="Arial"/>
                <w:sz w:val="18"/>
                <w:szCs w:val="18"/>
              </w:rPr>
            </w:pPr>
            <w:r>
              <w:rPr>
                <w:b/>
              </w:rPr>
              <w:t>Recommendation 12</w:t>
            </w:r>
            <w:r w:rsidR="005540EB" w:rsidRPr="00C32944">
              <w:rPr>
                <w:b/>
              </w:rPr>
              <w:t xml:space="preserve">: </w:t>
            </w:r>
            <w:r w:rsidR="005540EB" w:rsidRPr="001C350E">
              <w:rPr>
                <w:b/>
              </w:rPr>
              <w:t xml:space="preserve">Quantitation of total Immunoglobulin </w:t>
            </w:r>
            <w:r w:rsidR="005540EB">
              <w:rPr>
                <w:b/>
              </w:rPr>
              <w:t>M</w:t>
            </w:r>
          </w:p>
        </w:tc>
      </w:tr>
      <w:tr w:rsidR="005540EB" w:rsidRPr="0065614A" w14:paraId="242E78C8" w14:textId="77777777" w:rsidTr="00024095">
        <w:trPr>
          <w:cantSplit/>
        </w:trPr>
        <w:tc>
          <w:tcPr>
            <w:tcW w:w="1227" w:type="dxa"/>
            <w:tcBorders>
              <w:top w:val="single" w:sz="4" w:space="0" w:color="B56011"/>
              <w:left w:val="nil"/>
              <w:bottom w:val="single" w:sz="4" w:space="0" w:color="B56011"/>
              <w:right w:val="nil"/>
            </w:tcBorders>
          </w:tcPr>
          <w:p w14:paraId="663CFEB2" w14:textId="77777777" w:rsidR="005540EB" w:rsidRDefault="005540EB" w:rsidP="007B6365">
            <w:pPr>
              <w:keepNext/>
              <w:spacing w:before="40" w:after="40"/>
              <w:rPr>
                <w:rFonts w:cs="Arial"/>
                <w:b/>
                <w:sz w:val="18"/>
                <w:szCs w:val="18"/>
                <w:lang w:val="en-US" w:eastAsia="en-US"/>
              </w:rPr>
            </w:pPr>
            <w:r w:rsidRPr="0065614A">
              <w:rPr>
                <w:rFonts w:cs="Arial"/>
                <w:b/>
                <w:sz w:val="18"/>
                <w:szCs w:val="18"/>
                <w:lang w:val="en-US" w:eastAsia="en-US"/>
              </w:rPr>
              <w:t>Item</w:t>
            </w:r>
          </w:p>
        </w:tc>
        <w:tc>
          <w:tcPr>
            <w:tcW w:w="2849" w:type="dxa"/>
            <w:tcBorders>
              <w:top w:val="single" w:sz="4" w:space="0" w:color="B56011"/>
              <w:left w:val="nil"/>
              <w:bottom w:val="single" w:sz="4" w:space="0" w:color="B56011"/>
              <w:right w:val="nil"/>
            </w:tcBorders>
          </w:tcPr>
          <w:p w14:paraId="4D03D738" w14:textId="77777777" w:rsidR="005540EB" w:rsidRPr="00B73DCE" w:rsidRDefault="005540EB" w:rsidP="007B6365">
            <w:pPr>
              <w:keepNext/>
              <w:spacing w:before="40" w:after="40"/>
              <w:jc w:val="center"/>
              <w:rPr>
                <w:rFonts w:cs="Arial"/>
                <w:sz w:val="18"/>
                <w:szCs w:val="18"/>
              </w:rPr>
            </w:pPr>
            <w:r w:rsidRPr="0065614A">
              <w:rPr>
                <w:rFonts w:cs="Arial"/>
                <w:b/>
                <w:sz w:val="18"/>
                <w:szCs w:val="18"/>
                <w:lang w:val="en-US" w:eastAsia="en-US"/>
              </w:rPr>
              <w:t>What it does</w:t>
            </w:r>
          </w:p>
        </w:tc>
        <w:tc>
          <w:tcPr>
            <w:tcW w:w="3256" w:type="dxa"/>
            <w:tcBorders>
              <w:top w:val="single" w:sz="4" w:space="0" w:color="B56011"/>
              <w:left w:val="nil"/>
              <w:bottom w:val="single" w:sz="4" w:space="0" w:color="B56011"/>
              <w:right w:val="nil"/>
            </w:tcBorders>
          </w:tcPr>
          <w:p w14:paraId="2764500B" w14:textId="77777777" w:rsidR="005540EB" w:rsidRDefault="005540EB" w:rsidP="007B6365">
            <w:pPr>
              <w:keepNext/>
              <w:spacing w:before="40" w:after="40"/>
              <w:jc w:val="center"/>
              <w:rPr>
                <w:rFonts w:cs="Arial"/>
                <w:sz w:val="18"/>
                <w:szCs w:val="18"/>
              </w:rPr>
            </w:pPr>
            <w:r w:rsidRPr="0065614A">
              <w:rPr>
                <w:rFonts w:cs="Arial"/>
                <w:b/>
                <w:sz w:val="18"/>
                <w:szCs w:val="18"/>
                <w:lang w:val="en-US" w:eastAsia="en-US"/>
              </w:rPr>
              <w:t>Committee recommendation</w:t>
            </w:r>
          </w:p>
        </w:tc>
        <w:tc>
          <w:tcPr>
            <w:tcW w:w="2929" w:type="dxa"/>
            <w:tcBorders>
              <w:top w:val="single" w:sz="4" w:space="0" w:color="B56011"/>
              <w:left w:val="nil"/>
              <w:bottom w:val="single" w:sz="4" w:space="0" w:color="B56011"/>
              <w:right w:val="nil"/>
            </w:tcBorders>
          </w:tcPr>
          <w:p w14:paraId="4E5F8186" w14:textId="77777777" w:rsidR="005540EB" w:rsidRDefault="005540EB" w:rsidP="007B6365">
            <w:pPr>
              <w:keepNext/>
              <w:spacing w:before="40" w:after="40"/>
              <w:ind w:left="57" w:right="57"/>
              <w:jc w:val="center"/>
              <w:rPr>
                <w:rFonts w:cs="Arial"/>
                <w:sz w:val="18"/>
                <w:szCs w:val="18"/>
              </w:rPr>
            </w:pPr>
            <w:r w:rsidRPr="0065614A">
              <w:rPr>
                <w:rFonts w:cs="Arial"/>
                <w:b/>
                <w:sz w:val="18"/>
                <w:szCs w:val="18"/>
                <w:lang w:val="en-US" w:eastAsia="en-US"/>
              </w:rPr>
              <w:t>What would be different</w:t>
            </w:r>
          </w:p>
        </w:tc>
        <w:tc>
          <w:tcPr>
            <w:tcW w:w="3597" w:type="dxa"/>
            <w:tcBorders>
              <w:top w:val="single" w:sz="4" w:space="0" w:color="B56011"/>
              <w:left w:val="nil"/>
              <w:bottom w:val="single" w:sz="4" w:space="0" w:color="B56011"/>
              <w:right w:val="nil"/>
            </w:tcBorders>
          </w:tcPr>
          <w:p w14:paraId="40F8CF1E" w14:textId="77777777" w:rsidR="005540EB" w:rsidRPr="00BF338C" w:rsidRDefault="005540EB" w:rsidP="007B6365">
            <w:pPr>
              <w:keepNext/>
              <w:spacing w:before="40" w:after="40"/>
              <w:jc w:val="center"/>
              <w:rPr>
                <w:rFonts w:cs="Arial"/>
                <w:sz w:val="18"/>
                <w:szCs w:val="18"/>
              </w:rPr>
            </w:pPr>
            <w:r w:rsidRPr="0065614A">
              <w:rPr>
                <w:rFonts w:cs="Arial"/>
                <w:b/>
                <w:sz w:val="18"/>
                <w:szCs w:val="18"/>
                <w:lang w:val="en-US" w:eastAsia="en-US"/>
              </w:rPr>
              <w:t>Why</w:t>
            </w:r>
          </w:p>
        </w:tc>
      </w:tr>
      <w:tr w:rsidR="005540EB" w:rsidRPr="0065614A" w14:paraId="179756A1" w14:textId="77777777" w:rsidTr="00024095">
        <w:trPr>
          <w:cantSplit/>
        </w:trPr>
        <w:tc>
          <w:tcPr>
            <w:tcW w:w="1227" w:type="dxa"/>
            <w:tcBorders>
              <w:top w:val="single" w:sz="4" w:space="0" w:color="B56011"/>
              <w:left w:val="nil"/>
              <w:bottom w:val="single" w:sz="4" w:space="0" w:color="B56011"/>
              <w:right w:val="nil"/>
            </w:tcBorders>
          </w:tcPr>
          <w:p w14:paraId="25DC640E" w14:textId="77777777" w:rsidR="005540EB" w:rsidRDefault="005540EB" w:rsidP="007B6365">
            <w:pPr>
              <w:keepNext/>
              <w:spacing w:before="40" w:after="40"/>
              <w:rPr>
                <w:rFonts w:cs="Arial"/>
                <w:b/>
                <w:sz w:val="18"/>
                <w:szCs w:val="18"/>
                <w:lang w:val="en-US" w:eastAsia="en-US"/>
              </w:rPr>
            </w:pPr>
            <w:r>
              <w:rPr>
                <w:rFonts w:cs="Arial"/>
                <w:b/>
                <w:sz w:val="18"/>
                <w:szCs w:val="18"/>
                <w:lang w:val="en-US" w:eastAsia="en-US"/>
              </w:rPr>
              <w:t>71072</w:t>
            </w:r>
          </w:p>
        </w:tc>
        <w:tc>
          <w:tcPr>
            <w:tcW w:w="2849" w:type="dxa"/>
            <w:tcBorders>
              <w:top w:val="single" w:sz="4" w:space="0" w:color="B56011"/>
              <w:left w:val="nil"/>
              <w:bottom w:val="single" w:sz="4" w:space="0" w:color="B56011"/>
              <w:right w:val="nil"/>
            </w:tcBorders>
          </w:tcPr>
          <w:p w14:paraId="12F726EF" w14:textId="77777777" w:rsidR="005540EB" w:rsidRPr="00B73DCE" w:rsidRDefault="005540EB" w:rsidP="00E95F8E">
            <w:pPr>
              <w:keepNext/>
              <w:spacing w:before="40" w:after="40"/>
              <w:rPr>
                <w:rFonts w:cs="Arial"/>
                <w:sz w:val="18"/>
                <w:szCs w:val="18"/>
              </w:rPr>
            </w:pPr>
            <w:r w:rsidRPr="00B73DCE">
              <w:rPr>
                <w:rFonts w:cs="Arial"/>
                <w:sz w:val="18"/>
                <w:szCs w:val="18"/>
              </w:rPr>
              <w:t>Measures the extent of an immune response</w:t>
            </w:r>
            <w:r>
              <w:rPr>
                <w:rFonts w:cs="Arial"/>
                <w:sz w:val="18"/>
                <w:szCs w:val="18"/>
              </w:rPr>
              <w:t xml:space="preserve"> handled by ‘IgM’ (one of the body’s main immune molecules)</w:t>
            </w:r>
          </w:p>
        </w:tc>
        <w:tc>
          <w:tcPr>
            <w:tcW w:w="3256" w:type="dxa"/>
            <w:tcBorders>
              <w:top w:val="single" w:sz="4" w:space="0" w:color="B56011"/>
              <w:left w:val="nil"/>
              <w:bottom w:val="single" w:sz="4" w:space="0" w:color="B56011"/>
              <w:right w:val="nil"/>
            </w:tcBorders>
          </w:tcPr>
          <w:p w14:paraId="2E9D5AFE" w14:textId="77777777" w:rsidR="005540EB" w:rsidRDefault="005540EB" w:rsidP="007B6365">
            <w:pPr>
              <w:keepNext/>
              <w:spacing w:before="40" w:after="40"/>
              <w:rPr>
                <w:rFonts w:cs="Arial"/>
                <w:sz w:val="18"/>
                <w:szCs w:val="18"/>
              </w:rPr>
            </w:pPr>
            <w:r>
              <w:rPr>
                <w:rFonts w:cs="Arial"/>
                <w:sz w:val="18"/>
                <w:szCs w:val="18"/>
              </w:rPr>
              <w:t>R</w:t>
            </w:r>
            <w:r w:rsidRPr="00BF338C">
              <w:rPr>
                <w:rFonts w:cs="Arial"/>
                <w:sz w:val="18"/>
                <w:szCs w:val="18"/>
              </w:rPr>
              <w:t>emove the words ‘urine or other body fluid’ from</w:t>
            </w:r>
            <w:r>
              <w:rPr>
                <w:rFonts w:cs="Arial"/>
                <w:sz w:val="18"/>
                <w:szCs w:val="18"/>
              </w:rPr>
              <w:t xml:space="preserve"> the description</w:t>
            </w:r>
          </w:p>
        </w:tc>
        <w:tc>
          <w:tcPr>
            <w:tcW w:w="2929" w:type="dxa"/>
            <w:tcBorders>
              <w:top w:val="single" w:sz="4" w:space="0" w:color="B56011"/>
              <w:left w:val="nil"/>
              <w:bottom w:val="single" w:sz="4" w:space="0" w:color="B56011"/>
              <w:right w:val="nil"/>
            </w:tcBorders>
          </w:tcPr>
          <w:p w14:paraId="65B896A4" w14:textId="77777777" w:rsidR="005540EB" w:rsidRDefault="005540EB" w:rsidP="007B6365">
            <w:pPr>
              <w:keepNext/>
              <w:spacing w:before="40" w:after="40"/>
              <w:ind w:left="57" w:right="57"/>
              <w:rPr>
                <w:rFonts w:cs="Arial"/>
                <w:sz w:val="18"/>
                <w:szCs w:val="18"/>
              </w:rPr>
            </w:pPr>
            <w:r>
              <w:rPr>
                <w:rFonts w:cs="Arial"/>
                <w:sz w:val="18"/>
                <w:szCs w:val="18"/>
              </w:rPr>
              <w:t>The test would refer only to blood serum, not to urine or other body fluids</w:t>
            </w:r>
          </w:p>
        </w:tc>
        <w:tc>
          <w:tcPr>
            <w:tcW w:w="3597" w:type="dxa"/>
            <w:tcBorders>
              <w:top w:val="single" w:sz="4" w:space="0" w:color="B56011"/>
              <w:left w:val="nil"/>
              <w:bottom w:val="single" w:sz="4" w:space="0" w:color="B56011"/>
              <w:right w:val="nil"/>
            </w:tcBorders>
          </w:tcPr>
          <w:p w14:paraId="7577FFA5" w14:textId="77777777" w:rsidR="005540EB" w:rsidRPr="00BF338C" w:rsidRDefault="005540EB" w:rsidP="007B6365">
            <w:pPr>
              <w:keepNext/>
              <w:spacing w:before="40" w:after="40"/>
              <w:rPr>
                <w:rFonts w:cs="Arial"/>
                <w:sz w:val="18"/>
                <w:szCs w:val="18"/>
              </w:rPr>
            </w:pPr>
            <w:r w:rsidRPr="00BF338C">
              <w:rPr>
                <w:rFonts w:cs="Arial"/>
                <w:sz w:val="18"/>
                <w:szCs w:val="18"/>
              </w:rPr>
              <w:t xml:space="preserve">This test should not be performed </w:t>
            </w:r>
            <w:r>
              <w:rPr>
                <w:rFonts w:cs="Arial"/>
                <w:sz w:val="18"/>
                <w:szCs w:val="18"/>
              </w:rPr>
              <w:t>using</w:t>
            </w:r>
            <w:r w:rsidRPr="00BF338C">
              <w:rPr>
                <w:rFonts w:cs="Arial"/>
                <w:sz w:val="18"/>
                <w:szCs w:val="18"/>
              </w:rPr>
              <w:t xml:space="preserve"> urine or other body fluid</w:t>
            </w:r>
            <w:r>
              <w:rPr>
                <w:rFonts w:cs="Arial"/>
                <w:sz w:val="18"/>
                <w:szCs w:val="18"/>
              </w:rPr>
              <w:t>s as it is of no medical value</w:t>
            </w:r>
          </w:p>
        </w:tc>
      </w:tr>
      <w:tr w:rsidR="005540EB" w:rsidRPr="0065614A" w14:paraId="0174E36D" w14:textId="77777777" w:rsidTr="00024095">
        <w:trPr>
          <w:cantSplit/>
        </w:trPr>
        <w:tc>
          <w:tcPr>
            <w:tcW w:w="1227" w:type="dxa"/>
            <w:tcBorders>
              <w:top w:val="single" w:sz="4" w:space="0" w:color="B56011"/>
              <w:left w:val="nil"/>
              <w:bottom w:val="single" w:sz="4" w:space="0" w:color="B56011"/>
              <w:right w:val="nil"/>
            </w:tcBorders>
          </w:tcPr>
          <w:p w14:paraId="23E3115E" w14:textId="77777777" w:rsidR="005540EB" w:rsidRDefault="005540EB" w:rsidP="005540EB">
            <w:pPr>
              <w:spacing w:before="40" w:after="40"/>
              <w:rPr>
                <w:rFonts w:cs="Arial"/>
                <w:b/>
                <w:sz w:val="18"/>
                <w:szCs w:val="18"/>
                <w:lang w:val="en-US" w:eastAsia="en-US"/>
              </w:rPr>
            </w:pPr>
            <w:r>
              <w:rPr>
                <w:rFonts w:cs="Arial"/>
                <w:b/>
                <w:sz w:val="18"/>
                <w:szCs w:val="18"/>
                <w:lang w:val="en-US" w:eastAsia="en-US"/>
              </w:rPr>
              <w:t>71072</w:t>
            </w:r>
          </w:p>
        </w:tc>
        <w:tc>
          <w:tcPr>
            <w:tcW w:w="2849" w:type="dxa"/>
            <w:tcBorders>
              <w:top w:val="single" w:sz="4" w:space="0" w:color="B56011"/>
              <w:left w:val="nil"/>
              <w:bottom w:val="single" w:sz="4" w:space="0" w:color="B56011"/>
              <w:right w:val="nil"/>
            </w:tcBorders>
          </w:tcPr>
          <w:p w14:paraId="591E0370" w14:textId="77777777" w:rsidR="005540EB" w:rsidRPr="00B73DCE" w:rsidRDefault="005540EB" w:rsidP="005540EB">
            <w:pPr>
              <w:spacing w:before="40" w:after="40"/>
              <w:rPr>
                <w:rFonts w:cs="Arial"/>
                <w:sz w:val="18"/>
                <w:szCs w:val="18"/>
              </w:rPr>
            </w:pPr>
            <w:r w:rsidRPr="00B73DCE">
              <w:rPr>
                <w:rFonts w:cs="Arial"/>
                <w:sz w:val="18"/>
                <w:szCs w:val="18"/>
              </w:rPr>
              <w:t>Measures the extent of an immune response</w:t>
            </w:r>
            <w:r>
              <w:rPr>
                <w:rFonts w:cs="Arial"/>
                <w:sz w:val="18"/>
                <w:szCs w:val="18"/>
              </w:rPr>
              <w:t xml:space="preserve"> handled by ‘IgM’ (one of the body’s main immune molecules)</w:t>
            </w:r>
          </w:p>
        </w:tc>
        <w:tc>
          <w:tcPr>
            <w:tcW w:w="3256" w:type="dxa"/>
            <w:tcBorders>
              <w:top w:val="single" w:sz="4" w:space="0" w:color="B56011"/>
              <w:left w:val="nil"/>
              <w:bottom w:val="single" w:sz="4" w:space="0" w:color="B56011"/>
              <w:right w:val="nil"/>
            </w:tcBorders>
          </w:tcPr>
          <w:p w14:paraId="6F76B3AE" w14:textId="77777777" w:rsidR="005540EB" w:rsidRDefault="005540EB" w:rsidP="007B6365">
            <w:pPr>
              <w:spacing w:before="40" w:after="40"/>
              <w:rPr>
                <w:rFonts w:cs="Arial"/>
                <w:sz w:val="18"/>
                <w:szCs w:val="18"/>
              </w:rPr>
            </w:pPr>
            <w:r>
              <w:rPr>
                <w:rFonts w:cs="Arial"/>
                <w:sz w:val="18"/>
                <w:szCs w:val="18"/>
              </w:rPr>
              <w:t>R</w:t>
            </w:r>
            <w:r w:rsidRPr="00BF338C">
              <w:rPr>
                <w:rFonts w:cs="Arial"/>
                <w:sz w:val="18"/>
                <w:szCs w:val="18"/>
              </w:rPr>
              <w:t>emove the words ‘urine or other body fluid’ from</w:t>
            </w:r>
            <w:r>
              <w:rPr>
                <w:rFonts w:cs="Arial"/>
                <w:sz w:val="18"/>
                <w:szCs w:val="18"/>
              </w:rPr>
              <w:t xml:space="preserve"> the description</w:t>
            </w:r>
          </w:p>
        </w:tc>
        <w:tc>
          <w:tcPr>
            <w:tcW w:w="2929" w:type="dxa"/>
            <w:tcBorders>
              <w:top w:val="single" w:sz="4" w:space="0" w:color="B56011"/>
              <w:left w:val="nil"/>
              <w:bottom w:val="single" w:sz="4" w:space="0" w:color="B56011"/>
              <w:right w:val="nil"/>
            </w:tcBorders>
          </w:tcPr>
          <w:p w14:paraId="37D80BCE" w14:textId="77777777" w:rsidR="005540EB" w:rsidRDefault="005540EB" w:rsidP="007B6365">
            <w:pPr>
              <w:spacing w:before="40" w:after="40"/>
              <w:ind w:left="57" w:right="57"/>
              <w:rPr>
                <w:rFonts w:cs="Arial"/>
                <w:sz w:val="18"/>
                <w:szCs w:val="18"/>
              </w:rPr>
            </w:pPr>
            <w:r>
              <w:rPr>
                <w:rFonts w:cs="Arial"/>
                <w:sz w:val="18"/>
                <w:szCs w:val="18"/>
              </w:rPr>
              <w:t>The test would refer only to blood serum, not to urine or other body fluids</w:t>
            </w:r>
          </w:p>
        </w:tc>
        <w:tc>
          <w:tcPr>
            <w:tcW w:w="3597" w:type="dxa"/>
            <w:tcBorders>
              <w:top w:val="single" w:sz="4" w:space="0" w:color="B56011"/>
              <w:left w:val="nil"/>
              <w:bottom w:val="single" w:sz="4" w:space="0" w:color="B56011"/>
              <w:right w:val="nil"/>
            </w:tcBorders>
          </w:tcPr>
          <w:p w14:paraId="76499F65" w14:textId="77777777" w:rsidR="005540EB" w:rsidRPr="00BF338C" w:rsidRDefault="005540EB" w:rsidP="007B6365">
            <w:pPr>
              <w:spacing w:before="40" w:after="40"/>
              <w:rPr>
                <w:rFonts w:cs="Arial"/>
                <w:sz w:val="18"/>
                <w:szCs w:val="18"/>
              </w:rPr>
            </w:pPr>
            <w:r w:rsidRPr="00BF338C">
              <w:rPr>
                <w:rFonts w:cs="Arial"/>
                <w:sz w:val="18"/>
                <w:szCs w:val="18"/>
              </w:rPr>
              <w:t xml:space="preserve">This test should not be performed </w:t>
            </w:r>
            <w:r>
              <w:rPr>
                <w:rFonts w:cs="Arial"/>
                <w:sz w:val="18"/>
                <w:szCs w:val="18"/>
              </w:rPr>
              <w:t>using</w:t>
            </w:r>
            <w:r w:rsidRPr="00BF338C">
              <w:rPr>
                <w:rFonts w:cs="Arial"/>
                <w:sz w:val="18"/>
                <w:szCs w:val="18"/>
              </w:rPr>
              <w:t xml:space="preserve"> urine or other body fluid</w:t>
            </w:r>
            <w:r>
              <w:rPr>
                <w:rFonts w:cs="Arial"/>
                <w:sz w:val="18"/>
                <w:szCs w:val="18"/>
              </w:rPr>
              <w:t>s as it is of no medical value</w:t>
            </w:r>
          </w:p>
        </w:tc>
      </w:tr>
    </w:tbl>
    <w:p w14:paraId="7C457847" w14:textId="77777777" w:rsidR="00B708EA" w:rsidRDefault="00B708EA"/>
    <w:tbl>
      <w:tblPr>
        <w:tblStyle w:val="TableGrid"/>
        <w:tblW w:w="13807"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Summary for consumers: Pathology Clinical Committee recommendations"/>
        <w:tblDescription w:val="This table describes the pathology service, the recommendation(s) of the clinical experts and why the recommendation(s) has been made."/>
      </w:tblPr>
      <w:tblGrid>
        <w:gridCol w:w="1227"/>
        <w:gridCol w:w="3256"/>
        <w:gridCol w:w="2849"/>
        <w:gridCol w:w="2929"/>
        <w:gridCol w:w="3310"/>
        <w:gridCol w:w="236"/>
      </w:tblGrid>
      <w:tr w:rsidR="005540EB" w14:paraId="2DFAAAF8" w14:textId="77777777" w:rsidTr="009B2D7B">
        <w:trPr>
          <w:cantSplit/>
          <w:tblHeader/>
        </w:trPr>
        <w:tc>
          <w:tcPr>
            <w:tcW w:w="13571" w:type="dxa"/>
            <w:gridSpan w:val="5"/>
            <w:tcBorders>
              <w:top w:val="single" w:sz="4" w:space="0" w:color="B56011"/>
              <w:left w:val="nil"/>
              <w:bottom w:val="single" w:sz="4" w:space="0" w:color="B56011"/>
              <w:right w:val="nil"/>
            </w:tcBorders>
            <w:shd w:val="clear" w:color="auto" w:fill="EEECE1" w:themeFill="background2"/>
          </w:tcPr>
          <w:p w14:paraId="10243807" w14:textId="77777777" w:rsidR="005540EB" w:rsidRDefault="00024095" w:rsidP="00E32CD1">
            <w:pPr>
              <w:keepNext/>
              <w:spacing w:before="40" w:after="40"/>
              <w:rPr>
                <w:b/>
                <w:color w:val="BFBFBF" w:themeColor="background1" w:themeShade="BF"/>
              </w:rPr>
            </w:pPr>
            <w:r>
              <w:rPr>
                <w:b/>
              </w:rPr>
              <w:t>Recommendation 13</w:t>
            </w:r>
            <w:r w:rsidR="005540EB" w:rsidRPr="00C32944">
              <w:rPr>
                <w:b/>
              </w:rPr>
              <w:t xml:space="preserve">: </w:t>
            </w:r>
            <w:r w:rsidR="005540EB" w:rsidRPr="001C350E">
              <w:rPr>
                <w:b/>
              </w:rPr>
              <w:t xml:space="preserve">Quantitation of total Immunoglobulin </w:t>
            </w:r>
            <w:r w:rsidR="005540EB">
              <w:rPr>
                <w:b/>
              </w:rPr>
              <w:t xml:space="preserve">D </w:t>
            </w:r>
          </w:p>
        </w:tc>
        <w:tc>
          <w:tcPr>
            <w:tcW w:w="236" w:type="dxa"/>
            <w:tcBorders>
              <w:top w:val="single" w:sz="4" w:space="0" w:color="B56011"/>
              <w:left w:val="nil"/>
              <w:bottom w:val="single" w:sz="4" w:space="0" w:color="B56011"/>
              <w:right w:val="nil"/>
            </w:tcBorders>
            <w:shd w:val="clear" w:color="auto" w:fill="EEECE1" w:themeFill="background2"/>
          </w:tcPr>
          <w:p w14:paraId="588629B3" w14:textId="77777777" w:rsidR="005540EB" w:rsidRDefault="005540EB" w:rsidP="00A6399C">
            <w:pPr>
              <w:spacing w:before="40" w:after="40"/>
              <w:rPr>
                <w:b/>
              </w:rPr>
            </w:pPr>
          </w:p>
        </w:tc>
      </w:tr>
      <w:tr w:rsidR="00084AF3" w:rsidRPr="0065614A" w14:paraId="0591C3A4" w14:textId="77777777" w:rsidTr="00024095">
        <w:trPr>
          <w:cantSplit/>
        </w:trPr>
        <w:tc>
          <w:tcPr>
            <w:tcW w:w="1227" w:type="dxa"/>
            <w:tcBorders>
              <w:top w:val="single" w:sz="4" w:space="0" w:color="B56011"/>
              <w:left w:val="nil"/>
              <w:bottom w:val="single" w:sz="4" w:space="0" w:color="B56011"/>
              <w:right w:val="nil"/>
            </w:tcBorders>
            <w:hideMark/>
          </w:tcPr>
          <w:p w14:paraId="047DB800" w14:textId="77777777" w:rsidR="005540EB" w:rsidRPr="0065614A" w:rsidRDefault="005540EB" w:rsidP="00A6399C">
            <w:pPr>
              <w:spacing w:before="40" w:after="40"/>
              <w:rPr>
                <w:rFonts w:cs="Arial"/>
                <w:b/>
                <w:sz w:val="18"/>
                <w:szCs w:val="18"/>
                <w:lang w:val="en-US" w:eastAsia="en-US"/>
              </w:rPr>
            </w:pPr>
            <w:r w:rsidRPr="0065614A">
              <w:rPr>
                <w:rFonts w:cs="Arial"/>
                <w:b/>
                <w:sz w:val="18"/>
                <w:szCs w:val="18"/>
                <w:lang w:val="en-US" w:eastAsia="en-US"/>
              </w:rPr>
              <w:t>Item</w:t>
            </w:r>
          </w:p>
        </w:tc>
        <w:tc>
          <w:tcPr>
            <w:tcW w:w="3256" w:type="dxa"/>
            <w:tcBorders>
              <w:top w:val="single" w:sz="4" w:space="0" w:color="B56011"/>
              <w:left w:val="nil"/>
              <w:bottom w:val="single" w:sz="4" w:space="0" w:color="B56011"/>
              <w:right w:val="nil"/>
            </w:tcBorders>
            <w:hideMark/>
          </w:tcPr>
          <w:p w14:paraId="66088B8C" w14:textId="77777777" w:rsidR="005540EB" w:rsidRPr="0065614A" w:rsidRDefault="005540EB" w:rsidP="00A6399C">
            <w:pPr>
              <w:spacing w:before="40" w:after="40"/>
              <w:jc w:val="center"/>
              <w:rPr>
                <w:rFonts w:cs="Arial"/>
                <w:b/>
                <w:sz w:val="18"/>
                <w:szCs w:val="18"/>
                <w:lang w:val="en-US" w:eastAsia="en-US"/>
              </w:rPr>
            </w:pPr>
            <w:r w:rsidRPr="0065614A">
              <w:rPr>
                <w:rFonts w:cs="Arial"/>
                <w:b/>
                <w:sz w:val="18"/>
                <w:szCs w:val="18"/>
                <w:lang w:val="en-US" w:eastAsia="en-US"/>
              </w:rPr>
              <w:t>What it does</w:t>
            </w:r>
          </w:p>
        </w:tc>
        <w:tc>
          <w:tcPr>
            <w:tcW w:w="2849" w:type="dxa"/>
            <w:tcBorders>
              <w:top w:val="single" w:sz="4" w:space="0" w:color="B56011"/>
              <w:left w:val="nil"/>
              <w:bottom w:val="single" w:sz="4" w:space="0" w:color="B56011"/>
              <w:right w:val="nil"/>
            </w:tcBorders>
            <w:hideMark/>
          </w:tcPr>
          <w:p w14:paraId="70DE78DC" w14:textId="77777777" w:rsidR="005540EB" w:rsidRPr="0065614A" w:rsidRDefault="005540EB" w:rsidP="00A6399C">
            <w:pPr>
              <w:spacing w:before="40" w:after="40"/>
              <w:jc w:val="center"/>
              <w:rPr>
                <w:rFonts w:cs="Arial"/>
                <w:b/>
                <w:sz w:val="18"/>
                <w:szCs w:val="18"/>
                <w:lang w:val="en-US" w:eastAsia="en-US"/>
              </w:rPr>
            </w:pPr>
            <w:r w:rsidRPr="0065614A">
              <w:rPr>
                <w:rFonts w:cs="Arial"/>
                <w:b/>
                <w:sz w:val="18"/>
                <w:szCs w:val="18"/>
                <w:lang w:val="en-US" w:eastAsia="en-US"/>
              </w:rPr>
              <w:t>Committee recommendation</w:t>
            </w:r>
          </w:p>
        </w:tc>
        <w:tc>
          <w:tcPr>
            <w:tcW w:w="2929" w:type="dxa"/>
            <w:tcBorders>
              <w:top w:val="single" w:sz="4" w:space="0" w:color="B56011"/>
              <w:left w:val="nil"/>
              <w:bottom w:val="single" w:sz="4" w:space="0" w:color="B56011"/>
              <w:right w:val="nil"/>
            </w:tcBorders>
            <w:hideMark/>
          </w:tcPr>
          <w:p w14:paraId="21CF8B8E" w14:textId="77777777" w:rsidR="005540EB" w:rsidRPr="0065614A" w:rsidRDefault="005540EB" w:rsidP="00A6399C">
            <w:pPr>
              <w:spacing w:before="40" w:after="40"/>
              <w:jc w:val="center"/>
              <w:rPr>
                <w:rFonts w:cs="Arial"/>
                <w:b/>
                <w:sz w:val="18"/>
                <w:szCs w:val="18"/>
                <w:lang w:val="en-US" w:eastAsia="en-US"/>
              </w:rPr>
            </w:pPr>
            <w:r w:rsidRPr="0065614A">
              <w:rPr>
                <w:rFonts w:cs="Arial"/>
                <w:b/>
                <w:sz w:val="18"/>
                <w:szCs w:val="18"/>
                <w:lang w:val="en-US" w:eastAsia="en-US"/>
              </w:rPr>
              <w:t>What would be different</w:t>
            </w:r>
          </w:p>
        </w:tc>
        <w:tc>
          <w:tcPr>
            <w:tcW w:w="3310" w:type="dxa"/>
            <w:tcBorders>
              <w:top w:val="single" w:sz="4" w:space="0" w:color="B56011"/>
              <w:left w:val="nil"/>
              <w:bottom w:val="single" w:sz="4" w:space="0" w:color="B56011"/>
              <w:right w:val="nil"/>
            </w:tcBorders>
            <w:hideMark/>
          </w:tcPr>
          <w:p w14:paraId="32299556" w14:textId="77777777" w:rsidR="005540EB" w:rsidRPr="0065614A" w:rsidRDefault="005540EB" w:rsidP="00A6399C">
            <w:pPr>
              <w:spacing w:before="40" w:after="40"/>
              <w:jc w:val="center"/>
              <w:rPr>
                <w:rFonts w:cs="Arial"/>
                <w:b/>
                <w:sz w:val="18"/>
                <w:szCs w:val="18"/>
                <w:lang w:val="en-US" w:eastAsia="en-US"/>
              </w:rPr>
            </w:pPr>
            <w:r w:rsidRPr="0065614A">
              <w:rPr>
                <w:rFonts w:cs="Arial"/>
                <w:b/>
                <w:sz w:val="18"/>
                <w:szCs w:val="18"/>
                <w:lang w:val="en-US" w:eastAsia="en-US"/>
              </w:rPr>
              <w:t>Why</w:t>
            </w:r>
          </w:p>
        </w:tc>
        <w:tc>
          <w:tcPr>
            <w:tcW w:w="236" w:type="dxa"/>
            <w:tcBorders>
              <w:top w:val="single" w:sz="4" w:space="0" w:color="B56011"/>
              <w:left w:val="nil"/>
              <w:bottom w:val="single" w:sz="4" w:space="0" w:color="B56011"/>
              <w:right w:val="nil"/>
            </w:tcBorders>
          </w:tcPr>
          <w:p w14:paraId="0052DA6A" w14:textId="77777777" w:rsidR="005540EB" w:rsidRPr="0065614A" w:rsidRDefault="005540EB" w:rsidP="00A6399C">
            <w:pPr>
              <w:spacing w:before="40" w:after="40"/>
              <w:jc w:val="center"/>
              <w:rPr>
                <w:rFonts w:cs="Arial"/>
                <w:b/>
                <w:sz w:val="18"/>
                <w:szCs w:val="18"/>
                <w:lang w:val="en-US" w:eastAsia="en-US"/>
              </w:rPr>
            </w:pPr>
          </w:p>
        </w:tc>
      </w:tr>
      <w:tr w:rsidR="00084AF3" w:rsidRPr="0065614A" w14:paraId="4960DB75" w14:textId="77777777" w:rsidTr="00024095">
        <w:trPr>
          <w:cantSplit/>
        </w:trPr>
        <w:tc>
          <w:tcPr>
            <w:tcW w:w="1227" w:type="dxa"/>
            <w:tcBorders>
              <w:top w:val="single" w:sz="4" w:space="0" w:color="B56011"/>
              <w:left w:val="nil"/>
              <w:bottom w:val="single" w:sz="4" w:space="0" w:color="B56011"/>
              <w:right w:val="nil"/>
            </w:tcBorders>
          </w:tcPr>
          <w:p w14:paraId="440B27B9" w14:textId="77777777" w:rsidR="005540EB" w:rsidRPr="0065614A" w:rsidRDefault="005540EB" w:rsidP="00A6399C">
            <w:pPr>
              <w:spacing w:before="40" w:after="40"/>
              <w:rPr>
                <w:rFonts w:cs="Arial"/>
                <w:b/>
                <w:sz w:val="18"/>
                <w:szCs w:val="18"/>
                <w:lang w:val="en-US" w:eastAsia="en-US"/>
              </w:rPr>
            </w:pPr>
            <w:r>
              <w:rPr>
                <w:rFonts w:cs="Arial"/>
                <w:b/>
                <w:sz w:val="18"/>
                <w:szCs w:val="18"/>
                <w:lang w:val="en-US" w:eastAsia="en-US"/>
              </w:rPr>
              <w:t>71074</w:t>
            </w:r>
          </w:p>
        </w:tc>
        <w:tc>
          <w:tcPr>
            <w:tcW w:w="3256" w:type="dxa"/>
            <w:tcBorders>
              <w:top w:val="single" w:sz="4" w:space="0" w:color="B56011"/>
              <w:left w:val="nil"/>
              <w:bottom w:val="single" w:sz="4" w:space="0" w:color="B56011"/>
              <w:right w:val="nil"/>
            </w:tcBorders>
          </w:tcPr>
          <w:p w14:paraId="7AFFAE72" w14:textId="77777777" w:rsidR="005540EB" w:rsidRPr="0065614A" w:rsidRDefault="005540EB" w:rsidP="00D77C5F">
            <w:pPr>
              <w:spacing w:before="40" w:after="40"/>
              <w:rPr>
                <w:rFonts w:cs="Arial"/>
                <w:sz w:val="18"/>
                <w:szCs w:val="18"/>
              </w:rPr>
            </w:pPr>
            <w:r w:rsidRPr="00B73DCE">
              <w:rPr>
                <w:rFonts w:cs="Arial"/>
                <w:sz w:val="18"/>
                <w:szCs w:val="18"/>
              </w:rPr>
              <w:t>Measures the extent of an immune response</w:t>
            </w:r>
            <w:r>
              <w:rPr>
                <w:rFonts w:cs="Arial"/>
                <w:sz w:val="18"/>
                <w:szCs w:val="18"/>
              </w:rPr>
              <w:t xml:space="preserve"> handled by ‘IgD’ (one of the body’s main immune molecules)</w:t>
            </w:r>
          </w:p>
        </w:tc>
        <w:tc>
          <w:tcPr>
            <w:tcW w:w="2849" w:type="dxa"/>
            <w:tcBorders>
              <w:top w:val="single" w:sz="4" w:space="0" w:color="B56011"/>
              <w:left w:val="nil"/>
              <w:bottom w:val="single" w:sz="4" w:space="0" w:color="B56011"/>
              <w:right w:val="nil"/>
            </w:tcBorders>
          </w:tcPr>
          <w:p w14:paraId="3DD434FD" w14:textId="77777777" w:rsidR="005540EB" w:rsidRPr="0065614A" w:rsidRDefault="005540EB" w:rsidP="00A6399C">
            <w:pPr>
              <w:spacing w:before="40" w:after="40"/>
              <w:rPr>
                <w:rFonts w:cs="Arial"/>
                <w:sz w:val="18"/>
                <w:szCs w:val="18"/>
              </w:rPr>
            </w:pPr>
            <w:r>
              <w:rPr>
                <w:rFonts w:cs="Arial"/>
                <w:sz w:val="18"/>
                <w:szCs w:val="18"/>
              </w:rPr>
              <w:t>R</w:t>
            </w:r>
            <w:r w:rsidRPr="00BF338C">
              <w:rPr>
                <w:rFonts w:cs="Arial"/>
                <w:sz w:val="18"/>
                <w:szCs w:val="18"/>
              </w:rPr>
              <w:t>emove the words ‘urine or other body fluid’ from</w:t>
            </w:r>
            <w:r>
              <w:rPr>
                <w:rFonts w:cs="Arial"/>
                <w:sz w:val="18"/>
                <w:szCs w:val="18"/>
              </w:rPr>
              <w:t xml:space="preserve"> the description</w:t>
            </w:r>
          </w:p>
        </w:tc>
        <w:tc>
          <w:tcPr>
            <w:tcW w:w="2929" w:type="dxa"/>
            <w:tcBorders>
              <w:top w:val="single" w:sz="4" w:space="0" w:color="B56011"/>
              <w:left w:val="nil"/>
              <w:bottom w:val="single" w:sz="4" w:space="0" w:color="B56011"/>
              <w:right w:val="nil"/>
            </w:tcBorders>
          </w:tcPr>
          <w:p w14:paraId="1101A534" w14:textId="77777777" w:rsidR="005540EB" w:rsidRPr="0065614A" w:rsidRDefault="005540EB" w:rsidP="00A6399C">
            <w:pPr>
              <w:spacing w:before="40" w:after="40"/>
              <w:ind w:left="57" w:right="57"/>
              <w:rPr>
                <w:rFonts w:cs="Arial"/>
                <w:sz w:val="18"/>
                <w:szCs w:val="18"/>
              </w:rPr>
            </w:pPr>
            <w:r>
              <w:rPr>
                <w:rFonts w:cs="Arial"/>
                <w:sz w:val="18"/>
                <w:szCs w:val="18"/>
              </w:rPr>
              <w:t>The test would refer only to blood serum, not to urine or other body fluids</w:t>
            </w:r>
          </w:p>
        </w:tc>
        <w:tc>
          <w:tcPr>
            <w:tcW w:w="3310" w:type="dxa"/>
            <w:tcBorders>
              <w:top w:val="single" w:sz="4" w:space="0" w:color="B56011"/>
              <w:left w:val="nil"/>
              <w:bottom w:val="single" w:sz="4" w:space="0" w:color="B56011"/>
              <w:right w:val="nil"/>
            </w:tcBorders>
          </w:tcPr>
          <w:p w14:paraId="072B86D3" w14:textId="77777777" w:rsidR="005540EB" w:rsidRPr="0065614A" w:rsidRDefault="005540EB" w:rsidP="00A6399C">
            <w:pPr>
              <w:spacing w:before="40" w:after="40"/>
              <w:rPr>
                <w:rFonts w:cs="Arial"/>
                <w:sz w:val="18"/>
                <w:szCs w:val="18"/>
              </w:rPr>
            </w:pPr>
            <w:r w:rsidRPr="00BF338C">
              <w:rPr>
                <w:rFonts w:cs="Arial"/>
                <w:sz w:val="18"/>
                <w:szCs w:val="18"/>
              </w:rPr>
              <w:t xml:space="preserve">This test should not be performed </w:t>
            </w:r>
            <w:r>
              <w:rPr>
                <w:rFonts w:cs="Arial"/>
                <w:sz w:val="18"/>
                <w:szCs w:val="18"/>
              </w:rPr>
              <w:t>using</w:t>
            </w:r>
            <w:r w:rsidRPr="00BF338C">
              <w:rPr>
                <w:rFonts w:cs="Arial"/>
                <w:sz w:val="18"/>
                <w:szCs w:val="18"/>
              </w:rPr>
              <w:t xml:space="preserve"> urine or other body fluid</w:t>
            </w:r>
            <w:r>
              <w:rPr>
                <w:rFonts w:cs="Arial"/>
                <w:sz w:val="18"/>
                <w:szCs w:val="18"/>
              </w:rPr>
              <w:t>s as it is of no medical value</w:t>
            </w:r>
          </w:p>
        </w:tc>
        <w:tc>
          <w:tcPr>
            <w:tcW w:w="236" w:type="dxa"/>
            <w:tcBorders>
              <w:top w:val="single" w:sz="4" w:space="0" w:color="B56011"/>
              <w:left w:val="nil"/>
              <w:bottom w:val="single" w:sz="4" w:space="0" w:color="B56011"/>
              <w:right w:val="nil"/>
            </w:tcBorders>
          </w:tcPr>
          <w:p w14:paraId="2BDFF258" w14:textId="77777777" w:rsidR="005540EB" w:rsidRPr="00BF338C" w:rsidRDefault="005540EB" w:rsidP="00A6399C">
            <w:pPr>
              <w:spacing w:before="40" w:after="40"/>
              <w:rPr>
                <w:rFonts w:cs="Arial"/>
                <w:sz w:val="18"/>
                <w:szCs w:val="18"/>
              </w:rPr>
            </w:pPr>
          </w:p>
        </w:tc>
      </w:tr>
    </w:tbl>
    <w:p w14:paraId="23CFE7E7" w14:textId="77777777" w:rsidR="00767469" w:rsidRDefault="00767469"/>
    <w:p w14:paraId="7A005EEF" w14:textId="77777777" w:rsidR="00767469" w:rsidRDefault="00767469">
      <w:pPr>
        <w:spacing w:before="0" w:after="0"/>
      </w:pPr>
      <w:r>
        <w:br w:type="page"/>
      </w:r>
    </w:p>
    <w:tbl>
      <w:tblPr>
        <w:tblStyle w:val="TableGrid"/>
        <w:tblW w:w="13807"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27"/>
        <w:gridCol w:w="3256"/>
        <w:gridCol w:w="2849"/>
        <w:gridCol w:w="2929"/>
        <w:gridCol w:w="3310"/>
        <w:gridCol w:w="236"/>
      </w:tblGrid>
      <w:tr w:rsidR="005540EB" w14:paraId="5B0B9EFE" w14:textId="77777777" w:rsidTr="009B2D7B">
        <w:trPr>
          <w:cantSplit/>
          <w:tblHeader/>
        </w:trPr>
        <w:tc>
          <w:tcPr>
            <w:tcW w:w="13571" w:type="dxa"/>
            <w:gridSpan w:val="5"/>
            <w:tcBorders>
              <w:top w:val="single" w:sz="4" w:space="0" w:color="B56011"/>
              <w:left w:val="nil"/>
              <w:bottom w:val="single" w:sz="4" w:space="0" w:color="B56011"/>
              <w:right w:val="nil"/>
            </w:tcBorders>
            <w:shd w:val="clear" w:color="auto" w:fill="EEECE1" w:themeFill="background2"/>
          </w:tcPr>
          <w:p w14:paraId="7B46E4BE" w14:textId="77777777" w:rsidR="005540EB" w:rsidRDefault="00024095" w:rsidP="00E32CD1">
            <w:pPr>
              <w:spacing w:before="40" w:after="40"/>
              <w:rPr>
                <w:b/>
                <w:color w:val="BFBFBF" w:themeColor="background1" w:themeShade="BF"/>
              </w:rPr>
            </w:pPr>
            <w:r>
              <w:rPr>
                <w:b/>
              </w:rPr>
              <w:t>Recommendation 14</w:t>
            </w:r>
            <w:r w:rsidR="005540EB" w:rsidRPr="00C32944">
              <w:rPr>
                <w:b/>
              </w:rPr>
              <w:t xml:space="preserve">: </w:t>
            </w:r>
            <w:r w:rsidR="005540EB" w:rsidRPr="00704076">
              <w:rPr>
                <w:b/>
              </w:rPr>
              <w:t>Cryoglobulins or cryofibrinogen</w:t>
            </w:r>
          </w:p>
        </w:tc>
        <w:tc>
          <w:tcPr>
            <w:tcW w:w="236" w:type="dxa"/>
            <w:tcBorders>
              <w:top w:val="single" w:sz="4" w:space="0" w:color="B56011"/>
              <w:left w:val="nil"/>
              <w:bottom w:val="single" w:sz="4" w:space="0" w:color="B56011"/>
              <w:right w:val="nil"/>
            </w:tcBorders>
            <w:shd w:val="clear" w:color="auto" w:fill="EEECE1" w:themeFill="background2"/>
          </w:tcPr>
          <w:p w14:paraId="69C238D8" w14:textId="77777777" w:rsidR="005540EB" w:rsidRDefault="005540EB" w:rsidP="000F227B">
            <w:pPr>
              <w:spacing w:before="40" w:after="40"/>
              <w:rPr>
                <w:b/>
              </w:rPr>
            </w:pPr>
          </w:p>
        </w:tc>
      </w:tr>
      <w:tr w:rsidR="00084AF3" w:rsidRPr="0065614A" w14:paraId="29EBC9D1" w14:textId="77777777" w:rsidTr="00024095">
        <w:trPr>
          <w:cantSplit/>
        </w:trPr>
        <w:tc>
          <w:tcPr>
            <w:tcW w:w="1227" w:type="dxa"/>
            <w:tcBorders>
              <w:top w:val="single" w:sz="4" w:space="0" w:color="B56011"/>
              <w:left w:val="nil"/>
              <w:bottom w:val="single" w:sz="4" w:space="0" w:color="B56011"/>
              <w:right w:val="nil"/>
            </w:tcBorders>
            <w:hideMark/>
          </w:tcPr>
          <w:p w14:paraId="67DF5F05" w14:textId="77777777" w:rsidR="005540EB" w:rsidRPr="0065614A" w:rsidRDefault="005540EB" w:rsidP="00A6399C">
            <w:pPr>
              <w:spacing w:before="40" w:after="40"/>
              <w:rPr>
                <w:rFonts w:cs="Arial"/>
                <w:b/>
                <w:sz w:val="18"/>
                <w:szCs w:val="18"/>
                <w:lang w:val="en-US" w:eastAsia="en-US"/>
              </w:rPr>
            </w:pPr>
            <w:r w:rsidRPr="0065614A">
              <w:rPr>
                <w:rFonts w:cs="Arial"/>
                <w:b/>
                <w:sz w:val="18"/>
                <w:szCs w:val="18"/>
                <w:lang w:val="en-US" w:eastAsia="en-US"/>
              </w:rPr>
              <w:t>Item</w:t>
            </w:r>
          </w:p>
        </w:tc>
        <w:tc>
          <w:tcPr>
            <w:tcW w:w="3256" w:type="dxa"/>
            <w:tcBorders>
              <w:top w:val="single" w:sz="4" w:space="0" w:color="B56011"/>
              <w:left w:val="nil"/>
              <w:bottom w:val="single" w:sz="4" w:space="0" w:color="B56011"/>
              <w:right w:val="nil"/>
            </w:tcBorders>
            <w:hideMark/>
          </w:tcPr>
          <w:p w14:paraId="7F4D4078" w14:textId="77777777" w:rsidR="005540EB" w:rsidRPr="0065614A" w:rsidRDefault="005540EB" w:rsidP="00A6399C">
            <w:pPr>
              <w:spacing w:before="40" w:after="40"/>
              <w:jc w:val="center"/>
              <w:rPr>
                <w:rFonts w:cs="Arial"/>
                <w:b/>
                <w:sz w:val="18"/>
                <w:szCs w:val="18"/>
                <w:lang w:val="en-US" w:eastAsia="en-US"/>
              </w:rPr>
            </w:pPr>
            <w:r w:rsidRPr="0065614A">
              <w:rPr>
                <w:rFonts w:cs="Arial"/>
                <w:b/>
                <w:sz w:val="18"/>
                <w:szCs w:val="18"/>
                <w:lang w:val="en-US" w:eastAsia="en-US"/>
              </w:rPr>
              <w:t>What it does</w:t>
            </w:r>
          </w:p>
        </w:tc>
        <w:tc>
          <w:tcPr>
            <w:tcW w:w="2849" w:type="dxa"/>
            <w:tcBorders>
              <w:top w:val="single" w:sz="4" w:space="0" w:color="B56011"/>
              <w:left w:val="nil"/>
              <w:bottom w:val="single" w:sz="4" w:space="0" w:color="B56011"/>
              <w:right w:val="nil"/>
            </w:tcBorders>
            <w:hideMark/>
          </w:tcPr>
          <w:p w14:paraId="51AF2CE2" w14:textId="77777777" w:rsidR="005540EB" w:rsidRPr="0065614A" w:rsidRDefault="005540EB" w:rsidP="00A6399C">
            <w:pPr>
              <w:spacing w:before="40" w:after="40"/>
              <w:jc w:val="center"/>
              <w:rPr>
                <w:rFonts w:cs="Arial"/>
                <w:b/>
                <w:sz w:val="18"/>
                <w:szCs w:val="18"/>
                <w:lang w:val="en-US" w:eastAsia="en-US"/>
              </w:rPr>
            </w:pPr>
            <w:r w:rsidRPr="0065614A">
              <w:rPr>
                <w:rFonts w:cs="Arial"/>
                <w:b/>
                <w:sz w:val="18"/>
                <w:szCs w:val="18"/>
                <w:lang w:val="en-US" w:eastAsia="en-US"/>
              </w:rPr>
              <w:t>Committee recommendation</w:t>
            </w:r>
          </w:p>
        </w:tc>
        <w:tc>
          <w:tcPr>
            <w:tcW w:w="2929" w:type="dxa"/>
            <w:tcBorders>
              <w:top w:val="single" w:sz="4" w:space="0" w:color="B56011"/>
              <w:left w:val="nil"/>
              <w:bottom w:val="single" w:sz="4" w:space="0" w:color="B56011"/>
              <w:right w:val="nil"/>
            </w:tcBorders>
            <w:hideMark/>
          </w:tcPr>
          <w:p w14:paraId="4859CC84" w14:textId="77777777" w:rsidR="005540EB" w:rsidRPr="0065614A" w:rsidRDefault="005540EB" w:rsidP="00A6399C">
            <w:pPr>
              <w:spacing w:before="40" w:after="40"/>
              <w:jc w:val="center"/>
              <w:rPr>
                <w:rFonts w:cs="Arial"/>
                <w:b/>
                <w:sz w:val="18"/>
                <w:szCs w:val="18"/>
                <w:lang w:val="en-US" w:eastAsia="en-US"/>
              </w:rPr>
            </w:pPr>
            <w:r w:rsidRPr="0065614A">
              <w:rPr>
                <w:rFonts w:cs="Arial"/>
                <w:b/>
                <w:sz w:val="18"/>
                <w:szCs w:val="18"/>
                <w:lang w:val="en-US" w:eastAsia="en-US"/>
              </w:rPr>
              <w:t>What would be different</w:t>
            </w:r>
          </w:p>
        </w:tc>
        <w:tc>
          <w:tcPr>
            <w:tcW w:w="3310" w:type="dxa"/>
            <w:tcBorders>
              <w:top w:val="single" w:sz="4" w:space="0" w:color="B56011"/>
              <w:left w:val="nil"/>
              <w:bottom w:val="single" w:sz="4" w:space="0" w:color="B56011"/>
              <w:right w:val="nil"/>
            </w:tcBorders>
            <w:hideMark/>
          </w:tcPr>
          <w:p w14:paraId="3807CBCE" w14:textId="77777777" w:rsidR="005540EB" w:rsidRPr="0065614A" w:rsidRDefault="005540EB" w:rsidP="00A6399C">
            <w:pPr>
              <w:spacing w:before="40" w:after="40"/>
              <w:jc w:val="center"/>
              <w:rPr>
                <w:rFonts w:cs="Arial"/>
                <w:b/>
                <w:sz w:val="18"/>
                <w:szCs w:val="18"/>
                <w:lang w:val="en-US" w:eastAsia="en-US"/>
              </w:rPr>
            </w:pPr>
            <w:r w:rsidRPr="0065614A">
              <w:rPr>
                <w:rFonts w:cs="Arial"/>
                <w:b/>
                <w:sz w:val="18"/>
                <w:szCs w:val="18"/>
                <w:lang w:val="en-US" w:eastAsia="en-US"/>
              </w:rPr>
              <w:t>Why</w:t>
            </w:r>
          </w:p>
        </w:tc>
        <w:tc>
          <w:tcPr>
            <w:tcW w:w="236" w:type="dxa"/>
            <w:tcBorders>
              <w:top w:val="single" w:sz="4" w:space="0" w:color="B56011"/>
              <w:left w:val="nil"/>
              <w:bottom w:val="single" w:sz="4" w:space="0" w:color="B56011"/>
              <w:right w:val="nil"/>
            </w:tcBorders>
          </w:tcPr>
          <w:p w14:paraId="1E226E3D" w14:textId="77777777" w:rsidR="005540EB" w:rsidRPr="0065614A" w:rsidRDefault="005540EB" w:rsidP="00A6399C">
            <w:pPr>
              <w:spacing w:before="40" w:after="40"/>
              <w:jc w:val="center"/>
              <w:rPr>
                <w:rFonts w:cs="Arial"/>
                <w:b/>
                <w:sz w:val="18"/>
                <w:szCs w:val="18"/>
                <w:lang w:val="en-US" w:eastAsia="en-US"/>
              </w:rPr>
            </w:pPr>
          </w:p>
        </w:tc>
      </w:tr>
      <w:tr w:rsidR="00084AF3" w:rsidRPr="0065614A" w14:paraId="0A6A35E8" w14:textId="77777777" w:rsidTr="00024095">
        <w:trPr>
          <w:cantSplit/>
        </w:trPr>
        <w:tc>
          <w:tcPr>
            <w:tcW w:w="1227" w:type="dxa"/>
            <w:tcBorders>
              <w:top w:val="single" w:sz="4" w:space="0" w:color="B56011"/>
              <w:left w:val="nil"/>
              <w:bottom w:val="single" w:sz="4" w:space="0" w:color="B56011"/>
              <w:right w:val="nil"/>
            </w:tcBorders>
          </w:tcPr>
          <w:p w14:paraId="55AA1E7B" w14:textId="77777777" w:rsidR="005540EB" w:rsidRPr="0065614A" w:rsidRDefault="005540EB" w:rsidP="00A6399C">
            <w:pPr>
              <w:spacing w:before="40" w:after="40"/>
              <w:rPr>
                <w:rFonts w:cs="Arial"/>
                <w:b/>
                <w:sz w:val="18"/>
                <w:szCs w:val="18"/>
                <w:lang w:val="en-US" w:eastAsia="en-US"/>
              </w:rPr>
            </w:pPr>
            <w:r w:rsidRPr="00704076">
              <w:rPr>
                <w:rFonts w:cs="Arial"/>
                <w:b/>
                <w:sz w:val="18"/>
                <w:szCs w:val="18"/>
                <w:lang w:val="en-US" w:eastAsia="en-US"/>
              </w:rPr>
              <w:t>71064</w:t>
            </w:r>
          </w:p>
        </w:tc>
        <w:tc>
          <w:tcPr>
            <w:tcW w:w="3256" w:type="dxa"/>
            <w:tcBorders>
              <w:top w:val="single" w:sz="4" w:space="0" w:color="B56011"/>
              <w:left w:val="nil"/>
              <w:bottom w:val="single" w:sz="4" w:space="0" w:color="B56011"/>
              <w:right w:val="nil"/>
            </w:tcBorders>
          </w:tcPr>
          <w:p w14:paraId="7A60406D" w14:textId="77777777" w:rsidR="005540EB" w:rsidRPr="0065614A" w:rsidRDefault="005540EB" w:rsidP="000F227B">
            <w:pPr>
              <w:spacing w:before="40" w:after="40"/>
              <w:rPr>
                <w:rFonts w:cs="Arial"/>
                <w:sz w:val="18"/>
                <w:szCs w:val="18"/>
              </w:rPr>
            </w:pPr>
            <w:r>
              <w:rPr>
                <w:rFonts w:cs="Arial"/>
                <w:sz w:val="18"/>
                <w:szCs w:val="18"/>
              </w:rPr>
              <w:t>Checks for abnormal forms of these molecules in the blood which are sensitive to cold</w:t>
            </w:r>
          </w:p>
        </w:tc>
        <w:tc>
          <w:tcPr>
            <w:tcW w:w="2849" w:type="dxa"/>
            <w:tcBorders>
              <w:top w:val="single" w:sz="4" w:space="0" w:color="B56011"/>
              <w:left w:val="nil"/>
              <w:bottom w:val="single" w:sz="4" w:space="0" w:color="B56011"/>
              <w:right w:val="nil"/>
            </w:tcBorders>
          </w:tcPr>
          <w:p w14:paraId="59949D71" w14:textId="77777777" w:rsidR="005540EB" w:rsidRPr="0065614A" w:rsidRDefault="005540EB" w:rsidP="00A6399C">
            <w:pPr>
              <w:spacing w:before="40" w:after="40"/>
              <w:rPr>
                <w:rFonts w:cs="Arial"/>
                <w:sz w:val="18"/>
                <w:szCs w:val="18"/>
              </w:rPr>
            </w:pPr>
            <w:r>
              <w:rPr>
                <w:rFonts w:cs="Arial"/>
                <w:sz w:val="18"/>
                <w:szCs w:val="18"/>
              </w:rPr>
              <w:t>Increase the Schedule fee for this item</w:t>
            </w:r>
          </w:p>
        </w:tc>
        <w:tc>
          <w:tcPr>
            <w:tcW w:w="2929" w:type="dxa"/>
            <w:tcBorders>
              <w:top w:val="single" w:sz="4" w:space="0" w:color="B56011"/>
              <w:left w:val="nil"/>
              <w:bottom w:val="single" w:sz="4" w:space="0" w:color="B56011"/>
              <w:right w:val="nil"/>
            </w:tcBorders>
          </w:tcPr>
          <w:p w14:paraId="3568DE07" w14:textId="77777777" w:rsidR="005540EB" w:rsidRPr="0065614A" w:rsidRDefault="005540EB" w:rsidP="00A6399C">
            <w:pPr>
              <w:spacing w:before="40" w:after="40"/>
              <w:ind w:left="57" w:right="57"/>
              <w:rPr>
                <w:rFonts w:cs="Arial"/>
                <w:sz w:val="18"/>
                <w:szCs w:val="18"/>
              </w:rPr>
            </w:pPr>
            <w:r>
              <w:rPr>
                <w:rFonts w:cs="Arial"/>
                <w:sz w:val="18"/>
                <w:szCs w:val="18"/>
              </w:rPr>
              <w:t>The new cost would cover the test’s actual cost including specialised collection and transport</w:t>
            </w:r>
          </w:p>
        </w:tc>
        <w:tc>
          <w:tcPr>
            <w:tcW w:w="3310" w:type="dxa"/>
            <w:tcBorders>
              <w:top w:val="single" w:sz="4" w:space="0" w:color="B56011"/>
              <w:left w:val="nil"/>
              <w:bottom w:val="single" w:sz="4" w:space="0" w:color="B56011"/>
              <w:right w:val="nil"/>
            </w:tcBorders>
          </w:tcPr>
          <w:p w14:paraId="131A948D" w14:textId="77777777" w:rsidR="005540EB" w:rsidRPr="0065614A" w:rsidRDefault="005540EB" w:rsidP="00D77C5F">
            <w:pPr>
              <w:spacing w:before="40" w:after="40"/>
              <w:rPr>
                <w:rFonts w:cs="Arial"/>
                <w:sz w:val="18"/>
                <w:szCs w:val="18"/>
              </w:rPr>
            </w:pPr>
            <w:r>
              <w:rPr>
                <w:rFonts w:cs="Arial"/>
                <w:sz w:val="18"/>
                <w:szCs w:val="18"/>
              </w:rPr>
              <w:t>T</w:t>
            </w:r>
            <w:r w:rsidRPr="00FB36DF">
              <w:rPr>
                <w:rFonts w:cs="Arial"/>
                <w:sz w:val="18"/>
                <w:szCs w:val="18"/>
              </w:rPr>
              <w:t xml:space="preserve">he </w:t>
            </w:r>
            <w:r>
              <w:rPr>
                <w:rFonts w:cs="Arial"/>
                <w:sz w:val="18"/>
                <w:szCs w:val="18"/>
              </w:rPr>
              <w:t xml:space="preserve">current </w:t>
            </w:r>
            <w:r w:rsidRPr="00FB36DF">
              <w:rPr>
                <w:rFonts w:cs="Arial"/>
                <w:sz w:val="18"/>
                <w:szCs w:val="18"/>
              </w:rPr>
              <w:t>Schedule fee does not reflect the associated costs because cryoglobulins are very expensive to collect and transport</w:t>
            </w:r>
          </w:p>
        </w:tc>
        <w:tc>
          <w:tcPr>
            <w:tcW w:w="236" w:type="dxa"/>
            <w:tcBorders>
              <w:top w:val="single" w:sz="4" w:space="0" w:color="B56011"/>
              <w:left w:val="nil"/>
              <w:bottom w:val="single" w:sz="4" w:space="0" w:color="B56011"/>
              <w:right w:val="nil"/>
            </w:tcBorders>
          </w:tcPr>
          <w:p w14:paraId="7DC1AF2C" w14:textId="77777777" w:rsidR="005540EB" w:rsidRDefault="005540EB" w:rsidP="00A6399C">
            <w:pPr>
              <w:spacing w:before="40" w:after="40"/>
              <w:rPr>
                <w:rFonts w:cs="Arial"/>
                <w:sz w:val="18"/>
                <w:szCs w:val="18"/>
              </w:rPr>
            </w:pPr>
          </w:p>
        </w:tc>
      </w:tr>
    </w:tbl>
    <w:p w14:paraId="27A2AFC4" w14:textId="77777777" w:rsidR="00024095" w:rsidRDefault="00024095">
      <w:pPr>
        <w:spacing w:before="0" w:after="0"/>
      </w:pPr>
    </w:p>
    <w:tbl>
      <w:tblPr>
        <w:tblStyle w:val="TableGrid"/>
        <w:tblW w:w="14123"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Summary for consumers: Pathology Clinical Committee recommendations"/>
        <w:tblDescription w:val="This table describes the pathology service, the recommendation(s) of the clinical experts and why the recommendation(s) has been made."/>
      </w:tblPr>
      <w:tblGrid>
        <w:gridCol w:w="1227"/>
        <w:gridCol w:w="3256"/>
        <w:gridCol w:w="2849"/>
        <w:gridCol w:w="2850"/>
        <w:gridCol w:w="3941"/>
      </w:tblGrid>
      <w:tr w:rsidR="00A6399C" w14:paraId="08BB3451" w14:textId="77777777" w:rsidTr="009B2D7B">
        <w:trPr>
          <w:cantSplit/>
          <w:tblHeader/>
        </w:trPr>
        <w:tc>
          <w:tcPr>
            <w:tcW w:w="14123" w:type="dxa"/>
            <w:gridSpan w:val="5"/>
            <w:tcBorders>
              <w:top w:val="single" w:sz="4" w:space="0" w:color="B56011"/>
              <w:left w:val="nil"/>
              <w:bottom w:val="single" w:sz="4" w:space="0" w:color="B56011"/>
              <w:right w:val="nil"/>
            </w:tcBorders>
            <w:shd w:val="clear" w:color="auto" w:fill="EEECE1" w:themeFill="background2"/>
          </w:tcPr>
          <w:p w14:paraId="273DCBAB" w14:textId="77777777" w:rsidR="00A6399C" w:rsidRDefault="00024095" w:rsidP="00E32CD1">
            <w:pPr>
              <w:spacing w:before="40" w:after="40"/>
              <w:ind w:left="2019" w:hanging="2019"/>
              <w:rPr>
                <w:b/>
                <w:color w:val="BFBFBF" w:themeColor="background1" w:themeShade="BF"/>
              </w:rPr>
            </w:pPr>
            <w:r>
              <w:rPr>
                <w:b/>
              </w:rPr>
              <w:t>Recommendation 15</w:t>
            </w:r>
            <w:r w:rsidR="00A6399C" w:rsidRPr="00C32944">
              <w:rPr>
                <w:b/>
              </w:rPr>
              <w:t xml:space="preserve">: </w:t>
            </w:r>
            <w:r w:rsidR="00A6399C" w:rsidRPr="0036570F">
              <w:rPr>
                <w:b/>
              </w:rPr>
              <w:t>Rheumatoid factor</w:t>
            </w:r>
          </w:p>
        </w:tc>
      </w:tr>
      <w:tr w:rsidR="00A6399C" w:rsidRPr="0065614A" w14:paraId="789D66FD" w14:textId="77777777" w:rsidTr="00B708EA">
        <w:trPr>
          <w:cantSplit/>
        </w:trPr>
        <w:tc>
          <w:tcPr>
            <w:tcW w:w="1227" w:type="dxa"/>
            <w:tcBorders>
              <w:top w:val="single" w:sz="4" w:space="0" w:color="B56011"/>
              <w:left w:val="nil"/>
              <w:bottom w:val="single" w:sz="4" w:space="0" w:color="B56011"/>
              <w:right w:val="nil"/>
            </w:tcBorders>
            <w:hideMark/>
          </w:tcPr>
          <w:p w14:paraId="10D2CF0F" w14:textId="77777777" w:rsidR="00A6399C" w:rsidRPr="0065614A" w:rsidRDefault="00A6399C" w:rsidP="00A6399C">
            <w:pPr>
              <w:spacing w:before="40" w:after="40"/>
              <w:rPr>
                <w:rFonts w:cs="Arial"/>
                <w:b/>
                <w:sz w:val="18"/>
                <w:szCs w:val="18"/>
                <w:lang w:val="en-US" w:eastAsia="en-US"/>
              </w:rPr>
            </w:pPr>
            <w:r w:rsidRPr="0065614A">
              <w:rPr>
                <w:rFonts w:cs="Arial"/>
                <w:b/>
                <w:sz w:val="18"/>
                <w:szCs w:val="18"/>
                <w:lang w:val="en-US" w:eastAsia="en-US"/>
              </w:rPr>
              <w:t>Item</w:t>
            </w:r>
          </w:p>
        </w:tc>
        <w:tc>
          <w:tcPr>
            <w:tcW w:w="3256" w:type="dxa"/>
            <w:tcBorders>
              <w:top w:val="single" w:sz="4" w:space="0" w:color="B56011"/>
              <w:left w:val="nil"/>
              <w:bottom w:val="single" w:sz="4" w:space="0" w:color="B56011"/>
              <w:right w:val="nil"/>
            </w:tcBorders>
            <w:hideMark/>
          </w:tcPr>
          <w:p w14:paraId="025E3ECE" w14:textId="77777777" w:rsidR="00A6399C" w:rsidRPr="0065614A" w:rsidRDefault="00A6399C" w:rsidP="00084AF3">
            <w:pPr>
              <w:spacing w:before="40" w:after="40"/>
              <w:jc w:val="center"/>
              <w:rPr>
                <w:rFonts w:cs="Arial"/>
                <w:b/>
                <w:sz w:val="18"/>
                <w:szCs w:val="18"/>
                <w:lang w:val="en-US" w:eastAsia="en-US"/>
              </w:rPr>
            </w:pPr>
            <w:r w:rsidRPr="0065614A">
              <w:rPr>
                <w:rFonts w:cs="Arial"/>
                <w:b/>
                <w:sz w:val="18"/>
                <w:szCs w:val="18"/>
                <w:lang w:val="en-US" w:eastAsia="en-US"/>
              </w:rPr>
              <w:t>What it does</w:t>
            </w:r>
          </w:p>
        </w:tc>
        <w:tc>
          <w:tcPr>
            <w:tcW w:w="2849" w:type="dxa"/>
            <w:tcBorders>
              <w:top w:val="single" w:sz="4" w:space="0" w:color="B56011"/>
              <w:left w:val="nil"/>
              <w:bottom w:val="single" w:sz="4" w:space="0" w:color="B56011"/>
              <w:right w:val="nil"/>
            </w:tcBorders>
            <w:hideMark/>
          </w:tcPr>
          <w:p w14:paraId="749C1BD5" w14:textId="77777777" w:rsidR="00A6399C" w:rsidRPr="0065614A" w:rsidRDefault="00A6399C" w:rsidP="0066661B">
            <w:pPr>
              <w:spacing w:before="40" w:after="40"/>
              <w:jc w:val="center"/>
              <w:rPr>
                <w:rFonts w:cs="Arial"/>
                <w:b/>
                <w:sz w:val="18"/>
                <w:szCs w:val="18"/>
                <w:lang w:val="en-US" w:eastAsia="en-US"/>
              </w:rPr>
            </w:pPr>
            <w:r w:rsidRPr="0065614A">
              <w:rPr>
                <w:rFonts w:cs="Arial"/>
                <w:b/>
                <w:sz w:val="18"/>
                <w:szCs w:val="18"/>
                <w:lang w:val="en-US" w:eastAsia="en-US"/>
              </w:rPr>
              <w:t>Committee recommendation</w:t>
            </w:r>
          </w:p>
        </w:tc>
        <w:tc>
          <w:tcPr>
            <w:tcW w:w="2850" w:type="dxa"/>
            <w:tcBorders>
              <w:top w:val="single" w:sz="4" w:space="0" w:color="B56011"/>
              <w:left w:val="nil"/>
              <w:bottom w:val="single" w:sz="4" w:space="0" w:color="B56011"/>
              <w:right w:val="nil"/>
            </w:tcBorders>
            <w:hideMark/>
          </w:tcPr>
          <w:p w14:paraId="23E4A0A9" w14:textId="77777777" w:rsidR="00A6399C" w:rsidRPr="0065614A" w:rsidRDefault="00A6399C">
            <w:pPr>
              <w:spacing w:before="40" w:after="40"/>
              <w:jc w:val="center"/>
              <w:rPr>
                <w:rFonts w:cs="Arial"/>
                <w:b/>
                <w:sz w:val="18"/>
                <w:szCs w:val="18"/>
                <w:lang w:val="en-US" w:eastAsia="en-US"/>
              </w:rPr>
            </w:pPr>
            <w:r w:rsidRPr="0065614A">
              <w:rPr>
                <w:rFonts w:cs="Arial"/>
                <w:b/>
                <w:sz w:val="18"/>
                <w:szCs w:val="18"/>
                <w:lang w:val="en-US" w:eastAsia="en-US"/>
              </w:rPr>
              <w:t>What would be different</w:t>
            </w:r>
          </w:p>
        </w:tc>
        <w:tc>
          <w:tcPr>
            <w:tcW w:w="3941" w:type="dxa"/>
            <w:tcBorders>
              <w:top w:val="single" w:sz="4" w:space="0" w:color="B56011"/>
              <w:left w:val="nil"/>
              <w:bottom w:val="single" w:sz="4" w:space="0" w:color="B56011"/>
              <w:right w:val="nil"/>
            </w:tcBorders>
            <w:hideMark/>
          </w:tcPr>
          <w:p w14:paraId="14F43B8E" w14:textId="77777777" w:rsidR="00A6399C" w:rsidRPr="0065614A" w:rsidRDefault="00A6399C">
            <w:pPr>
              <w:spacing w:before="40" w:after="40"/>
              <w:jc w:val="center"/>
              <w:rPr>
                <w:rFonts w:cs="Arial"/>
                <w:b/>
                <w:sz w:val="18"/>
                <w:szCs w:val="18"/>
                <w:lang w:val="en-US" w:eastAsia="en-US"/>
              </w:rPr>
            </w:pPr>
            <w:r w:rsidRPr="0065614A">
              <w:rPr>
                <w:rFonts w:cs="Arial"/>
                <w:b/>
                <w:sz w:val="18"/>
                <w:szCs w:val="18"/>
                <w:lang w:val="en-US" w:eastAsia="en-US"/>
              </w:rPr>
              <w:t>Why</w:t>
            </w:r>
          </w:p>
        </w:tc>
      </w:tr>
      <w:tr w:rsidR="00A6399C" w:rsidRPr="0065614A" w14:paraId="03FD74D9" w14:textId="77777777" w:rsidTr="00B708EA">
        <w:trPr>
          <w:cantSplit/>
        </w:trPr>
        <w:tc>
          <w:tcPr>
            <w:tcW w:w="1227" w:type="dxa"/>
            <w:tcBorders>
              <w:top w:val="single" w:sz="4" w:space="0" w:color="B56011"/>
              <w:left w:val="nil"/>
              <w:bottom w:val="single" w:sz="4" w:space="0" w:color="B56011"/>
              <w:right w:val="nil"/>
            </w:tcBorders>
          </w:tcPr>
          <w:p w14:paraId="4984DEC9" w14:textId="77777777" w:rsidR="00A6399C" w:rsidRPr="0065614A" w:rsidRDefault="00A6399C" w:rsidP="00A6399C">
            <w:pPr>
              <w:spacing w:before="40" w:after="40"/>
              <w:rPr>
                <w:rFonts w:cs="Arial"/>
                <w:b/>
                <w:sz w:val="18"/>
                <w:szCs w:val="18"/>
                <w:lang w:val="en-US" w:eastAsia="en-US"/>
              </w:rPr>
            </w:pPr>
            <w:r>
              <w:rPr>
                <w:rFonts w:cs="Arial"/>
                <w:b/>
                <w:sz w:val="18"/>
                <w:szCs w:val="18"/>
                <w:lang w:val="en-US" w:eastAsia="en-US"/>
              </w:rPr>
              <w:t>71106</w:t>
            </w:r>
          </w:p>
        </w:tc>
        <w:tc>
          <w:tcPr>
            <w:tcW w:w="3256" w:type="dxa"/>
            <w:tcBorders>
              <w:top w:val="single" w:sz="4" w:space="0" w:color="B56011"/>
              <w:left w:val="nil"/>
              <w:bottom w:val="single" w:sz="4" w:space="0" w:color="B56011"/>
              <w:right w:val="nil"/>
            </w:tcBorders>
          </w:tcPr>
          <w:p w14:paraId="0963ADFF" w14:textId="77777777" w:rsidR="00A6399C" w:rsidRPr="0065614A" w:rsidRDefault="00A6399C" w:rsidP="00D77C5F">
            <w:pPr>
              <w:spacing w:before="40" w:after="40"/>
              <w:rPr>
                <w:rFonts w:cs="Arial"/>
                <w:sz w:val="18"/>
                <w:szCs w:val="18"/>
              </w:rPr>
            </w:pPr>
            <w:r>
              <w:rPr>
                <w:rFonts w:cs="Arial"/>
                <w:sz w:val="18"/>
                <w:szCs w:val="18"/>
              </w:rPr>
              <w:t>Detects</w:t>
            </w:r>
            <w:r w:rsidRPr="008A47B9">
              <w:rPr>
                <w:rFonts w:cs="Arial"/>
                <w:sz w:val="18"/>
                <w:szCs w:val="18"/>
              </w:rPr>
              <w:t xml:space="preserve"> </w:t>
            </w:r>
            <w:r>
              <w:rPr>
                <w:rFonts w:cs="Arial"/>
                <w:sz w:val="18"/>
                <w:szCs w:val="18"/>
              </w:rPr>
              <w:t xml:space="preserve">a specific inappropriate </w:t>
            </w:r>
            <w:r w:rsidRPr="008A47B9">
              <w:rPr>
                <w:rFonts w:cs="Arial"/>
                <w:sz w:val="18"/>
                <w:szCs w:val="18"/>
              </w:rPr>
              <w:t xml:space="preserve">immune response </w:t>
            </w:r>
            <w:r>
              <w:rPr>
                <w:rFonts w:cs="Arial"/>
                <w:sz w:val="18"/>
                <w:szCs w:val="18"/>
              </w:rPr>
              <w:t>against</w:t>
            </w:r>
            <w:r w:rsidRPr="008A47B9">
              <w:rPr>
                <w:rFonts w:cs="Arial"/>
                <w:sz w:val="18"/>
                <w:szCs w:val="18"/>
              </w:rPr>
              <w:t xml:space="preserve"> </w:t>
            </w:r>
            <w:r>
              <w:rPr>
                <w:rFonts w:cs="Arial"/>
                <w:sz w:val="18"/>
                <w:szCs w:val="18"/>
              </w:rPr>
              <w:t xml:space="preserve">IgG (one of the body’s main immune molecules) </w:t>
            </w:r>
            <w:r w:rsidRPr="008A47B9">
              <w:rPr>
                <w:rFonts w:cs="Arial"/>
                <w:sz w:val="18"/>
                <w:szCs w:val="18"/>
              </w:rPr>
              <w:t>seen in rheumatoid arthritis</w:t>
            </w:r>
          </w:p>
        </w:tc>
        <w:tc>
          <w:tcPr>
            <w:tcW w:w="2849" w:type="dxa"/>
            <w:tcBorders>
              <w:top w:val="single" w:sz="4" w:space="0" w:color="B56011"/>
              <w:left w:val="nil"/>
              <w:bottom w:val="single" w:sz="4" w:space="0" w:color="B56011"/>
              <w:right w:val="nil"/>
            </w:tcBorders>
          </w:tcPr>
          <w:p w14:paraId="5016D578" w14:textId="77777777" w:rsidR="00A6399C" w:rsidRPr="0065614A" w:rsidRDefault="00A6399C" w:rsidP="00A6399C">
            <w:pPr>
              <w:spacing w:before="40" w:after="40"/>
              <w:rPr>
                <w:rFonts w:cs="Arial"/>
                <w:sz w:val="18"/>
                <w:szCs w:val="18"/>
              </w:rPr>
            </w:pPr>
            <w:r>
              <w:rPr>
                <w:rFonts w:cs="Arial"/>
                <w:sz w:val="18"/>
                <w:szCs w:val="18"/>
              </w:rPr>
              <w:t>Limit testing to four times a year per patient, and educate rheumatologists on appropriate use</w:t>
            </w:r>
          </w:p>
        </w:tc>
        <w:tc>
          <w:tcPr>
            <w:tcW w:w="2850" w:type="dxa"/>
            <w:tcBorders>
              <w:top w:val="single" w:sz="4" w:space="0" w:color="B56011"/>
              <w:left w:val="nil"/>
              <w:bottom w:val="single" w:sz="4" w:space="0" w:color="B56011"/>
              <w:right w:val="nil"/>
            </w:tcBorders>
          </w:tcPr>
          <w:p w14:paraId="17084186" w14:textId="77777777" w:rsidR="00A6399C" w:rsidRPr="0065614A" w:rsidRDefault="00A6399C" w:rsidP="00A6399C">
            <w:pPr>
              <w:spacing w:before="40" w:after="40"/>
              <w:ind w:left="57" w:right="57"/>
              <w:rPr>
                <w:rFonts w:cs="Arial"/>
                <w:sz w:val="18"/>
                <w:szCs w:val="18"/>
              </w:rPr>
            </w:pPr>
            <w:r>
              <w:rPr>
                <w:rFonts w:cs="Arial"/>
                <w:sz w:val="18"/>
                <w:szCs w:val="18"/>
              </w:rPr>
              <w:t>The current overuse of the test would be reduced</w:t>
            </w:r>
          </w:p>
        </w:tc>
        <w:tc>
          <w:tcPr>
            <w:tcW w:w="3941" w:type="dxa"/>
            <w:tcBorders>
              <w:top w:val="single" w:sz="4" w:space="0" w:color="B56011"/>
              <w:left w:val="nil"/>
              <w:bottom w:val="single" w:sz="4" w:space="0" w:color="B56011"/>
              <w:right w:val="nil"/>
            </w:tcBorders>
          </w:tcPr>
          <w:p w14:paraId="32C67EDB" w14:textId="77777777" w:rsidR="00A6399C" w:rsidRPr="0065614A" w:rsidRDefault="00A6399C" w:rsidP="00020F53">
            <w:pPr>
              <w:spacing w:before="40" w:after="40"/>
              <w:rPr>
                <w:rFonts w:cs="Arial"/>
                <w:sz w:val="18"/>
                <w:szCs w:val="18"/>
              </w:rPr>
            </w:pPr>
            <w:r>
              <w:rPr>
                <w:rFonts w:cs="Arial"/>
                <w:sz w:val="18"/>
                <w:szCs w:val="18"/>
              </w:rPr>
              <w:t>Testing more than 4 times a year is inappropriate</w:t>
            </w:r>
            <w:r w:rsidR="00020F53">
              <w:rPr>
                <w:rFonts w:cs="Arial"/>
                <w:sz w:val="18"/>
                <w:szCs w:val="18"/>
              </w:rPr>
              <w:t xml:space="preserve"> because it is of no medical value</w:t>
            </w:r>
            <w:r>
              <w:rPr>
                <w:rFonts w:cs="Arial"/>
                <w:sz w:val="18"/>
                <w:szCs w:val="18"/>
              </w:rPr>
              <w:t xml:space="preserve">. Education needs to address </w:t>
            </w:r>
            <w:r w:rsidR="00020F53">
              <w:rPr>
                <w:rFonts w:cs="Arial"/>
                <w:sz w:val="18"/>
                <w:szCs w:val="18"/>
              </w:rPr>
              <w:t xml:space="preserve">testing </w:t>
            </w:r>
            <w:r>
              <w:rPr>
                <w:rFonts w:cs="Arial"/>
                <w:sz w:val="18"/>
                <w:szCs w:val="18"/>
              </w:rPr>
              <w:t>by rheumatologists</w:t>
            </w:r>
          </w:p>
        </w:tc>
      </w:tr>
    </w:tbl>
    <w:p w14:paraId="2D7861C7" w14:textId="77777777" w:rsidR="00B708EA" w:rsidRDefault="00B708EA"/>
    <w:tbl>
      <w:tblPr>
        <w:tblStyle w:val="TableGrid"/>
        <w:tblW w:w="14123"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27"/>
        <w:gridCol w:w="3256"/>
        <w:gridCol w:w="2849"/>
        <w:gridCol w:w="2850"/>
        <w:gridCol w:w="3941"/>
      </w:tblGrid>
      <w:tr w:rsidR="00A6399C" w14:paraId="41808BEB" w14:textId="77777777" w:rsidTr="009B2D7B">
        <w:trPr>
          <w:cantSplit/>
          <w:tblHeader/>
        </w:trPr>
        <w:tc>
          <w:tcPr>
            <w:tcW w:w="14123" w:type="dxa"/>
            <w:gridSpan w:val="5"/>
            <w:tcBorders>
              <w:top w:val="single" w:sz="4" w:space="0" w:color="B56011"/>
              <w:left w:val="nil"/>
              <w:bottom w:val="single" w:sz="4" w:space="0" w:color="B56011"/>
              <w:right w:val="nil"/>
            </w:tcBorders>
            <w:shd w:val="clear" w:color="auto" w:fill="EEECE1" w:themeFill="background2"/>
          </w:tcPr>
          <w:p w14:paraId="7E4BEAED" w14:textId="77777777" w:rsidR="00A6399C" w:rsidRDefault="00024095" w:rsidP="00E32CD1">
            <w:pPr>
              <w:spacing w:before="40" w:after="40"/>
              <w:rPr>
                <w:b/>
                <w:color w:val="BFBFBF" w:themeColor="background1" w:themeShade="BF"/>
              </w:rPr>
            </w:pPr>
            <w:r>
              <w:rPr>
                <w:b/>
              </w:rPr>
              <w:t>Recommendation 16</w:t>
            </w:r>
            <w:r w:rsidR="00A6399C" w:rsidRPr="00C32944">
              <w:rPr>
                <w:b/>
              </w:rPr>
              <w:t xml:space="preserve">: </w:t>
            </w:r>
            <w:r w:rsidR="00A6399C" w:rsidRPr="004C1659">
              <w:rPr>
                <w:b/>
              </w:rPr>
              <w:t>Antibody to cardiolipin</w:t>
            </w:r>
          </w:p>
        </w:tc>
      </w:tr>
      <w:tr w:rsidR="00A6399C" w:rsidRPr="0065614A" w14:paraId="46F927A5" w14:textId="77777777" w:rsidTr="00B708EA">
        <w:trPr>
          <w:cantSplit/>
        </w:trPr>
        <w:tc>
          <w:tcPr>
            <w:tcW w:w="1227" w:type="dxa"/>
            <w:tcBorders>
              <w:top w:val="single" w:sz="4" w:space="0" w:color="B56011"/>
              <w:left w:val="nil"/>
              <w:bottom w:val="single" w:sz="4" w:space="0" w:color="B56011"/>
              <w:right w:val="nil"/>
            </w:tcBorders>
            <w:hideMark/>
          </w:tcPr>
          <w:p w14:paraId="7B84A017" w14:textId="77777777" w:rsidR="00A6399C" w:rsidRPr="0065614A" w:rsidRDefault="00A6399C" w:rsidP="00A6399C">
            <w:pPr>
              <w:spacing w:before="40" w:after="40"/>
              <w:rPr>
                <w:rFonts w:cs="Arial"/>
                <w:b/>
                <w:sz w:val="18"/>
                <w:szCs w:val="18"/>
                <w:lang w:val="en-US" w:eastAsia="en-US"/>
              </w:rPr>
            </w:pPr>
            <w:r w:rsidRPr="0065614A">
              <w:rPr>
                <w:rFonts w:cs="Arial"/>
                <w:b/>
                <w:sz w:val="18"/>
                <w:szCs w:val="18"/>
                <w:lang w:val="en-US" w:eastAsia="en-US"/>
              </w:rPr>
              <w:t>Item</w:t>
            </w:r>
          </w:p>
        </w:tc>
        <w:tc>
          <w:tcPr>
            <w:tcW w:w="3256" w:type="dxa"/>
            <w:tcBorders>
              <w:top w:val="single" w:sz="4" w:space="0" w:color="B56011"/>
              <w:left w:val="nil"/>
              <w:bottom w:val="single" w:sz="4" w:space="0" w:color="B56011"/>
              <w:right w:val="nil"/>
            </w:tcBorders>
            <w:hideMark/>
          </w:tcPr>
          <w:p w14:paraId="29FE9DE0"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What it does</w:t>
            </w:r>
          </w:p>
        </w:tc>
        <w:tc>
          <w:tcPr>
            <w:tcW w:w="2849" w:type="dxa"/>
            <w:tcBorders>
              <w:top w:val="single" w:sz="4" w:space="0" w:color="B56011"/>
              <w:left w:val="nil"/>
              <w:bottom w:val="single" w:sz="4" w:space="0" w:color="B56011"/>
              <w:right w:val="nil"/>
            </w:tcBorders>
            <w:hideMark/>
          </w:tcPr>
          <w:p w14:paraId="27FB563F"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Committee recommendation</w:t>
            </w:r>
          </w:p>
        </w:tc>
        <w:tc>
          <w:tcPr>
            <w:tcW w:w="2850" w:type="dxa"/>
            <w:tcBorders>
              <w:top w:val="single" w:sz="4" w:space="0" w:color="B56011"/>
              <w:left w:val="nil"/>
              <w:bottom w:val="single" w:sz="4" w:space="0" w:color="B56011"/>
              <w:right w:val="nil"/>
            </w:tcBorders>
            <w:hideMark/>
          </w:tcPr>
          <w:p w14:paraId="70286761"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What would be different</w:t>
            </w:r>
          </w:p>
        </w:tc>
        <w:tc>
          <w:tcPr>
            <w:tcW w:w="3941" w:type="dxa"/>
            <w:tcBorders>
              <w:top w:val="single" w:sz="4" w:space="0" w:color="B56011"/>
              <w:left w:val="nil"/>
              <w:bottom w:val="single" w:sz="4" w:space="0" w:color="B56011"/>
              <w:right w:val="nil"/>
            </w:tcBorders>
            <w:hideMark/>
          </w:tcPr>
          <w:p w14:paraId="5912F2CA"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Why</w:t>
            </w:r>
          </w:p>
        </w:tc>
      </w:tr>
      <w:tr w:rsidR="00A6399C" w:rsidRPr="0065614A" w14:paraId="5B28FD85" w14:textId="77777777" w:rsidTr="00B708EA">
        <w:trPr>
          <w:cantSplit/>
        </w:trPr>
        <w:tc>
          <w:tcPr>
            <w:tcW w:w="1227" w:type="dxa"/>
            <w:tcBorders>
              <w:top w:val="single" w:sz="4" w:space="0" w:color="B56011"/>
              <w:left w:val="nil"/>
              <w:bottom w:val="single" w:sz="4" w:space="0" w:color="B56011"/>
              <w:right w:val="nil"/>
            </w:tcBorders>
          </w:tcPr>
          <w:p w14:paraId="5F72ACDF" w14:textId="77777777" w:rsidR="00A6399C" w:rsidRPr="0065614A" w:rsidRDefault="00A6399C" w:rsidP="00A6399C">
            <w:pPr>
              <w:spacing w:before="40" w:after="40"/>
              <w:rPr>
                <w:rFonts w:cs="Arial"/>
                <w:b/>
                <w:sz w:val="18"/>
                <w:szCs w:val="18"/>
                <w:lang w:val="en-US" w:eastAsia="en-US"/>
              </w:rPr>
            </w:pPr>
            <w:r w:rsidRPr="004C1659">
              <w:rPr>
                <w:rFonts w:cs="Arial"/>
                <w:b/>
                <w:sz w:val="18"/>
                <w:szCs w:val="18"/>
                <w:lang w:val="en-US" w:eastAsia="en-US"/>
              </w:rPr>
              <w:t>71180, 71183, 71186</w:t>
            </w:r>
          </w:p>
        </w:tc>
        <w:tc>
          <w:tcPr>
            <w:tcW w:w="3256" w:type="dxa"/>
            <w:tcBorders>
              <w:top w:val="single" w:sz="4" w:space="0" w:color="B56011"/>
              <w:left w:val="nil"/>
              <w:bottom w:val="single" w:sz="4" w:space="0" w:color="B56011"/>
              <w:right w:val="nil"/>
            </w:tcBorders>
          </w:tcPr>
          <w:p w14:paraId="4D5ECF3D" w14:textId="77777777" w:rsidR="00A6399C" w:rsidRPr="0065614A" w:rsidRDefault="00A6399C" w:rsidP="00A6399C">
            <w:pPr>
              <w:spacing w:before="40" w:after="40"/>
              <w:rPr>
                <w:rFonts w:cs="Arial"/>
                <w:sz w:val="18"/>
                <w:szCs w:val="18"/>
              </w:rPr>
            </w:pPr>
            <w:r>
              <w:rPr>
                <w:rFonts w:cs="Arial"/>
                <w:sz w:val="18"/>
                <w:szCs w:val="18"/>
              </w:rPr>
              <w:t>Detects an inappropriate immune response against cardiolipin, seen in a range of diseases</w:t>
            </w:r>
          </w:p>
        </w:tc>
        <w:tc>
          <w:tcPr>
            <w:tcW w:w="2849" w:type="dxa"/>
            <w:tcBorders>
              <w:top w:val="single" w:sz="4" w:space="0" w:color="B56011"/>
              <w:left w:val="nil"/>
              <w:bottom w:val="single" w:sz="4" w:space="0" w:color="B56011"/>
              <w:right w:val="nil"/>
            </w:tcBorders>
          </w:tcPr>
          <w:p w14:paraId="49412409" w14:textId="77777777" w:rsidR="00A6399C" w:rsidRPr="0065614A" w:rsidRDefault="00A6399C" w:rsidP="00D77C5F">
            <w:pPr>
              <w:spacing w:before="40" w:after="40"/>
              <w:rPr>
                <w:rFonts w:cs="Arial"/>
                <w:sz w:val="18"/>
                <w:szCs w:val="18"/>
              </w:rPr>
            </w:pPr>
            <w:r>
              <w:rPr>
                <w:rFonts w:cs="Arial"/>
                <w:sz w:val="18"/>
                <w:szCs w:val="18"/>
              </w:rPr>
              <w:t>Change the description of item 71180 to include immunoglobulin A (IgA [another of the body’s main immune molecules]). Limit testing to four times a year per patient</w:t>
            </w:r>
          </w:p>
        </w:tc>
        <w:tc>
          <w:tcPr>
            <w:tcW w:w="2850" w:type="dxa"/>
            <w:tcBorders>
              <w:top w:val="single" w:sz="4" w:space="0" w:color="B56011"/>
              <w:left w:val="nil"/>
              <w:bottom w:val="single" w:sz="4" w:space="0" w:color="B56011"/>
              <w:right w:val="nil"/>
            </w:tcBorders>
          </w:tcPr>
          <w:p w14:paraId="6310550B" w14:textId="77777777" w:rsidR="00A6399C" w:rsidRPr="0065614A" w:rsidRDefault="00A6399C" w:rsidP="00A6399C">
            <w:pPr>
              <w:spacing w:before="40" w:after="40"/>
              <w:ind w:left="57" w:right="57"/>
              <w:rPr>
                <w:rFonts w:cs="Arial"/>
                <w:sz w:val="18"/>
                <w:szCs w:val="18"/>
              </w:rPr>
            </w:pPr>
            <w:r>
              <w:rPr>
                <w:rFonts w:cs="Arial"/>
                <w:sz w:val="18"/>
                <w:szCs w:val="18"/>
              </w:rPr>
              <w:t>IgA testing would be included with IgG and IgM testing.</w:t>
            </w:r>
            <w:r>
              <w:rPr>
                <w:rFonts w:cs="Arial"/>
                <w:sz w:val="18"/>
                <w:szCs w:val="18"/>
              </w:rPr>
              <w:br/>
              <w:t>Overuse of the test would be prevented.</w:t>
            </w:r>
          </w:p>
        </w:tc>
        <w:tc>
          <w:tcPr>
            <w:tcW w:w="3941" w:type="dxa"/>
            <w:tcBorders>
              <w:top w:val="single" w:sz="4" w:space="0" w:color="B56011"/>
              <w:left w:val="nil"/>
              <w:bottom w:val="single" w:sz="4" w:space="0" w:color="B56011"/>
              <w:right w:val="nil"/>
            </w:tcBorders>
          </w:tcPr>
          <w:p w14:paraId="049B76CB" w14:textId="77777777" w:rsidR="00A6399C" w:rsidRPr="0065614A" w:rsidRDefault="00A6399C" w:rsidP="00020F53">
            <w:pPr>
              <w:spacing w:before="40" w:after="40"/>
              <w:rPr>
                <w:rFonts w:cs="Arial"/>
                <w:sz w:val="18"/>
                <w:szCs w:val="18"/>
              </w:rPr>
            </w:pPr>
            <w:r>
              <w:rPr>
                <w:rFonts w:cs="Arial"/>
                <w:sz w:val="18"/>
                <w:szCs w:val="18"/>
              </w:rPr>
              <w:t xml:space="preserve">IgA testing is </w:t>
            </w:r>
            <w:r w:rsidR="00020F53">
              <w:rPr>
                <w:rFonts w:cs="Arial"/>
                <w:sz w:val="18"/>
                <w:szCs w:val="18"/>
              </w:rPr>
              <w:t xml:space="preserve">also of value together with IgG and IgM testing </w:t>
            </w:r>
            <w:r>
              <w:rPr>
                <w:rFonts w:cs="Arial"/>
                <w:sz w:val="18"/>
                <w:szCs w:val="18"/>
              </w:rPr>
              <w:t>r for detecting this immune response.</w:t>
            </w:r>
            <w:r>
              <w:rPr>
                <w:rFonts w:cs="Arial"/>
                <w:sz w:val="18"/>
                <w:szCs w:val="18"/>
              </w:rPr>
              <w:br/>
            </w:r>
          </w:p>
        </w:tc>
      </w:tr>
    </w:tbl>
    <w:p w14:paraId="4E92C4DC" w14:textId="77777777" w:rsidR="00B708EA" w:rsidRDefault="00B708EA"/>
    <w:tbl>
      <w:tblPr>
        <w:tblStyle w:val="TableGrid"/>
        <w:tblW w:w="14123"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27"/>
        <w:gridCol w:w="3256"/>
        <w:gridCol w:w="2849"/>
        <w:gridCol w:w="2850"/>
        <w:gridCol w:w="3941"/>
      </w:tblGrid>
      <w:tr w:rsidR="00A6399C" w14:paraId="12FAF687" w14:textId="77777777" w:rsidTr="009B2D7B">
        <w:trPr>
          <w:cantSplit/>
          <w:tblHeader/>
        </w:trPr>
        <w:tc>
          <w:tcPr>
            <w:tcW w:w="14123" w:type="dxa"/>
            <w:gridSpan w:val="5"/>
            <w:tcBorders>
              <w:top w:val="single" w:sz="4" w:space="0" w:color="B56011"/>
              <w:left w:val="nil"/>
              <w:bottom w:val="single" w:sz="4" w:space="0" w:color="B56011"/>
              <w:right w:val="nil"/>
            </w:tcBorders>
            <w:shd w:val="clear" w:color="auto" w:fill="EEECE1" w:themeFill="background2"/>
          </w:tcPr>
          <w:p w14:paraId="6F971B30" w14:textId="77777777" w:rsidR="00A6399C" w:rsidRDefault="00024095" w:rsidP="00E32CD1">
            <w:pPr>
              <w:keepNext/>
              <w:spacing w:before="40" w:after="40"/>
              <w:rPr>
                <w:b/>
                <w:color w:val="BFBFBF" w:themeColor="background1" w:themeShade="BF"/>
              </w:rPr>
            </w:pPr>
            <w:r>
              <w:rPr>
                <w:b/>
              </w:rPr>
              <w:t>Recommendation 17</w:t>
            </w:r>
            <w:r w:rsidR="00A6399C" w:rsidRPr="00C32944">
              <w:rPr>
                <w:b/>
              </w:rPr>
              <w:t xml:space="preserve">: </w:t>
            </w:r>
            <w:r w:rsidR="00A6399C" w:rsidRPr="00AF7AA6">
              <w:rPr>
                <w:b/>
              </w:rPr>
              <w:t>Free kappa and lambda light chains</w:t>
            </w:r>
          </w:p>
        </w:tc>
      </w:tr>
      <w:tr w:rsidR="00A6399C" w:rsidRPr="0065614A" w14:paraId="141E036A" w14:textId="77777777" w:rsidTr="00B708EA">
        <w:trPr>
          <w:cantSplit/>
        </w:trPr>
        <w:tc>
          <w:tcPr>
            <w:tcW w:w="1227" w:type="dxa"/>
            <w:tcBorders>
              <w:top w:val="single" w:sz="4" w:space="0" w:color="B56011"/>
              <w:left w:val="nil"/>
              <w:bottom w:val="single" w:sz="4" w:space="0" w:color="B56011"/>
              <w:right w:val="nil"/>
            </w:tcBorders>
            <w:hideMark/>
          </w:tcPr>
          <w:p w14:paraId="40D056B6" w14:textId="77777777" w:rsidR="00A6399C" w:rsidRPr="0065614A" w:rsidRDefault="00A6399C" w:rsidP="00534051">
            <w:pPr>
              <w:keepNext/>
              <w:spacing w:before="40" w:after="40"/>
              <w:rPr>
                <w:rFonts w:cs="Arial"/>
                <w:b/>
                <w:sz w:val="18"/>
                <w:szCs w:val="18"/>
                <w:lang w:val="en-US" w:eastAsia="en-US"/>
              </w:rPr>
            </w:pPr>
            <w:r w:rsidRPr="0065614A">
              <w:rPr>
                <w:rFonts w:cs="Arial"/>
                <w:b/>
                <w:sz w:val="18"/>
                <w:szCs w:val="18"/>
                <w:lang w:val="en-US" w:eastAsia="en-US"/>
              </w:rPr>
              <w:t>Item</w:t>
            </w:r>
          </w:p>
        </w:tc>
        <w:tc>
          <w:tcPr>
            <w:tcW w:w="3256" w:type="dxa"/>
            <w:tcBorders>
              <w:top w:val="single" w:sz="4" w:space="0" w:color="B56011"/>
              <w:left w:val="nil"/>
              <w:bottom w:val="single" w:sz="4" w:space="0" w:color="B56011"/>
              <w:right w:val="nil"/>
            </w:tcBorders>
            <w:hideMark/>
          </w:tcPr>
          <w:p w14:paraId="139B4A67" w14:textId="77777777" w:rsidR="00A6399C" w:rsidRPr="0065614A" w:rsidRDefault="00A6399C" w:rsidP="00534051">
            <w:pPr>
              <w:keepNext/>
              <w:spacing w:before="40" w:after="40"/>
              <w:jc w:val="center"/>
              <w:rPr>
                <w:rFonts w:cs="Arial"/>
                <w:b/>
                <w:sz w:val="18"/>
                <w:szCs w:val="18"/>
                <w:lang w:val="en-US" w:eastAsia="en-US"/>
              </w:rPr>
            </w:pPr>
            <w:r w:rsidRPr="0065614A">
              <w:rPr>
                <w:rFonts w:cs="Arial"/>
                <w:b/>
                <w:sz w:val="18"/>
                <w:szCs w:val="18"/>
                <w:lang w:val="en-US" w:eastAsia="en-US"/>
              </w:rPr>
              <w:t>What it does</w:t>
            </w:r>
          </w:p>
        </w:tc>
        <w:tc>
          <w:tcPr>
            <w:tcW w:w="2849" w:type="dxa"/>
            <w:tcBorders>
              <w:top w:val="single" w:sz="4" w:space="0" w:color="B56011"/>
              <w:left w:val="nil"/>
              <w:bottom w:val="single" w:sz="4" w:space="0" w:color="B56011"/>
              <w:right w:val="nil"/>
            </w:tcBorders>
            <w:hideMark/>
          </w:tcPr>
          <w:p w14:paraId="4782136E" w14:textId="77777777" w:rsidR="00A6399C" w:rsidRPr="0065614A" w:rsidRDefault="00A6399C" w:rsidP="00534051">
            <w:pPr>
              <w:keepNext/>
              <w:spacing w:before="40" w:after="40"/>
              <w:jc w:val="center"/>
              <w:rPr>
                <w:rFonts w:cs="Arial"/>
                <w:b/>
                <w:sz w:val="18"/>
                <w:szCs w:val="18"/>
                <w:lang w:val="en-US" w:eastAsia="en-US"/>
              </w:rPr>
            </w:pPr>
            <w:r w:rsidRPr="0065614A">
              <w:rPr>
                <w:rFonts w:cs="Arial"/>
                <w:b/>
                <w:sz w:val="18"/>
                <w:szCs w:val="18"/>
                <w:lang w:val="en-US" w:eastAsia="en-US"/>
              </w:rPr>
              <w:t>Committee recommendation</w:t>
            </w:r>
          </w:p>
        </w:tc>
        <w:tc>
          <w:tcPr>
            <w:tcW w:w="2850" w:type="dxa"/>
            <w:tcBorders>
              <w:top w:val="single" w:sz="4" w:space="0" w:color="B56011"/>
              <w:left w:val="nil"/>
              <w:bottom w:val="single" w:sz="4" w:space="0" w:color="B56011"/>
              <w:right w:val="nil"/>
            </w:tcBorders>
            <w:hideMark/>
          </w:tcPr>
          <w:p w14:paraId="64303DC6" w14:textId="77777777" w:rsidR="00A6399C" w:rsidRPr="0065614A" w:rsidRDefault="00A6399C" w:rsidP="00534051">
            <w:pPr>
              <w:keepNext/>
              <w:spacing w:before="40" w:after="40"/>
              <w:jc w:val="center"/>
              <w:rPr>
                <w:rFonts w:cs="Arial"/>
                <w:b/>
                <w:sz w:val="18"/>
                <w:szCs w:val="18"/>
                <w:lang w:val="en-US" w:eastAsia="en-US"/>
              </w:rPr>
            </w:pPr>
            <w:r w:rsidRPr="0065614A">
              <w:rPr>
                <w:rFonts w:cs="Arial"/>
                <w:b/>
                <w:sz w:val="18"/>
                <w:szCs w:val="18"/>
                <w:lang w:val="en-US" w:eastAsia="en-US"/>
              </w:rPr>
              <w:t>What would be different</w:t>
            </w:r>
          </w:p>
        </w:tc>
        <w:tc>
          <w:tcPr>
            <w:tcW w:w="3941" w:type="dxa"/>
            <w:tcBorders>
              <w:top w:val="single" w:sz="4" w:space="0" w:color="B56011"/>
              <w:left w:val="nil"/>
              <w:bottom w:val="single" w:sz="4" w:space="0" w:color="B56011"/>
              <w:right w:val="nil"/>
            </w:tcBorders>
            <w:hideMark/>
          </w:tcPr>
          <w:p w14:paraId="29BEB477" w14:textId="77777777" w:rsidR="00A6399C" w:rsidRPr="0065614A" w:rsidRDefault="00A6399C" w:rsidP="00534051">
            <w:pPr>
              <w:keepNext/>
              <w:spacing w:before="40" w:after="40"/>
              <w:jc w:val="center"/>
              <w:rPr>
                <w:rFonts w:cs="Arial"/>
                <w:b/>
                <w:sz w:val="18"/>
                <w:szCs w:val="18"/>
                <w:lang w:val="en-US" w:eastAsia="en-US"/>
              </w:rPr>
            </w:pPr>
            <w:r w:rsidRPr="0065614A">
              <w:rPr>
                <w:rFonts w:cs="Arial"/>
                <w:b/>
                <w:sz w:val="18"/>
                <w:szCs w:val="18"/>
                <w:lang w:val="en-US" w:eastAsia="en-US"/>
              </w:rPr>
              <w:t>Why</w:t>
            </w:r>
          </w:p>
        </w:tc>
      </w:tr>
      <w:tr w:rsidR="00A6399C" w:rsidRPr="0065614A" w14:paraId="56AAA4B9" w14:textId="77777777" w:rsidTr="00B708EA">
        <w:trPr>
          <w:cantSplit/>
        </w:trPr>
        <w:tc>
          <w:tcPr>
            <w:tcW w:w="1227" w:type="dxa"/>
            <w:tcBorders>
              <w:top w:val="single" w:sz="4" w:space="0" w:color="B56011"/>
              <w:left w:val="nil"/>
              <w:bottom w:val="single" w:sz="4" w:space="0" w:color="B56011"/>
              <w:right w:val="nil"/>
            </w:tcBorders>
          </w:tcPr>
          <w:p w14:paraId="5E75A63D" w14:textId="77777777" w:rsidR="00A6399C" w:rsidRPr="0065614A" w:rsidRDefault="00A6399C" w:rsidP="00A6399C">
            <w:pPr>
              <w:spacing w:before="40" w:after="40"/>
              <w:rPr>
                <w:rFonts w:cs="Arial"/>
                <w:b/>
                <w:sz w:val="18"/>
                <w:szCs w:val="18"/>
                <w:lang w:val="en-US" w:eastAsia="en-US"/>
              </w:rPr>
            </w:pPr>
            <w:r w:rsidRPr="00AF7AA6">
              <w:rPr>
                <w:rFonts w:cs="Arial"/>
                <w:b/>
                <w:sz w:val="18"/>
                <w:szCs w:val="18"/>
                <w:lang w:val="en-US" w:eastAsia="en-US"/>
              </w:rPr>
              <w:t>71200</w:t>
            </w:r>
          </w:p>
        </w:tc>
        <w:tc>
          <w:tcPr>
            <w:tcW w:w="3256" w:type="dxa"/>
            <w:tcBorders>
              <w:top w:val="single" w:sz="4" w:space="0" w:color="B56011"/>
              <w:left w:val="nil"/>
              <w:bottom w:val="single" w:sz="4" w:space="0" w:color="B56011"/>
              <w:right w:val="nil"/>
            </w:tcBorders>
          </w:tcPr>
          <w:p w14:paraId="62775CDB" w14:textId="77777777" w:rsidR="00A6399C" w:rsidRPr="0065614A" w:rsidRDefault="00A6399C" w:rsidP="00A6399C">
            <w:pPr>
              <w:spacing w:before="40" w:after="40"/>
              <w:rPr>
                <w:rFonts w:cs="Arial"/>
                <w:sz w:val="18"/>
                <w:szCs w:val="18"/>
              </w:rPr>
            </w:pPr>
            <w:r>
              <w:rPr>
                <w:rFonts w:cs="Arial"/>
                <w:sz w:val="18"/>
                <w:szCs w:val="18"/>
              </w:rPr>
              <w:t>Measures the amounts of these components, which are elevated in certain types of</w:t>
            </w:r>
            <w:r w:rsidR="000F227B">
              <w:rPr>
                <w:rFonts w:cs="Arial"/>
                <w:sz w:val="18"/>
                <w:szCs w:val="18"/>
              </w:rPr>
              <w:t xml:space="preserve"> blood</w:t>
            </w:r>
            <w:r>
              <w:rPr>
                <w:rFonts w:cs="Arial"/>
                <w:sz w:val="18"/>
                <w:szCs w:val="18"/>
              </w:rPr>
              <w:t xml:space="preserve"> cancers</w:t>
            </w:r>
            <w:r w:rsidR="000F227B">
              <w:rPr>
                <w:rFonts w:cs="Arial"/>
                <w:sz w:val="18"/>
                <w:szCs w:val="18"/>
              </w:rPr>
              <w:t xml:space="preserve"> (myeloma)</w:t>
            </w:r>
          </w:p>
        </w:tc>
        <w:tc>
          <w:tcPr>
            <w:tcW w:w="2849" w:type="dxa"/>
            <w:tcBorders>
              <w:top w:val="single" w:sz="4" w:space="0" w:color="B56011"/>
              <w:left w:val="nil"/>
              <w:bottom w:val="single" w:sz="4" w:space="0" w:color="B56011"/>
              <w:right w:val="nil"/>
            </w:tcBorders>
          </w:tcPr>
          <w:p w14:paraId="18323094" w14:textId="77777777" w:rsidR="00A6399C" w:rsidRPr="0065614A" w:rsidRDefault="00A6399C" w:rsidP="00A6399C">
            <w:pPr>
              <w:spacing w:before="40" w:after="40"/>
              <w:rPr>
                <w:rFonts w:cs="Arial"/>
                <w:sz w:val="18"/>
                <w:szCs w:val="18"/>
              </w:rPr>
            </w:pPr>
            <w:r>
              <w:rPr>
                <w:rFonts w:cs="Arial"/>
                <w:sz w:val="18"/>
                <w:szCs w:val="18"/>
              </w:rPr>
              <w:t>Change the description to prevent the test being used to diagnose/monitor lymphoma</w:t>
            </w:r>
          </w:p>
        </w:tc>
        <w:tc>
          <w:tcPr>
            <w:tcW w:w="2850" w:type="dxa"/>
            <w:tcBorders>
              <w:top w:val="single" w:sz="4" w:space="0" w:color="B56011"/>
              <w:left w:val="nil"/>
              <w:bottom w:val="single" w:sz="4" w:space="0" w:color="B56011"/>
              <w:right w:val="nil"/>
            </w:tcBorders>
          </w:tcPr>
          <w:p w14:paraId="587E4A46" w14:textId="77777777" w:rsidR="00A6399C" w:rsidRPr="0065614A" w:rsidRDefault="00A6399C" w:rsidP="00D77C5F">
            <w:pPr>
              <w:spacing w:before="40" w:after="40"/>
              <w:ind w:left="57" w:right="57"/>
              <w:rPr>
                <w:rFonts w:cs="Arial"/>
                <w:sz w:val="18"/>
                <w:szCs w:val="18"/>
              </w:rPr>
            </w:pPr>
            <w:r>
              <w:rPr>
                <w:rFonts w:cs="Arial"/>
                <w:sz w:val="18"/>
                <w:szCs w:val="18"/>
              </w:rPr>
              <w:t>Requesters (mainly haematologists) would not be able to use to this test for diagnosing/monitoring lymphoma</w:t>
            </w:r>
          </w:p>
        </w:tc>
        <w:tc>
          <w:tcPr>
            <w:tcW w:w="3941" w:type="dxa"/>
            <w:tcBorders>
              <w:top w:val="single" w:sz="4" w:space="0" w:color="B56011"/>
              <w:left w:val="nil"/>
              <w:bottom w:val="single" w:sz="4" w:space="0" w:color="B56011"/>
              <w:right w:val="nil"/>
            </w:tcBorders>
          </w:tcPr>
          <w:p w14:paraId="7FF43538" w14:textId="77777777" w:rsidR="00A6399C" w:rsidRPr="0065614A" w:rsidRDefault="00A6399C" w:rsidP="00A6399C">
            <w:pPr>
              <w:spacing w:before="40" w:after="40"/>
              <w:rPr>
                <w:rFonts w:cs="Arial"/>
                <w:sz w:val="18"/>
                <w:szCs w:val="18"/>
              </w:rPr>
            </w:pPr>
            <w:r>
              <w:rPr>
                <w:rFonts w:cs="Arial"/>
                <w:sz w:val="18"/>
                <w:szCs w:val="18"/>
              </w:rPr>
              <w:t>Use of this test is increasing more than it should. Others test should be used to diagnose/monitor lymphoma</w:t>
            </w:r>
          </w:p>
        </w:tc>
      </w:tr>
    </w:tbl>
    <w:p w14:paraId="6B7E1EF4" w14:textId="77777777" w:rsidR="00024095" w:rsidRDefault="00024095">
      <w:pPr>
        <w:spacing w:before="0" w:after="0"/>
      </w:pPr>
      <w:r>
        <w:br w:type="page"/>
      </w:r>
    </w:p>
    <w:tbl>
      <w:tblPr>
        <w:tblStyle w:val="TableGrid"/>
        <w:tblW w:w="14123"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78"/>
        <w:gridCol w:w="3205"/>
        <w:gridCol w:w="2713"/>
        <w:gridCol w:w="2986"/>
        <w:gridCol w:w="3941"/>
      </w:tblGrid>
      <w:tr w:rsidR="00A6399C" w14:paraId="36F46541" w14:textId="77777777" w:rsidTr="009B2D7B">
        <w:trPr>
          <w:cantSplit/>
          <w:tblHeader/>
        </w:trPr>
        <w:tc>
          <w:tcPr>
            <w:tcW w:w="14123" w:type="dxa"/>
            <w:gridSpan w:val="5"/>
            <w:tcBorders>
              <w:top w:val="single" w:sz="4" w:space="0" w:color="B56011"/>
              <w:left w:val="nil"/>
              <w:bottom w:val="single" w:sz="4" w:space="0" w:color="B56011"/>
              <w:right w:val="nil"/>
            </w:tcBorders>
            <w:shd w:val="clear" w:color="auto" w:fill="EEECE1" w:themeFill="background2"/>
          </w:tcPr>
          <w:p w14:paraId="607656FF" w14:textId="77777777" w:rsidR="00A6399C" w:rsidRDefault="00024095" w:rsidP="00E32CD1">
            <w:pPr>
              <w:spacing w:before="40" w:after="40"/>
              <w:rPr>
                <w:b/>
                <w:color w:val="BFBFBF" w:themeColor="background1" w:themeShade="BF"/>
              </w:rPr>
            </w:pPr>
            <w:r>
              <w:rPr>
                <w:b/>
              </w:rPr>
              <w:t>Recommendation 21</w:t>
            </w:r>
            <w:r w:rsidR="00A6399C" w:rsidRPr="00C32944">
              <w:rPr>
                <w:b/>
              </w:rPr>
              <w:t xml:space="preserve">: </w:t>
            </w:r>
            <w:r w:rsidR="00A6399C">
              <w:rPr>
                <w:b/>
              </w:rPr>
              <w:t>NMO testing</w:t>
            </w:r>
          </w:p>
        </w:tc>
      </w:tr>
      <w:tr w:rsidR="00A6399C" w:rsidRPr="0065614A" w14:paraId="2F78011E" w14:textId="77777777" w:rsidTr="00B708EA">
        <w:trPr>
          <w:cantSplit/>
        </w:trPr>
        <w:tc>
          <w:tcPr>
            <w:tcW w:w="1278" w:type="dxa"/>
            <w:tcBorders>
              <w:top w:val="single" w:sz="4" w:space="0" w:color="B56011"/>
              <w:left w:val="nil"/>
              <w:bottom w:val="single" w:sz="4" w:space="0" w:color="B56011"/>
              <w:right w:val="nil"/>
            </w:tcBorders>
            <w:hideMark/>
          </w:tcPr>
          <w:p w14:paraId="58DD48AD" w14:textId="77777777" w:rsidR="00A6399C" w:rsidRPr="0065614A" w:rsidRDefault="00A6399C" w:rsidP="00A6399C">
            <w:pPr>
              <w:spacing w:before="40" w:after="40"/>
              <w:rPr>
                <w:rFonts w:cs="Arial"/>
                <w:b/>
                <w:sz w:val="18"/>
                <w:szCs w:val="18"/>
                <w:lang w:val="en-US" w:eastAsia="en-US"/>
              </w:rPr>
            </w:pPr>
            <w:r w:rsidRPr="0065614A">
              <w:rPr>
                <w:rFonts w:cs="Arial"/>
                <w:b/>
                <w:sz w:val="18"/>
                <w:szCs w:val="18"/>
                <w:lang w:val="en-US" w:eastAsia="en-US"/>
              </w:rPr>
              <w:t>Item</w:t>
            </w:r>
          </w:p>
        </w:tc>
        <w:tc>
          <w:tcPr>
            <w:tcW w:w="3205" w:type="dxa"/>
            <w:tcBorders>
              <w:top w:val="single" w:sz="4" w:space="0" w:color="B56011"/>
              <w:left w:val="nil"/>
              <w:bottom w:val="single" w:sz="4" w:space="0" w:color="B56011"/>
              <w:right w:val="nil"/>
            </w:tcBorders>
            <w:hideMark/>
          </w:tcPr>
          <w:p w14:paraId="3C39FB6D"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What it does</w:t>
            </w:r>
          </w:p>
        </w:tc>
        <w:tc>
          <w:tcPr>
            <w:tcW w:w="2713" w:type="dxa"/>
            <w:tcBorders>
              <w:top w:val="single" w:sz="4" w:space="0" w:color="B56011"/>
              <w:left w:val="nil"/>
              <w:bottom w:val="single" w:sz="4" w:space="0" w:color="B56011"/>
              <w:right w:val="nil"/>
            </w:tcBorders>
            <w:hideMark/>
          </w:tcPr>
          <w:p w14:paraId="176F51A0"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Committee recommendation</w:t>
            </w:r>
          </w:p>
        </w:tc>
        <w:tc>
          <w:tcPr>
            <w:tcW w:w="2986" w:type="dxa"/>
            <w:tcBorders>
              <w:top w:val="single" w:sz="4" w:space="0" w:color="B56011"/>
              <w:left w:val="nil"/>
              <w:bottom w:val="single" w:sz="4" w:space="0" w:color="B56011"/>
              <w:right w:val="nil"/>
            </w:tcBorders>
            <w:hideMark/>
          </w:tcPr>
          <w:p w14:paraId="249B367A"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What would be different</w:t>
            </w:r>
          </w:p>
        </w:tc>
        <w:tc>
          <w:tcPr>
            <w:tcW w:w="3941" w:type="dxa"/>
            <w:tcBorders>
              <w:top w:val="single" w:sz="4" w:space="0" w:color="B56011"/>
              <w:left w:val="nil"/>
              <w:bottom w:val="single" w:sz="4" w:space="0" w:color="B56011"/>
              <w:right w:val="nil"/>
            </w:tcBorders>
            <w:hideMark/>
          </w:tcPr>
          <w:p w14:paraId="7185A781"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Why</w:t>
            </w:r>
          </w:p>
        </w:tc>
      </w:tr>
      <w:tr w:rsidR="00A6399C" w:rsidRPr="0065614A" w14:paraId="66FC5EB7" w14:textId="77777777" w:rsidTr="00B708EA">
        <w:trPr>
          <w:cantSplit/>
        </w:trPr>
        <w:tc>
          <w:tcPr>
            <w:tcW w:w="1278" w:type="dxa"/>
            <w:tcBorders>
              <w:top w:val="single" w:sz="4" w:space="0" w:color="B56011"/>
              <w:left w:val="nil"/>
              <w:bottom w:val="single" w:sz="4" w:space="0" w:color="B56011"/>
              <w:right w:val="nil"/>
            </w:tcBorders>
          </w:tcPr>
          <w:p w14:paraId="29CF9C1D" w14:textId="77777777" w:rsidR="00A6399C" w:rsidRPr="0065614A" w:rsidRDefault="00A6399C" w:rsidP="00A6399C">
            <w:pPr>
              <w:spacing w:before="40" w:after="40"/>
              <w:rPr>
                <w:rFonts w:cs="Arial"/>
                <w:b/>
                <w:sz w:val="18"/>
                <w:szCs w:val="18"/>
                <w:lang w:val="en-US" w:eastAsia="en-US"/>
              </w:rPr>
            </w:pPr>
            <w:r>
              <w:rPr>
                <w:rFonts w:cs="Arial"/>
                <w:b/>
                <w:sz w:val="18"/>
                <w:szCs w:val="18"/>
                <w:lang w:val="en-US" w:eastAsia="en-US"/>
              </w:rPr>
              <w:t>New item</w:t>
            </w:r>
          </w:p>
        </w:tc>
        <w:tc>
          <w:tcPr>
            <w:tcW w:w="3205" w:type="dxa"/>
            <w:tcBorders>
              <w:top w:val="single" w:sz="4" w:space="0" w:color="B56011"/>
              <w:left w:val="nil"/>
              <w:bottom w:val="single" w:sz="4" w:space="0" w:color="B56011"/>
              <w:right w:val="nil"/>
            </w:tcBorders>
          </w:tcPr>
          <w:p w14:paraId="1CA4D190" w14:textId="77777777" w:rsidR="00A6399C" w:rsidRPr="0065614A" w:rsidRDefault="00A6399C" w:rsidP="00D77C5F">
            <w:pPr>
              <w:spacing w:before="40" w:after="40"/>
              <w:rPr>
                <w:rFonts w:cs="Arial"/>
                <w:sz w:val="18"/>
                <w:szCs w:val="18"/>
              </w:rPr>
            </w:pPr>
            <w:r>
              <w:rPr>
                <w:rFonts w:cs="Arial"/>
                <w:sz w:val="18"/>
                <w:szCs w:val="18"/>
              </w:rPr>
              <w:t xml:space="preserve">Provides rapid diagnosis of this </w:t>
            </w:r>
            <w:r w:rsidR="000F227B">
              <w:rPr>
                <w:rFonts w:cs="Arial"/>
                <w:sz w:val="18"/>
                <w:szCs w:val="18"/>
              </w:rPr>
              <w:t xml:space="preserve">newly-described </w:t>
            </w:r>
            <w:r>
              <w:rPr>
                <w:rFonts w:cs="Arial"/>
                <w:sz w:val="18"/>
                <w:szCs w:val="18"/>
              </w:rPr>
              <w:t xml:space="preserve">condition </w:t>
            </w:r>
            <w:r w:rsidR="000F227B">
              <w:rPr>
                <w:rFonts w:cs="Arial"/>
                <w:sz w:val="18"/>
                <w:szCs w:val="18"/>
              </w:rPr>
              <w:t>to 3 times a year per patient</w:t>
            </w:r>
          </w:p>
        </w:tc>
        <w:tc>
          <w:tcPr>
            <w:tcW w:w="2713" w:type="dxa"/>
            <w:tcBorders>
              <w:top w:val="single" w:sz="4" w:space="0" w:color="B56011"/>
              <w:left w:val="nil"/>
              <w:bottom w:val="single" w:sz="4" w:space="0" w:color="B56011"/>
              <w:right w:val="nil"/>
            </w:tcBorders>
          </w:tcPr>
          <w:p w14:paraId="7A0850A9" w14:textId="77777777" w:rsidR="00A6399C" w:rsidRPr="0065614A" w:rsidRDefault="00A6399C" w:rsidP="00A6399C">
            <w:pPr>
              <w:spacing w:before="40" w:after="40"/>
              <w:rPr>
                <w:rFonts w:cs="Arial"/>
                <w:sz w:val="18"/>
                <w:szCs w:val="18"/>
              </w:rPr>
            </w:pPr>
            <w:r>
              <w:rPr>
                <w:rFonts w:cs="Arial"/>
                <w:sz w:val="18"/>
                <w:szCs w:val="18"/>
              </w:rPr>
              <w:t>Create a new item for this test</w:t>
            </w:r>
          </w:p>
        </w:tc>
        <w:tc>
          <w:tcPr>
            <w:tcW w:w="2986" w:type="dxa"/>
            <w:tcBorders>
              <w:top w:val="single" w:sz="4" w:space="0" w:color="B56011"/>
              <w:left w:val="nil"/>
              <w:bottom w:val="single" w:sz="4" w:space="0" w:color="B56011"/>
              <w:right w:val="nil"/>
            </w:tcBorders>
          </w:tcPr>
          <w:p w14:paraId="2C0B4AF2" w14:textId="77777777" w:rsidR="00A6399C" w:rsidRPr="0065614A" w:rsidRDefault="00A6399C" w:rsidP="00A6399C">
            <w:pPr>
              <w:spacing w:before="40" w:after="40"/>
              <w:ind w:left="57" w:right="57"/>
              <w:rPr>
                <w:rFonts w:cs="Arial"/>
                <w:sz w:val="18"/>
                <w:szCs w:val="18"/>
              </w:rPr>
            </w:pPr>
            <w:r>
              <w:rPr>
                <w:rFonts w:cs="Arial"/>
                <w:sz w:val="18"/>
                <w:szCs w:val="18"/>
              </w:rPr>
              <w:t xml:space="preserve">The new test would </w:t>
            </w:r>
            <w:r w:rsidR="000F227B">
              <w:rPr>
                <w:rFonts w:cs="Arial"/>
                <w:sz w:val="18"/>
                <w:szCs w:val="18"/>
              </w:rPr>
              <w:t>provide access that wasn’t available before</w:t>
            </w:r>
          </w:p>
        </w:tc>
        <w:tc>
          <w:tcPr>
            <w:tcW w:w="3941" w:type="dxa"/>
            <w:tcBorders>
              <w:top w:val="single" w:sz="4" w:space="0" w:color="B56011"/>
              <w:left w:val="nil"/>
              <w:bottom w:val="single" w:sz="4" w:space="0" w:color="B56011"/>
              <w:right w:val="nil"/>
            </w:tcBorders>
          </w:tcPr>
          <w:p w14:paraId="484700F4" w14:textId="77777777" w:rsidR="00A6399C" w:rsidRPr="0065614A" w:rsidRDefault="00A6399C" w:rsidP="00A6399C">
            <w:pPr>
              <w:spacing w:before="40" w:after="40"/>
              <w:rPr>
                <w:rFonts w:cs="Arial"/>
                <w:sz w:val="18"/>
                <w:szCs w:val="18"/>
              </w:rPr>
            </w:pPr>
            <w:r>
              <w:rPr>
                <w:rFonts w:cs="Arial"/>
                <w:sz w:val="18"/>
                <w:szCs w:val="18"/>
              </w:rPr>
              <w:t xml:space="preserve">Use of this test is supported by </w:t>
            </w:r>
            <w:r w:rsidR="000F227B">
              <w:rPr>
                <w:rFonts w:cs="Arial"/>
                <w:sz w:val="18"/>
                <w:szCs w:val="18"/>
              </w:rPr>
              <w:t xml:space="preserve">expert </w:t>
            </w:r>
            <w:r>
              <w:rPr>
                <w:rFonts w:cs="Arial"/>
                <w:sz w:val="18"/>
                <w:szCs w:val="18"/>
              </w:rPr>
              <w:t>international guidelines and consensus</w:t>
            </w:r>
          </w:p>
        </w:tc>
      </w:tr>
    </w:tbl>
    <w:p w14:paraId="7ACA76A8" w14:textId="77777777" w:rsidR="00B708EA" w:rsidRDefault="00B708EA"/>
    <w:tbl>
      <w:tblPr>
        <w:tblStyle w:val="TableGrid"/>
        <w:tblW w:w="14123"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This table describes the pathology service, the recommendation(s) of the clinical experts and why the recommendation(s) has been made."/>
      </w:tblPr>
      <w:tblGrid>
        <w:gridCol w:w="1278"/>
        <w:gridCol w:w="3205"/>
        <w:gridCol w:w="2713"/>
        <w:gridCol w:w="2986"/>
        <w:gridCol w:w="3941"/>
      </w:tblGrid>
      <w:tr w:rsidR="00A6399C" w14:paraId="0DDF382C" w14:textId="77777777" w:rsidTr="009B2D7B">
        <w:trPr>
          <w:cantSplit/>
          <w:tblHeader/>
        </w:trPr>
        <w:tc>
          <w:tcPr>
            <w:tcW w:w="14123" w:type="dxa"/>
            <w:gridSpan w:val="5"/>
            <w:tcBorders>
              <w:top w:val="single" w:sz="4" w:space="0" w:color="B56011"/>
              <w:left w:val="nil"/>
              <w:bottom w:val="single" w:sz="4" w:space="0" w:color="B56011"/>
              <w:right w:val="nil"/>
            </w:tcBorders>
            <w:shd w:val="clear" w:color="auto" w:fill="EEECE1" w:themeFill="background2"/>
          </w:tcPr>
          <w:p w14:paraId="4437059D" w14:textId="77777777" w:rsidR="00A6399C" w:rsidRDefault="00024095" w:rsidP="00E32CD1">
            <w:pPr>
              <w:spacing w:before="40" w:after="40"/>
              <w:ind w:left="2019" w:hanging="2019"/>
              <w:rPr>
                <w:b/>
                <w:color w:val="BFBFBF" w:themeColor="background1" w:themeShade="BF"/>
              </w:rPr>
            </w:pPr>
            <w:r>
              <w:rPr>
                <w:b/>
              </w:rPr>
              <w:t>Recommendation 22</w:t>
            </w:r>
            <w:r w:rsidR="00A6399C" w:rsidRPr="00C32944">
              <w:rPr>
                <w:b/>
              </w:rPr>
              <w:t xml:space="preserve">: </w:t>
            </w:r>
            <w:r w:rsidR="00A6399C" w:rsidRPr="000234BA">
              <w:rPr>
                <w:b/>
              </w:rPr>
              <w:t>Antibodies to citrullinated peptide antigens</w:t>
            </w:r>
          </w:p>
        </w:tc>
      </w:tr>
      <w:tr w:rsidR="00A6399C" w:rsidRPr="0065614A" w14:paraId="2B53F419" w14:textId="77777777" w:rsidTr="00B708EA">
        <w:trPr>
          <w:cantSplit/>
        </w:trPr>
        <w:tc>
          <w:tcPr>
            <w:tcW w:w="1278" w:type="dxa"/>
            <w:tcBorders>
              <w:top w:val="single" w:sz="4" w:space="0" w:color="B56011"/>
              <w:left w:val="nil"/>
              <w:bottom w:val="single" w:sz="4" w:space="0" w:color="B56011"/>
              <w:right w:val="nil"/>
            </w:tcBorders>
            <w:hideMark/>
          </w:tcPr>
          <w:p w14:paraId="477AA52F" w14:textId="77777777" w:rsidR="00A6399C" w:rsidRPr="0065614A" w:rsidRDefault="00A6399C" w:rsidP="00A6399C">
            <w:pPr>
              <w:spacing w:before="40" w:after="40"/>
              <w:rPr>
                <w:rFonts w:cs="Arial"/>
                <w:b/>
                <w:sz w:val="18"/>
                <w:szCs w:val="18"/>
                <w:lang w:val="en-US" w:eastAsia="en-US"/>
              </w:rPr>
            </w:pPr>
            <w:r w:rsidRPr="0065614A">
              <w:rPr>
                <w:rFonts w:cs="Arial"/>
                <w:b/>
                <w:sz w:val="18"/>
                <w:szCs w:val="18"/>
                <w:lang w:val="en-US" w:eastAsia="en-US"/>
              </w:rPr>
              <w:t>Item</w:t>
            </w:r>
          </w:p>
        </w:tc>
        <w:tc>
          <w:tcPr>
            <w:tcW w:w="3205" w:type="dxa"/>
            <w:tcBorders>
              <w:top w:val="single" w:sz="4" w:space="0" w:color="B56011"/>
              <w:left w:val="nil"/>
              <w:bottom w:val="single" w:sz="4" w:space="0" w:color="B56011"/>
              <w:right w:val="nil"/>
            </w:tcBorders>
            <w:hideMark/>
          </w:tcPr>
          <w:p w14:paraId="471FD490"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What it does</w:t>
            </w:r>
          </w:p>
        </w:tc>
        <w:tc>
          <w:tcPr>
            <w:tcW w:w="2713" w:type="dxa"/>
            <w:tcBorders>
              <w:top w:val="single" w:sz="4" w:space="0" w:color="B56011"/>
              <w:left w:val="nil"/>
              <w:bottom w:val="single" w:sz="4" w:space="0" w:color="B56011"/>
              <w:right w:val="nil"/>
            </w:tcBorders>
            <w:hideMark/>
          </w:tcPr>
          <w:p w14:paraId="2B2A8602"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Committee recommendation</w:t>
            </w:r>
          </w:p>
        </w:tc>
        <w:tc>
          <w:tcPr>
            <w:tcW w:w="2986" w:type="dxa"/>
            <w:tcBorders>
              <w:top w:val="single" w:sz="4" w:space="0" w:color="B56011"/>
              <w:left w:val="nil"/>
              <w:bottom w:val="single" w:sz="4" w:space="0" w:color="B56011"/>
              <w:right w:val="nil"/>
            </w:tcBorders>
            <w:hideMark/>
          </w:tcPr>
          <w:p w14:paraId="1963D192"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What would be different</w:t>
            </w:r>
          </w:p>
        </w:tc>
        <w:tc>
          <w:tcPr>
            <w:tcW w:w="3941" w:type="dxa"/>
            <w:tcBorders>
              <w:top w:val="single" w:sz="4" w:space="0" w:color="B56011"/>
              <w:left w:val="nil"/>
              <w:bottom w:val="single" w:sz="4" w:space="0" w:color="B56011"/>
              <w:right w:val="nil"/>
            </w:tcBorders>
            <w:hideMark/>
          </w:tcPr>
          <w:p w14:paraId="256B9586" w14:textId="77777777" w:rsidR="00A6399C" w:rsidRPr="0065614A" w:rsidRDefault="00A6399C" w:rsidP="00A6399C">
            <w:pPr>
              <w:spacing w:before="40" w:after="40"/>
              <w:jc w:val="center"/>
              <w:rPr>
                <w:rFonts w:cs="Arial"/>
                <w:b/>
                <w:sz w:val="18"/>
                <w:szCs w:val="18"/>
                <w:lang w:val="en-US" w:eastAsia="en-US"/>
              </w:rPr>
            </w:pPr>
            <w:r w:rsidRPr="0065614A">
              <w:rPr>
                <w:rFonts w:cs="Arial"/>
                <w:b/>
                <w:sz w:val="18"/>
                <w:szCs w:val="18"/>
                <w:lang w:val="en-US" w:eastAsia="en-US"/>
              </w:rPr>
              <w:t>Why</w:t>
            </w:r>
          </w:p>
        </w:tc>
      </w:tr>
      <w:tr w:rsidR="00A6399C" w:rsidRPr="0065614A" w14:paraId="1E4EE4DE" w14:textId="77777777" w:rsidTr="00B708EA">
        <w:trPr>
          <w:cantSplit/>
        </w:trPr>
        <w:tc>
          <w:tcPr>
            <w:tcW w:w="1278" w:type="dxa"/>
            <w:tcBorders>
              <w:top w:val="single" w:sz="4" w:space="0" w:color="B56011"/>
              <w:left w:val="nil"/>
              <w:bottom w:val="single" w:sz="4" w:space="0" w:color="B56011"/>
              <w:right w:val="nil"/>
            </w:tcBorders>
          </w:tcPr>
          <w:p w14:paraId="4EC82252" w14:textId="77777777" w:rsidR="00A6399C" w:rsidRPr="0065614A" w:rsidRDefault="00A6399C" w:rsidP="00A6399C">
            <w:pPr>
              <w:spacing w:before="40" w:after="40"/>
              <w:rPr>
                <w:rFonts w:cs="Arial"/>
                <w:b/>
                <w:sz w:val="18"/>
                <w:szCs w:val="18"/>
                <w:lang w:val="en-US" w:eastAsia="en-US"/>
              </w:rPr>
            </w:pPr>
            <w:r>
              <w:rPr>
                <w:rFonts w:cs="Arial"/>
                <w:b/>
                <w:sz w:val="18"/>
                <w:szCs w:val="18"/>
                <w:lang w:val="en-US" w:eastAsia="en-US"/>
              </w:rPr>
              <w:t>New item</w:t>
            </w:r>
          </w:p>
        </w:tc>
        <w:tc>
          <w:tcPr>
            <w:tcW w:w="3205" w:type="dxa"/>
            <w:tcBorders>
              <w:top w:val="single" w:sz="4" w:space="0" w:color="B56011"/>
              <w:left w:val="nil"/>
              <w:bottom w:val="single" w:sz="4" w:space="0" w:color="B56011"/>
              <w:right w:val="nil"/>
            </w:tcBorders>
          </w:tcPr>
          <w:p w14:paraId="6ED98950" w14:textId="77777777" w:rsidR="00A6399C" w:rsidRPr="0065614A" w:rsidRDefault="00A6399C" w:rsidP="00A6399C">
            <w:pPr>
              <w:spacing w:before="40" w:after="40"/>
              <w:rPr>
                <w:rFonts w:cs="Arial"/>
                <w:sz w:val="18"/>
                <w:szCs w:val="18"/>
              </w:rPr>
            </w:pPr>
            <w:r>
              <w:rPr>
                <w:rFonts w:cs="Arial"/>
                <w:sz w:val="18"/>
                <w:szCs w:val="18"/>
              </w:rPr>
              <w:t>Tests for this inappropriate immune response seen in rheumatoid arthritis</w:t>
            </w:r>
          </w:p>
        </w:tc>
        <w:tc>
          <w:tcPr>
            <w:tcW w:w="2713" w:type="dxa"/>
            <w:tcBorders>
              <w:top w:val="single" w:sz="4" w:space="0" w:color="B56011"/>
              <w:left w:val="nil"/>
              <w:bottom w:val="single" w:sz="4" w:space="0" w:color="B56011"/>
              <w:right w:val="nil"/>
            </w:tcBorders>
          </w:tcPr>
          <w:p w14:paraId="2A75C6FD" w14:textId="77777777" w:rsidR="00A6399C" w:rsidRPr="0065614A" w:rsidRDefault="00A6399C" w:rsidP="00A6399C">
            <w:pPr>
              <w:spacing w:before="40" w:after="40"/>
              <w:rPr>
                <w:rFonts w:cs="Arial"/>
                <w:sz w:val="18"/>
                <w:szCs w:val="18"/>
              </w:rPr>
            </w:pPr>
            <w:r>
              <w:rPr>
                <w:rFonts w:cs="Arial"/>
                <w:sz w:val="18"/>
                <w:szCs w:val="18"/>
              </w:rPr>
              <w:t>Create a new item for this test and limit it to 4 times a year per patient</w:t>
            </w:r>
          </w:p>
        </w:tc>
        <w:tc>
          <w:tcPr>
            <w:tcW w:w="2986" w:type="dxa"/>
            <w:tcBorders>
              <w:top w:val="single" w:sz="4" w:space="0" w:color="B56011"/>
              <w:left w:val="nil"/>
              <w:bottom w:val="single" w:sz="4" w:space="0" w:color="B56011"/>
              <w:right w:val="nil"/>
            </w:tcBorders>
          </w:tcPr>
          <w:p w14:paraId="035F9462" w14:textId="77777777" w:rsidR="00A6399C" w:rsidRPr="0065614A" w:rsidRDefault="00A6399C" w:rsidP="00A6399C">
            <w:pPr>
              <w:spacing w:before="40" w:after="40"/>
              <w:ind w:left="57" w:right="57"/>
              <w:rPr>
                <w:rFonts w:cs="Arial"/>
                <w:sz w:val="18"/>
                <w:szCs w:val="18"/>
              </w:rPr>
            </w:pPr>
            <w:r>
              <w:rPr>
                <w:rFonts w:cs="Arial"/>
                <w:sz w:val="18"/>
                <w:szCs w:val="18"/>
              </w:rPr>
              <w:t>A new item would be available to test specifically for this inappropriate immune response, and overuse prevented</w:t>
            </w:r>
          </w:p>
        </w:tc>
        <w:tc>
          <w:tcPr>
            <w:tcW w:w="3941" w:type="dxa"/>
            <w:tcBorders>
              <w:top w:val="single" w:sz="4" w:space="0" w:color="B56011"/>
              <w:left w:val="nil"/>
              <w:bottom w:val="single" w:sz="4" w:space="0" w:color="B56011"/>
              <w:right w:val="nil"/>
            </w:tcBorders>
          </w:tcPr>
          <w:p w14:paraId="04CC171F" w14:textId="77777777" w:rsidR="00A6399C" w:rsidRDefault="00A6399C" w:rsidP="00A6399C">
            <w:pPr>
              <w:spacing w:before="40" w:after="40"/>
              <w:rPr>
                <w:rFonts w:cs="Arial"/>
                <w:sz w:val="18"/>
                <w:szCs w:val="18"/>
              </w:rPr>
            </w:pPr>
            <w:r>
              <w:rPr>
                <w:rFonts w:cs="Arial"/>
                <w:sz w:val="18"/>
                <w:szCs w:val="18"/>
              </w:rPr>
              <w:t>Requesters have been using this test for about 15 years but it has not been on the</w:t>
            </w:r>
            <w:r w:rsidR="0041508C">
              <w:rPr>
                <w:rFonts w:cs="Arial"/>
                <w:sz w:val="18"/>
                <w:szCs w:val="18"/>
              </w:rPr>
              <w:t xml:space="preserve"> MBS</w:t>
            </w:r>
            <w:r>
              <w:rPr>
                <w:rFonts w:cs="Arial"/>
                <w:sz w:val="18"/>
                <w:szCs w:val="18"/>
              </w:rPr>
              <w:t>. It is included with other tests in item 71119 so requesters have been using that instead</w:t>
            </w:r>
          </w:p>
          <w:p w14:paraId="249FB77C" w14:textId="77777777" w:rsidR="00A6399C" w:rsidRPr="0065614A" w:rsidRDefault="00A6399C" w:rsidP="00A6399C">
            <w:pPr>
              <w:spacing w:before="40" w:after="40"/>
              <w:rPr>
                <w:rFonts w:cs="Arial"/>
                <w:sz w:val="18"/>
                <w:szCs w:val="18"/>
              </w:rPr>
            </w:pPr>
          </w:p>
        </w:tc>
      </w:tr>
    </w:tbl>
    <w:p w14:paraId="53AEE3CD" w14:textId="77777777" w:rsidR="005B4FEA" w:rsidRPr="00AF5D75" w:rsidRDefault="005B4FEA" w:rsidP="00EE5DF6">
      <w:pPr>
        <w:pStyle w:val="Boldhdg"/>
        <w:tabs>
          <w:tab w:val="left" w:pos="2880"/>
        </w:tabs>
        <w:rPr>
          <w:szCs w:val="20"/>
        </w:rPr>
      </w:pPr>
    </w:p>
    <w:sectPr w:rsidR="005B4FEA" w:rsidRPr="00AF5D75" w:rsidSect="005E260A">
      <w:footerReference w:type="default" r:id="rId12"/>
      <w:pgSz w:w="16838" w:h="11906" w:orient="landscape" w:code="9"/>
      <w:pgMar w:top="1440" w:right="1440" w:bottom="1440" w:left="1276"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EFA09" w14:textId="77777777" w:rsidR="003D5BFE" w:rsidRDefault="003D5BFE" w:rsidP="000D1CF6">
      <w:r>
        <w:separator/>
      </w:r>
    </w:p>
    <w:p w14:paraId="670AD587" w14:textId="77777777" w:rsidR="003D5BFE" w:rsidRDefault="003D5BFE" w:rsidP="000D1CF6"/>
    <w:p w14:paraId="25AE86F8" w14:textId="77777777" w:rsidR="003D5BFE" w:rsidRDefault="003D5BFE"/>
  </w:endnote>
  <w:endnote w:type="continuationSeparator" w:id="0">
    <w:p w14:paraId="4D2B4464" w14:textId="77777777" w:rsidR="003D5BFE" w:rsidRDefault="003D5BFE" w:rsidP="000D1CF6">
      <w:r>
        <w:continuationSeparator/>
      </w:r>
    </w:p>
    <w:p w14:paraId="0FEB8740" w14:textId="77777777" w:rsidR="003D5BFE" w:rsidRDefault="003D5BFE" w:rsidP="000D1CF6"/>
    <w:p w14:paraId="59B04A56" w14:textId="77777777" w:rsidR="003D5BFE" w:rsidRDefault="003D5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4E89" w14:textId="77777777" w:rsidR="003D5BFE" w:rsidRDefault="003D5BFE">
    <w:pPr>
      <w:pStyle w:val="Footer"/>
    </w:pPr>
    <w:r w:rsidRPr="008460E3">
      <w:rPr>
        <w:color w:val="01653F"/>
      </w:rPr>
      <w:t xml:space="preserve">Report from </w:t>
    </w:r>
    <w:r>
      <w:rPr>
        <w:color w:val="01653F"/>
      </w:rPr>
      <w:t>Pathology</w:t>
    </w:r>
    <w:r w:rsidRPr="008460E3">
      <w:rPr>
        <w:color w:val="01653F"/>
      </w:rPr>
      <w:t xml:space="preserve"> Clinical Committee –</w:t>
    </w:r>
    <w:r>
      <w:rPr>
        <w:color w:val="01653F"/>
      </w:rPr>
      <w:t xml:space="preserve"> Immunology – February 2018</w:t>
    </w:r>
    <w:r>
      <w:rPr>
        <w:color w:val="01653F"/>
      </w:rPr>
      <w:tab/>
      <w:t xml:space="preserve">Page </w:t>
    </w:r>
    <w:r w:rsidRPr="0050434D">
      <w:rPr>
        <w:color w:val="01653F"/>
      </w:rPr>
      <w:fldChar w:fldCharType="begin"/>
    </w:r>
    <w:r w:rsidRPr="0050434D">
      <w:rPr>
        <w:color w:val="01653F"/>
      </w:rPr>
      <w:instrText xml:space="preserve"> PAGE   \* MERGEFORMAT </w:instrText>
    </w:r>
    <w:r w:rsidRPr="0050434D">
      <w:rPr>
        <w:color w:val="01653F"/>
      </w:rPr>
      <w:fldChar w:fldCharType="separate"/>
    </w:r>
    <w:r w:rsidR="00122A33">
      <w:rPr>
        <w:noProof/>
        <w:color w:val="01653F"/>
      </w:rPr>
      <w:t>1</w:t>
    </w:r>
    <w:r w:rsidRPr="0050434D">
      <w:rPr>
        <w:noProof/>
        <w:color w:val="01653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84176" w14:textId="77777777" w:rsidR="003D5BFE" w:rsidRPr="003B1222" w:rsidRDefault="003D5BFE" w:rsidP="00381125">
    <w:pPr>
      <w:pStyle w:val="Footer"/>
      <w:pBdr>
        <w:top w:val="single" w:sz="4" w:space="1" w:color="B56012"/>
      </w:pBdr>
      <w:tabs>
        <w:tab w:val="clear" w:pos="4513"/>
      </w:tabs>
      <w:jc w:val="center"/>
      <w:rPr>
        <w:color w:val="01653F"/>
        <w:sz w:val="16"/>
      </w:rPr>
    </w:pPr>
    <w:r w:rsidRPr="000869E6">
      <w:rPr>
        <w:color w:val="01653F"/>
        <w:sz w:val="16"/>
      </w:rPr>
      <w:t xml:space="preserve">Report from the </w:t>
    </w:r>
    <w:r>
      <w:rPr>
        <w:color w:val="01653F"/>
        <w:sz w:val="16"/>
      </w:rPr>
      <w:t>Pathology</w:t>
    </w:r>
    <w:r w:rsidRPr="000869E6">
      <w:rPr>
        <w:color w:val="01653F"/>
        <w:sz w:val="16"/>
      </w:rPr>
      <w:t xml:space="preserve"> Clinical Committee – </w:t>
    </w:r>
    <w:r>
      <w:rPr>
        <w:color w:val="01653F"/>
        <w:sz w:val="16"/>
      </w:rPr>
      <w:t>2018</w:t>
    </w:r>
    <w:r w:rsidRPr="003B1222">
      <w:rPr>
        <w:color w:val="01653F"/>
        <w:sz w:val="16"/>
      </w:rPr>
      <w:tab/>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00C14D09" w:rsidRPr="00C14D09">
      <w:rPr>
        <w:rFonts w:eastAsiaTheme="majorEastAsia"/>
        <w:noProof/>
        <w:color w:val="01653F"/>
        <w:sz w:val="16"/>
      </w:rPr>
      <w:t>48</w:t>
    </w:r>
    <w:r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33860" w14:textId="77777777" w:rsidR="003D5BFE" w:rsidRDefault="003D5BFE" w:rsidP="000D1CF6">
      <w:r>
        <w:separator/>
      </w:r>
    </w:p>
    <w:p w14:paraId="08B68D4D" w14:textId="77777777" w:rsidR="003D5BFE" w:rsidRDefault="003D5BFE" w:rsidP="000D1CF6"/>
    <w:p w14:paraId="5E576EF4" w14:textId="77777777" w:rsidR="003D5BFE" w:rsidRDefault="003D5BFE"/>
  </w:footnote>
  <w:footnote w:type="continuationSeparator" w:id="0">
    <w:p w14:paraId="063F171B" w14:textId="77777777" w:rsidR="003D5BFE" w:rsidRDefault="003D5BFE" w:rsidP="000D1CF6">
      <w:r>
        <w:continuationSeparator/>
      </w:r>
    </w:p>
    <w:p w14:paraId="3D660F92" w14:textId="77777777" w:rsidR="003D5BFE" w:rsidRDefault="003D5BFE" w:rsidP="000D1CF6"/>
    <w:p w14:paraId="0F7026B0" w14:textId="77777777" w:rsidR="003D5BFE" w:rsidRDefault="003D5BFE"/>
  </w:footnote>
  <w:footnote w:id="1">
    <w:p w14:paraId="358CEF5A" w14:textId="77777777" w:rsidR="003D5BFE" w:rsidRPr="006A17D1" w:rsidRDefault="003D5BFE">
      <w:pPr>
        <w:pStyle w:val="FootnoteText"/>
        <w:rPr>
          <w:sz w:val="16"/>
        </w:rPr>
      </w:pPr>
      <w:r w:rsidRPr="006A17D1">
        <w:rPr>
          <w:rStyle w:val="FootnoteReference"/>
          <w:sz w:val="16"/>
        </w:rPr>
        <w:footnoteRef/>
      </w:r>
      <w:r w:rsidRPr="006A17D1">
        <w:rPr>
          <w:sz w:val="16"/>
        </w:rPr>
        <w:t xml:space="preserve"> The use of an intervention that evidence suggests confers no or very little benefit on consumers; or where the risk of harm exceeds the likely benefit; or, more broadly, where the added costs of the intervention do not provide proportional added benefits.</w:t>
      </w:r>
    </w:p>
  </w:footnote>
  <w:footnote w:id="2">
    <w:p w14:paraId="7AC72D21" w14:textId="77777777" w:rsidR="003D5BFE" w:rsidRDefault="003D5BFE">
      <w:pPr>
        <w:pStyle w:val="FootnoteText"/>
      </w:pPr>
      <w:r w:rsidRPr="006A17D1">
        <w:rPr>
          <w:rStyle w:val="FootnoteReference"/>
          <w:sz w:val="16"/>
        </w:rPr>
        <w:footnoteRef/>
      </w:r>
      <w:r w:rsidRPr="006A17D1">
        <w:rPr>
          <w:sz w:val="16"/>
        </w:rPr>
        <w:t xml:space="preserve"> The use of MBS services for purposes other than those intended. This includes a range of behaviours, from failing to adhere to particular item descriptors or rules through to deliberate fraud.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1E57"/>
    <w:multiLevelType w:val="hybridMultilevel"/>
    <w:tmpl w:val="A2226A5A"/>
    <w:lvl w:ilvl="0" w:tplc="92CAC6EA">
      <w:start w:val="5"/>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E6D56"/>
    <w:multiLevelType w:val="hybridMultilevel"/>
    <w:tmpl w:val="A6E895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62010"/>
    <w:multiLevelType w:val="hybridMultilevel"/>
    <w:tmpl w:val="3D648BFE"/>
    <w:lvl w:ilvl="0" w:tplc="E0689C7E">
      <w:start w:val="1"/>
      <w:numFmt w:val="lowerRoman"/>
      <w:pStyle w:val="TableBulletrom"/>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23834"/>
    <w:multiLevelType w:val="hybridMultilevel"/>
    <w:tmpl w:val="54801C88"/>
    <w:lvl w:ilvl="0" w:tplc="D0807B36">
      <w:start w:val="1"/>
      <w:numFmt w:val="upperLetter"/>
      <w:pStyle w:val="AppendixStyle1"/>
      <w:lvlText w:val="Appendix %1"/>
      <w:lvlJc w:val="left"/>
      <w:pPr>
        <w:ind w:left="360" w:hanging="360"/>
      </w:pPr>
      <w:rPr>
        <w:rFonts w:hint="default"/>
        <w:bCs w:val="0"/>
        <w:i w:val="0"/>
        <w:iCs w:val="0"/>
        <w:caps w:val="0"/>
        <w:smallCaps w:val="0"/>
        <w:strike w:val="0"/>
        <w:dstrike w:val="0"/>
        <w:vanish w:val="0"/>
        <w:color w:val="006600"/>
        <w:spacing w:val="0"/>
        <w:kern w:val="0"/>
        <w:position w:val="0"/>
        <w:sz w:val="32"/>
        <w:szCs w:val="32"/>
        <w:u w:val="none"/>
        <w:effect w:val="none"/>
        <w:vertAlign w:val="baseline"/>
        <w:em w:val="none"/>
      </w:rPr>
    </w:lvl>
    <w:lvl w:ilvl="1" w:tplc="0C090019" w:tentative="1">
      <w:start w:val="1"/>
      <w:numFmt w:val="lowerLetter"/>
      <w:lvlText w:val="%2."/>
      <w:lvlJc w:val="left"/>
      <w:pPr>
        <w:ind w:left="-5506" w:hanging="360"/>
      </w:pPr>
    </w:lvl>
    <w:lvl w:ilvl="2" w:tplc="0C09001B" w:tentative="1">
      <w:start w:val="1"/>
      <w:numFmt w:val="lowerRoman"/>
      <w:lvlText w:val="%3."/>
      <w:lvlJc w:val="right"/>
      <w:pPr>
        <w:ind w:left="-4786" w:hanging="180"/>
      </w:pPr>
    </w:lvl>
    <w:lvl w:ilvl="3" w:tplc="0C09000F" w:tentative="1">
      <w:start w:val="1"/>
      <w:numFmt w:val="decimal"/>
      <w:lvlText w:val="%4."/>
      <w:lvlJc w:val="left"/>
      <w:pPr>
        <w:ind w:left="-4066" w:hanging="360"/>
      </w:pPr>
    </w:lvl>
    <w:lvl w:ilvl="4" w:tplc="0C090019" w:tentative="1">
      <w:start w:val="1"/>
      <w:numFmt w:val="lowerLetter"/>
      <w:lvlText w:val="%5."/>
      <w:lvlJc w:val="left"/>
      <w:pPr>
        <w:ind w:left="-3346" w:hanging="360"/>
      </w:pPr>
    </w:lvl>
    <w:lvl w:ilvl="5" w:tplc="0C09001B" w:tentative="1">
      <w:start w:val="1"/>
      <w:numFmt w:val="lowerRoman"/>
      <w:lvlText w:val="%6."/>
      <w:lvlJc w:val="right"/>
      <w:pPr>
        <w:ind w:left="-2626" w:hanging="180"/>
      </w:pPr>
    </w:lvl>
    <w:lvl w:ilvl="6" w:tplc="0C09000F" w:tentative="1">
      <w:start w:val="1"/>
      <w:numFmt w:val="decimal"/>
      <w:lvlText w:val="%7."/>
      <w:lvlJc w:val="left"/>
      <w:pPr>
        <w:ind w:left="-1906" w:hanging="360"/>
      </w:pPr>
    </w:lvl>
    <w:lvl w:ilvl="7" w:tplc="0C090019" w:tentative="1">
      <w:start w:val="1"/>
      <w:numFmt w:val="lowerLetter"/>
      <w:lvlText w:val="%8."/>
      <w:lvlJc w:val="left"/>
      <w:pPr>
        <w:ind w:left="-1186" w:hanging="360"/>
      </w:pPr>
    </w:lvl>
    <w:lvl w:ilvl="8" w:tplc="0C09001B" w:tentative="1">
      <w:start w:val="1"/>
      <w:numFmt w:val="lowerRoman"/>
      <w:lvlText w:val="%9."/>
      <w:lvlJc w:val="right"/>
      <w:pPr>
        <w:ind w:left="-466" w:hanging="180"/>
      </w:pPr>
    </w:lvl>
  </w:abstractNum>
  <w:abstractNum w:abstractNumId="5" w15:restartNumberingAfterBreak="0">
    <w:nsid w:val="1F2B78F3"/>
    <w:multiLevelType w:val="hybridMultilevel"/>
    <w:tmpl w:val="1AFCB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27BFD"/>
    <w:multiLevelType w:val="multilevel"/>
    <w:tmpl w:val="B3C89B00"/>
    <w:lvl w:ilvl="0">
      <w:start w:val="1"/>
      <w:numFmt w:val="bullet"/>
      <w:pStyle w:val="01squarebullet"/>
      <w:lvlText w:val=""/>
      <w:lvlJc w:val="left"/>
      <w:pPr>
        <w:tabs>
          <w:tab w:val="num" w:pos="357"/>
        </w:tabs>
        <w:ind w:left="360" w:hanging="360"/>
      </w:pPr>
      <w:rPr>
        <w:rFonts w:ascii="Symbol" w:hAnsi="Symbol"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7"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cs="Times New Roman"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9" w15:restartNumberingAfterBreak="0">
    <w:nsid w:val="24742B66"/>
    <w:multiLevelType w:val="hybridMultilevel"/>
    <w:tmpl w:val="553AF8DE"/>
    <w:lvl w:ilvl="0" w:tplc="0C090001">
      <w:start w:val="1"/>
      <w:numFmt w:val="bullet"/>
      <w:lvlText w:val=""/>
      <w:lvlJc w:val="left"/>
      <w:pPr>
        <w:ind w:left="720" w:hanging="360"/>
      </w:pPr>
      <w:rPr>
        <w:rFonts w:ascii="Symbol" w:hAnsi="Symbol" w:hint="default"/>
      </w:rPr>
    </w:lvl>
    <w:lvl w:ilvl="1" w:tplc="F4C24EB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346511"/>
    <w:multiLevelType w:val="hybridMultilevel"/>
    <w:tmpl w:val="801072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6A760D"/>
    <w:multiLevelType w:val="hybridMultilevel"/>
    <w:tmpl w:val="5FEE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F968D9"/>
    <w:multiLevelType w:val="hybridMultilevel"/>
    <w:tmpl w:val="1B026312"/>
    <w:lvl w:ilvl="0" w:tplc="0C1E34B8">
      <w:start w:val="1"/>
      <w:numFmt w:val="decimal"/>
      <w:pStyle w:val="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5177014C"/>
    <w:multiLevelType w:val="hybridMultilevel"/>
    <w:tmpl w:val="B4A81A6C"/>
    <w:lvl w:ilvl="0" w:tplc="026C36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574A11"/>
    <w:multiLevelType w:val="multilevel"/>
    <w:tmpl w:val="8DB4AC64"/>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6" w15:restartNumberingAfterBreak="0">
    <w:nsid w:val="5D3E6187"/>
    <w:multiLevelType w:val="hybridMultilevel"/>
    <w:tmpl w:val="761E0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323AE1"/>
    <w:multiLevelType w:val="hybridMultilevel"/>
    <w:tmpl w:val="A3604B9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742C7B"/>
    <w:multiLevelType w:val="hybridMultilevel"/>
    <w:tmpl w:val="6EE47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E9153F"/>
    <w:multiLevelType w:val="hybridMultilevel"/>
    <w:tmpl w:val="B6ECEA32"/>
    <w:lvl w:ilvl="0" w:tplc="3E12CCD0">
      <w:start w:val="1"/>
      <w:numFmt w:val="bullet"/>
      <w:pStyle w:val="NormalBulleted"/>
      <w:lvlText w:val="∆"/>
      <w:lvlJc w:val="left"/>
      <w:pPr>
        <w:ind w:left="862" w:hanging="431"/>
      </w:pPr>
      <w:rPr>
        <w:rFonts w:ascii="Calibri" w:hAnsi="Calibri" w:hint="default"/>
        <w:color w:val="B56012"/>
      </w:rPr>
    </w:lvl>
    <w:lvl w:ilvl="1" w:tplc="74B6F98C">
      <w:numFmt w:val="bullet"/>
      <w:lvlText w:val="-"/>
      <w:lvlJc w:val="left"/>
      <w:pPr>
        <w:ind w:left="2231" w:hanging="720"/>
      </w:pPr>
      <w:rPr>
        <w:rFonts w:ascii="Calibri" w:eastAsia="Times New Roman" w:hAnsi="Calibri" w:cs="Times New Roman"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0"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1" w15:restartNumberingAfterBreak="0">
    <w:nsid w:val="6FE02197"/>
    <w:multiLevelType w:val="multilevel"/>
    <w:tmpl w:val="94D8B202"/>
    <w:lvl w:ilvl="0">
      <w:start w:val="1"/>
      <w:numFmt w:val="decimal"/>
      <w:pStyle w:val="Numbered"/>
      <w:lvlText w:val="%1."/>
      <w:lvlJc w:val="left"/>
      <w:pPr>
        <w:ind w:left="360" w:hanging="360"/>
      </w:pPr>
      <w:rPr>
        <w:rFonts w:hint="default"/>
        <w:b w:val="0"/>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0575B2"/>
    <w:multiLevelType w:val="multilevel"/>
    <w:tmpl w:val="521C8AFA"/>
    <w:lvl w:ilvl="0">
      <w:start w:val="1"/>
      <w:numFmt w:val="decimal"/>
      <w:pStyle w:val="Heading1"/>
      <w:lvlText w:val="%1."/>
      <w:lvlJc w:val="left"/>
      <w:pPr>
        <w:ind w:left="4118" w:hanging="432"/>
      </w:pPr>
      <w:rPr>
        <w:rFonts w:cs="Times New Roman" w:hint="default"/>
        <w:b/>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702" w:hanging="576"/>
      </w:pPr>
      <w:rPr>
        <w:rFonts w:hint="default"/>
      </w:rPr>
    </w:lvl>
    <w:lvl w:ilvl="2">
      <w:start w:val="1"/>
      <w:numFmt w:val="decimal"/>
      <w:pStyle w:val="Heading3Numbered"/>
      <w:lvlText w:val="%1.%2.%3"/>
      <w:lvlJc w:val="left"/>
      <w:pPr>
        <w:ind w:left="8658"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7EDB59BA"/>
    <w:multiLevelType w:val="multilevel"/>
    <w:tmpl w:val="8DB4AC64"/>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num w:numId="1">
    <w:abstractNumId w:val="7"/>
  </w:num>
  <w:num w:numId="2">
    <w:abstractNumId w:val="9"/>
  </w:num>
  <w:num w:numId="3">
    <w:abstractNumId w:val="6"/>
  </w:num>
  <w:num w:numId="4">
    <w:abstractNumId w:val="4"/>
  </w:num>
  <w:num w:numId="5">
    <w:abstractNumId w:val="12"/>
  </w:num>
  <w:num w:numId="6">
    <w:abstractNumId w:val="22"/>
  </w:num>
  <w:num w:numId="7">
    <w:abstractNumId w:val="19"/>
  </w:num>
  <w:num w:numId="8">
    <w:abstractNumId w:val="13"/>
  </w:num>
  <w:num w:numId="9">
    <w:abstractNumId w:val="21"/>
  </w:num>
  <w:num w:numId="10">
    <w:abstractNumId w:val="3"/>
  </w:num>
  <w:num w:numId="11">
    <w:abstractNumId w:val="2"/>
  </w:num>
  <w:num w:numId="12">
    <w:abstractNumId w:val="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lvlOverride w:ilvl="1">
      <w:lvl w:ilvl="1">
        <w:start w:val="1"/>
        <w:numFmt w:val="bullet"/>
        <w:lvlText w:val="–"/>
        <w:lvlJc w:val="left"/>
        <w:pPr>
          <w:tabs>
            <w:tab w:val="num" w:pos="1421"/>
          </w:tabs>
          <w:ind w:left="1419" w:hanging="284"/>
        </w:pPr>
        <w:rPr>
          <w:rFonts w:ascii="Arial" w:hAnsi="Arial" w:hint="default"/>
          <w:color w:val="auto"/>
          <w:sz w:val="24"/>
        </w:rPr>
      </w:lvl>
    </w:lvlOverride>
  </w:num>
  <w:num w:numId="21">
    <w:abstractNumId w:val="23"/>
  </w:num>
  <w:num w:numId="22">
    <w:abstractNumId w:val="20"/>
  </w:num>
  <w:num w:numId="23">
    <w:abstractNumId w:val="1"/>
  </w:num>
  <w:num w:numId="24">
    <w:abstractNumId w:val="10"/>
  </w:num>
  <w:num w:numId="25">
    <w:abstractNumId w:val="11"/>
  </w:num>
  <w:num w:numId="26">
    <w:abstractNumId w:val="16"/>
  </w:num>
  <w:num w:numId="27">
    <w:abstractNumId w:val="14"/>
  </w:num>
  <w:num w:numId="28">
    <w:abstractNumId w:val="19"/>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1843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ategoryHeadingStyles" w:val="&lt;section-heading-styles&gt;&lt;category-title alignment=&quot;1&quot;&gt;&lt;/category-title&gt;&lt;category-heading bold=&quot;1&quot;&gt;&lt;/category-heading&gt;&lt;/section-heading-styles&gt;"/>
    <w:docVar w:name="EN.DefaultReferenceGroups" w:val="&lt;reference-groups&gt;&lt;reference-group&gt;&lt;kind&gt;1&lt;/kind&gt;&lt;heading&gt;&lt;/heading&gt;&lt;alignment&gt;0&lt;/alignment&gt;&lt;records&gt;&lt;record&gt;&lt;key app=&quot;EN&quot; db-id=&quot;05trxwd9pxaf9oeezd6xrte0pftav5ade0ww&quot; timestamp=&quot;1507605256&quot;&gt;54&lt;/key&gt;&lt;/record&gt;&lt;record&gt;&lt;key app=&quot;EN&quot; db-id=&quot;05trxwd9pxaf9oeezd6xrte0pftav5ade0ww&quot; timestamp=&quot;1496990144&quot;&gt;47&lt;/key&gt;&lt;/record&gt;&lt;record&gt;&lt;key app=&quot;EN&quot; db-id=&quot;05trxwd9pxaf9oeezd6xrte0pftav5ade0ww&quot; timestamp=&quot;1496979121&quot;&gt;6&lt;/key&gt;&lt;/record&gt;&lt;record&gt;&lt;key app=&quot;EN&quot; db-id=&quot;05trxwd9pxaf9oeezd6xrte0pftav5ade0ww&quot; timestamp=&quot;1496122873&quot;&gt;5&lt;/key&gt;&lt;/record&gt;&lt;record&gt;&lt;key app=&quot;EN&quot; db-id=&quot;05trxwd9pxaf9oeezd6xrte0pftav5ade0ww&quot; timestamp=&quot;1497331924&quot;&gt;49&lt;/key&gt;&lt;/record&gt;&lt;record&gt;&lt;key app=&quot;EN&quot; db-id=&quot;05trxwd9pxaf9oeezd6xrte0pftav5ade0ww&quot; timestamp=&quot;1493256033&quot;&gt;1&lt;/key&gt;&lt;/record&gt;&lt;record&gt;&lt;key app=&quot;EN&quot; db-id=&quot;05trxwd9pxaf9oeezd6xrte0pftav5ade0ww&quot; timestamp=&quot;1493257110&quot;&gt;2&lt;/key&gt;&lt;/record&gt;&lt;record&gt;&lt;key app=&quot;EN&quot; db-id=&quot;05trxwd9pxaf9oeezd6xrte0pftav5ade0ww&quot; timestamp=&quot;1493257190&quot;&gt;3&lt;/key&gt;&lt;/record&gt;&lt;/records&gt;&lt;/reference-group&gt;&lt;reference-group&gt;&lt;kind&gt;0&lt;/kind&gt;&lt;heading&gt;&lt;/heading&gt;&lt;alignment&gt;0&lt;/alignment&gt;&lt;records&gt;&lt;/records&gt;&lt;/reference-group&gt;&lt;/reference-groups&gt;"/>
    <w:docVar w:name="EN.InstantFormat" w:val="&lt;ENInstantFormat&gt;&lt;Enabled&gt;1&lt;/Enabled&gt;&lt;ScanUnformatted&gt;1&lt;/ScanUnformatted&gt;&lt;ScanChanges&gt;1&lt;/ScanChanges&gt;&lt;Suspended&gt;0&lt;/Suspended&gt;&lt;/ENInstantFormat&gt;"/>
    <w:docVar w:name="EN.Layout" w:val="&lt;ENLayout&gt;&lt;Style&gt;ISO 690 numeric citatio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trxwd9pxaf9oeezd6xrte0pftav5ade0ww&quot;&gt;IWG report&lt;record-ids&gt;&lt;item&gt;1&lt;/item&gt;&lt;item&gt;2&lt;/item&gt;&lt;item&gt;3&lt;/item&gt;&lt;item&gt;4&lt;/item&gt;&lt;item&gt;5&lt;/item&gt;&lt;item&gt;6&lt;/item&gt;&lt;item&gt;47&lt;/item&gt;&lt;item&gt;49&lt;/item&gt;&lt;item&gt;54&lt;/item&gt;&lt;/record-ids&gt;&lt;/item&gt;&lt;/Libraries&gt;"/>
    <w:docVar w:name="IsNewDoc" w:val="No"/>
  </w:docVars>
  <w:rsids>
    <w:rsidRoot w:val="003304E7"/>
    <w:rsid w:val="000006E3"/>
    <w:rsid w:val="0000150F"/>
    <w:rsid w:val="00001F7B"/>
    <w:rsid w:val="00002477"/>
    <w:rsid w:val="00002678"/>
    <w:rsid w:val="00002A0C"/>
    <w:rsid w:val="000036E5"/>
    <w:rsid w:val="00003EDD"/>
    <w:rsid w:val="000041EB"/>
    <w:rsid w:val="000044E9"/>
    <w:rsid w:val="00004920"/>
    <w:rsid w:val="00004CCA"/>
    <w:rsid w:val="0000566B"/>
    <w:rsid w:val="00006915"/>
    <w:rsid w:val="0000693D"/>
    <w:rsid w:val="00006AE9"/>
    <w:rsid w:val="00007CFB"/>
    <w:rsid w:val="000107B3"/>
    <w:rsid w:val="0001084A"/>
    <w:rsid w:val="000132DC"/>
    <w:rsid w:val="00013426"/>
    <w:rsid w:val="00013881"/>
    <w:rsid w:val="0001393A"/>
    <w:rsid w:val="00013C66"/>
    <w:rsid w:val="000140C8"/>
    <w:rsid w:val="00014712"/>
    <w:rsid w:val="00014B3B"/>
    <w:rsid w:val="0001545C"/>
    <w:rsid w:val="00015973"/>
    <w:rsid w:val="00015B60"/>
    <w:rsid w:val="00017563"/>
    <w:rsid w:val="00017CCA"/>
    <w:rsid w:val="00020196"/>
    <w:rsid w:val="00020431"/>
    <w:rsid w:val="00020587"/>
    <w:rsid w:val="000206BB"/>
    <w:rsid w:val="00020E0E"/>
    <w:rsid w:val="00020F53"/>
    <w:rsid w:val="00021A9A"/>
    <w:rsid w:val="00022E87"/>
    <w:rsid w:val="00022F96"/>
    <w:rsid w:val="0002353D"/>
    <w:rsid w:val="00023C89"/>
    <w:rsid w:val="00024095"/>
    <w:rsid w:val="00024230"/>
    <w:rsid w:val="00024FE0"/>
    <w:rsid w:val="000251BA"/>
    <w:rsid w:val="000253EC"/>
    <w:rsid w:val="00025726"/>
    <w:rsid w:val="0002618B"/>
    <w:rsid w:val="00026832"/>
    <w:rsid w:val="00027148"/>
    <w:rsid w:val="000278CF"/>
    <w:rsid w:val="00027AC6"/>
    <w:rsid w:val="00027C07"/>
    <w:rsid w:val="0003055F"/>
    <w:rsid w:val="000309CE"/>
    <w:rsid w:val="00030B42"/>
    <w:rsid w:val="00031095"/>
    <w:rsid w:val="00031ADE"/>
    <w:rsid w:val="00031F0C"/>
    <w:rsid w:val="00031F39"/>
    <w:rsid w:val="00031F66"/>
    <w:rsid w:val="00032108"/>
    <w:rsid w:val="00032E37"/>
    <w:rsid w:val="000332C3"/>
    <w:rsid w:val="000337EF"/>
    <w:rsid w:val="00033DA4"/>
    <w:rsid w:val="0003544F"/>
    <w:rsid w:val="00035A74"/>
    <w:rsid w:val="00036C0E"/>
    <w:rsid w:val="00040EAC"/>
    <w:rsid w:val="00040F54"/>
    <w:rsid w:val="000411E6"/>
    <w:rsid w:val="00042A17"/>
    <w:rsid w:val="000434D8"/>
    <w:rsid w:val="00043742"/>
    <w:rsid w:val="000437B7"/>
    <w:rsid w:val="00043DBD"/>
    <w:rsid w:val="000440C2"/>
    <w:rsid w:val="000441C6"/>
    <w:rsid w:val="00045495"/>
    <w:rsid w:val="000459AD"/>
    <w:rsid w:val="00045F1B"/>
    <w:rsid w:val="00045F6B"/>
    <w:rsid w:val="00046491"/>
    <w:rsid w:val="00046AF0"/>
    <w:rsid w:val="00046C9C"/>
    <w:rsid w:val="00047145"/>
    <w:rsid w:val="0004721F"/>
    <w:rsid w:val="00047FB5"/>
    <w:rsid w:val="000501C9"/>
    <w:rsid w:val="00050ED2"/>
    <w:rsid w:val="00050EF0"/>
    <w:rsid w:val="00051A8A"/>
    <w:rsid w:val="00052DB7"/>
    <w:rsid w:val="000531AF"/>
    <w:rsid w:val="000537C0"/>
    <w:rsid w:val="00054036"/>
    <w:rsid w:val="000544D2"/>
    <w:rsid w:val="00054D62"/>
    <w:rsid w:val="0005522D"/>
    <w:rsid w:val="0005557F"/>
    <w:rsid w:val="000557CD"/>
    <w:rsid w:val="000558E5"/>
    <w:rsid w:val="0005673E"/>
    <w:rsid w:val="00056C9E"/>
    <w:rsid w:val="00056CF7"/>
    <w:rsid w:val="00057AB0"/>
    <w:rsid w:val="00057F0D"/>
    <w:rsid w:val="00060C76"/>
    <w:rsid w:val="00061127"/>
    <w:rsid w:val="000612DC"/>
    <w:rsid w:val="000612E4"/>
    <w:rsid w:val="0006140B"/>
    <w:rsid w:val="0006177C"/>
    <w:rsid w:val="0006285D"/>
    <w:rsid w:val="00062B74"/>
    <w:rsid w:val="0006309D"/>
    <w:rsid w:val="0006327E"/>
    <w:rsid w:val="00064465"/>
    <w:rsid w:val="0006464C"/>
    <w:rsid w:val="00064A52"/>
    <w:rsid w:val="00064B5B"/>
    <w:rsid w:val="0006504A"/>
    <w:rsid w:val="000653C1"/>
    <w:rsid w:val="000655C1"/>
    <w:rsid w:val="00065ADB"/>
    <w:rsid w:val="00065C11"/>
    <w:rsid w:val="00066AF2"/>
    <w:rsid w:val="00067BEC"/>
    <w:rsid w:val="00067EF9"/>
    <w:rsid w:val="00070239"/>
    <w:rsid w:val="00070347"/>
    <w:rsid w:val="000703EC"/>
    <w:rsid w:val="000707D3"/>
    <w:rsid w:val="0007094F"/>
    <w:rsid w:val="00070CD8"/>
    <w:rsid w:val="000711C8"/>
    <w:rsid w:val="0007194A"/>
    <w:rsid w:val="00071E49"/>
    <w:rsid w:val="0007261D"/>
    <w:rsid w:val="00072D68"/>
    <w:rsid w:val="00073660"/>
    <w:rsid w:val="000737C9"/>
    <w:rsid w:val="00074357"/>
    <w:rsid w:val="000744E0"/>
    <w:rsid w:val="0007506F"/>
    <w:rsid w:val="0007623D"/>
    <w:rsid w:val="000765ED"/>
    <w:rsid w:val="00076AB6"/>
    <w:rsid w:val="00076C83"/>
    <w:rsid w:val="00080EFF"/>
    <w:rsid w:val="000813B5"/>
    <w:rsid w:val="00081875"/>
    <w:rsid w:val="00081F8E"/>
    <w:rsid w:val="00082219"/>
    <w:rsid w:val="000828C5"/>
    <w:rsid w:val="000831DB"/>
    <w:rsid w:val="000838B7"/>
    <w:rsid w:val="00083CF7"/>
    <w:rsid w:val="00083E2A"/>
    <w:rsid w:val="0008448B"/>
    <w:rsid w:val="000845FF"/>
    <w:rsid w:val="00084AF3"/>
    <w:rsid w:val="00084B53"/>
    <w:rsid w:val="00084C50"/>
    <w:rsid w:val="00084F7A"/>
    <w:rsid w:val="000857C0"/>
    <w:rsid w:val="0008648C"/>
    <w:rsid w:val="000869E6"/>
    <w:rsid w:val="00086AFF"/>
    <w:rsid w:val="00086C40"/>
    <w:rsid w:val="00086C49"/>
    <w:rsid w:val="00086FD0"/>
    <w:rsid w:val="0008778F"/>
    <w:rsid w:val="00087975"/>
    <w:rsid w:val="00091189"/>
    <w:rsid w:val="0009188B"/>
    <w:rsid w:val="00091AC3"/>
    <w:rsid w:val="000923EA"/>
    <w:rsid w:val="00092463"/>
    <w:rsid w:val="0009284F"/>
    <w:rsid w:val="00092AB5"/>
    <w:rsid w:val="00093404"/>
    <w:rsid w:val="00094411"/>
    <w:rsid w:val="000959B5"/>
    <w:rsid w:val="00097175"/>
    <w:rsid w:val="00097A82"/>
    <w:rsid w:val="000A0939"/>
    <w:rsid w:val="000A0C01"/>
    <w:rsid w:val="000A126D"/>
    <w:rsid w:val="000A2C3B"/>
    <w:rsid w:val="000A385F"/>
    <w:rsid w:val="000A38E3"/>
    <w:rsid w:val="000A3C55"/>
    <w:rsid w:val="000A3FBE"/>
    <w:rsid w:val="000A4EF9"/>
    <w:rsid w:val="000A5376"/>
    <w:rsid w:val="000A705B"/>
    <w:rsid w:val="000B0991"/>
    <w:rsid w:val="000B0FB3"/>
    <w:rsid w:val="000B167F"/>
    <w:rsid w:val="000B18FD"/>
    <w:rsid w:val="000B197F"/>
    <w:rsid w:val="000B1A12"/>
    <w:rsid w:val="000B24D3"/>
    <w:rsid w:val="000B2534"/>
    <w:rsid w:val="000B2AAD"/>
    <w:rsid w:val="000B30AF"/>
    <w:rsid w:val="000B30FF"/>
    <w:rsid w:val="000B3165"/>
    <w:rsid w:val="000B3DCA"/>
    <w:rsid w:val="000B48DB"/>
    <w:rsid w:val="000B4B1F"/>
    <w:rsid w:val="000B4CE8"/>
    <w:rsid w:val="000B4D61"/>
    <w:rsid w:val="000B4EB8"/>
    <w:rsid w:val="000B5054"/>
    <w:rsid w:val="000B52C9"/>
    <w:rsid w:val="000B544F"/>
    <w:rsid w:val="000B7015"/>
    <w:rsid w:val="000B710A"/>
    <w:rsid w:val="000B7216"/>
    <w:rsid w:val="000B76F2"/>
    <w:rsid w:val="000B7F3F"/>
    <w:rsid w:val="000C0CE4"/>
    <w:rsid w:val="000C10BE"/>
    <w:rsid w:val="000C153C"/>
    <w:rsid w:val="000C2086"/>
    <w:rsid w:val="000C2699"/>
    <w:rsid w:val="000C2768"/>
    <w:rsid w:val="000C366C"/>
    <w:rsid w:val="000C4035"/>
    <w:rsid w:val="000C40CB"/>
    <w:rsid w:val="000C41CB"/>
    <w:rsid w:val="000C421B"/>
    <w:rsid w:val="000C4756"/>
    <w:rsid w:val="000C498A"/>
    <w:rsid w:val="000C548F"/>
    <w:rsid w:val="000C54E8"/>
    <w:rsid w:val="000C565E"/>
    <w:rsid w:val="000C5F18"/>
    <w:rsid w:val="000C6BA6"/>
    <w:rsid w:val="000C70F5"/>
    <w:rsid w:val="000C716C"/>
    <w:rsid w:val="000C7474"/>
    <w:rsid w:val="000C7A37"/>
    <w:rsid w:val="000C7B86"/>
    <w:rsid w:val="000D076B"/>
    <w:rsid w:val="000D1176"/>
    <w:rsid w:val="000D14E3"/>
    <w:rsid w:val="000D1905"/>
    <w:rsid w:val="000D1CF6"/>
    <w:rsid w:val="000D25AD"/>
    <w:rsid w:val="000D2E96"/>
    <w:rsid w:val="000D3691"/>
    <w:rsid w:val="000D3B43"/>
    <w:rsid w:val="000D4345"/>
    <w:rsid w:val="000D4490"/>
    <w:rsid w:val="000D5132"/>
    <w:rsid w:val="000D532B"/>
    <w:rsid w:val="000D5C22"/>
    <w:rsid w:val="000D5E90"/>
    <w:rsid w:val="000D6168"/>
    <w:rsid w:val="000D677B"/>
    <w:rsid w:val="000D68B2"/>
    <w:rsid w:val="000D6BFF"/>
    <w:rsid w:val="000D6C33"/>
    <w:rsid w:val="000D73DF"/>
    <w:rsid w:val="000D7716"/>
    <w:rsid w:val="000D7F4F"/>
    <w:rsid w:val="000E015A"/>
    <w:rsid w:val="000E03E7"/>
    <w:rsid w:val="000E0690"/>
    <w:rsid w:val="000E07AD"/>
    <w:rsid w:val="000E0950"/>
    <w:rsid w:val="000E13E8"/>
    <w:rsid w:val="000E1934"/>
    <w:rsid w:val="000E1B03"/>
    <w:rsid w:val="000E1BE2"/>
    <w:rsid w:val="000E28DA"/>
    <w:rsid w:val="000E2F64"/>
    <w:rsid w:val="000E39CD"/>
    <w:rsid w:val="000E3CDD"/>
    <w:rsid w:val="000E3D71"/>
    <w:rsid w:val="000E4A79"/>
    <w:rsid w:val="000E521E"/>
    <w:rsid w:val="000E5530"/>
    <w:rsid w:val="000E5E69"/>
    <w:rsid w:val="000E6B0A"/>
    <w:rsid w:val="000E6C56"/>
    <w:rsid w:val="000E70E3"/>
    <w:rsid w:val="000E7727"/>
    <w:rsid w:val="000F0B7D"/>
    <w:rsid w:val="000F0D2A"/>
    <w:rsid w:val="000F0F68"/>
    <w:rsid w:val="000F0F7F"/>
    <w:rsid w:val="000F227B"/>
    <w:rsid w:val="000F2CDA"/>
    <w:rsid w:val="000F2E2B"/>
    <w:rsid w:val="000F2E9B"/>
    <w:rsid w:val="000F3C1E"/>
    <w:rsid w:val="000F3F4F"/>
    <w:rsid w:val="000F4DB6"/>
    <w:rsid w:val="000F5115"/>
    <w:rsid w:val="000F6378"/>
    <w:rsid w:val="000F696E"/>
    <w:rsid w:val="000F705F"/>
    <w:rsid w:val="000F72BF"/>
    <w:rsid w:val="000F7608"/>
    <w:rsid w:val="000F7925"/>
    <w:rsid w:val="000F7D1F"/>
    <w:rsid w:val="0010003C"/>
    <w:rsid w:val="0010008F"/>
    <w:rsid w:val="00101268"/>
    <w:rsid w:val="00101410"/>
    <w:rsid w:val="00101DE4"/>
    <w:rsid w:val="00101E86"/>
    <w:rsid w:val="00102B44"/>
    <w:rsid w:val="00103DA5"/>
    <w:rsid w:val="00104311"/>
    <w:rsid w:val="001044DF"/>
    <w:rsid w:val="00104F35"/>
    <w:rsid w:val="00105EB2"/>
    <w:rsid w:val="00106078"/>
    <w:rsid w:val="001060C3"/>
    <w:rsid w:val="0010664E"/>
    <w:rsid w:val="00106987"/>
    <w:rsid w:val="00107B15"/>
    <w:rsid w:val="001104FA"/>
    <w:rsid w:val="00110719"/>
    <w:rsid w:val="0011099B"/>
    <w:rsid w:val="0011158E"/>
    <w:rsid w:val="0011166D"/>
    <w:rsid w:val="00111A0E"/>
    <w:rsid w:val="00111A17"/>
    <w:rsid w:val="001121E7"/>
    <w:rsid w:val="001122B9"/>
    <w:rsid w:val="001129E2"/>
    <w:rsid w:val="00112C49"/>
    <w:rsid w:val="00113907"/>
    <w:rsid w:val="00114142"/>
    <w:rsid w:val="001141BB"/>
    <w:rsid w:val="001143E8"/>
    <w:rsid w:val="00114E0F"/>
    <w:rsid w:val="001156AF"/>
    <w:rsid w:val="00115F6A"/>
    <w:rsid w:val="00116136"/>
    <w:rsid w:val="00116BB6"/>
    <w:rsid w:val="00117420"/>
    <w:rsid w:val="0011770F"/>
    <w:rsid w:val="001201D4"/>
    <w:rsid w:val="0012096A"/>
    <w:rsid w:val="00120E25"/>
    <w:rsid w:val="001210E2"/>
    <w:rsid w:val="00121C88"/>
    <w:rsid w:val="00122A33"/>
    <w:rsid w:val="00122BCE"/>
    <w:rsid w:val="00122E25"/>
    <w:rsid w:val="00123147"/>
    <w:rsid w:val="00123216"/>
    <w:rsid w:val="00123662"/>
    <w:rsid w:val="00123D3B"/>
    <w:rsid w:val="00124A29"/>
    <w:rsid w:val="0012510B"/>
    <w:rsid w:val="00125F82"/>
    <w:rsid w:val="00126E67"/>
    <w:rsid w:val="0012701C"/>
    <w:rsid w:val="00127BD9"/>
    <w:rsid w:val="00131540"/>
    <w:rsid w:val="00131578"/>
    <w:rsid w:val="00132336"/>
    <w:rsid w:val="001329BB"/>
    <w:rsid w:val="00132D4C"/>
    <w:rsid w:val="00132F58"/>
    <w:rsid w:val="00135D05"/>
    <w:rsid w:val="0013638A"/>
    <w:rsid w:val="001369EE"/>
    <w:rsid w:val="00136C3E"/>
    <w:rsid w:val="00142953"/>
    <w:rsid w:val="00142C57"/>
    <w:rsid w:val="0014315F"/>
    <w:rsid w:val="0014366A"/>
    <w:rsid w:val="00143948"/>
    <w:rsid w:val="00145358"/>
    <w:rsid w:val="001453BB"/>
    <w:rsid w:val="00145F6F"/>
    <w:rsid w:val="001461F3"/>
    <w:rsid w:val="0014694A"/>
    <w:rsid w:val="00146BF8"/>
    <w:rsid w:val="001472FA"/>
    <w:rsid w:val="00150C38"/>
    <w:rsid w:val="00150E02"/>
    <w:rsid w:val="00150FB0"/>
    <w:rsid w:val="00151075"/>
    <w:rsid w:val="0015141E"/>
    <w:rsid w:val="001514D7"/>
    <w:rsid w:val="001518DA"/>
    <w:rsid w:val="00151AAE"/>
    <w:rsid w:val="00151F01"/>
    <w:rsid w:val="001520E5"/>
    <w:rsid w:val="00152849"/>
    <w:rsid w:val="00152C99"/>
    <w:rsid w:val="001530FC"/>
    <w:rsid w:val="001536A4"/>
    <w:rsid w:val="00153816"/>
    <w:rsid w:val="001543EC"/>
    <w:rsid w:val="001545AB"/>
    <w:rsid w:val="001548FB"/>
    <w:rsid w:val="0015505E"/>
    <w:rsid w:val="001553A5"/>
    <w:rsid w:val="00155504"/>
    <w:rsid w:val="00155E2A"/>
    <w:rsid w:val="001560F9"/>
    <w:rsid w:val="001568A5"/>
    <w:rsid w:val="00157102"/>
    <w:rsid w:val="00157337"/>
    <w:rsid w:val="0015789A"/>
    <w:rsid w:val="00157F85"/>
    <w:rsid w:val="00160601"/>
    <w:rsid w:val="00160CB9"/>
    <w:rsid w:val="00160F61"/>
    <w:rsid w:val="001614A0"/>
    <w:rsid w:val="001621DC"/>
    <w:rsid w:val="001629A1"/>
    <w:rsid w:val="001629F3"/>
    <w:rsid w:val="001631CB"/>
    <w:rsid w:val="00163874"/>
    <w:rsid w:val="00163AA0"/>
    <w:rsid w:val="001643F5"/>
    <w:rsid w:val="00164423"/>
    <w:rsid w:val="0016604A"/>
    <w:rsid w:val="0016694A"/>
    <w:rsid w:val="00166CAF"/>
    <w:rsid w:val="00166D14"/>
    <w:rsid w:val="00167150"/>
    <w:rsid w:val="001672F2"/>
    <w:rsid w:val="001677C8"/>
    <w:rsid w:val="001700F4"/>
    <w:rsid w:val="001701C0"/>
    <w:rsid w:val="001704D2"/>
    <w:rsid w:val="00170846"/>
    <w:rsid w:val="0017098E"/>
    <w:rsid w:val="00171193"/>
    <w:rsid w:val="001717C6"/>
    <w:rsid w:val="00171BA8"/>
    <w:rsid w:val="001722C6"/>
    <w:rsid w:val="0017270D"/>
    <w:rsid w:val="001727E3"/>
    <w:rsid w:val="00172A0E"/>
    <w:rsid w:val="00172C05"/>
    <w:rsid w:val="001746A3"/>
    <w:rsid w:val="00174822"/>
    <w:rsid w:val="00174940"/>
    <w:rsid w:val="00174BD7"/>
    <w:rsid w:val="00176080"/>
    <w:rsid w:val="001763E2"/>
    <w:rsid w:val="0017653A"/>
    <w:rsid w:val="00176F32"/>
    <w:rsid w:val="00177E5A"/>
    <w:rsid w:val="00177E9F"/>
    <w:rsid w:val="0018075E"/>
    <w:rsid w:val="001807AC"/>
    <w:rsid w:val="001807ED"/>
    <w:rsid w:val="00181C5E"/>
    <w:rsid w:val="001825EC"/>
    <w:rsid w:val="00182A9B"/>
    <w:rsid w:val="00182CAC"/>
    <w:rsid w:val="00183251"/>
    <w:rsid w:val="0018384D"/>
    <w:rsid w:val="0018389D"/>
    <w:rsid w:val="00184199"/>
    <w:rsid w:val="001842C4"/>
    <w:rsid w:val="001849D5"/>
    <w:rsid w:val="00185875"/>
    <w:rsid w:val="00186CD0"/>
    <w:rsid w:val="00187050"/>
    <w:rsid w:val="001871A8"/>
    <w:rsid w:val="00187333"/>
    <w:rsid w:val="00187F36"/>
    <w:rsid w:val="00190347"/>
    <w:rsid w:val="001906B0"/>
    <w:rsid w:val="0019090A"/>
    <w:rsid w:val="00190C2F"/>
    <w:rsid w:val="00191078"/>
    <w:rsid w:val="0019117E"/>
    <w:rsid w:val="00191C0B"/>
    <w:rsid w:val="00192413"/>
    <w:rsid w:val="001925E8"/>
    <w:rsid w:val="00192B0B"/>
    <w:rsid w:val="00192F97"/>
    <w:rsid w:val="001937BB"/>
    <w:rsid w:val="001938F8"/>
    <w:rsid w:val="001951F7"/>
    <w:rsid w:val="00195C08"/>
    <w:rsid w:val="00195D92"/>
    <w:rsid w:val="00195DC8"/>
    <w:rsid w:val="001964E0"/>
    <w:rsid w:val="00196853"/>
    <w:rsid w:val="00196868"/>
    <w:rsid w:val="001968DC"/>
    <w:rsid w:val="00196AA8"/>
    <w:rsid w:val="00196C58"/>
    <w:rsid w:val="00196F67"/>
    <w:rsid w:val="00197283"/>
    <w:rsid w:val="0019747D"/>
    <w:rsid w:val="0019781D"/>
    <w:rsid w:val="00197F7F"/>
    <w:rsid w:val="001A04B4"/>
    <w:rsid w:val="001A10D5"/>
    <w:rsid w:val="001A128A"/>
    <w:rsid w:val="001A1B51"/>
    <w:rsid w:val="001A2772"/>
    <w:rsid w:val="001A2D86"/>
    <w:rsid w:val="001A2F4C"/>
    <w:rsid w:val="001A3164"/>
    <w:rsid w:val="001A3D58"/>
    <w:rsid w:val="001A3D86"/>
    <w:rsid w:val="001A4AEB"/>
    <w:rsid w:val="001A5017"/>
    <w:rsid w:val="001A56B3"/>
    <w:rsid w:val="001A71AB"/>
    <w:rsid w:val="001A7644"/>
    <w:rsid w:val="001A7C4C"/>
    <w:rsid w:val="001B0195"/>
    <w:rsid w:val="001B019B"/>
    <w:rsid w:val="001B05C2"/>
    <w:rsid w:val="001B0ED1"/>
    <w:rsid w:val="001B0EFC"/>
    <w:rsid w:val="001B1416"/>
    <w:rsid w:val="001B1EC2"/>
    <w:rsid w:val="001B21CA"/>
    <w:rsid w:val="001B3443"/>
    <w:rsid w:val="001B44C3"/>
    <w:rsid w:val="001B4762"/>
    <w:rsid w:val="001B5B16"/>
    <w:rsid w:val="001B7A86"/>
    <w:rsid w:val="001B7D4C"/>
    <w:rsid w:val="001B7DCA"/>
    <w:rsid w:val="001C032F"/>
    <w:rsid w:val="001C1428"/>
    <w:rsid w:val="001C152C"/>
    <w:rsid w:val="001C1650"/>
    <w:rsid w:val="001C172A"/>
    <w:rsid w:val="001C1BDF"/>
    <w:rsid w:val="001C2780"/>
    <w:rsid w:val="001C2AA1"/>
    <w:rsid w:val="001C2CAA"/>
    <w:rsid w:val="001C2D99"/>
    <w:rsid w:val="001C2FE0"/>
    <w:rsid w:val="001C307A"/>
    <w:rsid w:val="001C37C5"/>
    <w:rsid w:val="001C3D07"/>
    <w:rsid w:val="001C5E1D"/>
    <w:rsid w:val="001C5E2F"/>
    <w:rsid w:val="001C610D"/>
    <w:rsid w:val="001C79A8"/>
    <w:rsid w:val="001D0D1A"/>
    <w:rsid w:val="001D0F3F"/>
    <w:rsid w:val="001D1098"/>
    <w:rsid w:val="001D171F"/>
    <w:rsid w:val="001D1E12"/>
    <w:rsid w:val="001D2073"/>
    <w:rsid w:val="001D226A"/>
    <w:rsid w:val="001D2AF1"/>
    <w:rsid w:val="001D4C7C"/>
    <w:rsid w:val="001D507E"/>
    <w:rsid w:val="001D52B6"/>
    <w:rsid w:val="001D658B"/>
    <w:rsid w:val="001D7199"/>
    <w:rsid w:val="001D73E5"/>
    <w:rsid w:val="001D7C3C"/>
    <w:rsid w:val="001D7C4E"/>
    <w:rsid w:val="001D7C83"/>
    <w:rsid w:val="001D7F51"/>
    <w:rsid w:val="001E0A42"/>
    <w:rsid w:val="001E0B5F"/>
    <w:rsid w:val="001E146E"/>
    <w:rsid w:val="001E1B30"/>
    <w:rsid w:val="001E2467"/>
    <w:rsid w:val="001E26B2"/>
    <w:rsid w:val="001E2778"/>
    <w:rsid w:val="001E2B6A"/>
    <w:rsid w:val="001E2E7D"/>
    <w:rsid w:val="001E2FA6"/>
    <w:rsid w:val="001E3134"/>
    <w:rsid w:val="001E3E01"/>
    <w:rsid w:val="001E3E7E"/>
    <w:rsid w:val="001E4930"/>
    <w:rsid w:val="001E4CAC"/>
    <w:rsid w:val="001E531E"/>
    <w:rsid w:val="001E59A7"/>
    <w:rsid w:val="001E68C9"/>
    <w:rsid w:val="001E7BD7"/>
    <w:rsid w:val="001F0103"/>
    <w:rsid w:val="001F011C"/>
    <w:rsid w:val="001F051E"/>
    <w:rsid w:val="001F0F85"/>
    <w:rsid w:val="001F1135"/>
    <w:rsid w:val="001F11D7"/>
    <w:rsid w:val="001F134F"/>
    <w:rsid w:val="001F1810"/>
    <w:rsid w:val="001F297A"/>
    <w:rsid w:val="001F45A9"/>
    <w:rsid w:val="001F50C1"/>
    <w:rsid w:val="001F5B43"/>
    <w:rsid w:val="001F7873"/>
    <w:rsid w:val="001F7DEF"/>
    <w:rsid w:val="002009CD"/>
    <w:rsid w:val="00200F16"/>
    <w:rsid w:val="00201125"/>
    <w:rsid w:val="0020199E"/>
    <w:rsid w:val="00202112"/>
    <w:rsid w:val="00202BC7"/>
    <w:rsid w:val="00202DB4"/>
    <w:rsid w:val="00204534"/>
    <w:rsid w:val="00204BEE"/>
    <w:rsid w:val="0020555B"/>
    <w:rsid w:val="00205BC3"/>
    <w:rsid w:val="00205C46"/>
    <w:rsid w:val="00206F6E"/>
    <w:rsid w:val="00206FF1"/>
    <w:rsid w:val="002074CE"/>
    <w:rsid w:val="0020796B"/>
    <w:rsid w:val="002079A4"/>
    <w:rsid w:val="002105F7"/>
    <w:rsid w:val="0021097C"/>
    <w:rsid w:val="00210A7C"/>
    <w:rsid w:val="00211A73"/>
    <w:rsid w:val="00211FE7"/>
    <w:rsid w:val="002129AE"/>
    <w:rsid w:val="00212AF8"/>
    <w:rsid w:val="00212BB5"/>
    <w:rsid w:val="0021329D"/>
    <w:rsid w:val="002132C5"/>
    <w:rsid w:val="00213303"/>
    <w:rsid w:val="00213592"/>
    <w:rsid w:val="002147B7"/>
    <w:rsid w:val="00214AF6"/>
    <w:rsid w:val="00215607"/>
    <w:rsid w:val="00215CDD"/>
    <w:rsid w:val="002161AE"/>
    <w:rsid w:val="00216340"/>
    <w:rsid w:val="00216DD6"/>
    <w:rsid w:val="0021738E"/>
    <w:rsid w:val="0021739C"/>
    <w:rsid w:val="002173D9"/>
    <w:rsid w:val="002175F5"/>
    <w:rsid w:val="0021772A"/>
    <w:rsid w:val="00220BAC"/>
    <w:rsid w:val="00220C72"/>
    <w:rsid w:val="00220EBB"/>
    <w:rsid w:val="00221664"/>
    <w:rsid w:val="0022219C"/>
    <w:rsid w:val="002227B6"/>
    <w:rsid w:val="002229DB"/>
    <w:rsid w:val="00222E2F"/>
    <w:rsid w:val="0022331C"/>
    <w:rsid w:val="00224135"/>
    <w:rsid w:val="002243E0"/>
    <w:rsid w:val="00224AC8"/>
    <w:rsid w:val="00225887"/>
    <w:rsid w:val="002262DB"/>
    <w:rsid w:val="002269B5"/>
    <w:rsid w:val="00226CA6"/>
    <w:rsid w:val="0022729C"/>
    <w:rsid w:val="00227512"/>
    <w:rsid w:val="00230619"/>
    <w:rsid w:val="00230A3E"/>
    <w:rsid w:val="0023110D"/>
    <w:rsid w:val="0023138C"/>
    <w:rsid w:val="00231B5E"/>
    <w:rsid w:val="002326D0"/>
    <w:rsid w:val="00233169"/>
    <w:rsid w:val="00233AD4"/>
    <w:rsid w:val="00233CC6"/>
    <w:rsid w:val="002345FA"/>
    <w:rsid w:val="002355B4"/>
    <w:rsid w:val="00235840"/>
    <w:rsid w:val="00235DD0"/>
    <w:rsid w:val="00236526"/>
    <w:rsid w:val="00236A89"/>
    <w:rsid w:val="00236BB7"/>
    <w:rsid w:val="00236FB1"/>
    <w:rsid w:val="00237403"/>
    <w:rsid w:val="002378DB"/>
    <w:rsid w:val="00237BA5"/>
    <w:rsid w:val="002400C9"/>
    <w:rsid w:val="002407CB"/>
    <w:rsid w:val="00240A81"/>
    <w:rsid w:val="00240CAF"/>
    <w:rsid w:val="00240E05"/>
    <w:rsid w:val="00241429"/>
    <w:rsid w:val="00241D60"/>
    <w:rsid w:val="00241E3C"/>
    <w:rsid w:val="002429D9"/>
    <w:rsid w:val="00243A06"/>
    <w:rsid w:val="00243BE2"/>
    <w:rsid w:val="00243FB5"/>
    <w:rsid w:val="00244CFB"/>
    <w:rsid w:val="002454FD"/>
    <w:rsid w:val="002461E2"/>
    <w:rsid w:val="00247094"/>
    <w:rsid w:val="0024720B"/>
    <w:rsid w:val="002477A3"/>
    <w:rsid w:val="002478C9"/>
    <w:rsid w:val="00247DE1"/>
    <w:rsid w:val="00250831"/>
    <w:rsid w:val="002508D0"/>
    <w:rsid w:val="0025096F"/>
    <w:rsid w:val="002513F9"/>
    <w:rsid w:val="00251B9C"/>
    <w:rsid w:val="00251EEE"/>
    <w:rsid w:val="00251FF0"/>
    <w:rsid w:val="00252AC9"/>
    <w:rsid w:val="00252C7D"/>
    <w:rsid w:val="0025322B"/>
    <w:rsid w:val="00253414"/>
    <w:rsid w:val="00253780"/>
    <w:rsid w:val="00253F2C"/>
    <w:rsid w:val="0025405E"/>
    <w:rsid w:val="0025447F"/>
    <w:rsid w:val="00254BE8"/>
    <w:rsid w:val="002552B6"/>
    <w:rsid w:val="00255AD3"/>
    <w:rsid w:val="00255DD9"/>
    <w:rsid w:val="00255E89"/>
    <w:rsid w:val="00256B04"/>
    <w:rsid w:val="00256FEA"/>
    <w:rsid w:val="0025740C"/>
    <w:rsid w:val="002575B0"/>
    <w:rsid w:val="00257667"/>
    <w:rsid w:val="00257CB6"/>
    <w:rsid w:val="0026010C"/>
    <w:rsid w:val="00260753"/>
    <w:rsid w:val="0026111E"/>
    <w:rsid w:val="00262050"/>
    <w:rsid w:val="00262127"/>
    <w:rsid w:val="00262451"/>
    <w:rsid w:val="00263D85"/>
    <w:rsid w:val="00264364"/>
    <w:rsid w:val="002647E1"/>
    <w:rsid w:val="00264A6B"/>
    <w:rsid w:val="002652BD"/>
    <w:rsid w:val="00265446"/>
    <w:rsid w:val="00265DC7"/>
    <w:rsid w:val="00266013"/>
    <w:rsid w:val="00266262"/>
    <w:rsid w:val="00266516"/>
    <w:rsid w:val="0026678E"/>
    <w:rsid w:val="00266968"/>
    <w:rsid w:val="00267E18"/>
    <w:rsid w:val="0027084B"/>
    <w:rsid w:val="00270866"/>
    <w:rsid w:val="00270DA4"/>
    <w:rsid w:val="00270E97"/>
    <w:rsid w:val="00270F66"/>
    <w:rsid w:val="00272695"/>
    <w:rsid w:val="0027331F"/>
    <w:rsid w:val="00273B42"/>
    <w:rsid w:val="002741EF"/>
    <w:rsid w:val="0027454A"/>
    <w:rsid w:val="0027474C"/>
    <w:rsid w:val="00274C34"/>
    <w:rsid w:val="002755AF"/>
    <w:rsid w:val="00276A36"/>
    <w:rsid w:val="00277043"/>
    <w:rsid w:val="00277BC0"/>
    <w:rsid w:val="0028172C"/>
    <w:rsid w:val="00281A36"/>
    <w:rsid w:val="00282E67"/>
    <w:rsid w:val="00283024"/>
    <w:rsid w:val="00283359"/>
    <w:rsid w:val="0028345C"/>
    <w:rsid w:val="00283BBD"/>
    <w:rsid w:val="002843C6"/>
    <w:rsid w:val="00284E84"/>
    <w:rsid w:val="00285E03"/>
    <w:rsid w:val="00285EB4"/>
    <w:rsid w:val="00286256"/>
    <w:rsid w:val="002866D5"/>
    <w:rsid w:val="00286922"/>
    <w:rsid w:val="00286DBC"/>
    <w:rsid w:val="0028752E"/>
    <w:rsid w:val="00287FA4"/>
    <w:rsid w:val="00290D04"/>
    <w:rsid w:val="00291A31"/>
    <w:rsid w:val="00291BF6"/>
    <w:rsid w:val="002926F0"/>
    <w:rsid w:val="00292C7A"/>
    <w:rsid w:val="0029368F"/>
    <w:rsid w:val="00293AD6"/>
    <w:rsid w:val="00293C64"/>
    <w:rsid w:val="002945B4"/>
    <w:rsid w:val="00294895"/>
    <w:rsid w:val="00294D0B"/>
    <w:rsid w:val="00295167"/>
    <w:rsid w:val="00295954"/>
    <w:rsid w:val="00295AF0"/>
    <w:rsid w:val="002961CB"/>
    <w:rsid w:val="00296439"/>
    <w:rsid w:val="00296C96"/>
    <w:rsid w:val="00297CD3"/>
    <w:rsid w:val="002A01FE"/>
    <w:rsid w:val="002A0BF1"/>
    <w:rsid w:val="002A1285"/>
    <w:rsid w:val="002A1546"/>
    <w:rsid w:val="002A1756"/>
    <w:rsid w:val="002A2321"/>
    <w:rsid w:val="002A293E"/>
    <w:rsid w:val="002A3863"/>
    <w:rsid w:val="002A389E"/>
    <w:rsid w:val="002A3902"/>
    <w:rsid w:val="002A53CD"/>
    <w:rsid w:val="002A55C8"/>
    <w:rsid w:val="002A582C"/>
    <w:rsid w:val="002A5C75"/>
    <w:rsid w:val="002A5E16"/>
    <w:rsid w:val="002A614A"/>
    <w:rsid w:val="002A62B0"/>
    <w:rsid w:val="002A7CD2"/>
    <w:rsid w:val="002B03B0"/>
    <w:rsid w:val="002B0BC7"/>
    <w:rsid w:val="002B11A3"/>
    <w:rsid w:val="002B137D"/>
    <w:rsid w:val="002B1A60"/>
    <w:rsid w:val="002B1D8A"/>
    <w:rsid w:val="002B1F64"/>
    <w:rsid w:val="002B2866"/>
    <w:rsid w:val="002B2D5B"/>
    <w:rsid w:val="002B2D9F"/>
    <w:rsid w:val="002B2E9C"/>
    <w:rsid w:val="002B42C5"/>
    <w:rsid w:val="002B462B"/>
    <w:rsid w:val="002B51FB"/>
    <w:rsid w:val="002B63AA"/>
    <w:rsid w:val="002B65D4"/>
    <w:rsid w:val="002B7C6B"/>
    <w:rsid w:val="002C017A"/>
    <w:rsid w:val="002C289D"/>
    <w:rsid w:val="002C2A74"/>
    <w:rsid w:val="002C3AA9"/>
    <w:rsid w:val="002C450D"/>
    <w:rsid w:val="002C4900"/>
    <w:rsid w:val="002C4BDA"/>
    <w:rsid w:val="002C51A3"/>
    <w:rsid w:val="002C5616"/>
    <w:rsid w:val="002C5905"/>
    <w:rsid w:val="002C5916"/>
    <w:rsid w:val="002C5925"/>
    <w:rsid w:val="002C6109"/>
    <w:rsid w:val="002C625C"/>
    <w:rsid w:val="002C635C"/>
    <w:rsid w:val="002C71AD"/>
    <w:rsid w:val="002C74E1"/>
    <w:rsid w:val="002C7882"/>
    <w:rsid w:val="002C7C8F"/>
    <w:rsid w:val="002D1981"/>
    <w:rsid w:val="002D19FB"/>
    <w:rsid w:val="002D1EF1"/>
    <w:rsid w:val="002D2021"/>
    <w:rsid w:val="002D2803"/>
    <w:rsid w:val="002D2F76"/>
    <w:rsid w:val="002D2FD2"/>
    <w:rsid w:val="002D3019"/>
    <w:rsid w:val="002D3642"/>
    <w:rsid w:val="002D4A9B"/>
    <w:rsid w:val="002D60CE"/>
    <w:rsid w:val="002D63AE"/>
    <w:rsid w:val="002D6FCA"/>
    <w:rsid w:val="002E0FC2"/>
    <w:rsid w:val="002E1BB1"/>
    <w:rsid w:val="002E28FD"/>
    <w:rsid w:val="002E2F45"/>
    <w:rsid w:val="002E372E"/>
    <w:rsid w:val="002E3CF7"/>
    <w:rsid w:val="002E4168"/>
    <w:rsid w:val="002E4513"/>
    <w:rsid w:val="002E531B"/>
    <w:rsid w:val="002E5508"/>
    <w:rsid w:val="002E5CDA"/>
    <w:rsid w:val="002E7F34"/>
    <w:rsid w:val="002F08F3"/>
    <w:rsid w:val="002F0CCD"/>
    <w:rsid w:val="002F17BA"/>
    <w:rsid w:val="002F1EFD"/>
    <w:rsid w:val="002F24B5"/>
    <w:rsid w:val="002F300D"/>
    <w:rsid w:val="002F358D"/>
    <w:rsid w:val="002F3D1E"/>
    <w:rsid w:val="002F404B"/>
    <w:rsid w:val="002F4265"/>
    <w:rsid w:val="002F4352"/>
    <w:rsid w:val="002F5343"/>
    <w:rsid w:val="002F5A7A"/>
    <w:rsid w:val="002F5F27"/>
    <w:rsid w:val="002F6C88"/>
    <w:rsid w:val="00300FFF"/>
    <w:rsid w:val="003010F7"/>
    <w:rsid w:val="00301524"/>
    <w:rsid w:val="00301CAE"/>
    <w:rsid w:val="00302297"/>
    <w:rsid w:val="00302F55"/>
    <w:rsid w:val="00303067"/>
    <w:rsid w:val="00303244"/>
    <w:rsid w:val="00303AE1"/>
    <w:rsid w:val="00304630"/>
    <w:rsid w:val="00304A10"/>
    <w:rsid w:val="00304B53"/>
    <w:rsid w:val="00305745"/>
    <w:rsid w:val="00305B40"/>
    <w:rsid w:val="00305D5C"/>
    <w:rsid w:val="003067E4"/>
    <w:rsid w:val="00306AC2"/>
    <w:rsid w:val="00306D5B"/>
    <w:rsid w:val="00306EF2"/>
    <w:rsid w:val="00307001"/>
    <w:rsid w:val="003072CD"/>
    <w:rsid w:val="0030786C"/>
    <w:rsid w:val="0030796F"/>
    <w:rsid w:val="00307B0B"/>
    <w:rsid w:val="0031002A"/>
    <w:rsid w:val="00310DC6"/>
    <w:rsid w:val="0031104F"/>
    <w:rsid w:val="00311058"/>
    <w:rsid w:val="003126DB"/>
    <w:rsid w:val="0031317F"/>
    <w:rsid w:val="003136F2"/>
    <w:rsid w:val="00314F69"/>
    <w:rsid w:val="0031626C"/>
    <w:rsid w:val="00316D32"/>
    <w:rsid w:val="00317139"/>
    <w:rsid w:val="003174CF"/>
    <w:rsid w:val="00317665"/>
    <w:rsid w:val="003177F3"/>
    <w:rsid w:val="003178AC"/>
    <w:rsid w:val="0031799A"/>
    <w:rsid w:val="0032076A"/>
    <w:rsid w:val="003215D3"/>
    <w:rsid w:val="003216B7"/>
    <w:rsid w:val="00321B3D"/>
    <w:rsid w:val="00322482"/>
    <w:rsid w:val="0032320C"/>
    <w:rsid w:val="00323267"/>
    <w:rsid w:val="00323612"/>
    <w:rsid w:val="00323AE8"/>
    <w:rsid w:val="00323B09"/>
    <w:rsid w:val="00323CCF"/>
    <w:rsid w:val="00324415"/>
    <w:rsid w:val="003246CB"/>
    <w:rsid w:val="00324818"/>
    <w:rsid w:val="0032559C"/>
    <w:rsid w:val="003264FB"/>
    <w:rsid w:val="00326D7D"/>
    <w:rsid w:val="0032742C"/>
    <w:rsid w:val="00327C01"/>
    <w:rsid w:val="00330186"/>
    <w:rsid w:val="003304D6"/>
    <w:rsid w:val="003304E7"/>
    <w:rsid w:val="00331DEA"/>
    <w:rsid w:val="00331ED5"/>
    <w:rsid w:val="0033219A"/>
    <w:rsid w:val="00332A99"/>
    <w:rsid w:val="00332C4D"/>
    <w:rsid w:val="003331C9"/>
    <w:rsid w:val="00333B9E"/>
    <w:rsid w:val="003344ED"/>
    <w:rsid w:val="0033483A"/>
    <w:rsid w:val="00334A38"/>
    <w:rsid w:val="00334DB3"/>
    <w:rsid w:val="00334FFC"/>
    <w:rsid w:val="0033577D"/>
    <w:rsid w:val="00335E3D"/>
    <w:rsid w:val="003362F6"/>
    <w:rsid w:val="003366E0"/>
    <w:rsid w:val="003367CA"/>
    <w:rsid w:val="00336BD9"/>
    <w:rsid w:val="0033730C"/>
    <w:rsid w:val="00341913"/>
    <w:rsid w:val="00341948"/>
    <w:rsid w:val="003420BD"/>
    <w:rsid w:val="00342E98"/>
    <w:rsid w:val="00342F35"/>
    <w:rsid w:val="003444D2"/>
    <w:rsid w:val="00344975"/>
    <w:rsid w:val="00344A70"/>
    <w:rsid w:val="0034674B"/>
    <w:rsid w:val="00346AF5"/>
    <w:rsid w:val="00346F24"/>
    <w:rsid w:val="00346FA4"/>
    <w:rsid w:val="00350453"/>
    <w:rsid w:val="00350813"/>
    <w:rsid w:val="00350D59"/>
    <w:rsid w:val="0035187A"/>
    <w:rsid w:val="0035287F"/>
    <w:rsid w:val="003530A2"/>
    <w:rsid w:val="00353206"/>
    <w:rsid w:val="00354095"/>
    <w:rsid w:val="003549AB"/>
    <w:rsid w:val="00354AC7"/>
    <w:rsid w:val="00355B54"/>
    <w:rsid w:val="00355E4D"/>
    <w:rsid w:val="003562BD"/>
    <w:rsid w:val="0036052D"/>
    <w:rsid w:val="00360B7A"/>
    <w:rsid w:val="003614FA"/>
    <w:rsid w:val="0036177A"/>
    <w:rsid w:val="00361E69"/>
    <w:rsid w:val="00362405"/>
    <w:rsid w:val="003627A4"/>
    <w:rsid w:val="003628A4"/>
    <w:rsid w:val="00362D8A"/>
    <w:rsid w:val="00363E91"/>
    <w:rsid w:val="0036449C"/>
    <w:rsid w:val="00364BB7"/>
    <w:rsid w:val="00366D0C"/>
    <w:rsid w:val="00370DEF"/>
    <w:rsid w:val="0037183B"/>
    <w:rsid w:val="00372460"/>
    <w:rsid w:val="00372A48"/>
    <w:rsid w:val="00372BF0"/>
    <w:rsid w:val="00372E34"/>
    <w:rsid w:val="00373980"/>
    <w:rsid w:val="00373CCD"/>
    <w:rsid w:val="003744BA"/>
    <w:rsid w:val="003744D6"/>
    <w:rsid w:val="00374D9F"/>
    <w:rsid w:val="003767F0"/>
    <w:rsid w:val="00377C13"/>
    <w:rsid w:val="00381125"/>
    <w:rsid w:val="00381526"/>
    <w:rsid w:val="00381B7D"/>
    <w:rsid w:val="00382015"/>
    <w:rsid w:val="00382C96"/>
    <w:rsid w:val="00382CC5"/>
    <w:rsid w:val="003837AF"/>
    <w:rsid w:val="00384A6E"/>
    <w:rsid w:val="00385F79"/>
    <w:rsid w:val="00386D66"/>
    <w:rsid w:val="00387321"/>
    <w:rsid w:val="0039008B"/>
    <w:rsid w:val="003905E0"/>
    <w:rsid w:val="00390BD4"/>
    <w:rsid w:val="00390F34"/>
    <w:rsid w:val="00391B78"/>
    <w:rsid w:val="00391B9B"/>
    <w:rsid w:val="003922A8"/>
    <w:rsid w:val="00392426"/>
    <w:rsid w:val="00392464"/>
    <w:rsid w:val="00392A02"/>
    <w:rsid w:val="00393A1C"/>
    <w:rsid w:val="00394EAE"/>
    <w:rsid w:val="00394FB4"/>
    <w:rsid w:val="0039568A"/>
    <w:rsid w:val="00396B69"/>
    <w:rsid w:val="003970A7"/>
    <w:rsid w:val="00397EFB"/>
    <w:rsid w:val="003A0046"/>
    <w:rsid w:val="003A1466"/>
    <w:rsid w:val="003A1AEE"/>
    <w:rsid w:val="003A2586"/>
    <w:rsid w:val="003A418B"/>
    <w:rsid w:val="003A46D2"/>
    <w:rsid w:val="003A4907"/>
    <w:rsid w:val="003A527D"/>
    <w:rsid w:val="003A5728"/>
    <w:rsid w:val="003A605D"/>
    <w:rsid w:val="003A62BE"/>
    <w:rsid w:val="003A6B42"/>
    <w:rsid w:val="003B00FD"/>
    <w:rsid w:val="003B04C3"/>
    <w:rsid w:val="003B0AAD"/>
    <w:rsid w:val="003B0B47"/>
    <w:rsid w:val="003B1222"/>
    <w:rsid w:val="003B17B2"/>
    <w:rsid w:val="003B23E5"/>
    <w:rsid w:val="003B2657"/>
    <w:rsid w:val="003B2972"/>
    <w:rsid w:val="003B2C42"/>
    <w:rsid w:val="003B2E5C"/>
    <w:rsid w:val="003B3033"/>
    <w:rsid w:val="003B3BA4"/>
    <w:rsid w:val="003B3C7F"/>
    <w:rsid w:val="003B44E3"/>
    <w:rsid w:val="003B4B2A"/>
    <w:rsid w:val="003B4C9E"/>
    <w:rsid w:val="003B54BC"/>
    <w:rsid w:val="003B59C4"/>
    <w:rsid w:val="003B5AC1"/>
    <w:rsid w:val="003B6012"/>
    <w:rsid w:val="003B60A7"/>
    <w:rsid w:val="003B67F1"/>
    <w:rsid w:val="003B7766"/>
    <w:rsid w:val="003B797C"/>
    <w:rsid w:val="003B7C92"/>
    <w:rsid w:val="003C0856"/>
    <w:rsid w:val="003C0974"/>
    <w:rsid w:val="003C0BDC"/>
    <w:rsid w:val="003C1DD5"/>
    <w:rsid w:val="003C1F67"/>
    <w:rsid w:val="003C2F8E"/>
    <w:rsid w:val="003C36FF"/>
    <w:rsid w:val="003C3E2A"/>
    <w:rsid w:val="003C426F"/>
    <w:rsid w:val="003C502B"/>
    <w:rsid w:val="003C51B9"/>
    <w:rsid w:val="003C5D99"/>
    <w:rsid w:val="003C6180"/>
    <w:rsid w:val="003C6505"/>
    <w:rsid w:val="003C729B"/>
    <w:rsid w:val="003C736D"/>
    <w:rsid w:val="003D0BA7"/>
    <w:rsid w:val="003D0D1C"/>
    <w:rsid w:val="003D1028"/>
    <w:rsid w:val="003D1F59"/>
    <w:rsid w:val="003D282A"/>
    <w:rsid w:val="003D2E0F"/>
    <w:rsid w:val="003D2F8F"/>
    <w:rsid w:val="003D3218"/>
    <w:rsid w:val="003D3E15"/>
    <w:rsid w:val="003D4772"/>
    <w:rsid w:val="003D4E9D"/>
    <w:rsid w:val="003D56B4"/>
    <w:rsid w:val="003D59E7"/>
    <w:rsid w:val="003D5BFE"/>
    <w:rsid w:val="003D5E45"/>
    <w:rsid w:val="003D620B"/>
    <w:rsid w:val="003D64D2"/>
    <w:rsid w:val="003D6ACA"/>
    <w:rsid w:val="003D6BC1"/>
    <w:rsid w:val="003D7147"/>
    <w:rsid w:val="003E058B"/>
    <w:rsid w:val="003E0AD2"/>
    <w:rsid w:val="003E1403"/>
    <w:rsid w:val="003E31B3"/>
    <w:rsid w:val="003E351E"/>
    <w:rsid w:val="003E36C5"/>
    <w:rsid w:val="003E39C7"/>
    <w:rsid w:val="003E3BEF"/>
    <w:rsid w:val="003E4622"/>
    <w:rsid w:val="003E4EDB"/>
    <w:rsid w:val="003E577A"/>
    <w:rsid w:val="003E63E6"/>
    <w:rsid w:val="003E6B4C"/>
    <w:rsid w:val="003E7AB4"/>
    <w:rsid w:val="003E7ADD"/>
    <w:rsid w:val="003F03D0"/>
    <w:rsid w:val="003F06B0"/>
    <w:rsid w:val="003F09FF"/>
    <w:rsid w:val="003F19D4"/>
    <w:rsid w:val="003F1D19"/>
    <w:rsid w:val="003F1DC7"/>
    <w:rsid w:val="003F2A8D"/>
    <w:rsid w:val="003F35FA"/>
    <w:rsid w:val="003F3668"/>
    <w:rsid w:val="003F3D18"/>
    <w:rsid w:val="003F485A"/>
    <w:rsid w:val="003F4CF2"/>
    <w:rsid w:val="003F4E26"/>
    <w:rsid w:val="003F4FE2"/>
    <w:rsid w:val="003F6163"/>
    <w:rsid w:val="003F64B4"/>
    <w:rsid w:val="003F777B"/>
    <w:rsid w:val="003F7882"/>
    <w:rsid w:val="003F788A"/>
    <w:rsid w:val="003F7A83"/>
    <w:rsid w:val="003F7C18"/>
    <w:rsid w:val="0040008D"/>
    <w:rsid w:val="004004C3"/>
    <w:rsid w:val="0040164D"/>
    <w:rsid w:val="00401A5F"/>
    <w:rsid w:val="00401DCE"/>
    <w:rsid w:val="00401E59"/>
    <w:rsid w:val="00402D30"/>
    <w:rsid w:val="00403E1A"/>
    <w:rsid w:val="00404475"/>
    <w:rsid w:val="00404C4C"/>
    <w:rsid w:val="0040678A"/>
    <w:rsid w:val="004067C2"/>
    <w:rsid w:val="00406ED1"/>
    <w:rsid w:val="004072A8"/>
    <w:rsid w:val="004074E1"/>
    <w:rsid w:val="00410457"/>
    <w:rsid w:val="004110CA"/>
    <w:rsid w:val="004115AD"/>
    <w:rsid w:val="00411892"/>
    <w:rsid w:val="00412122"/>
    <w:rsid w:val="00412607"/>
    <w:rsid w:val="00413087"/>
    <w:rsid w:val="00414954"/>
    <w:rsid w:val="00415049"/>
    <w:rsid w:val="0041508C"/>
    <w:rsid w:val="00416622"/>
    <w:rsid w:val="00417501"/>
    <w:rsid w:val="00417FDF"/>
    <w:rsid w:val="0042033B"/>
    <w:rsid w:val="00420391"/>
    <w:rsid w:val="0042071B"/>
    <w:rsid w:val="00420A01"/>
    <w:rsid w:val="00422829"/>
    <w:rsid w:val="00422B2D"/>
    <w:rsid w:val="00422FD2"/>
    <w:rsid w:val="00423928"/>
    <w:rsid w:val="00423A79"/>
    <w:rsid w:val="00423F0A"/>
    <w:rsid w:val="00424DB2"/>
    <w:rsid w:val="00425D06"/>
    <w:rsid w:val="0042614A"/>
    <w:rsid w:val="0042696C"/>
    <w:rsid w:val="00426D52"/>
    <w:rsid w:val="0042753C"/>
    <w:rsid w:val="004307C5"/>
    <w:rsid w:val="00430D5B"/>
    <w:rsid w:val="00430EC1"/>
    <w:rsid w:val="0043134E"/>
    <w:rsid w:val="00432023"/>
    <w:rsid w:val="00432E17"/>
    <w:rsid w:val="0043303C"/>
    <w:rsid w:val="0043359F"/>
    <w:rsid w:val="00433CD0"/>
    <w:rsid w:val="00434A35"/>
    <w:rsid w:val="00434D9D"/>
    <w:rsid w:val="00435810"/>
    <w:rsid w:val="00435A5F"/>
    <w:rsid w:val="0043617A"/>
    <w:rsid w:val="0043636D"/>
    <w:rsid w:val="00436C63"/>
    <w:rsid w:val="00437397"/>
    <w:rsid w:val="00437620"/>
    <w:rsid w:val="004378E1"/>
    <w:rsid w:val="00437F91"/>
    <w:rsid w:val="004405D1"/>
    <w:rsid w:val="0044076B"/>
    <w:rsid w:val="00440815"/>
    <w:rsid w:val="00440E3E"/>
    <w:rsid w:val="00441295"/>
    <w:rsid w:val="00441FC2"/>
    <w:rsid w:val="0044224F"/>
    <w:rsid w:val="0044292D"/>
    <w:rsid w:val="00442F33"/>
    <w:rsid w:val="00443623"/>
    <w:rsid w:val="00444173"/>
    <w:rsid w:val="00445147"/>
    <w:rsid w:val="00445169"/>
    <w:rsid w:val="00445CC7"/>
    <w:rsid w:val="00446362"/>
    <w:rsid w:val="004465C8"/>
    <w:rsid w:val="00446CE4"/>
    <w:rsid w:val="0044754A"/>
    <w:rsid w:val="00447758"/>
    <w:rsid w:val="004477BE"/>
    <w:rsid w:val="00447C0E"/>
    <w:rsid w:val="00450311"/>
    <w:rsid w:val="00450DCF"/>
    <w:rsid w:val="00451065"/>
    <w:rsid w:val="00451A5E"/>
    <w:rsid w:val="00451C4B"/>
    <w:rsid w:val="00451CA2"/>
    <w:rsid w:val="004520E6"/>
    <w:rsid w:val="00452C36"/>
    <w:rsid w:val="00454FE1"/>
    <w:rsid w:val="00455052"/>
    <w:rsid w:val="00455780"/>
    <w:rsid w:val="00456424"/>
    <w:rsid w:val="004564AC"/>
    <w:rsid w:val="00456EEC"/>
    <w:rsid w:val="00457661"/>
    <w:rsid w:val="00457693"/>
    <w:rsid w:val="00457A12"/>
    <w:rsid w:val="00460A32"/>
    <w:rsid w:val="00462C69"/>
    <w:rsid w:val="00462CB1"/>
    <w:rsid w:val="00463319"/>
    <w:rsid w:val="00463683"/>
    <w:rsid w:val="00463720"/>
    <w:rsid w:val="00463B1C"/>
    <w:rsid w:val="00463C3C"/>
    <w:rsid w:val="00463CE2"/>
    <w:rsid w:val="0046400F"/>
    <w:rsid w:val="004644A3"/>
    <w:rsid w:val="004644F9"/>
    <w:rsid w:val="0046512B"/>
    <w:rsid w:val="004660CC"/>
    <w:rsid w:val="00466953"/>
    <w:rsid w:val="00466A0E"/>
    <w:rsid w:val="0046737D"/>
    <w:rsid w:val="00470B37"/>
    <w:rsid w:val="00470CDE"/>
    <w:rsid w:val="00471216"/>
    <w:rsid w:val="00471B83"/>
    <w:rsid w:val="00472534"/>
    <w:rsid w:val="0047256D"/>
    <w:rsid w:val="00472743"/>
    <w:rsid w:val="00472BEA"/>
    <w:rsid w:val="00472C91"/>
    <w:rsid w:val="00474686"/>
    <w:rsid w:val="00474780"/>
    <w:rsid w:val="004749E9"/>
    <w:rsid w:val="00474ADC"/>
    <w:rsid w:val="00474DAD"/>
    <w:rsid w:val="00475785"/>
    <w:rsid w:val="00475E69"/>
    <w:rsid w:val="0047654A"/>
    <w:rsid w:val="00476C07"/>
    <w:rsid w:val="00477345"/>
    <w:rsid w:val="0047745E"/>
    <w:rsid w:val="0048125A"/>
    <w:rsid w:val="0048144C"/>
    <w:rsid w:val="00481FDB"/>
    <w:rsid w:val="00482144"/>
    <w:rsid w:val="00482932"/>
    <w:rsid w:val="0048386A"/>
    <w:rsid w:val="00484218"/>
    <w:rsid w:val="00484C0C"/>
    <w:rsid w:val="004859A5"/>
    <w:rsid w:val="004859DF"/>
    <w:rsid w:val="00485D21"/>
    <w:rsid w:val="004862D3"/>
    <w:rsid w:val="004867E2"/>
    <w:rsid w:val="00486A7D"/>
    <w:rsid w:val="004873F1"/>
    <w:rsid w:val="00487462"/>
    <w:rsid w:val="004877EE"/>
    <w:rsid w:val="004906CA"/>
    <w:rsid w:val="00490F36"/>
    <w:rsid w:val="004910DA"/>
    <w:rsid w:val="00491279"/>
    <w:rsid w:val="00491F70"/>
    <w:rsid w:val="0049247B"/>
    <w:rsid w:val="004942CA"/>
    <w:rsid w:val="00494B98"/>
    <w:rsid w:val="004963B8"/>
    <w:rsid w:val="004968DD"/>
    <w:rsid w:val="00496CD3"/>
    <w:rsid w:val="00497603"/>
    <w:rsid w:val="004A0B52"/>
    <w:rsid w:val="004A19F9"/>
    <w:rsid w:val="004A1D0D"/>
    <w:rsid w:val="004A253B"/>
    <w:rsid w:val="004A29C3"/>
    <w:rsid w:val="004A2B9A"/>
    <w:rsid w:val="004A2F14"/>
    <w:rsid w:val="004A3188"/>
    <w:rsid w:val="004A3803"/>
    <w:rsid w:val="004A40A5"/>
    <w:rsid w:val="004A411E"/>
    <w:rsid w:val="004A43F3"/>
    <w:rsid w:val="004A61DB"/>
    <w:rsid w:val="004A6E95"/>
    <w:rsid w:val="004A7972"/>
    <w:rsid w:val="004A7CC2"/>
    <w:rsid w:val="004B0928"/>
    <w:rsid w:val="004B2987"/>
    <w:rsid w:val="004B2F46"/>
    <w:rsid w:val="004B3464"/>
    <w:rsid w:val="004B4064"/>
    <w:rsid w:val="004B4440"/>
    <w:rsid w:val="004B4D10"/>
    <w:rsid w:val="004B6382"/>
    <w:rsid w:val="004B6F11"/>
    <w:rsid w:val="004B7242"/>
    <w:rsid w:val="004C0614"/>
    <w:rsid w:val="004C13B1"/>
    <w:rsid w:val="004C2904"/>
    <w:rsid w:val="004C29CE"/>
    <w:rsid w:val="004C4891"/>
    <w:rsid w:val="004C4951"/>
    <w:rsid w:val="004C4CAD"/>
    <w:rsid w:val="004C4CC7"/>
    <w:rsid w:val="004C5262"/>
    <w:rsid w:val="004C52D2"/>
    <w:rsid w:val="004C5E9C"/>
    <w:rsid w:val="004C64BC"/>
    <w:rsid w:val="004C6751"/>
    <w:rsid w:val="004C6985"/>
    <w:rsid w:val="004C724D"/>
    <w:rsid w:val="004C79B6"/>
    <w:rsid w:val="004D0252"/>
    <w:rsid w:val="004D0A22"/>
    <w:rsid w:val="004D12CF"/>
    <w:rsid w:val="004D2469"/>
    <w:rsid w:val="004D2602"/>
    <w:rsid w:val="004D2685"/>
    <w:rsid w:val="004D2C42"/>
    <w:rsid w:val="004D38CB"/>
    <w:rsid w:val="004D3A30"/>
    <w:rsid w:val="004D3FCE"/>
    <w:rsid w:val="004D4525"/>
    <w:rsid w:val="004D482B"/>
    <w:rsid w:val="004D493D"/>
    <w:rsid w:val="004D5156"/>
    <w:rsid w:val="004D57AE"/>
    <w:rsid w:val="004D584F"/>
    <w:rsid w:val="004D5D4E"/>
    <w:rsid w:val="004D6453"/>
    <w:rsid w:val="004D66D0"/>
    <w:rsid w:val="004D67AF"/>
    <w:rsid w:val="004D69BB"/>
    <w:rsid w:val="004D6FB9"/>
    <w:rsid w:val="004D72E6"/>
    <w:rsid w:val="004D781D"/>
    <w:rsid w:val="004D7AF7"/>
    <w:rsid w:val="004D7CBA"/>
    <w:rsid w:val="004E0161"/>
    <w:rsid w:val="004E14A4"/>
    <w:rsid w:val="004E1690"/>
    <w:rsid w:val="004E1F3F"/>
    <w:rsid w:val="004E21F8"/>
    <w:rsid w:val="004E2766"/>
    <w:rsid w:val="004E3C33"/>
    <w:rsid w:val="004E4471"/>
    <w:rsid w:val="004E49EA"/>
    <w:rsid w:val="004E56E2"/>
    <w:rsid w:val="004E5C08"/>
    <w:rsid w:val="004E705F"/>
    <w:rsid w:val="004E72CB"/>
    <w:rsid w:val="004E72CC"/>
    <w:rsid w:val="004E734A"/>
    <w:rsid w:val="004E7548"/>
    <w:rsid w:val="004E7905"/>
    <w:rsid w:val="004F010B"/>
    <w:rsid w:val="004F0267"/>
    <w:rsid w:val="004F0CC7"/>
    <w:rsid w:val="004F12D4"/>
    <w:rsid w:val="004F17D1"/>
    <w:rsid w:val="004F2D47"/>
    <w:rsid w:val="004F3775"/>
    <w:rsid w:val="004F50BA"/>
    <w:rsid w:val="004F56EF"/>
    <w:rsid w:val="004F6D63"/>
    <w:rsid w:val="004F7428"/>
    <w:rsid w:val="004F7C8E"/>
    <w:rsid w:val="00500BD9"/>
    <w:rsid w:val="00501A51"/>
    <w:rsid w:val="00502A2A"/>
    <w:rsid w:val="00503792"/>
    <w:rsid w:val="005040B7"/>
    <w:rsid w:val="005049DD"/>
    <w:rsid w:val="005051FD"/>
    <w:rsid w:val="005057EB"/>
    <w:rsid w:val="00505D08"/>
    <w:rsid w:val="00507402"/>
    <w:rsid w:val="00507F8F"/>
    <w:rsid w:val="00510445"/>
    <w:rsid w:val="0051059A"/>
    <w:rsid w:val="00510D4D"/>
    <w:rsid w:val="00511214"/>
    <w:rsid w:val="0051193E"/>
    <w:rsid w:val="00512065"/>
    <w:rsid w:val="0051250F"/>
    <w:rsid w:val="00512DE7"/>
    <w:rsid w:val="005130A6"/>
    <w:rsid w:val="005149E5"/>
    <w:rsid w:val="005156F0"/>
    <w:rsid w:val="00515C8C"/>
    <w:rsid w:val="00515D4F"/>
    <w:rsid w:val="00515FDE"/>
    <w:rsid w:val="00516298"/>
    <w:rsid w:val="0051650E"/>
    <w:rsid w:val="00516BD0"/>
    <w:rsid w:val="00516F16"/>
    <w:rsid w:val="00517383"/>
    <w:rsid w:val="005173EC"/>
    <w:rsid w:val="00517D3C"/>
    <w:rsid w:val="005211BA"/>
    <w:rsid w:val="0052142D"/>
    <w:rsid w:val="00522B51"/>
    <w:rsid w:val="00522C7A"/>
    <w:rsid w:val="00523499"/>
    <w:rsid w:val="0052373D"/>
    <w:rsid w:val="00523BE9"/>
    <w:rsid w:val="005262C3"/>
    <w:rsid w:val="00526832"/>
    <w:rsid w:val="005269F1"/>
    <w:rsid w:val="00526F01"/>
    <w:rsid w:val="00527034"/>
    <w:rsid w:val="0053053F"/>
    <w:rsid w:val="005307BB"/>
    <w:rsid w:val="00530ED3"/>
    <w:rsid w:val="00531084"/>
    <w:rsid w:val="00532271"/>
    <w:rsid w:val="00532D8C"/>
    <w:rsid w:val="005332A5"/>
    <w:rsid w:val="00533647"/>
    <w:rsid w:val="00533CFE"/>
    <w:rsid w:val="00534051"/>
    <w:rsid w:val="005347B8"/>
    <w:rsid w:val="0053491A"/>
    <w:rsid w:val="00534C4A"/>
    <w:rsid w:val="0053532B"/>
    <w:rsid w:val="005359FF"/>
    <w:rsid w:val="00535E22"/>
    <w:rsid w:val="005364D9"/>
    <w:rsid w:val="005366A2"/>
    <w:rsid w:val="0053694B"/>
    <w:rsid w:val="00536C27"/>
    <w:rsid w:val="00536EB8"/>
    <w:rsid w:val="0053791D"/>
    <w:rsid w:val="00540534"/>
    <w:rsid w:val="00541E6E"/>
    <w:rsid w:val="00542526"/>
    <w:rsid w:val="00542990"/>
    <w:rsid w:val="00542FE5"/>
    <w:rsid w:val="0054443F"/>
    <w:rsid w:val="00544C04"/>
    <w:rsid w:val="0054559B"/>
    <w:rsid w:val="00546160"/>
    <w:rsid w:val="0054627D"/>
    <w:rsid w:val="00546639"/>
    <w:rsid w:val="00546C8D"/>
    <w:rsid w:val="005472DF"/>
    <w:rsid w:val="00547330"/>
    <w:rsid w:val="00547427"/>
    <w:rsid w:val="005505FE"/>
    <w:rsid w:val="00550612"/>
    <w:rsid w:val="005508A4"/>
    <w:rsid w:val="00550923"/>
    <w:rsid w:val="00550D28"/>
    <w:rsid w:val="005521F7"/>
    <w:rsid w:val="0055285B"/>
    <w:rsid w:val="00552935"/>
    <w:rsid w:val="00552F9E"/>
    <w:rsid w:val="0055338F"/>
    <w:rsid w:val="005540EB"/>
    <w:rsid w:val="005542A2"/>
    <w:rsid w:val="005542BF"/>
    <w:rsid w:val="0055458C"/>
    <w:rsid w:val="00554B6D"/>
    <w:rsid w:val="00555BA9"/>
    <w:rsid w:val="0055643B"/>
    <w:rsid w:val="005577C4"/>
    <w:rsid w:val="00557E9F"/>
    <w:rsid w:val="00561614"/>
    <w:rsid w:val="0056191C"/>
    <w:rsid w:val="0056258F"/>
    <w:rsid w:val="00562D70"/>
    <w:rsid w:val="00562F23"/>
    <w:rsid w:val="00563284"/>
    <w:rsid w:val="005632B5"/>
    <w:rsid w:val="00563CCC"/>
    <w:rsid w:val="00563F39"/>
    <w:rsid w:val="00564AAA"/>
    <w:rsid w:val="00564DA4"/>
    <w:rsid w:val="00565224"/>
    <w:rsid w:val="0056522B"/>
    <w:rsid w:val="0056626E"/>
    <w:rsid w:val="00566467"/>
    <w:rsid w:val="00566CE0"/>
    <w:rsid w:val="005673D8"/>
    <w:rsid w:val="00567A33"/>
    <w:rsid w:val="005703A3"/>
    <w:rsid w:val="00570845"/>
    <w:rsid w:val="00570A1E"/>
    <w:rsid w:val="00570BB5"/>
    <w:rsid w:val="005717BB"/>
    <w:rsid w:val="005719DA"/>
    <w:rsid w:val="005727D3"/>
    <w:rsid w:val="00572B5D"/>
    <w:rsid w:val="00573298"/>
    <w:rsid w:val="005734F8"/>
    <w:rsid w:val="00573D95"/>
    <w:rsid w:val="005749DC"/>
    <w:rsid w:val="00575041"/>
    <w:rsid w:val="005755AF"/>
    <w:rsid w:val="00575C2E"/>
    <w:rsid w:val="00575F16"/>
    <w:rsid w:val="00575FC4"/>
    <w:rsid w:val="0057605A"/>
    <w:rsid w:val="00576D6E"/>
    <w:rsid w:val="005801CC"/>
    <w:rsid w:val="00580207"/>
    <w:rsid w:val="00580263"/>
    <w:rsid w:val="005810BA"/>
    <w:rsid w:val="0058196D"/>
    <w:rsid w:val="00581CB6"/>
    <w:rsid w:val="005825D0"/>
    <w:rsid w:val="00583ACA"/>
    <w:rsid w:val="00583C98"/>
    <w:rsid w:val="00584AFC"/>
    <w:rsid w:val="00584B8F"/>
    <w:rsid w:val="00584C97"/>
    <w:rsid w:val="005854C1"/>
    <w:rsid w:val="00585A1A"/>
    <w:rsid w:val="00585C90"/>
    <w:rsid w:val="00585F54"/>
    <w:rsid w:val="00587227"/>
    <w:rsid w:val="0058785A"/>
    <w:rsid w:val="005901F2"/>
    <w:rsid w:val="005913C5"/>
    <w:rsid w:val="00591EB8"/>
    <w:rsid w:val="005921B6"/>
    <w:rsid w:val="0059223F"/>
    <w:rsid w:val="00593BB7"/>
    <w:rsid w:val="00593ED0"/>
    <w:rsid w:val="0059489D"/>
    <w:rsid w:val="00594F7B"/>
    <w:rsid w:val="005953AE"/>
    <w:rsid w:val="005955C5"/>
    <w:rsid w:val="00595811"/>
    <w:rsid w:val="00595B9E"/>
    <w:rsid w:val="00595F78"/>
    <w:rsid w:val="0059628F"/>
    <w:rsid w:val="005962BE"/>
    <w:rsid w:val="00596777"/>
    <w:rsid w:val="005972C5"/>
    <w:rsid w:val="0059745C"/>
    <w:rsid w:val="00597C04"/>
    <w:rsid w:val="005A1792"/>
    <w:rsid w:val="005A1A12"/>
    <w:rsid w:val="005A25E8"/>
    <w:rsid w:val="005A4171"/>
    <w:rsid w:val="005A4485"/>
    <w:rsid w:val="005A45A3"/>
    <w:rsid w:val="005A462A"/>
    <w:rsid w:val="005A47E9"/>
    <w:rsid w:val="005A4B83"/>
    <w:rsid w:val="005A5172"/>
    <w:rsid w:val="005A52F2"/>
    <w:rsid w:val="005A5416"/>
    <w:rsid w:val="005A58DE"/>
    <w:rsid w:val="005A5A5C"/>
    <w:rsid w:val="005A6179"/>
    <w:rsid w:val="005A623E"/>
    <w:rsid w:val="005A6B6A"/>
    <w:rsid w:val="005A6D6D"/>
    <w:rsid w:val="005A6EAF"/>
    <w:rsid w:val="005B006C"/>
    <w:rsid w:val="005B01A3"/>
    <w:rsid w:val="005B028B"/>
    <w:rsid w:val="005B035E"/>
    <w:rsid w:val="005B0FCA"/>
    <w:rsid w:val="005B107D"/>
    <w:rsid w:val="005B168B"/>
    <w:rsid w:val="005B1C70"/>
    <w:rsid w:val="005B2E79"/>
    <w:rsid w:val="005B2EB9"/>
    <w:rsid w:val="005B2F78"/>
    <w:rsid w:val="005B30E9"/>
    <w:rsid w:val="005B3495"/>
    <w:rsid w:val="005B3D3B"/>
    <w:rsid w:val="005B4FEA"/>
    <w:rsid w:val="005B578C"/>
    <w:rsid w:val="005B7582"/>
    <w:rsid w:val="005B7D85"/>
    <w:rsid w:val="005C0054"/>
    <w:rsid w:val="005C0872"/>
    <w:rsid w:val="005C0D42"/>
    <w:rsid w:val="005C1005"/>
    <w:rsid w:val="005C11B4"/>
    <w:rsid w:val="005C1B8E"/>
    <w:rsid w:val="005C2BDA"/>
    <w:rsid w:val="005C373A"/>
    <w:rsid w:val="005C3813"/>
    <w:rsid w:val="005C3D54"/>
    <w:rsid w:val="005C43A3"/>
    <w:rsid w:val="005C4DFD"/>
    <w:rsid w:val="005C5C4A"/>
    <w:rsid w:val="005C5C96"/>
    <w:rsid w:val="005C6FFC"/>
    <w:rsid w:val="005D0181"/>
    <w:rsid w:val="005D0441"/>
    <w:rsid w:val="005D0BFA"/>
    <w:rsid w:val="005D0C65"/>
    <w:rsid w:val="005D1190"/>
    <w:rsid w:val="005D121D"/>
    <w:rsid w:val="005D1B05"/>
    <w:rsid w:val="005D24EC"/>
    <w:rsid w:val="005D2C6E"/>
    <w:rsid w:val="005D2E12"/>
    <w:rsid w:val="005D3387"/>
    <w:rsid w:val="005D3B21"/>
    <w:rsid w:val="005D4CF7"/>
    <w:rsid w:val="005D55F5"/>
    <w:rsid w:val="005D7699"/>
    <w:rsid w:val="005D7F9C"/>
    <w:rsid w:val="005E06D0"/>
    <w:rsid w:val="005E1695"/>
    <w:rsid w:val="005E18FB"/>
    <w:rsid w:val="005E238F"/>
    <w:rsid w:val="005E260A"/>
    <w:rsid w:val="005E2CF2"/>
    <w:rsid w:val="005E2D5A"/>
    <w:rsid w:val="005E31B4"/>
    <w:rsid w:val="005E3627"/>
    <w:rsid w:val="005E3726"/>
    <w:rsid w:val="005E379F"/>
    <w:rsid w:val="005E4732"/>
    <w:rsid w:val="005E4E94"/>
    <w:rsid w:val="005E5468"/>
    <w:rsid w:val="005E5484"/>
    <w:rsid w:val="005E55C2"/>
    <w:rsid w:val="005E5CE4"/>
    <w:rsid w:val="005E6F21"/>
    <w:rsid w:val="005E78AE"/>
    <w:rsid w:val="005F0181"/>
    <w:rsid w:val="005F11F6"/>
    <w:rsid w:val="005F16AA"/>
    <w:rsid w:val="005F1818"/>
    <w:rsid w:val="005F2885"/>
    <w:rsid w:val="005F2D6B"/>
    <w:rsid w:val="005F2DD9"/>
    <w:rsid w:val="005F3C7E"/>
    <w:rsid w:val="005F40D3"/>
    <w:rsid w:val="005F436F"/>
    <w:rsid w:val="005F5744"/>
    <w:rsid w:val="005F5AC3"/>
    <w:rsid w:val="005F6683"/>
    <w:rsid w:val="005F7C4B"/>
    <w:rsid w:val="0060075E"/>
    <w:rsid w:val="006010BC"/>
    <w:rsid w:val="006013F1"/>
    <w:rsid w:val="00601415"/>
    <w:rsid w:val="00601C45"/>
    <w:rsid w:val="00601DA4"/>
    <w:rsid w:val="00601F7D"/>
    <w:rsid w:val="0060242C"/>
    <w:rsid w:val="00602566"/>
    <w:rsid w:val="00602753"/>
    <w:rsid w:val="00602D00"/>
    <w:rsid w:val="00604857"/>
    <w:rsid w:val="006048C2"/>
    <w:rsid w:val="00605578"/>
    <w:rsid w:val="00605812"/>
    <w:rsid w:val="00605A06"/>
    <w:rsid w:val="00605B07"/>
    <w:rsid w:val="00605DF3"/>
    <w:rsid w:val="0060697D"/>
    <w:rsid w:val="00607FEC"/>
    <w:rsid w:val="006101B0"/>
    <w:rsid w:val="0061043D"/>
    <w:rsid w:val="0061065D"/>
    <w:rsid w:val="006108FE"/>
    <w:rsid w:val="00610DE7"/>
    <w:rsid w:val="006111F0"/>
    <w:rsid w:val="00611BC2"/>
    <w:rsid w:val="00611EC0"/>
    <w:rsid w:val="0061248A"/>
    <w:rsid w:val="00612B3B"/>
    <w:rsid w:val="00613143"/>
    <w:rsid w:val="0061330F"/>
    <w:rsid w:val="00613533"/>
    <w:rsid w:val="00613B5F"/>
    <w:rsid w:val="00614121"/>
    <w:rsid w:val="00614A82"/>
    <w:rsid w:val="00615102"/>
    <w:rsid w:val="006161C7"/>
    <w:rsid w:val="006163D8"/>
    <w:rsid w:val="00616A13"/>
    <w:rsid w:val="00616D3D"/>
    <w:rsid w:val="0061769E"/>
    <w:rsid w:val="0061789A"/>
    <w:rsid w:val="006207A7"/>
    <w:rsid w:val="00620A12"/>
    <w:rsid w:val="00620F24"/>
    <w:rsid w:val="00621EE6"/>
    <w:rsid w:val="00622642"/>
    <w:rsid w:val="006234D9"/>
    <w:rsid w:val="00623577"/>
    <w:rsid w:val="006237E2"/>
    <w:rsid w:val="00623C5D"/>
    <w:rsid w:val="00625433"/>
    <w:rsid w:val="00625801"/>
    <w:rsid w:val="0062643F"/>
    <w:rsid w:val="00626680"/>
    <w:rsid w:val="006270E4"/>
    <w:rsid w:val="00630391"/>
    <w:rsid w:val="00630E09"/>
    <w:rsid w:val="0063279E"/>
    <w:rsid w:val="00632960"/>
    <w:rsid w:val="00633118"/>
    <w:rsid w:val="00633420"/>
    <w:rsid w:val="00633424"/>
    <w:rsid w:val="0063478C"/>
    <w:rsid w:val="00634B44"/>
    <w:rsid w:val="00634E32"/>
    <w:rsid w:val="00634FA3"/>
    <w:rsid w:val="006351E8"/>
    <w:rsid w:val="00635B53"/>
    <w:rsid w:val="006361A4"/>
    <w:rsid w:val="00636BA9"/>
    <w:rsid w:val="00636C93"/>
    <w:rsid w:val="00636DBA"/>
    <w:rsid w:val="00636EE9"/>
    <w:rsid w:val="00640207"/>
    <w:rsid w:val="006404CD"/>
    <w:rsid w:val="00640794"/>
    <w:rsid w:val="006408F4"/>
    <w:rsid w:val="00640EF8"/>
    <w:rsid w:val="00641651"/>
    <w:rsid w:val="0064259C"/>
    <w:rsid w:val="00643356"/>
    <w:rsid w:val="0064346B"/>
    <w:rsid w:val="00643535"/>
    <w:rsid w:val="0064373A"/>
    <w:rsid w:val="00644D64"/>
    <w:rsid w:val="0064562F"/>
    <w:rsid w:val="006458E6"/>
    <w:rsid w:val="00645949"/>
    <w:rsid w:val="00645CCE"/>
    <w:rsid w:val="00645ED4"/>
    <w:rsid w:val="00646BCE"/>
    <w:rsid w:val="00646F70"/>
    <w:rsid w:val="00647973"/>
    <w:rsid w:val="0065067D"/>
    <w:rsid w:val="00650725"/>
    <w:rsid w:val="00650915"/>
    <w:rsid w:val="00650CD1"/>
    <w:rsid w:val="006514AB"/>
    <w:rsid w:val="00651739"/>
    <w:rsid w:val="006519CA"/>
    <w:rsid w:val="006523F0"/>
    <w:rsid w:val="0065281F"/>
    <w:rsid w:val="0065351B"/>
    <w:rsid w:val="00653785"/>
    <w:rsid w:val="00655054"/>
    <w:rsid w:val="00655586"/>
    <w:rsid w:val="00656CDF"/>
    <w:rsid w:val="00657A60"/>
    <w:rsid w:val="00657B5D"/>
    <w:rsid w:val="00657C74"/>
    <w:rsid w:val="00660142"/>
    <w:rsid w:val="00660296"/>
    <w:rsid w:val="00660BFE"/>
    <w:rsid w:val="00661D57"/>
    <w:rsid w:val="00662AF3"/>
    <w:rsid w:val="00662D4A"/>
    <w:rsid w:val="006637C7"/>
    <w:rsid w:val="00663BD7"/>
    <w:rsid w:val="006646CB"/>
    <w:rsid w:val="00664A0A"/>
    <w:rsid w:val="006655DE"/>
    <w:rsid w:val="00665B5F"/>
    <w:rsid w:val="00666241"/>
    <w:rsid w:val="0066661B"/>
    <w:rsid w:val="006673E0"/>
    <w:rsid w:val="006674A5"/>
    <w:rsid w:val="00670376"/>
    <w:rsid w:val="00670C77"/>
    <w:rsid w:val="00671645"/>
    <w:rsid w:val="00671E54"/>
    <w:rsid w:val="0067213C"/>
    <w:rsid w:val="00672333"/>
    <w:rsid w:val="0067299F"/>
    <w:rsid w:val="00672B9B"/>
    <w:rsid w:val="006734A7"/>
    <w:rsid w:val="006748B5"/>
    <w:rsid w:val="00675304"/>
    <w:rsid w:val="00675F01"/>
    <w:rsid w:val="0067689F"/>
    <w:rsid w:val="006771AD"/>
    <w:rsid w:val="006774B0"/>
    <w:rsid w:val="006776BD"/>
    <w:rsid w:val="006776FE"/>
    <w:rsid w:val="006777D9"/>
    <w:rsid w:val="00677E98"/>
    <w:rsid w:val="00677EBB"/>
    <w:rsid w:val="00681471"/>
    <w:rsid w:val="006816D3"/>
    <w:rsid w:val="006821E3"/>
    <w:rsid w:val="0068228A"/>
    <w:rsid w:val="00682C10"/>
    <w:rsid w:val="0068387C"/>
    <w:rsid w:val="00683966"/>
    <w:rsid w:val="00683B78"/>
    <w:rsid w:val="00685CE3"/>
    <w:rsid w:val="00685E41"/>
    <w:rsid w:val="00686517"/>
    <w:rsid w:val="00686778"/>
    <w:rsid w:val="00686B6D"/>
    <w:rsid w:val="00686FA0"/>
    <w:rsid w:val="006877D3"/>
    <w:rsid w:val="00690597"/>
    <w:rsid w:val="00691C5B"/>
    <w:rsid w:val="00691D24"/>
    <w:rsid w:val="00692057"/>
    <w:rsid w:val="00692CD9"/>
    <w:rsid w:val="0069342F"/>
    <w:rsid w:val="00693C8E"/>
    <w:rsid w:val="00694072"/>
    <w:rsid w:val="00694596"/>
    <w:rsid w:val="00696295"/>
    <w:rsid w:val="00696AEF"/>
    <w:rsid w:val="00696E97"/>
    <w:rsid w:val="00697311"/>
    <w:rsid w:val="0069737A"/>
    <w:rsid w:val="00697458"/>
    <w:rsid w:val="00697490"/>
    <w:rsid w:val="006976AE"/>
    <w:rsid w:val="00697BD2"/>
    <w:rsid w:val="00697EAF"/>
    <w:rsid w:val="00697F76"/>
    <w:rsid w:val="006A0DD6"/>
    <w:rsid w:val="006A17D1"/>
    <w:rsid w:val="006A24C9"/>
    <w:rsid w:val="006A26B8"/>
    <w:rsid w:val="006A286B"/>
    <w:rsid w:val="006A2BC3"/>
    <w:rsid w:val="006A3A98"/>
    <w:rsid w:val="006A3BF1"/>
    <w:rsid w:val="006A48FC"/>
    <w:rsid w:val="006A4A7A"/>
    <w:rsid w:val="006A4BB7"/>
    <w:rsid w:val="006A5170"/>
    <w:rsid w:val="006A5342"/>
    <w:rsid w:val="006A5DE0"/>
    <w:rsid w:val="006A5E0F"/>
    <w:rsid w:val="006A7406"/>
    <w:rsid w:val="006A778F"/>
    <w:rsid w:val="006A7956"/>
    <w:rsid w:val="006A7AB2"/>
    <w:rsid w:val="006B034B"/>
    <w:rsid w:val="006B0D15"/>
    <w:rsid w:val="006B1119"/>
    <w:rsid w:val="006B12F0"/>
    <w:rsid w:val="006B15BC"/>
    <w:rsid w:val="006B16BF"/>
    <w:rsid w:val="006B171B"/>
    <w:rsid w:val="006B2E99"/>
    <w:rsid w:val="006B2EB4"/>
    <w:rsid w:val="006B31A8"/>
    <w:rsid w:val="006B33A6"/>
    <w:rsid w:val="006B383C"/>
    <w:rsid w:val="006B3C13"/>
    <w:rsid w:val="006B4430"/>
    <w:rsid w:val="006B5552"/>
    <w:rsid w:val="006B561A"/>
    <w:rsid w:val="006B58BF"/>
    <w:rsid w:val="006B6787"/>
    <w:rsid w:val="006B68E2"/>
    <w:rsid w:val="006B6DBF"/>
    <w:rsid w:val="006C0049"/>
    <w:rsid w:val="006C02B8"/>
    <w:rsid w:val="006C0FE3"/>
    <w:rsid w:val="006C1FA2"/>
    <w:rsid w:val="006C2C37"/>
    <w:rsid w:val="006C3338"/>
    <w:rsid w:val="006C3F52"/>
    <w:rsid w:val="006C509C"/>
    <w:rsid w:val="006C5359"/>
    <w:rsid w:val="006C65D4"/>
    <w:rsid w:val="006C688E"/>
    <w:rsid w:val="006C751B"/>
    <w:rsid w:val="006C7FE8"/>
    <w:rsid w:val="006D0012"/>
    <w:rsid w:val="006D0BEA"/>
    <w:rsid w:val="006D0DAE"/>
    <w:rsid w:val="006D1D8A"/>
    <w:rsid w:val="006D1EEA"/>
    <w:rsid w:val="006D218D"/>
    <w:rsid w:val="006D28F3"/>
    <w:rsid w:val="006D2EC7"/>
    <w:rsid w:val="006D3040"/>
    <w:rsid w:val="006D306A"/>
    <w:rsid w:val="006D39E1"/>
    <w:rsid w:val="006D3D77"/>
    <w:rsid w:val="006D424F"/>
    <w:rsid w:val="006D4747"/>
    <w:rsid w:val="006D4902"/>
    <w:rsid w:val="006D4EEF"/>
    <w:rsid w:val="006D4FA4"/>
    <w:rsid w:val="006D5B9D"/>
    <w:rsid w:val="006D624B"/>
    <w:rsid w:val="006D65A1"/>
    <w:rsid w:val="006D6A5D"/>
    <w:rsid w:val="006D73D5"/>
    <w:rsid w:val="006D7C35"/>
    <w:rsid w:val="006D7C4B"/>
    <w:rsid w:val="006D7C75"/>
    <w:rsid w:val="006E043E"/>
    <w:rsid w:val="006E08C4"/>
    <w:rsid w:val="006E0D20"/>
    <w:rsid w:val="006E146C"/>
    <w:rsid w:val="006E182E"/>
    <w:rsid w:val="006E1CA6"/>
    <w:rsid w:val="006E2919"/>
    <w:rsid w:val="006E2B84"/>
    <w:rsid w:val="006E2C4B"/>
    <w:rsid w:val="006E312A"/>
    <w:rsid w:val="006E4A8A"/>
    <w:rsid w:val="006E4BDB"/>
    <w:rsid w:val="006E5549"/>
    <w:rsid w:val="006E6C19"/>
    <w:rsid w:val="006E720B"/>
    <w:rsid w:val="006E77A4"/>
    <w:rsid w:val="006E799D"/>
    <w:rsid w:val="006F0082"/>
    <w:rsid w:val="006F02A9"/>
    <w:rsid w:val="006F05BD"/>
    <w:rsid w:val="006F07CC"/>
    <w:rsid w:val="006F15BF"/>
    <w:rsid w:val="006F1800"/>
    <w:rsid w:val="006F1A8C"/>
    <w:rsid w:val="006F2792"/>
    <w:rsid w:val="006F2A16"/>
    <w:rsid w:val="006F2E9B"/>
    <w:rsid w:val="006F3A63"/>
    <w:rsid w:val="006F3E20"/>
    <w:rsid w:val="006F57E6"/>
    <w:rsid w:val="006F61CF"/>
    <w:rsid w:val="006F6592"/>
    <w:rsid w:val="006F6B91"/>
    <w:rsid w:val="006F794B"/>
    <w:rsid w:val="006F7E2D"/>
    <w:rsid w:val="00700D3F"/>
    <w:rsid w:val="00701F36"/>
    <w:rsid w:val="00702B25"/>
    <w:rsid w:val="00702E8E"/>
    <w:rsid w:val="00703DC7"/>
    <w:rsid w:val="00704196"/>
    <w:rsid w:val="00704DA2"/>
    <w:rsid w:val="00704E29"/>
    <w:rsid w:val="0070548F"/>
    <w:rsid w:val="007058EE"/>
    <w:rsid w:val="007060DA"/>
    <w:rsid w:val="007060F0"/>
    <w:rsid w:val="00706115"/>
    <w:rsid w:val="0070687A"/>
    <w:rsid w:val="00707952"/>
    <w:rsid w:val="00710394"/>
    <w:rsid w:val="00710E4D"/>
    <w:rsid w:val="00710E65"/>
    <w:rsid w:val="00710ED1"/>
    <w:rsid w:val="00712BC4"/>
    <w:rsid w:val="007131DD"/>
    <w:rsid w:val="00713594"/>
    <w:rsid w:val="00713662"/>
    <w:rsid w:val="00713875"/>
    <w:rsid w:val="00713E66"/>
    <w:rsid w:val="0071481F"/>
    <w:rsid w:val="00714B9C"/>
    <w:rsid w:val="00714C81"/>
    <w:rsid w:val="00714DBD"/>
    <w:rsid w:val="0071509B"/>
    <w:rsid w:val="007154E8"/>
    <w:rsid w:val="00715996"/>
    <w:rsid w:val="00715CA7"/>
    <w:rsid w:val="00715EC9"/>
    <w:rsid w:val="00716A19"/>
    <w:rsid w:val="007171C6"/>
    <w:rsid w:val="00717D47"/>
    <w:rsid w:val="00720034"/>
    <w:rsid w:val="0072016D"/>
    <w:rsid w:val="007203D1"/>
    <w:rsid w:val="007205DF"/>
    <w:rsid w:val="00721D0D"/>
    <w:rsid w:val="007220D9"/>
    <w:rsid w:val="00722B05"/>
    <w:rsid w:val="007234CD"/>
    <w:rsid w:val="007237A9"/>
    <w:rsid w:val="00723932"/>
    <w:rsid w:val="00725788"/>
    <w:rsid w:val="00725D11"/>
    <w:rsid w:val="00725E3F"/>
    <w:rsid w:val="007260AE"/>
    <w:rsid w:val="007266CB"/>
    <w:rsid w:val="0072705E"/>
    <w:rsid w:val="007274A9"/>
    <w:rsid w:val="00730545"/>
    <w:rsid w:val="00730C7B"/>
    <w:rsid w:val="00732EDC"/>
    <w:rsid w:val="00733070"/>
    <w:rsid w:val="0073374D"/>
    <w:rsid w:val="00733D3D"/>
    <w:rsid w:val="007342BE"/>
    <w:rsid w:val="00735B38"/>
    <w:rsid w:val="007370AA"/>
    <w:rsid w:val="00737491"/>
    <w:rsid w:val="00737AEE"/>
    <w:rsid w:val="00737B23"/>
    <w:rsid w:val="00737DAB"/>
    <w:rsid w:val="007405AB"/>
    <w:rsid w:val="0074075C"/>
    <w:rsid w:val="0074117E"/>
    <w:rsid w:val="007411EF"/>
    <w:rsid w:val="0074171E"/>
    <w:rsid w:val="00741959"/>
    <w:rsid w:val="00741C5B"/>
    <w:rsid w:val="007427F3"/>
    <w:rsid w:val="00742EAD"/>
    <w:rsid w:val="007434C2"/>
    <w:rsid w:val="00743D9C"/>
    <w:rsid w:val="00743F5B"/>
    <w:rsid w:val="007441D5"/>
    <w:rsid w:val="00744949"/>
    <w:rsid w:val="00744FBE"/>
    <w:rsid w:val="0074538E"/>
    <w:rsid w:val="007457F2"/>
    <w:rsid w:val="00745ABC"/>
    <w:rsid w:val="0074604E"/>
    <w:rsid w:val="00746466"/>
    <w:rsid w:val="0074691E"/>
    <w:rsid w:val="00746AF2"/>
    <w:rsid w:val="00746C0F"/>
    <w:rsid w:val="00746E5F"/>
    <w:rsid w:val="0074754E"/>
    <w:rsid w:val="007502D6"/>
    <w:rsid w:val="007512B4"/>
    <w:rsid w:val="00751666"/>
    <w:rsid w:val="007524C0"/>
    <w:rsid w:val="00753466"/>
    <w:rsid w:val="007537FF"/>
    <w:rsid w:val="00753B3C"/>
    <w:rsid w:val="00754383"/>
    <w:rsid w:val="00755971"/>
    <w:rsid w:val="00755D1B"/>
    <w:rsid w:val="00755FE9"/>
    <w:rsid w:val="00756090"/>
    <w:rsid w:val="00756E29"/>
    <w:rsid w:val="00757345"/>
    <w:rsid w:val="00757C05"/>
    <w:rsid w:val="007623ED"/>
    <w:rsid w:val="0076275C"/>
    <w:rsid w:val="007627E0"/>
    <w:rsid w:val="00762D5B"/>
    <w:rsid w:val="007630B3"/>
    <w:rsid w:val="0076332F"/>
    <w:rsid w:val="0076349B"/>
    <w:rsid w:val="00763CD7"/>
    <w:rsid w:val="00764AC0"/>
    <w:rsid w:val="00764D6C"/>
    <w:rsid w:val="0076511E"/>
    <w:rsid w:val="00765536"/>
    <w:rsid w:val="007655EC"/>
    <w:rsid w:val="00765E19"/>
    <w:rsid w:val="007660C1"/>
    <w:rsid w:val="0076619C"/>
    <w:rsid w:val="007668FB"/>
    <w:rsid w:val="0076706F"/>
    <w:rsid w:val="00767469"/>
    <w:rsid w:val="0076777E"/>
    <w:rsid w:val="00767868"/>
    <w:rsid w:val="00767C3E"/>
    <w:rsid w:val="00770854"/>
    <w:rsid w:val="007712D0"/>
    <w:rsid w:val="0077174E"/>
    <w:rsid w:val="007717A5"/>
    <w:rsid w:val="00771FCC"/>
    <w:rsid w:val="0077228B"/>
    <w:rsid w:val="0077269E"/>
    <w:rsid w:val="007728EB"/>
    <w:rsid w:val="0077332C"/>
    <w:rsid w:val="00773BFA"/>
    <w:rsid w:val="0077486A"/>
    <w:rsid w:val="00774B99"/>
    <w:rsid w:val="00774D10"/>
    <w:rsid w:val="00775BF0"/>
    <w:rsid w:val="007760A3"/>
    <w:rsid w:val="007760C0"/>
    <w:rsid w:val="00776ADA"/>
    <w:rsid w:val="0077737A"/>
    <w:rsid w:val="00777701"/>
    <w:rsid w:val="007777EE"/>
    <w:rsid w:val="0077793C"/>
    <w:rsid w:val="00777D66"/>
    <w:rsid w:val="00777DB4"/>
    <w:rsid w:val="0078040F"/>
    <w:rsid w:val="00781F2B"/>
    <w:rsid w:val="00783285"/>
    <w:rsid w:val="007837C8"/>
    <w:rsid w:val="00783F83"/>
    <w:rsid w:val="00784B22"/>
    <w:rsid w:val="00784EAE"/>
    <w:rsid w:val="007851E8"/>
    <w:rsid w:val="00785236"/>
    <w:rsid w:val="00785C6E"/>
    <w:rsid w:val="00785FF2"/>
    <w:rsid w:val="00786546"/>
    <w:rsid w:val="007869A5"/>
    <w:rsid w:val="007878CD"/>
    <w:rsid w:val="00790C75"/>
    <w:rsid w:val="00790CE0"/>
    <w:rsid w:val="00790E6C"/>
    <w:rsid w:val="00791154"/>
    <w:rsid w:val="00791B88"/>
    <w:rsid w:val="00791CA7"/>
    <w:rsid w:val="00791ECC"/>
    <w:rsid w:val="0079203B"/>
    <w:rsid w:val="00792521"/>
    <w:rsid w:val="00792914"/>
    <w:rsid w:val="007929E6"/>
    <w:rsid w:val="00792A2F"/>
    <w:rsid w:val="0079346C"/>
    <w:rsid w:val="007934E1"/>
    <w:rsid w:val="0079394C"/>
    <w:rsid w:val="00794168"/>
    <w:rsid w:val="0079442F"/>
    <w:rsid w:val="0079494A"/>
    <w:rsid w:val="00794CCB"/>
    <w:rsid w:val="00795937"/>
    <w:rsid w:val="0079763C"/>
    <w:rsid w:val="00797801"/>
    <w:rsid w:val="007A045E"/>
    <w:rsid w:val="007A14A4"/>
    <w:rsid w:val="007A1647"/>
    <w:rsid w:val="007A1A79"/>
    <w:rsid w:val="007A2143"/>
    <w:rsid w:val="007A21EF"/>
    <w:rsid w:val="007A2741"/>
    <w:rsid w:val="007A287F"/>
    <w:rsid w:val="007A2FA7"/>
    <w:rsid w:val="007A3124"/>
    <w:rsid w:val="007A41A7"/>
    <w:rsid w:val="007A52F9"/>
    <w:rsid w:val="007A60FA"/>
    <w:rsid w:val="007A64FB"/>
    <w:rsid w:val="007A673E"/>
    <w:rsid w:val="007A6B19"/>
    <w:rsid w:val="007A7A34"/>
    <w:rsid w:val="007B111B"/>
    <w:rsid w:val="007B1726"/>
    <w:rsid w:val="007B18B4"/>
    <w:rsid w:val="007B1CE4"/>
    <w:rsid w:val="007B31A4"/>
    <w:rsid w:val="007B3382"/>
    <w:rsid w:val="007B34A4"/>
    <w:rsid w:val="007B3CDC"/>
    <w:rsid w:val="007B4508"/>
    <w:rsid w:val="007B46FC"/>
    <w:rsid w:val="007B4FA2"/>
    <w:rsid w:val="007B57A1"/>
    <w:rsid w:val="007B5EF6"/>
    <w:rsid w:val="007B61AD"/>
    <w:rsid w:val="007B6365"/>
    <w:rsid w:val="007B65A2"/>
    <w:rsid w:val="007B6EE0"/>
    <w:rsid w:val="007B709C"/>
    <w:rsid w:val="007B78D5"/>
    <w:rsid w:val="007B7CB8"/>
    <w:rsid w:val="007B7F33"/>
    <w:rsid w:val="007C00E1"/>
    <w:rsid w:val="007C08E6"/>
    <w:rsid w:val="007C0A8D"/>
    <w:rsid w:val="007C0B33"/>
    <w:rsid w:val="007C2345"/>
    <w:rsid w:val="007C2E44"/>
    <w:rsid w:val="007C3F89"/>
    <w:rsid w:val="007C413D"/>
    <w:rsid w:val="007C49F1"/>
    <w:rsid w:val="007C5386"/>
    <w:rsid w:val="007C5DFA"/>
    <w:rsid w:val="007C6418"/>
    <w:rsid w:val="007C6DD5"/>
    <w:rsid w:val="007C6DF2"/>
    <w:rsid w:val="007C7016"/>
    <w:rsid w:val="007C787B"/>
    <w:rsid w:val="007D03B6"/>
    <w:rsid w:val="007D0DF0"/>
    <w:rsid w:val="007D15E7"/>
    <w:rsid w:val="007D1735"/>
    <w:rsid w:val="007D2622"/>
    <w:rsid w:val="007D2992"/>
    <w:rsid w:val="007D2B7B"/>
    <w:rsid w:val="007D2F6A"/>
    <w:rsid w:val="007D3156"/>
    <w:rsid w:val="007D36B9"/>
    <w:rsid w:val="007D4032"/>
    <w:rsid w:val="007D4373"/>
    <w:rsid w:val="007D49F1"/>
    <w:rsid w:val="007D5BB4"/>
    <w:rsid w:val="007D642B"/>
    <w:rsid w:val="007D669C"/>
    <w:rsid w:val="007D6844"/>
    <w:rsid w:val="007D7B23"/>
    <w:rsid w:val="007D7E91"/>
    <w:rsid w:val="007E0131"/>
    <w:rsid w:val="007E02E9"/>
    <w:rsid w:val="007E1027"/>
    <w:rsid w:val="007E107B"/>
    <w:rsid w:val="007E1388"/>
    <w:rsid w:val="007E1461"/>
    <w:rsid w:val="007E2B6C"/>
    <w:rsid w:val="007E2BD5"/>
    <w:rsid w:val="007E2E54"/>
    <w:rsid w:val="007E356A"/>
    <w:rsid w:val="007E4154"/>
    <w:rsid w:val="007E47EF"/>
    <w:rsid w:val="007E588A"/>
    <w:rsid w:val="007E6757"/>
    <w:rsid w:val="007E69FC"/>
    <w:rsid w:val="007E74DC"/>
    <w:rsid w:val="007E751A"/>
    <w:rsid w:val="007E79CE"/>
    <w:rsid w:val="007E7FC8"/>
    <w:rsid w:val="007F00FB"/>
    <w:rsid w:val="007F0B1F"/>
    <w:rsid w:val="007F1243"/>
    <w:rsid w:val="007F136B"/>
    <w:rsid w:val="007F1641"/>
    <w:rsid w:val="007F178F"/>
    <w:rsid w:val="007F2051"/>
    <w:rsid w:val="007F36F8"/>
    <w:rsid w:val="007F3BDD"/>
    <w:rsid w:val="007F43E9"/>
    <w:rsid w:val="007F59A2"/>
    <w:rsid w:val="007F5F99"/>
    <w:rsid w:val="007F60DE"/>
    <w:rsid w:val="007F637C"/>
    <w:rsid w:val="007F65AE"/>
    <w:rsid w:val="007F6814"/>
    <w:rsid w:val="007F6EF6"/>
    <w:rsid w:val="007F70DE"/>
    <w:rsid w:val="007F7B48"/>
    <w:rsid w:val="00800A30"/>
    <w:rsid w:val="0080195F"/>
    <w:rsid w:val="00802F2C"/>
    <w:rsid w:val="008034AA"/>
    <w:rsid w:val="008037F6"/>
    <w:rsid w:val="00803CBB"/>
    <w:rsid w:val="00803DA5"/>
    <w:rsid w:val="00804630"/>
    <w:rsid w:val="00804BC5"/>
    <w:rsid w:val="00804FE5"/>
    <w:rsid w:val="00805802"/>
    <w:rsid w:val="008059EE"/>
    <w:rsid w:val="008066EC"/>
    <w:rsid w:val="008066FB"/>
    <w:rsid w:val="00806C64"/>
    <w:rsid w:val="0080700E"/>
    <w:rsid w:val="00807E7B"/>
    <w:rsid w:val="008108CB"/>
    <w:rsid w:val="008110ED"/>
    <w:rsid w:val="00811E9A"/>
    <w:rsid w:val="00812570"/>
    <w:rsid w:val="00812DD2"/>
    <w:rsid w:val="008133E9"/>
    <w:rsid w:val="00814742"/>
    <w:rsid w:val="00814DF4"/>
    <w:rsid w:val="00814E17"/>
    <w:rsid w:val="00814F3A"/>
    <w:rsid w:val="00815212"/>
    <w:rsid w:val="00815DD0"/>
    <w:rsid w:val="008172B8"/>
    <w:rsid w:val="00817A04"/>
    <w:rsid w:val="00817E9E"/>
    <w:rsid w:val="008204EF"/>
    <w:rsid w:val="008207D4"/>
    <w:rsid w:val="00820F69"/>
    <w:rsid w:val="00822C57"/>
    <w:rsid w:val="00823299"/>
    <w:rsid w:val="00823A9D"/>
    <w:rsid w:val="00824939"/>
    <w:rsid w:val="00824C50"/>
    <w:rsid w:val="00824D9D"/>
    <w:rsid w:val="00825F02"/>
    <w:rsid w:val="008260BD"/>
    <w:rsid w:val="0082638A"/>
    <w:rsid w:val="008264EB"/>
    <w:rsid w:val="0082788A"/>
    <w:rsid w:val="00827F65"/>
    <w:rsid w:val="00830160"/>
    <w:rsid w:val="00830811"/>
    <w:rsid w:val="008309AF"/>
    <w:rsid w:val="00830C05"/>
    <w:rsid w:val="00831390"/>
    <w:rsid w:val="00832045"/>
    <w:rsid w:val="00832763"/>
    <w:rsid w:val="00833C60"/>
    <w:rsid w:val="00833F73"/>
    <w:rsid w:val="008342B2"/>
    <w:rsid w:val="0083438A"/>
    <w:rsid w:val="008350E7"/>
    <w:rsid w:val="00835456"/>
    <w:rsid w:val="00835D9F"/>
    <w:rsid w:val="00837097"/>
    <w:rsid w:val="00837815"/>
    <w:rsid w:val="00837D41"/>
    <w:rsid w:val="0084061A"/>
    <w:rsid w:val="00840B1E"/>
    <w:rsid w:val="00840C6F"/>
    <w:rsid w:val="008410EF"/>
    <w:rsid w:val="00841D33"/>
    <w:rsid w:val="00842862"/>
    <w:rsid w:val="00842A4F"/>
    <w:rsid w:val="008435C9"/>
    <w:rsid w:val="008435F7"/>
    <w:rsid w:val="0084368A"/>
    <w:rsid w:val="00843A5D"/>
    <w:rsid w:val="0084487B"/>
    <w:rsid w:val="00844ADA"/>
    <w:rsid w:val="008452AC"/>
    <w:rsid w:val="008459AA"/>
    <w:rsid w:val="00845DAA"/>
    <w:rsid w:val="00846EBF"/>
    <w:rsid w:val="00847367"/>
    <w:rsid w:val="00847488"/>
    <w:rsid w:val="00847675"/>
    <w:rsid w:val="0084793A"/>
    <w:rsid w:val="00850E21"/>
    <w:rsid w:val="00851353"/>
    <w:rsid w:val="008516C0"/>
    <w:rsid w:val="00852137"/>
    <w:rsid w:val="0085214F"/>
    <w:rsid w:val="008521D9"/>
    <w:rsid w:val="0085231C"/>
    <w:rsid w:val="0085248A"/>
    <w:rsid w:val="00852A26"/>
    <w:rsid w:val="0085357E"/>
    <w:rsid w:val="008539F0"/>
    <w:rsid w:val="00853D82"/>
    <w:rsid w:val="00854A50"/>
    <w:rsid w:val="00854EAA"/>
    <w:rsid w:val="008552C6"/>
    <w:rsid w:val="0085559A"/>
    <w:rsid w:val="00855EAE"/>
    <w:rsid w:val="008568E7"/>
    <w:rsid w:val="00856FC4"/>
    <w:rsid w:val="008572E4"/>
    <w:rsid w:val="0085783E"/>
    <w:rsid w:val="00857893"/>
    <w:rsid w:val="00857A32"/>
    <w:rsid w:val="00857BDF"/>
    <w:rsid w:val="0086028B"/>
    <w:rsid w:val="008606E8"/>
    <w:rsid w:val="00861063"/>
    <w:rsid w:val="00861128"/>
    <w:rsid w:val="0086173B"/>
    <w:rsid w:val="00861DAE"/>
    <w:rsid w:val="00862EC7"/>
    <w:rsid w:val="00863EB5"/>
    <w:rsid w:val="008646FE"/>
    <w:rsid w:val="008653C3"/>
    <w:rsid w:val="00865620"/>
    <w:rsid w:val="00865CBA"/>
    <w:rsid w:val="008664F6"/>
    <w:rsid w:val="008665AD"/>
    <w:rsid w:val="0086709D"/>
    <w:rsid w:val="008670E5"/>
    <w:rsid w:val="00867216"/>
    <w:rsid w:val="00867970"/>
    <w:rsid w:val="00867CC4"/>
    <w:rsid w:val="00867D1F"/>
    <w:rsid w:val="00870A5E"/>
    <w:rsid w:val="00872175"/>
    <w:rsid w:val="0087235D"/>
    <w:rsid w:val="00872FF6"/>
    <w:rsid w:val="00873E30"/>
    <w:rsid w:val="00874222"/>
    <w:rsid w:val="008745D9"/>
    <w:rsid w:val="00875D98"/>
    <w:rsid w:val="00875EFC"/>
    <w:rsid w:val="0087668E"/>
    <w:rsid w:val="008767A0"/>
    <w:rsid w:val="00876D06"/>
    <w:rsid w:val="008770DF"/>
    <w:rsid w:val="008775F2"/>
    <w:rsid w:val="00880178"/>
    <w:rsid w:val="00880466"/>
    <w:rsid w:val="008810D4"/>
    <w:rsid w:val="00881532"/>
    <w:rsid w:val="00881B7D"/>
    <w:rsid w:val="00881D3D"/>
    <w:rsid w:val="00882515"/>
    <w:rsid w:val="00882EE8"/>
    <w:rsid w:val="00884361"/>
    <w:rsid w:val="00884AF6"/>
    <w:rsid w:val="00884CCE"/>
    <w:rsid w:val="00885022"/>
    <w:rsid w:val="00885208"/>
    <w:rsid w:val="00885AEE"/>
    <w:rsid w:val="00885DB4"/>
    <w:rsid w:val="00885E8E"/>
    <w:rsid w:val="008860F1"/>
    <w:rsid w:val="00886D83"/>
    <w:rsid w:val="008876DA"/>
    <w:rsid w:val="00890048"/>
    <w:rsid w:val="00890920"/>
    <w:rsid w:val="00890C8B"/>
    <w:rsid w:val="008912C3"/>
    <w:rsid w:val="00891863"/>
    <w:rsid w:val="00891F87"/>
    <w:rsid w:val="00892556"/>
    <w:rsid w:val="00892950"/>
    <w:rsid w:val="0089315C"/>
    <w:rsid w:val="00893242"/>
    <w:rsid w:val="0089331C"/>
    <w:rsid w:val="00893C0C"/>
    <w:rsid w:val="00893D9A"/>
    <w:rsid w:val="00894AB0"/>
    <w:rsid w:val="00894C15"/>
    <w:rsid w:val="00894EDF"/>
    <w:rsid w:val="008958D6"/>
    <w:rsid w:val="00895AAF"/>
    <w:rsid w:val="00896BCD"/>
    <w:rsid w:val="00897111"/>
    <w:rsid w:val="0089791F"/>
    <w:rsid w:val="00897EBD"/>
    <w:rsid w:val="00897F3D"/>
    <w:rsid w:val="008A00F0"/>
    <w:rsid w:val="008A05B8"/>
    <w:rsid w:val="008A06C4"/>
    <w:rsid w:val="008A06D6"/>
    <w:rsid w:val="008A078F"/>
    <w:rsid w:val="008A0818"/>
    <w:rsid w:val="008A0BC2"/>
    <w:rsid w:val="008A0E18"/>
    <w:rsid w:val="008A0E33"/>
    <w:rsid w:val="008A13AB"/>
    <w:rsid w:val="008A1730"/>
    <w:rsid w:val="008A1DDC"/>
    <w:rsid w:val="008A2C6F"/>
    <w:rsid w:val="008A34CC"/>
    <w:rsid w:val="008A34DC"/>
    <w:rsid w:val="008A375C"/>
    <w:rsid w:val="008A3E3C"/>
    <w:rsid w:val="008A405A"/>
    <w:rsid w:val="008A44F4"/>
    <w:rsid w:val="008A44FF"/>
    <w:rsid w:val="008A482E"/>
    <w:rsid w:val="008A49F1"/>
    <w:rsid w:val="008A4B64"/>
    <w:rsid w:val="008A52D0"/>
    <w:rsid w:val="008A5306"/>
    <w:rsid w:val="008A552A"/>
    <w:rsid w:val="008A5B18"/>
    <w:rsid w:val="008A6F0F"/>
    <w:rsid w:val="008A6FE6"/>
    <w:rsid w:val="008A7861"/>
    <w:rsid w:val="008A7BF5"/>
    <w:rsid w:val="008A7D3D"/>
    <w:rsid w:val="008A7F11"/>
    <w:rsid w:val="008A7F46"/>
    <w:rsid w:val="008B0143"/>
    <w:rsid w:val="008B02B4"/>
    <w:rsid w:val="008B0DC3"/>
    <w:rsid w:val="008B1083"/>
    <w:rsid w:val="008B153E"/>
    <w:rsid w:val="008B1627"/>
    <w:rsid w:val="008B1A29"/>
    <w:rsid w:val="008B1FB3"/>
    <w:rsid w:val="008B25EE"/>
    <w:rsid w:val="008B29D9"/>
    <w:rsid w:val="008B35C6"/>
    <w:rsid w:val="008B4C7C"/>
    <w:rsid w:val="008B536D"/>
    <w:rsid w:val="008B5A18"/>
    <w:rsid w:val="008B6081"/>
    <w:rsid w:val="008B688D"/>
    <w:rsid w:val="008B6E11"/>
    <w:rsid w:val="008B77B8"/>
    <w:rsid w:val="008B7D64"/>
    <w:rsid w:val="008B7ECE"/>
    <w:rsid w:val="008B7F44"/>
    <w:rsid w:val="008C0BCB"/>
    <w:rsid w:val="008C0D51"/>
    <w:rsid w:val="008C19D9"/>
    <w:rsid w:val="008C1C68"/>
    <w:rsid w:val="008C2008"/>
    <w:rsid w:val="008C2413"/>
    <w:rsid w:val="008C24EF"/>
    <w:rsid w:val="008C26B3"/>
    <w:rsid w:val="008C298B"/>
    <w:rsid w:val="008C3B78"/>
    <w:rsid w:val="008C455F"/>
    <w:rsid w:val="008C6042"/>
    <w:rsid w:val="008C7145"/>
    <w:rsid w:val="008C7A6C"/>
    <w:rsid w:val="008D0497"/>
    <w:rsid w:val="008D0B7C"/>
    <w:rsid w:val="008D1C6A"/>
    <w:rsid w:val="008D2430"/>
    <w:rsid w:val="008D2B2D"/>
    <w:rsid w:val="008D35CA"/>
    <w:rsid w:val="008D4E31"/>
    <w:rsid w:val="008D512E"/>
    <w:rsid w:val="008D5138"/>
    <w:rsid w:val="008D5E8C"/>
    <w:rsid w:val="008D6292"/>
    <w:rsid w:val="008D62E8"/>
    <w:rsid w:val="008D6D51"/>
    <w:rsid w:val="008D6EB1"/>
    <w:rsid w:val="008D7149"/>
    <w:rsid w:val="008D7374"/>
    <w:rsid w:val="008D758A"/>
    <w:rsid w:val="008E039A"/>
    <w:rsid w:val="008E07B0"/>
    <w:rsid w:val="008E09A2"/>
    <w:rsid w:val="008E0DBE"/>
    <w:rsid w:val="008E135B"/>
    <w:rsid w:val="008E182B"/>
    <w:rsid w:val="008E2AFF"/>
    <w:rsid w:val="008E2BA5"/>
    <w:rsid w:val="008E3373"/>
    <w:rsid w:val="008E34E5"/>
    <w:rsid w:val="008E3992"/>
    <w:rsid w:val="008E3F26"/>
    <w:rsid w:val="008E3F75"/>
    <w:rsid w:val="008E45AF"/>
    <w:rsid w:val="008E5BB3"/>
    <w:rsid w:val="008E5CD4"/>
    <w:rsid w:val="008E5F19"/>
    <w:rsid w:val="008E5F3E"/>
    <w:rsid w:val="008E6265"/>
    <w:rsid w:val="008E6267"/>
    <w:rsid w:val="008E7B76"/>
    <w:rsid w:val="008E7F61"/>
    <w:rsid w:val="008F0798"/>
    <w:rsid w:val="008F0A08"/>
    <w:rsid w:val="008F0A21"/>
    <w:rsid w:val="008F0C06"/>
    <w:rsid w:val="008F100C"/>
    <w:rsid w:val="008F20B2"/>
    <w:rsid w:val="008F2B47"/>
    <w:rsid w:val="008F2EA0"/>
    <w:rsid w:val="008F30CB"/>
    <w:rsid w:val="008F3899"/>
    <w:rsid w:val="008F38FF"/>
    <w:rsid w:val="008F39AA"/>
    <w:rsid w:val="008F3EBA"/>
    <w:rsid w:val="008F4ADC"/>
    <w:rsid w:val="008F5442"/>
    <w:rsid w:val="008F549A"/>
    <w:rsid w:val="008F54ED"/>
    <w:rsid w:val="008F5D6B"/>
    <w:rsid w:val="008F6371"/>
    <w:rsid w:val="008F6552"/>
    <w:rsid w:val="008F6710"/>
    <w:rsid w:val="008F6C85"/>
    <w:rsid w:val="008F6FD0"/>
    <w:rsid w:val="008F72FE"/>
    <w:rsid w:val="008F7722"/>
    <w:rsid w:val="008F7C32"/>
    <w:rsid w:val="008F7F39"/>
    <w:rsid w:val="009009D6"/>
    <w:rsid w:val="00901615"/>
    <w:rsid w:val="009035E7"/>
    <w:rsid w:val="009038F8"/>
    <w:rsid w:val="009051BC"/>
    <w:rsid w:val="00905497"/>
    <w:rsid w:val="00905583"/>
    <w:rsid w:val="00905988"/>
    <w:rsid w:val="00905EE9"/>
    <w:rsid w:val="0090625F"/>
    <w:rsid w:val="00907139"/>
    <w:rsid w:val="009079BA"/>
    <w:rsid w:val="009105CD"/>
    <w:rsid w:val="00910E7D"/>
    <w:rsid w:val="009112F9"/>
    <w:rsid w:val="00912EB3"/>
    <w:rsid w:val="009134EC"/>
    <w:rsid w:val="00913704"/>
    <w:rsid w:val="00913B3A"/>
    <w:rsid w:val="00913EA8"/>
    <w:rsid w:val="00914EB4"/>
    <w:rsid w:val="009155BF"/>
    <w:rsid w:val="009155EC"/>
    <w:rsid w:val="009161FF"/>
    <w:rsid w:val="009164DA"/>
    <w:rsid w:val="00916D6A"/>
    <w:rsid w:val="00916F26"/>
    <w:rsid w:val="00916FCF"/>
    <w:rsid w:val="009175F7"/>
    <w:rsid w:val="009200D8"/>
    <w:rsid w:val="009205CE"/>
    <w:rsid w:val="00920B40"/>
    <w:rsid w:val="00921343"/>
    <w:rsid w:val="00921454"/>
    <w:rsid w:val="00922481"/>
    <w:rsid w:val="00923829"/>
    <w:rsid w:val="009238AF"/>
    <w:rsid w:val="00923912"/>
    <w:rsid w:val="00925406"/>
    <w:rsid w:val="009255F9"/>
    <w:rsid w:val="00925674"/>
    <w:rsid w:val="009257E1"/>
    <w:rsid w:val="00925DC0"/>
    <w:rsid w:val="009267B2"/>
    <w:rsid w:val="009269B5"/>
    <w:rsid w:val="00926F98"/>
    <w:rsid w:val="00927C34"/>
    <w:rsid w:val="009301DA"/>
    <w:rsid w:val="00931038"/>
    <w:rsid w:val="00931A3B"/>
    <w:rsid w:val="00931BC4"/>
    <w:rsid w:val="009335F1"/>
    <w:rsid w:val="00933870"/>
    <w:rsid w:val="00934174"/>
    <w:rsid w:val="00934DB0"/>
    <w:rsid w:val="00936307"/>
    <w:rsid w:val="0093644A"/>
    <w:rsid w:val="00937017"/>
    <w:rsid w:val="0093778C"/>
    <w:rsid w:val="00937B33"/>
    <w:rsid w:val="00940ABC"/>
    <w:rsid w:val="00940EF6"/>
    <w:rsid w:val="009413D0"/>
    <w:rsid w:val="00941426"/>
    <w:rsid w:val="00942A79"/>
    <w:rsid w:val="00943C8C"/>
    <w:rsid w:val="00943E9E"/>
    <w:rsid w:val="00944A96"/>
    <w:rsid w:val="009469DE"/>
    <w:rsid w:val="009506CB"/>
    <w:rsid w:val="00951E75"/>
    <w:rsid w:val="009526C1"/>
    <w:rsid w:val="00952BFF"/>
    <w:rsid w:val="00953116"/>
    <w:rsid w:val="0095439D"/>
    <w:rsid w:val="009574FF"/>
    <w:rsid w:val="00957F67"/>
    <w:rsid w:val="0096034E"/>
    <w:rsid w:val="00960654"/>
    <w:rsid w:val="00960863"/>
    <w:rsid w:val="00960B35"/>
    <w:rsid w:val="00960BFE"/>
    <w:rsid w:val="009614F2"/>
    <w:rsid w:val="00961902"/>
    <w:rsid w:val="009620AE"/>
    <w:rsid w:val="00962257"/>
    <w:rsid w:val="00962D55"/>
    <w:rsid w:val="0096360D"/>
    <w:rsid w:val="00963F67"/>
    <w:rsid w:val="0096427B"/>
    <w:rsid w:val="0096579B"/>
    <w:rsid w:val="009662CD"/>
    <w:rsid w:val="00966933"/>
    <w:rsid w:val="00966D11"/>
    <w:rsid w:val="00966E90"/>
    <w:rsid w:val="00967B0F"/>
    <w:rsid w:val="00967B74"/>
    <w:rsid w:val="00967D1B"/>
    <w:rsid w:val="0097029A"/>
    <w:rsid w:val="00971680"/>
    <w:rsid w:val="00971F1D"/>
    <w:rsid w:val="0097248F"/>
    <w:rsid w:val="009724E3"/>
    <w:rsid w:val="00972782"/>
    <w:rsid w:val="009734E5"/>
    <w:rsid w:val="00974038"/>
    <w:rsid w:val="00974127"/>
    <w:rsid w:val="009746F9"/>
    <w:rsid w:val="00977136"/>
    <w:rsid w:val="009778EA"/>
    <w:rsid w:val="00977D13"/>
    <w:rsid w:val="00977EF3"/>
    <w:rsid w:val="0098021F"/>
    <w:rsid w:val="00980DD7"/>
    <w:rsid w:val="00981051"/>
    <w:rsid w:val="00982A76"/>
    <w:rsid w:val="0098301E"/>
    <w:rsid w:val="009834B1"/>
    <w:rsid w:val="00983653"/>
    <w:rsid w:val="009837DB"/>
    <w:rsid w:val="00983ED8"/>
    <w:rsid w:val="00984488"/>
    <w:rsid w:val="00984BFF"/>
    <w:rsid w:val="00984F36"/>
    <w:rsid w:val="00985338"/>
    <w:rsid w:val="00985B35"/>
    <w:rsid w:val="00985BE6"/>
    <w:rsid w:val="00986533"/>
    <w:rsid w:val="00986C5C"/>
    <w:rsid w:val="00987088"/>
    <w:rsid w:val="009904A3"/>
    <w:rsid w:val="00990B60"/>
    <w:rsid w:val="00990C93"/>
    <w:rsid w:val="00991750"/>
    <w:rsid w:val="00992E2B"/>
    <w:rsid w:val="00992EF5"/>
    <w:rsid w:val="00994589"/>
    <w:rsid w:val="00994D43"/>
    <w:rsid w:val="00995D3F"/>
    <w:rsid w:val="00995DE9"/>
    <w:rsid w:val="009A07C4"/>
    <w:rsid w:val="009A08AF"/>
    <w:rsid w:val="009A0DC4"/>
    <w:rsid w:val="009A1898"/>
    <w:rsid w:val="009A1BED"/>
    <w:rsid w:val="009A211B"/>
    <w:rsid w:val="009A23CD"/>
    <w:rsid w:val="009A2569"/>
    <w:rsid w:val="009A2E47"/>
    <w:rsid w:val="009A3684"/>
    <w:rsid w:val="009A44BC"/>
    <w:rsid w:val="009A5A94"/>
    <w:rsid w:val="009A5E50"/>
    <w:rsid w:val="009A622D"/>
    <w:rsid w:val="009B04B4"/>
    <w:rsid w:val="009B0EBB"/>
    <w:rsid w:val="009B13CE"/>
    <w:rsid w:val="009B156A"/>
    <w:rsid w:val="009B187F"/>
    <w:rsid w:val="009B1A40"/>
    <w:rsid w:val="009B2775"/>
    <w:rsid w:val="009B2C53"/>
    <w:rsid w:val="009B2D7B"/>
    <w:rsid w:val="009B3221"/>
    <w:rsid w:val="009B34F1"/>
    <w:rsid w:val="009B3678"/>
    <w:rsid w:val="009B3C70"/>
    <w:rsid w:val="009B4240"/>
    <w:rsid w:val="009B5010"/>
    <w:rsid w:val="009B54FC"/>
    <w:rsid w:val="009B5671"/>
    <w:rsid w:val="009B5C97"/>
    <w:rsid w:val="009B63F5"/>
    <w:rsid w:val="009B6B08"/>
    <w:rsid w:val="009B73FD"/>
    <w:rsid w:val="009B7443"/>
    <w:rsid w:val="009B7570"/>
    <w:rsid w:val="009B75CF"/>
    <w:rsid w:val="009B7FA7"/>
    <w:rsid w:val="009C02D2"/>
    <w:rsid w:val="009C10DF"/>
    <w:rsid w:val="009C162C"/>
    <w:rsid w:val="009C1E32"/>
    <w:rsid w:val="009C3086"/>
    <w:rsid w:val="009C3BF2"/>
    <w:rsid w:val="009C3FDA"/>
    <w:rsid w:val="009C4001"/>
    <w:rsid w:val="009C5628"/>
    <w:rsid w:val="009C5D84"/>
    <w:rsid w:val="009C5E85"/>
    <w:rsid w:val="009C62F9"/>
    <w:rsid w:val="009C6383"/>
    <w:rsid w:val="009C78B5"/>
    <w:rsid w:val="009D00F9"/>
    <w:rsid w:val="009D0EED"/>
    <w:rsid w:val="009D10FE"/>
    <w:rsid w:val="009D11A6"/>
    <w:rsid w:val="009D183C"/>
    <w:rsid w:val="009D1C55"/>
    <w:rsid w:val="009D2C14"/>
    <w:rsid w:val="009D3149"/>
    <w:rsid w:val="009D40D0"/>
    <w:rsid w:val="009D4807"/>
    <w:rsid w:val="009D4966"/>
    <w:rsid w:val="009D49A8"/>
    <w:rsid w:val="009D4B37"/>
    <w:rsid w:val="009D58C6"/>
    <w:rsid w:val="009D594E"/>
    <w:rsid w:val="009D743C"/>
    <w:rsid w:val="009D74AB"/>
    <w:rsid w:val="009E104E"/>
    <w:rsid w:val="009E14B4"/>
    <w:rsid w:val="009E196E"/>
    <w:rsid w:val="009E2879"/>
    <w:rsid w:val="009E2932"/>
    <w:rsid w:val="009E3730"/>
    <w:rsid w:val="009E44AC"/>
    <w:rsid w:val="009E4B27"/>
    <w:rsid w:val="009E4FF5"/>
    <w:rsid w:val="009E55D9"/>
    <w:rsid w:val="009E55F6"/>
    <w:rsid w:val="009E57DE"/>
    <w:rsid w:val="009E6AF3"/>
    <w:rsid w:val="009E76CF"/>
    <w:rsid w:val="009E7D8A"/>
    <w:rsid w:val="009F0534"/>
    <w:rsid w:val="009F095A"/>
    <w:rsid w:val="009F2552"/>
    <w:rsid w:val="009F29CF"/>
    <w:rsid w:val="009F3C66"/>
    <w:rsid w:val="009F3E64"/>
    <w:rsid w:val="009F3F4C"/>
    <w:rsid w:val="009F47A9"/>
    <w:rsid w:val="009F489F"/>
    <w:rsid w:val="009F50FB"/>
    <w:rsid w:val="009F5595"/>
    <w:rsid w:val="009F5C9B"/>
    <w:rsid w:val="009F6AD3"/>
    <w:rsid w:val="009F6FE8"/>
    <w:rsid w:val="009F7584"/>
    <w:rsid w:val="009F7F00"/>
    <w:rsid w:val="00A00387"/>
    <w:rsid w:val="00A00EED"/>
    <w:rsid w:val="00A011FE"/>
    <w:rsid w:val="00A02134"/>
    <w:rsid w:val="00A02737"/>
    <w:rsid w:val="00A036E6"/>
    <w:rsid w:val="00A0392F"/>
    <w:rsid w:val="00A054C8"/>
    <w:rsid w:val="00A05C35"/>
    <w:rsid w:val="00A05C88"/>
    <w:rsid w:val="00A060E2"/>
    <w:rsid w:val="00A0698E"/>
    <w:rsid w:val="00A06ABB"/>
    <w:rsid w:val="00A06BE4"/>
    <w:rsid w:val="00A0716B"/>
    <w:rsid w:val="00A07547"/>
    <w:rsid w:val="00A07684"/>
    <w:rsid w:val="00A07AFD"/>
    <w:rsid w:val="00A07BDB"/>
    <w:rsid w:val="00A10A0E"/>
    <w:rsid w:val="00A10A35"/>
    <w:rsid w:val="00A118D9"/>
    <w:rsid w:val="00A11A63"/>
    <w:rsid w:val="00A11A6D"/>
    <w:rsid w:val="00A123B4"/>
    <w:rsid w:val="00A124A8"/>
    <w:rsid w:val="00A12B82"/>
    <w:rsid w:val="00A12E59"/>
    <w:rsid w:val="00A12F4A"/>
    <w:rsid w:val="00A13193"/>
    <w:rsid w:val="00A131B1"/>
    <w:rsid w:val="00A13577"/>
    <w:rsid w:val="00A139D1"/>
    <w:rsid w:val="00A13A3C"/>
    <w:rsid w:val="00A13E71"/>
    <w:rsid w:val="00A1419A"/>
    <w:rsid w:val="00A142BC"/>
    <w:rsid w:val="00A1504E"/>
    <w:rsid w:val="00A15C12"/>
    <w:rsid w:val="00A15F0A"/>
    <w:rsid w:val="00A17352"/>
    <w:rsid w:val="00A204CC"/>
    <w:rsid w:val="00A210D4"/>
    <w:rsid w:val="00A21174"/>
    <w:rsid w:val="00A220E4"/>
    <w:rsid w:val="00A22251"/>
    <w:rsid w:val="00A22961"/>
    <w:rsid w:val="00A23571"/>
    <w:rsid w:val="00A236C2"/>
    <w:rsid w:val="00A238C4"/>
    <w:rsid w:val="00A24BDF"/>
    <w:rsid w:val="00A25374"/>
    <w:rsid w:val="00A258E2"/>
    <w:rsid w:val="00A2602A"/>
    <w:rsid w:val="00A264A4"/>
    <w:rsid w:val="00A27969"/>
    <w:rsid w:val="00A27AEC"/>
    <w:rsid w:val="00A31DC8"/>
    <w:rsid w:val="00A32184"/>
    <w:rsid w:val="00A3257B"/>
    <w:rsid w:val="00A33C45"/>
    <w:rsid w:val="00A3408F"/>
    <w:rsid w:val="00A3532E"/>
    <w:rsid w:val="00A355BA"/>
    <w:rsid w:val="00A359D7"/>
    <w:rsid w:val="00A3613D"/>
    <w:rsid w:val="00A3648B"/>
    <w:rsid w:val="00A36E34"/>
    <w:rsid w:val="00A373EB"/>
    <w:rsid w:val="00A40548"/>
    <w:rsid w:val="00A407A9"/>
    <w:rsid w:val="00A40942"/>
    <w:rsid w:val="00A4140C"/>
    <w:rsid w:val="00A41A93"/>
    <w:rsid w:val="00A421A7"/>
    <w:rsid w:val="00A424A5"/>
    <w:rsid w:val="00A4292D"/>
    <w:rsid w:val="00A431A9"/>
    <w:rsid w:val="00A434BE"/>
    <w:rsid w:val="00A436A7"/>
    <w:rsid w:val="00A44957"/>
    <w:rsid w:val="00A44DD3"/>
    <w:rsid w:val="00A458A5"/>
    <w:rsid w:val="00A458F0"/>
    <w:rsid w:val="00A46223"/>
    <w:rsid w:val="00A4678C"/>
    <w:rsid w:val="00A47204"/>
    <w:rsid w:val="00A473A6"/>
    <w:rsid w:val="00A474A3"/>
    <w:rsid w:val="00A477B2"/>
    <w:rsid w:val="00A47E7E"/>
    <w:rsid w:val="00A50D60"/>
    <w:rsid w:val="00A50E42"/>
    <w:rsid w:val="00A5186F"/>
    <w:rsid w:val="00A531DC"/>
    <w:rsid w:val="00A533DD"/>
    <w:rsid w:val="00A535EF"/>
    <w:rsid w:val="00A54073"/>
    <w:rsid w:val="00A54260"/>
    <w:rsid w:val="00A54322"/>
    <w:rsid w:val="00A54423"/>
    <w:rsid w:val="00A54B48"/>
    <w:rsid w:val="00A54D9E"/>
    <w:rsid w:val="00A54DCA"/>
    <w:rsid w:val="00A55047"/>
    <w:rsid w:val="00A55586"/>
    <w:rsid w:val="00A55818"/>
    <w:rsid w:val="00A55880"/>
    <w:rsid w:val="00A56BA1"/>
    <w:rsid w:val="00A571E5"/>
    <w:rsid w:val="00A57B65"/>
    <w:rsid w:val="00A60598"/>
    <w:rsid w:val="00A6080D"/>
    <w:rsid w:val="00A60C06"/>
    <w:rsid w:val="00A60D43"/>
    <w:rsid w:val="00A61061"/>
    <w:rsid w:val="00A62C01"/>
    <w:rsid w:val="00A6322E"/>
    <w:rsid w:val="00A6399C"/>
    <w:rsid w:val="00A63C7F"/>
    <w:rsid w:val="00A64017"/>
    <w:rsid w:val="00A64925"/>
    <w:rsid w:val="00A6503D"/>
    <w:rsid w:val="00A65970"/>
    <w:rsid w:val="00A65A53"/>
    <w:rsid w:val="00A65E61"/>
    <w:rsid w:val="00A665B0"/>
    <w:rsid w:val="00A666C1"/>
    <w:rsid w:val="00A668CD"/>
    <w:rsid w:val="00A6692E"/>
    <w:rsid w:val="00A66B73"/>
    <w:rsid w:val="00A66F52"/>
    <w:rsid w:val="00A66F54"/>
    <w:rsid w:val="00A67C78"/>
    <w:rsid w:val="00A705CE"/>
    <w:rsid w:val="00A70995"/>
    <w:rsid w:val="00A721D5"/>
    <w:rsid w:val="00A728F3"/>
    <w:rsid w:val="00A73F8C"/>
    <w:rsid w:val="00A74C6B"/>
    <w:rsid w:val="00A74CA8"/>
    <w:rsid w:val="00A74DFF"/>
    <w:rsid w:val="00A75B48"/>
    <w:rsid w:val="00A764EE"/>
    <w:rsid w:val="00A7651E"/>
    <w:rsid w:val="00A765B3"/>
    <w:rsid w:val="00A7663E"/>
    <w:rsid w:val="00A76A8C"/>
    <w:rsid w:val="00A776BC"/>
    <w:rsid w:val="00A77A65"/>
    <w:rsid w:val="00A77B0E"/>
    <w:rsid w:val="00A77D3D"/>
    <w:rsid w:val="00A80493"/>
    <w:rsid w:val="00A80D97"/>
    <w:rsid w:val="00A8103F"/>
    <w:rsid w:val="00A81878"/>
    <w:rsid w:val="00A81F14"/>
    <w:rsid w:val="00A81FB9"/>
    <w:rsid w:val="00A82558"/>
    <w:rsid w:val="00A8261B"/>
    <w:rsid w:val="00A82C60"/>
    <w:rsid w:val="00A8370E"/>
    <w:rsid w:val="00A83C08"/>
    <w:rsid w:val="00A84213"/>
    <w:rsid w:val="00A8488B"/>
    <w:rsid w:val="00A8492E"/>
    <w:rsid w:val="00A84E01"/>
    <w:rsid w:val="00A8511C"/>
    <w:rsid w:val="00A8574C"/>
    <w:rsid w:val="00A85B7F"/>
    <w:rsid w:val="00A86633"/>
    <w:rsid w:val="00A86B37"/>
    <w:rsid w:val="00A86B7B"/>
    <w:rsid w:val="00A874C4"/>
    <w:rsid w:val="00A87A21"/>
    <w:rsid w:val="00A908EE"/>
    <w:rsid w:val="00A90A96"/>
    <w:rsid w:val="00A91510"/>
    <w:rsid w:val="00A9291A"/>
    <w:rsid w:val="00A932C0"/>
    <w:rsid w:val="00A93E8C"/>
    <w:rsid w:val="00A94903"/>
    <w:rsid w:val="00A94BF6"/>
    <w:rsid w:val="00A94CA2"/>
    <w:rsid w:val="00A94D08"/>
    <w:rsid w:val="00A9543E"/>
    <w:rsid w:val="00A95BB9"/>
    <w:rsid w:val="00A95CFB"/>
    <w:rsid w:val="00A962D1"/>
    <w:rsid w:val="00A96772"/>
    <w:rsid w:val="00A967FB"/>
    <w:rsid w:val="00A968C7"/>
    <w:rsid w:val="00A96BC1"/>
    <w:rsid w:val="00A9711F"/>
    <w:rsid w:val="00A9745D"/>
    <w:rsid w:val="00A97632"/>
    <w:rsid w:val="00AA188E"/>
    <w:rsid w:val="00AA190A"/>
    <w:rsid w:val="00AA209F"/>
    <w:rsid w:val="00AA22FA"/>
    <w:rsid w:val="00AA2B5C"/>
    <w:rsid w:val="00AA2CA4"/>
    <w:rsid w:val="00AA33B9"/>
    <w:rsid w:val="00AA37FF"/>
    <w:rsid w:val="00AA448A"/>
    <w:rsid w:val="00AA464B"/>
    <w:rsid w:val="00AA47FF"/>
    <w:rsid w:val="00AA488B"/>
    <w:rsid w:val="00AA57AC"/>
    <w:rsid w:val="00AA6F40"/>
    <w:rsid w:val="00AA7F29"/>
    <w:rsid w:val="00AB0D64"/>
    <w:rsid w:val="00AB1041"/>
    <w:rsid w:val="00AB10FF"/>
    <w:rsid w:val="00AB2ECB"/>
    <w:rsid w:val="00AB3003"/>
    <w:rsid w:val="00AB425A"/>
    <w:rsid w:val="00AB4A94"/>
    <w:rsid w:val="00AB4EC6"/>
    <w:rsid w:val="00AB4F71"/>
    <w:rsid w:val="00AB50A3"/>
    <w:rsid w:val="00AB626B"/>
    <w:rsid w:val="00AB6550"/>
    <w:rsid w:val="00AB6963"/>
    <w:rsid w:val="00AB7038"/>
    <w:rsid w:val="00AB755D"/>
    <w:rsid w:val="00AC01F0"/>
    <w:rsid w:val="00AC02A4"/>
    <w:rsid w:val="00AC050E"/>
    <w:rsid w:val="00AC0AE9"/>
    <w:rsid w:val="00AC1913"/>
    <w:rsid w:val="00AC27F2"/>
    <w:rsid w:val="00AC2DAE"/>
    <w:rsid w:val="00AC34EA"/>
    <w:rsid w:val="00AC42B0"/>
    <w:rsid w:val="00AC483F"/>
    <w:rsid w:val="00AC49DB"/>
    <w:rsid w:val="00AC5417"/>
    <w:rsid w:val="00AC5C5C"/>
    <w:rsid w:val="00AC5FDC"/>
    <w:rsid w:val="00AC6474"/>
    <w:rsid w:val="00AC70AF"/>
    <w:rsid w:val="00AC7895"/>
    <w:rsid w:val="00AC78FF"/>
    <w:rsid w:val="00AC7B3F"/>
    <w:rsid w:val="00AC7CE1"/>
    <w:rsid w:val="00AD019A"/>
    <w:rsid w:val="00AD08E4"/>
    <w:rsid w:val="00AD11E1"/>
    <w:rsid w:val="00AD135B"/>
    <w:rsid w:val="00AD231E"/>
    <w:rsid w:val="00AD2E2D"/>
    <w:rsid w:val="00AD4DC9"/>
    <w:rsid w:val="00AD4F19"/>
    <w:rsid w:val="00AD5464"/>
    <w:rsid w:val="00AD5A19"/>
    <w:rsid w:val="00AD5AD7"/>
    <w:rsid w:val="00AD64D3"/>
    <w:rsid w:val="00AD6C1A"/>
    <w:rsid w:val="00AD6D4B"/>
    <w:rsid w:val="00AE066B"/>
    <w:rsid w:val="00AE07D5"/>
    <w:rsid w:val="00AE0B4C"/>
    <w:rsid w:val="00AE0D45"/>
    <w:rsid w:val="00AE0EBB"/>
    <w:rsid w:val="00AE112B"/>
    <w:rsid w:val="00AE1A40"/>
    <w:rsid w:val="00AE1B3A"/>
    <w:rsid w:val="00AE1DCC"/>
    <w:rsid w:val="00AE208F"/>
    <w:rsid w:val="00AE2319"/>
    <w:rsid w:val="00AE2340"/>
    <w:rsid w:val="00AE2637"/>
    <w:rsid w:val="00AE2918"/>
    <w:rsid w:val="00AE2DDA"/>
    <w:rsid w:val="00AE2F8A"/>
    <w:rsid w:val="00AE3203"/>
    <w:rsid w:val="00AE34AD"/>
    <w:rsid w:val="00AE36E1"/>
    <w:rsid w:val="00AE385C"/>
    <w:rsid w:val="00AE3E09"/>
    <w:rsid w:val="00AE3E7C"/>
    <w:rsid w:val="00AE4C4A"/>
    <w:rsid w:val="00AE5197"/>
    <w:rsid w:val="00AE5BA9"/>
    <w:rsid w:val="00AE5CB3"/>
    <w:rsid w:val="00AE62EB"/>
    <w:rsid w:val="00AE69AC"/>
    <w:rsid w:val="00AE70E3"/>
    <w:rsid w:val="00AE7424"/>
    <w:rsid w:val="00AE75A7"/>
    <w:rsid w:val="00AF127F"/>
    <w:rsid w:val="00AF1799"/>
    <w:rsid w:val="00AF1AD0"/>
    <w:rsid w:val="00AF1CB0"/>
    <w:rsid w:val="00AF2062"/>
    <w:rsid w:val="00AF2066"/>
    <w:rsid w:val="00AF306D"/>
    <w:rsid w:val="00AF33D6"/>
    <w:rsid w:val="00AF38C6"/>
    <w:rsid w:val="00AF3B5D"/>
    <w:rsid w:val="00AF4007"/>
    <w:rsid w:val="00AF4170"/>
    <w:rsid w:val="00AF4746"/>
    <w:rsid w:val="00AF4A7C"/>
    <w:rsid w:val="00AF4A98"/>
    <w:rsid w:val="00AF5A7C"/>
    <w:rsid w:val="00AF5D5F"/>
    <w:rsid w:val="00AF5D75"/>
    <w:rsid w:val="00AF66D9"/>
    <w:rsid w:val="00AF78EC"/>
    <w:rsid w:val="00B001A2"/>
    <w:rsid w:val="00B001E1"/>
    <w:rsid w:val="00B00256"/>
    <w:rsid w:val="00B00B0E"/>
    <w:rsid w:val="00B010CF"/>
    <w:rsid w:val="00B01112"/>
    <w:rsid w:val="00B01949"/>
    <w:rsid w:val="00B0275C"/>
    <w:rsid w:val="00B02A29"/>
    <w:rsid w:val="00B02B1E"/>
    <w:rsid w:val="00B03886"/>
    <w:rsid w:val="00B043E1"/>
    <w:rsid w:val="00B04A5D"/>
    <w:rsid w:val="00B04DBB"/>
    <w:rsid w:val="00B056C0"/>
    <w:rsid w:val="00B05CDF"/>
    <w:rsid w:val="00B05E6E"/>
    <w:rsid w:val="00B05FC9"/>
    <w:rsid w:val="00B06138"/>
    <w:rsid w:val="00B062D5"/>
    <w:rsid w:val="00B063DE"/>
    <w:rsid w:val="00B066FD"/>
    <w:rsid w:val="00B06965"/>
    <w:rsid w:val="00B06970"/>
    <w:rsid w:val="00B06F3E"/>
    <w:rsid w:val="00B06F73"/>
    <w:rsid w:val="00B079FF"/>
    <w:rsid w:val="00B12310"/>
    <w:rsid w:val="00B12978"/>
    <w:rsid w:val="00B12EC5"/>
    <w:rsid w:val="00B14528"/>
    <w:rsid w:val="00B145B0"/>
    <w:rsid w:val="00B147CC"/>
    <w:rsid w:val="00B148DB"/>
    <w:rsid w:val="00B158C8"/>
    <w:rsid w:val="00B15962"/>
    <w:rsid w:val="00B15A00"/>
    <w:rsid w:val="00B15C98"/>
    <w:rsid w:val="00B15F35"/>
    <w:rsid w:val="00B16069"/>
    <w:rsid w:val="00B16CF2"/>
    <w:rsid w:val="00B16FA4"/>
    <w:rsid w:val="00B20A72"/>
    <w:rsid w:val="00B214E2"/>
    <w:rsid w:val="00B2187A"/>
    <w:rsid w:val="00B219CC"/>
    <w:rsid w:val="00B22CEC"/>
    <w:rsid w:val="00B23133"/>
    <w:rsid w:val="00B23740"/>
    <w:rsid w:val="00B23F69"/>
    <w:rsid w:val="00B24748"/>
    <w:rsid w:val="00B26719"/>
    <w:rsid w:val="00B270E2"/>
    <w:rsid w:val="00B2737F"/>
    <w:rsid w:val="00B30B43"/>
    <w:rsid w:val="00B31AF5"/>
    <w:rsid w:val="00B31FD6"/>
    <w:rsid w:val="00B32323"/>
    <w:rsid w:val="00B32FD5"/>
    <w:rsid w:val="00B33615"/>
    <w:rsid w:val="00B33E5C"/>
    <w:rsid w:val="00B34008"/>
    <w:rsid w:val="00B3499E"/>
    <w:rsid w:val="00B34C66"/>
    <w:rsid w:val="00B35A1C"/>
    <w:rsid w:val="00B35A36"/>
    <w:rsid w:val="00B35C48"/>
    <w:rsid w:val="00B365F6"/>
    <w:rsid w:val="00B371C6"/>
    <w:rsid w:val="00B37575"/>
    <w:rsid w:val="00B378D5"/>
    <w:rsid w:val="00B41592"/>
    <w:rsid w:val="00B4171E"/>
    <w:rsid w:val="00B41781"/>
    <w:rsid w:val="00B42851"/>
    <w:rsid w:val="00B43352"/>
    <w:rsid w:val="00B43714"/>
    <w:rsid w:val="00B44DCE"/>
    <w:rsid w:val="00B45015"/>
    <w:rsid w:val="00B45329"/>
    <w:rsid w:val="00B4585C"/>
    <w:rsid w:val="00B45DFF"/>
    <w:rsid w:val="00B46BCD"/>
    <w:rsid w:val="00B504B8"/>
    <w:rsid w:val="00B5170A"/>
    <w:rsid w:val="00B5187F"/>
    <w:rsid w:val="00B51979"/>
    <w:rsid w:val="00B51BE0"/>
    <w:rsid w:val="00B5270F"/>
    <w:rsid w:val="00B52AC5"/>
    <w:rsid w:val="00B52FD3"/>
    <w:rsid w:val="00B532A0"/>
    <w:rsid w:val="00B53E38"/>
    <w:rsid w:val="00B55000"/>
    <w:rsid w:val="00B56411"/>
    <w:rsid w:val="00B56612"/>
    <w:rsid w:val="00B5767E"/>
    <w:rsid w:val="00B57FBD"/>
    <w:rsid w:val="00B601E1"/>
    <w:rsid w:val="00B6036B"/>
    <w:rsid w:val="00B60658"/>
    <w:rsid w:val="00B614C1"/>
    <w:rsid w:val="00B618B6"/>
    <w:rsid w:val="00B62FF8"/>
    <w:rsid w:val="00B63371"/>
    <w:rsid w:val="00B637A1"/>
    <w:rsid w:val="00B63B4B"/>
    <w:rsid w:val="00B63B54"/>
    <w:rsid w:val="00B63FC5"/>
    <w:rsid w:val="00B64518"/>
    <w:rsid w:val="00B64C8D"/>
    <w:rsid w:val="00B64ED3"/>
    <w:rsid w:val="00B6569C"/>
    <w:rsid w:val="00B65AAE"/>
    <w:rsid w:val="00B66245"/>
    <w:rsid w:val="00B66BB5"/>
    <w:rsid w:val="00B66EB2"/>
    <w:rsid w:val="00B6797E"/>
    <w:rsid w:val="00B67B47"/>
    <w:rsid w:val="00B67C79"/>
    <w:rsid w:val="00B708EA"/>
    <w:rsid w:val="00B72B60"/>
    <w:rsid w:val="00B74188"/>
    <w:rsid w:val="00B7489E"/>
    <w:rsid w:val="00B75853"/>
    <w:rsid w:val="00B766C6"/>
    <w:rsid w:val="00B76F43"/>
    <w:rsid w:val="00B77015"/>
    <w:rsid w:val="00B775FF"/>
    <w:rsid w:val="00B77743"/>
    <w:rsid w:val="00B800D5"/>
    <w:rsid w:val="00B812A8"/>
    <w:rsid w:val="00B81A4D"/>
    <w:rsid w:val="00B81C2F"/>
    <w:rsid w:val="00B82189"/>
    <w:rsid w:val="00B8219B"/>
    <w:rsid w:val="00B822A6"/>
    <w:rsid w:val="00B8389D"/>
    <w:rsid w:val="00B838EB"/>
    <w:rsid w:val="00B83B1D"/>
    <w:rsid w:val="00B83E4D"/>
    <w:rsid w:val="00B84517"/>
    <w:rsid w:val="00B84C4F"/>
    <w:rsid w:val="00B84DBA"/>
    <w:rsid w:val="00B84E2A"/>
    <w:rsid w:val="00B85FC7"/>
    <w:rsid w:val="00B86674"/>
    <w:rsid w:val="00B86CF8"/>
    <w:rsid w:val="00B86E92"/>
    <w:rsid w:val="00B86FB9"/>
    <w:rsid w:val="00B871A5"/>
    <w:rsid w:val="00B90041"/>
    <w:rsid w:val="00B90986"/>
    <w:rsid w:val="00B90F69"/>
    <w:rsid w:val="00B913F6"/>
    <w:rsid w:val="00B914CC"/>
    <w:rsid w:val="00B9160A"/>
    <w:rsid w:val="00B9169A"/>
    <w:rsid w:val="00B92132"/>
    <w:rsid w:val="00B92EB8"/>
    <w:rsid w:val="00B93419"/>
    <w:rsid w:val="00B93BAF"/>
    <w:rsid w:val="00B94179"/>
    <w:rsid w:val="00B9445F"/>
    <w:rsid w:val="00B949B4"/>
    <w:rsid w:val="00B9558A"/>
    <w:rsid w:val="00B9570C"/>
    <w:rsid w:val="00B95F30"/>
    <w:rsid w:val="00B962EC"/>
    <w:rsid w:val="00B96402"/>
    <w:rsid w:val="00B96558"/>
    <w:rsid w:val="00B9770B"/>
    <w:rsid w:val="00B97B76"/>
    <w:rsid w:val="00B97CDF"/>
    <w:rsid w:val="00B97ECB"/>
    <w:rsid w:val="00BA075B"/>
    <w:rsid w:val="00BA0B9A"/>
    <w:rsid w:val="00BA14E8"/>
    <w:rsid w:val="00BA1621"/>
    <w:rsid w:val="00BA189B"/>
    <w:rsid w:val="00BA23FB"/>
    <w:rsid w:val="00BA24F7"/>
    <w:rsid w:val="00BA2755"/>
    <w:rsid w:val="00BA2AA7"/>
    <w:rsid w:val="00BA2F72"/>
    <w:rsid w:val="00BA361F"/>
    <w:rsid w:val="00BA3A7D"/>
    <w:rsid w:val="00BA3F0C"/>
    <w:rsid w:val="00BA4097"/>
    <w:rsid w:val="00BA4A55"/>
    <w:rsid w:val="00BA4D9B"/>
    <w:rsid w:val="00BA4E11"/>
    <w:rsid w:val="00BA6B22"/>
    <w:rsid w:val="00BA7415"/>
    <w:rsid w:val="00BA7E18"/>
    <w:rsid w:val="00BB019E"/>
    <w:rsid w:val="00BB01CC"/>
    <w:rsid w:val="00BB0CD7"/>
    <w:rsid w:val="00BB0F7C"/>
    <w:rsid w:val="00BB13C7"/>
    <w:rsid w:val="00BB2271"/>
    <w:rsid w:val="00BB22D8"/>
    <w:rsid w:val="00BB359F"/>
    <w:rsid w:val="00BB3C7D"/>
    <w:rsid w:val="00BB4EFA"/>
    <w:rsid w:val="00BB514E"/>
    <w:rsid w:val="00BB53DB"/>
    <w:rsid w:val="00BB5ECA"/>
    <w:rsid w:val="00BB69EC"/>
    <w:rsid w:val="00BB6B7D"/>
    <w:rsid w:val="00BB6E50"/>
    <w:rsid w:val="00BB6FDC"/>
    <w:rsid w:val="00BC0CB6"/>
    <w:rsid w:val="00BC1241"/>
    <w:rsid w:val="00BC1269"/>
    <w:rsid w:val="00BC1374"/>
    <w:rsid w:val="00BC14DA"/>
    <w:rsid w:val="00BC1747"/>
    <w:rsid w:val="00BC2570"/>
    <w:rsid w:val="00BC2920"/>
    <w:rsid w:val="00BC339C"/>
    <w:rsid w:val="00BC391B"/>
    <w:rsid w:val="00BC4857"/>
    <w:rsid w:val="00BC4FD0"/>
    <w:rsid w:val="00BC5AE0"/>
    <w:rsid w:val="00BC5BA8"/>
    <w:rsid w:val="00BC6531"/>
    <w:rsid w:val="00BC669B"/>
    <w:rsid w:val="00BC7152"/>
    <w:rsid w:val="00BC715C"/>
    <w:rsid w:val="00BC7F4F"/>
    <w:rsid w:val="00BD09D5"/>
    <w:rsid w:val="00BD0DD8"/>
    <w:rsid w:val="00BD1440"/>
    <w:rsid w:val="00BD172F"/>
    <w:rsid w:val="00BD29B6"/>
    <w:rsid w:val="00BD3C3A"/>
    <w:rsid w:val="00BD3C93"/>
    <w:rsid w:val="00BD4FEC"/>
    <w:rsid w:val="00BD533E"/>
    <w:rsid w:val="00BD5456"/>
    <w:rsid w:val="00BD5B35"/>
    <w:rsid w:val="00BD5C8D"/>
    <w:rsid w:val="00BD5D26"/>
    <w:rsid w:val="00BD6486"/>
    <w:rsid w:val="00BD7AB1"/>
    <w:rsid w:val="00BD7AF2"/>
    <w:rsid w:val="00BD7D7D"/>
    <w:rsid w:val="00BD7EE7"/>
    <w:rsid w:val="00BE118A"/>
    <w:rsid w:val="00BE151A"/>
    <w:rsid w:val="00BE1658"/>
    <w:rsid w:val="00BE3064"/>
    <w:rsid w:val="00BE3771"/>
    <w:rsid w:val="00BE437F"/>
    <w:rsid w:val="00BE53AF"/>
    <w:rsid w:val="00BE56E4"/>
    <w:rsid w:val="00BE5FCF"/>
    <w:rsid w:val="00BE62DE"/>
    <w:rsid w:val="00BE63C7"/>
    <w:rsid w:val="00BE6DAC"/>
    <w:rsid w:val="00BE6F03"/>
    <w:rsid w:val="00BE742A"/>
    <w:rsid w:val="00BE7CA7"/>
    <w:rsid w:val="00BF0E4D"/>
    <w:rsid w:val="00BF0F88"/>
    <w:rsid w:val="00BF3CB8"/>
    <w:rsid w:val="00BF3D48"/>
    <w:rsid w:val="00BF58D5"/>
    <w:rsid w:val="00BF6144"/>
    <w:rsid w:val="00BF682D"/>
    <w:rsid w:val="00BF7113"/>
    <w:rsid w:val="00BF746B"/>
    <w:rsid w:val="00C01B17"/>
    <w:rsid w:val="00C026B8"/>
    <w:rsid w:val="00C02DC8"/>
    <w:rsid w:val="00C04D55"/>
    <w:rsid w:val="00C0506F"/>
    <w:rsid w:val="00C052A6"/>
    <w:rsid w:val="00C05302"/>
    <w:rsid w:val="00C0550A"/>
    <w:rsid w:val="00C05703"/>
    <w:rsid w:val="00C069D4"/>
    <w:rsid w:val="00C072AB"/>
    <w:rsid w:val="00C076A2"/>
    <w:rsid w:val="00C076CA"/>
    <w:rsid w:val="00C07A08"/>
    <w:rsid w:val="00C07B75"/>
    <w:rsid w:val="00C100FB"/>
    <w:rsid w:val="00C11741"/>
    <w:rsid w:val="00C11F5A"/>
    <w:rsid w:val="00C127DA"/>
    <w:rsid w:val="00C12862"/>
    <w:rsid w:val="00C12CE5"/>
    <w:rsid w:val="00C1306E"/>
    <w:rsid w:val="00C14049"/>
    <w:rsid w:val="00C14752"/>
    <w:rsid w:val="00C14D09"/>
    <w:rsid w:val="00C14D2D"/>
    <w:rsid w:val="00C1610A"/>
    <w:rsid w:val="00C172DC"/>
    <w:rsid w:val="00C17978"/>
    <w:rsid w:val="00C17B3E"/>
    <w:rsid w:val="00C21485"/>
    <w:rsid w:val="00C21FDF"/>
    <w:rsid w:val="00C221B9"/>
    <w:rsid w:val="00C222A1"/>
    <w:rsid w:val="00C225D2"/>
    <w:rsid w:val="00C22709"/>
    <w:rsid w:val="00C233FF"/>
    <w:rsid w:val="00C23A38"/>
    <w:rsid w:val="00C23C1D"/>
    <w:rsid w:val="00C24060"/>
    <w:rsid w:val="00C24897"/>
    <w:rsid w:val="00C25432"/>
    <w:rsid w:val="00C25556"/>
    <w:rsid w:val="00C260E5"/>
    <w:rsid w:val="00C30340"/>
    <w:rsid w:val="00C30D83"/>
    <w:rsid w:val="00C313DD"/>
    <w:rsid w:val="00C31AF4"/>
    <w:rsid w:val="00C32780"/>
    <w:rsid w:val="00C32C5F"/>
    <w:rsid w:val="00C32CDD"/>
    <w:rsid w:val="00C32E3C"/>
    <w:rsid w:val="00C3352B"/>
    <w:rsid w:val="00C33A00"/>
    <w:rsid w:val="00C33BC2"/>
    <w:rsid w:val="00C344C9"/>
    <w:rsid w:val="00C35BB3"/>
    <w:rsid w:val="00C35D19"/>
    <w:rsid w:val="00C365BC"/>
    <w:rsid w:val="00C36771"/>
    <w:rsid w:val="00C37227"/>
    <w:rsid w:val="00C374DB"/>
    <w:rsid w:val="00C37816"/>
    <w:rsid w:val="00C37CC0"/>
    <w:rsid w:val="00C37DE8"/>
    <w:rsid w:val="00C40520"/>
    <w:rsid w:val="00C40A4A"/>
    <w:rsid w:val="00C40BE7"/>
    <w:rsid w:val="00C411DE"/>
    <w:rsid w:val="00C41365"/>
    <w:rsid w:val="00C41594"/>
    <w:rsid w:val="00C41B65"/>
    <w:rsid w:val="00C43936"/>
    <w:rsid w:val="00C43CD8"/>
    <w:rsid w:val="00C440BC"/>
    <w:rsid w:val="00C44417"/>
    <w:rsid w:val="00C44850"/>
    <w:rsid w:val="00C44EF8"/>
    <w:rsid w:val="00C4554C"/>
    <w:rsid w:val="00C47078"/>
    <w:rsid w:val="00C47132"/>
    <w:rsid w:val="00C47224"/>
    <w:rsid w:val="00C47D6C"/>
    <w:rsid w:val="00C501AF"/>
    <w:rsid w:val="00C50AC0"/>
    <w:rsid w:val="00C50B0E"/>
    <w:rsid w:val="00C50FA9"/>
    <w:rsid w:val="00C51065"/>
    <w:rsid w:val="00C516B5"/>
    <w:rsid w:val="00C51E67"/>
    <w:rsid w:val="00C52368"/>
    <w:rsid w:val="00C52727"/>
    <w:rsid w:val="00C52786"/>
    <w:rsid w:val="00C53A92"/>
    <w:rsid w:val="00C53E01"/>
    <w:rsid w:val="00C53F26"/>
    <w:rsid w:val="00C548D0"/>
    <w:rsid w:val="00C54A35"/>
    <w:rsid w:val="00C55B70"/>
    <w:rsid w:val="00C55BBF"/>
    <w:rsid w:val="00C55C20"/>
    <w:rsid w:val="00C560AE"/>
    <w:rsid w:val="00C56775"/>
    <w:rsid w:val="00C569E2"/>
    <w:rsid w:val="00C56D96"/>
    <w:rsid w:val="00C56DF9"/>
    <w:rsid w:val="00C56EAB"/>
    <w:rsid w:val="00C600AB"/>
    <w:rsid w:val="00C60857"/>
    <w:rsid w:val="00C60A3A"/>
    <w:rsid w:val="00C60D93"/>
    <w:rsid w:val="00C61149"/>
    <w:rsid w:val="00C62E46"/>
    <w:rsid w:val="00C635A8"/>
    <w:rsid w:val="00C63824"/>
    <w:rsid w:val="00C63AD2"/>
    <w:rsid w:val="00C63BD1"/>
    <w:rsid w:val="00C64174"/>
    <w:rsid w:val="00C65670"/>
    <w:rsid w:val="00C6642D"/>
    <w:rsid w:val="00C6692D"/>
    <w:rsid w:val="00C66AF4"/>
    <w:rsid w:val="00C70426"/>
    <w:rsid w:val="00C70845"/>
    <w:rsid w:val="00C70E55"/>
    <w:rsid w:val="00C70F36"/>
    <w:rsid w:val="00C710B8"/>
    <w:rsid w:val="00C71194"/>
    <w:rsid w:val="00C7191E"/>
    <w:rsid w:val="00C71B13"/>
    <w:rsid w:val="00C71C59"/>
    <w:rsid w:val="00C71DCD"/>
    <w:rsid w:val="00C72594"/>
    <w:rsid w:val="00C727A8"/>
    <w:rsid w:val="00C72869"/>
    <w:rsid w:val="00C730F7"/>
    <w:rsid w:val="00C733C8"/>
    <w:rsid w:val="00C74CDD"/>
    <w:rsid w:val="00C7683D"/>
    <w:rsid w:val="00C76A58"/>
    <w:rsid w:val="00C775AB"/>
    <w:rsid w:val="00C77D63"/>
    <w:rsid w:val="00C80539"/>
    <w:rsid w:val="00C80CC5"/>
    <w:rsid w:val="00C81211"/>
    <w:rsid w:val="00C812B0"/>
    <w:rsid w:val="00C81D1F"/>
    <w:rsid w:val="00C82065"/>
    <w:rsid w:val="00C820B5"/>
    <w:rsid w:val="00C82112"/>
    <w:rsid w:val="00C822BD"/>
    <w:rsid w:val="00C8275D"/>
    <w:rsid w:val="00C827A6"/>
    <w:rsid w:val="00C839F1"/>
    <w:rsid w:val="00C83A7C"/>
    <w:rsid w:val="00C83EF8"/>
    <w:rsid w:val="00C848B4"/>
    <w:rsid w:val="00C85469"/>
    <w:rsid w:val="00C8560D"/>
    <w:rsid w:val="00C872AD"/>
    <w:rsid w:val="00C87E83"/>
    <w:rsid w:val="00C87F79"/>
    <w:rsid w:val="00C90E2D"/>
    <w:rsid w:val="00C9194B"/>
    <w:rsid w:val="00C91AB0"/>
    <w:rsid w:val="00C92003"/>
    <w:rsid w:val="00C92234"/>
    <w:rsid w:val="00C925B7"/>
    <w:rsid w:val="00C92B63"/>
    <w:rsid w:val="00C93A12"/>
    <w:rsid w:val="00C94175"/>
    <w:rsid w:val="00C94AD2"/>
    <w:rsid w:val="00C950F8"/>
    <w:rsid w:val="00C95253"/>
    <w:rsid w:val="00C958D4"/>
    <w:rsid w:val="00C95CBF"/>
    <w:rsid w:val="00C96B34"/>
    <w:rsid w:val="00C96B5F"/>
    <w:rsid w:val="00C96D9A"/>
    <w:rsid w:val="00C976DA"/>
    <w:rsid w:val="00CA0275"/>
    <w:rsid w:val="00CA027C"/>
    <w:rsid w:val="00CA14C4"/>
    <w:rsid w:val="00CA17FD"/>
    <w:rsid w:val="00CA275A"/>
    <w:rsid w:val="00CA2A25"/>
    <w:rsid w:val="00CA2C99"/>
    <w:rsid w:val="00CA2D15"/>
    <w:rsid w:val="00CA30DC"/>
    <w:rsid w:val="00CA3169"/>
    <w:rsid w:val="00CA3500"/>
    <w:rsid w:val="00CA45B4"/>
    <w:rsid w:val="00CA47CB"/>
    <w:rsid w:val="00CA4C2B"/>
    <w:rsid w:val="00CA4E60"/>
    <w:rsid w:val="00CA52CF"/>
    <w:rsid w:val="00CA5463"/>
    <w:rsid w:val="00CA5962"/>
    <w:rsid w:val="00CA5B2A"/>
    <w:rsid w:val="00CA6263"/>
    <w:rsid w:val="00CA6426"/>
    <w:rsid w:val="00CA6865"/>
    <w:rsid w:val="00CA6BB7"/>
    <w:rsid w:val="00CA70FA"/>
    <w:rsid w:val="00CA74B7"/>
    <w:rsid w:val="00CA780C"/>
    <w:rsid w:val="00CB0621"/>
    <w:rsid w:val="00CB078E"/>
    <w:rsid w:val="00CB087E"/>
    <w:rsid w:val="00CB19E3"/>
    <w:rsid w:val="00CB257F"/>
    <w:rsid w:val="00CB2FA9"/>
    <w:rsid w:val="00CB3B18"/>
    <w:rsid w:val="00CB450B"/>
    <w:rsid w:val="00CB462C"/>
    <w:rsid w:val="00CB564E"/>
    <w:rsid w:val="00CB5B1A"/>
    <w:rsid w:val="00CB7689"/>
    <w:rsid w:val="00CC12BC"/>
    <w:rsid w:val="00CC1C86"/>
    <w:rsid w:val="00CC260D"/>
    <w:rsid w:val="00CC2A09"/>
    <w:rsid w:val="00CC3135"/>
    <w:rsid w:val="00CC33E0"/>
    <w:rsid w:val="00CC3504"/>
    <w:rsid w:val="00CC36A6"/>
    <w:rsid w:val="00CC3ADA"/>
    <w:rsid w:val="00CC4E66"/>
    <w:rsid w:val="00CC52F5"/>
    <w:rsid w:val="00CC5791"/>
    <w:rsid w:val="00CC58ED"/>
    <w:rsid w:val="00CC5DC1"/>
    <w:rsid w:val="00CC64E0"/>
    <w:rsid w:val="00CC6A8E"/>
    <w:rsid w:val="00CC6BC9"/>
    <w:rsid w:val="00CC73BE"/>
    <w:rsid w:val="00CD049D"/>
    <w:rsid w:val="00CD1177"/>
    <w:rsid w:val="00CD1B21"/>
    <w:rsid w:val="00CD2948"/>
    <w:rsid w:val="00CD2964"/>
    <w:rsid w:val="00CD2BB5"/>
    <w:rsid w:val="00CD40A2"/>
    <w:rsid w:val="00CD412F"/>
    <w:rsid w:val="00CD4146"/>
    <w:rsid w:val="00CD5F84"/>
    <w:rsid w:val="00CD65BA"/>
    <w:rsid w:val="00CD6CCB"/>
    <w:rsid w:val="00CD6F63"/>
    <w:rsid w:val="00CD75F2"/>
    <w:rsid w:val="00CD75FB"/>
    <w:rsid w:val="00CD7A89"/>
    <w:rsid w:val="00CD7C43"/>
    <w:rsid w:val="00CD7D4A"/>
    <w:rsid w:val="00CE07D1"/>
    <w:rsid w:val="00CE0BC5"/>
    <w:rsid w:val="00CE0E68"/>
    <w:rsid w:val="00CE1022"/>
    <w:rsid w:val="00CE1453"/>
    <w:rsid w:val="00CE15DA"/>
    <w:rsid w:val="00CE22F2"/>
    <w:rsid w:val="00CE277C"/>
    <w:rsid w:val="00CE284B"/>
    <w:rsid w:val="00CE2C06"/>
    <w:rsid w:val="00CE347E"/>
    <w:rsid w:val="00CE4491"/>
    <w:rsid w:val="00CE4B31"/>
    <w:rsid w:val="00CE4D00"/>
    <w:rsid w:val="00CE4E0D"/>
    <w:rsid w:val="00CE4E66"/>
    <w:rsid w:val="00CE55D5"/>
    <w:rsid w:val="00CE5614"/>
    <w:rsid w:val="00CE59AE"/>
    <w:rsid w:val="00CE5DBC"/>
    <w:rsid w:val="00CE62A9"/>
    <w:rsid w:val="00CE72C4"/>
    <w:rsid w:val="00CE7A79"/>
    <w:rsid w:val="00CF1342"/>
    <w:rsid w:val="00CF1E64"/>
    <w:rsid w:val="00CF2779"/>
    <w:rsid w:val="00CF2A6E"/>
    <w:rsid w:val="00CF38BC"/>
    <w:rsid w:val="00CF3A42"/>
    <w:rsid w:val="00CF4495"/>
    <w:rsid w:val="00CF4741"/>
    <w:rsid w:val="00CF4DD0"/>
    <w:rsid w:val="00CF522D"/>
    <w:rsid w:val="00CF65A1"/>
    <w:rsid w:val="00CF6D84"/>
    <w:rsid w:val="00CF70AB"/>
    <w:rsid w:val="00CF7668"/>
    <w:rsid w:val="00CF7855"/>
    <w:rsid w:val="00CF7CBD"/>
    <w:rsid w:val="00D000CB"/>
    <w:rsid w:val="00D014E4"/>
    <w:rsid w:val="00D01B58"/>
    <w:rsid w:val="00D0377A"/>
    <w:rsid w:val="00D03E5F"/>
    <w:rsid w:val="00D04243"/>
    <w:rsid w:val="00D045EB"/>
    <w:rsid w:val="00D049FB"/>
    <w:rsid w:val="00D05157"/>
    <w:rsid w:val="00D059C5"/>
    <w:rsid w:val="00D05C23"/>
    <w:rsid w:val="00D063EB"/>
    <w:rsid w:val="00D06CCE"/>
    <w:rsid w:val="00D07A3B"/>
    <w:rsid w:val="00D07CF7"/>
    <w:rsid w:val="00D07D5F"/>
    <w:rsid w:val="00D1056D"/>
    <w:rsid w:val="00D115BA"/>
    <w:rsid w:val="00D11ABF"/>
    <w:rsid w:val="00D11D80"/>
    <w:rsid w:val="00D12771"/>
    <w:rsid w:val="00D134D3"/>
    <w:rsid w:val="00D14062"/>
    <w:rsid w:val="00D14876"/>
    <w:rsid w:val="00D14986"/>
    <w:rsid w:val="00D160BB"/>
    <w:rsid w:val="00D168B6"/>
    <w:rsid w:val="00D169E5"/>
    <w:rsid w:val="00D2036F"/>
    <w:rsid w:val="00D21154"/>
    <w:rsid w:val="00D21E79"/>
    <w:rsid w:val="00D2227C"/>
    <w:rsid w:val="00D237B1"/>
    <w:rsid w:val="00D2577E"/>
    <w:rsid w:val="00D2599A"/>
    <w:rsid w:val="00D266B5"/>
    <w:rsid w:val="00D26C6F"/>
    <w:rsid w:val="00D26F50"/>
    <w:rsid w:val="00D27069"/>
    <w:rsid w:val="00D274D9"/>
    <w:rsid w:val="00D27978"/>
    <w:rsid w:val="00D30599"/>
    <w:rsid w:val="00D3182C"/>
    <w:rsid w:val="00D31932"/>
    <w:rsid w:val="00D31AAB"/>
    <w:rsid w:val="00D31B6B"/>
    <w:rsid w:val="00D327B2"/>
    <w:rsid w:val="00D328FA"/>
    <w:rsid w:val="00D34F71"/>
    <w:rsid w:val="00D3527C"/>
    <w:rsid w:val="00D355A5"/>
    <w:rsid w:val="00D36EA6"/>
    <w:rsid w:val="00D37638"/>
    <w:rsid w:val="00D401AE"/>
    <w:rsid w:val="00D405EC"/>
    <w:rsid w:val="00D40B6B"/>
    <w:rsid w:val="00D40F17"/>
    <w:rsid w:val="00D42FB0"/>
    <w:rsid w:val="00D43403"/>
    <w:rsid w:val="00D4365D"/>
    <w:rsid w:val="00D43ECE"/>
    <w:rsid w:val="00D447C6"/>
    <w:rsid w:val="00D474F9"/>
    <w:rsid w:val="00D4773F"/>
    <w:rsid w:val="00D47A26"/>
    <w:rsid w:val="00D47E23"/>
    <w:rsid w:val="00D505B9"/>
    <w:rsid w:val="00D50A53"/>
    <w:rsid w:val="00D50F5A"/>
    <w:rsid w:val="00D51A04"/>
    <w:rsid w:val="00D51BF3"/>
    <w:rsid w:val="00D51E7F"/>
    <w:rsid w:val="00D5262A"/>
    <w:rsid w:val="00D530FE"/>
    <w:rsid w:val="00D53AF2"/>
    <w:rsid w:val="00D53BB1"/>
    <w:rsid w:val="00D53D41"/>
    <w:rsid w:val="00D5449D"/>
    <w:rsid w:val="00D54593"/>
    <w:rsid w:val="00D561B4"/>
    <w:rsid w:val="00D5694F"/>
    <w:rsid w:val="00D56A62"/>
    <w:rsid w:val="00D56BBF"/>
    <w:rsid w:val="00D5751F"/>
    <w:rsid w:val="00D575A9"/>
    <w:rsid w:val="00D57793"/>
    <w:rsid w:val="00D5799B"/>
    <w:rsid w:val="00D602AA"/>
    <w:rsid w:val="00D6052F"/>
    <w:rsid w:val="00D61068"/>
    <w:rsid w:val="00D61655"/>
    <w:rsid w:val="00D622EB"/>
    <w:rsid w:val="00D62C57"/>
    <w:rsid w:val="00D62CC5"/>
    <w:rsid w:val="00D63537"/>
    <w:rsid w:val="00D63EA0"/>
    <w:rsid w:val="00D64073"/>
    <w:rsid w:val="00D641B6"/>
    <w:rsid w:val="00D6526B"/>
    <w:rsid w:val="00D65CC9"/>
    <w:rsid w:val="00D65EFF"/>
    <w:rsid w:val="00D66FEC"/>
    <w:rsid w:val="00D674B7"/>
    <w:rsid w:val="00D67DC6"/>
    <w:rsid w:val="00D7033C"/>
    <w:rsid w:val="00D705EC"/>
    <w:rsid w:val="00D70F17"/>
    <w:rsid w:val="00D71E2C"/>
    <w:rsid w:val="00D71EE3"/>
    <w:rsid w:val="00D7333E"/>
    <w:rsid w:val="00D73FC2"/>
    <w:rsid w:val="00D74397"/>
    <w:rsid w:val="00D74415"/>
    <w:rsid w:val="00D74580"/>
    <w:rsid w:val="00D75049"/>
    <w:rsid w:val="00D752D4"/>
    <w:rsid w:val="00D765A7"/>
    <w:rsid w:val="00D76C3C"/>
    <w:rsid w:val="00D76D90"/>
    <w:rsid w:val="00D7711C"/>
    <w:rsid w:val="00D77149"/>
    <w:rsid w:val="00D77C5F"/>
    <w:rsid w:val="00D800A9"/>
    <w:rsid w:val="00D80739"/>
    <w:rsid w:val="00D80823"/>
    <w:rsid w:val="00D80E78"/>
    <w:rsid w:val="00D8120A"/>
    <w:rsid w:val="00D81B43"/>
    <w:rsid w:val="00D81DC6"/>
    <w:rsid w:val="00D8261A"/>
    <w:rsid w:val="00D82D2D"/>
    <w:rsid w:val="00D83327"/>
    <w:rsid w:val="00D8332E"/>
    <w:rsid w:val="00D83AA1"/>
    <w:rsid w:val="00D83D36"/>
    <w:rsid w:val="00D84272"/>
    <w:rsid w:val="00D85783"/>
    <w:rsid w:val="00D85BC0"/>
    <w:rsid w:val="00D861C5"/>
    <w:rsid w:val="00D8622A"/>
    <w:rsid w:val="00D86941"/>
    <w:rsid w:val="00D8706D"/>
    <w:rsid w:val="00D871F1"/>
    <w:rsid w:val="00D874EC"/>
    <w:rsid w:val="00D87B34"/>
    <w:rsid w:val="00D87B61"/>
    <w:rsid w:val="00D87CA3"/>
    <w:rsid w:val="00D90361"/>
    <w:rsid w:val="00D91D4A"/>
    <w:rsid w:val="00D937FC"/>
    <w:rsid w:val="00D93A69"/>
    <w:rsid w:val="00D93BC8"/>
    <w:rsid w:val="00D95278"/>
    <w:rsid w:val="00D9570C"/>
    <w:rsid w:val="00D95C0D"/>
    <w:rsid w:val="00D96D34"/>
    <w:rsid w:val="00D97389"/>
    <w:rsid w:val="00DA0337"/>
    <w:rsid w:val="00DA07F9"/>
    <w:rsid w:val="00DA2146"/>
    <w:rsid w:val="00DA373A"/>
    <w:rsid w:val="00DA393D"/>
    <w:rsid w:val="00DA4D33"/>
    <w:rsid w:val="00DA4E59"/>
    <w:rsid w:val="00DA5BBC"/>
    <w:rsid w:val="00DA5C11"/>
    <w:rsid w:val="00DA5E04"/>
    <w:rsid w:val="00DA6737"/>
    <w:rsid w:val="00DA7BF2"/>
    <w:rsid w:val="00DB090A"/>
    <w:rsid w:val="00DB2DF5"/>
    <w:rsid w:val="00DB3145"/>
    <w:rsid w:val="00DB4977"/>
    <w:rsid w:val="00DB5E33"/>
    <w:rsid w:val="00DB6523"/>
    <w:rsid w:val="00DB6582"/>
    <w:rsid w:val="00DB66B9"/>
    <w:rsid w:val="00DB6F57"/>
    <w:rsid w:val="00DC09DC"/>
    <w:rsid w:val="00DC0FA6"/>
    <w:rsid w:val="00DC130C"/>
    <w:rsid w:val="00DC2292"/>
    <w:rsid w:val="00DC459C"/>
    <w:rsid w:val="00DC4992"/>
    <w:rsid w:val="00DC4BB8"/>
    <w:rsid w:val="00DC508E"/>
    <w:rsid w:val="00DC5487"/>
    <w:rsid w:val="00DC5DC9"/>
    <w:rsid w:val="00DC677E"/>
    <w:rsid w:val="00DC6B2C"/>
    <w:rsid w:val="00DC714C"/>
    <w:rsid w:val="00DC79ED"/>
    <w:rsid w:val="00DC7F60"/>
    <w:rsid w:val="00DC7F96"/>
    <w:rsid w:val="00DD0342"/>
    <w:rsid w:val="00DD0643"/>
    <w:rsid w:val="00DD119F"/>
    <w:rsid w:val="00DD2F7B"/>
    <w:rsid w:val="00DD4A2C"/>
    <w:rsid w:val="00DD4C42"/>
    <w:rsid w:val="00DD5354"/>
    <w:rsid w:val="00DD53B2"/>
    <w:rsid w:val="00DD5A29"/>
    <w:rsid w:val="00DD6A4B"/>
    <w:rsid w:val="00DD6A85"/>
    <w:rsid w:val="00DD6E24"/>
    <w:rsid w:val="00DE04FA"/>
    <w:rsid w:val="00DE0C23"/>
    <w:rsid w:val="00DE14A2"/>
    <w:rsid w:val="00DE23C8"/>
    <w:rsid w:val="00DE25AF"/>
    <w:rsid w:val="00DE29BA"/>
    <w:rsid w:val="00DE2E79"/>
    <w:rsid w:val="00DE31BD"/>
    <w:rsid w:val="00DE34B7"/>
    <w:rsid w:val="00DE38F1"/>
    <w:rsid w:val="00DE3939"/>
    <w:rsid w:val="00DE418C"/>
    <w:rsid w:val="00DE482B"/>
    <w:rsid w:val="00DE5060"/>
    <w:rsid w:val="00DE5231"/>
    <w:rsid w:val="00DE52B0"/>
    <w:rsid w:val="00DE533B"/>
    <w:rsid w:val="00DE588D"/>
    <w:rsid w:val="00DE6FFC"/>
    <w:rsid w:val="00DE73EA"/>
    <w:rsid w:val="00DE74B8"/>
    <w:rsid w:val="00DE7BE0"/>
    <w:rsid w:val="00DF1623"/>
    <w:rsid w:val="00DF16CC"/>
    <w:rsid w:val="00DF1B6B"/>
    <w:rsid w:val="00DF2D3E"/>
    <w:rsid w:val="00DF2D9E"/>
    <w:rsid w:val="00DF366C"/>
    <w:rsid w:val="00DF36FD"/>
    <w:rsid w:val="00DF3A8E"/>
    <w:rsid w:val="00DF3BB9"/>
    <w:rsid w:val="00DF3F89"/>
    <w:rsid w:val="00DF4216"/>
    <w:rsid w:val="00DF46C4"/>
    <w:rsid w:val="00DF4D1F"/>
    <w:rsid w:val="00DF4E88"/>
    <w:rsid w:val="00DF5BA9"/>
    <w:rsid w:val="00DF6A92"/>
    <w:rsid w:val="00DF7757"/>
    <w:rsid w:val="00E01723"/>
    <w:rsid w:val="00E01B21"/>
    <w:rsid w:val="00E025F8"/>
    <w:rsid w:val="00E027FF"/>
    <w:rsid w:val="00E038C5"/>
    <w:rsid w:val="00E03E3B"/>
    <w:rsid w:val="00E04253"/>
    <w:rsid w:val="00E04589"/>
    <w:rsid w:val="00E04D05"/>
    <w:rsid w:val="00E0500A"/>
    <w:rsid w:val="00E0531B"/>
    <w:rsid w:val="00E05480"/>
    <w:rsid w:val="00E05EB9"/>
    <w:rsid w:val="00E05EEF"/>
    <w:rsid w:val="00E065FF"/>
    <w:rsid w:val="00E06A06"/>
    <w:rsid w:val="00E06B38"/>
    <w:rsid w:val="00E07340"/>
    <w:rsid w:val="00E0747D"/>
    <w:rsid w:val="00E078BB"/>
    <w:rsid w:val="00E07E8C"/>
    <w:rsid w:val="00E102DF"/>
    <w:rsid w:val="00E11BE4"/>
    <w:rsid w:val="00E128D8"/>
    <w:rsid w:val="00E12C42"/>
    <w:rsid w:val="00E130F6"/>
    <w:rsid w:val="00E132D9"/>
    <w:rsid w:val="00E155A9"/>
    <w:rsid w:val="00E15E54"/>
    <w:rsid w:val="00E165B5"/>
    <w:rsid w:val="00E1688A"/>
    <w:rsid w:val="00E168D5"/>
    <w:rsid w:val="00E16978"/>
    <w:rsid w:val="00E170B3"/>
    <w:rsid w:val="00E1728C"/>
    <w:rsid w:val="00E17A0A"/>
    <w:rsid w:val="00E17ED6"/>
    <w:rsid w:val="00E208B4"/>
    <w:rsid w:val="00E20AA1"/>
    <w:rsid w:val="00E20EEF"/>
    <w:rsid w:val="00E2102F"/>
    <w:rsid w:val="00E219DF"/>
    <w:rsid w:val="00E227DA"/>
    <w:rsid w:val="00E22FDB"/>
    <w:rsid w:val="00E231F4"/>
    <w:rsid w:val="00E232AF"/>
    <w:rsid w:val="00E232B1"/>
    <w:rsid w:val="00E232BB"/>
    <w:rsid w:val="00E2333B"/>
    <w:rsid w:val="00E2362E"/>
    <w:rsid w:val="00E24145"/>
    <w:rsid w:val="00E24353"/>
    <w:rsid w:val="00E247A3"/>
    <w:rsid w:val="00E248AC"/>
    <w:rsid w:val="00E2509D"/>
    <w:rsid w:val="00E25107"/>
    <w:rsid w:val="00E251ED"/>
    <w:rsid w:val="00E2562E"/>
    <w:rsid w:val="00E25B33"/>
    <w:rsid w:val="00E26053"/>
    <w:rsid w:val="00E266BF"/>
    <w:rsid w:val="00E26758"/>
    <w:rsid w:val="00E273B8"/>
    <w:rsid w:val="00E27E69"/>
    <w:rsid w:val="00E27F81"/>
    <w:rsid w:val="00E300E3"/>
    <w:rsid w:val="00E30B10"/>
    <w:rsid w:val="00E30D9B"/>
    <w:rsid w:val="00E30FD0"/>
    <w:rsid w:val="00E31085"/>
    <w:rsid w:val="00E3128A"/>
    <w:rsid w:val="00E324C1"/>
    <w:rsid w:val="00E328DF"/>
    <w:rsid w:val="00E32AD7"/>
    <w:rsid w:val="00E32CD1"/>
    <w:rsid w:val="00E33D3B"/>
    <w:rsid w:val="00E3560E"/>
    <w:rsid w:val="00E3589D"/>
    <w:rsid w:val="00E36186"/>
    <w:rsid w:val="00E37140"/>
    <w:rsid w:val="00E37193"/>
    <w:rsid w:val="00E37CBC"/>
    <w:rsid w:val="00E37CC1"/>
    <w:rsid w:val="00E40780"/>
    <w:rsid w:val="00E409C1"/>
    <w:rsid w:val="00E40F5E"/>
    <w:rsid w:val="00E415E8"/>
    <w:rsid w:val="00E416FC"/>
    <w:rsid w:val="00E42214"/>
    <w:rsid w:val="00E422FF"/>
    <w:rsid w:val="00E42848"/>
    <w:rsid w:val="00E42CF8"/>
    <w:rsid w:val="00E42E23"/>
    <w:rsid w:val="00E432AF"/>
    <w:rsid w:val="00E44494"/>
    <w:rsid w:val="00E44920"/>
    <w:rsid w:val="00E45B37"/>
    <w:rsid w:val="00E45E54"/>
    <w:rsid w:val="00E4669C"/>
    <w:rsid w:val="00E46FDA"/>
    <w:rsid w:val="00E47078"/>
    <w:rsid w:val="00E47A1E"/>
    <w:rsid w:val="00E50262"/>
    <w:rsid w:val="00E50712"/>
    <w:rsid w:val="00E51703"/>
    <w:rsid w:val="00E519F6"/>
    <w:rsid w:val="00E51F1C"/>
    <w:rsid w:val="00E525AB"/>
    <w:rsid w:val="00E52888"/>
    <w:rsid w:val="00E52A61"/>
    <w:rsid w:val="00E52FA6"/>
    <w:rsid w:val="00E53564"/>
    <w:rsid w:val="00E53C6B"/>
    <w:rsid w:val="00E5404D"/>
    <w:rsid w:val="00E544F8"/>
    <w:rsid w:val="00E553A5"/>
    <w:rsid w:val="00E55613"/>
    <w:rsid w:val="00E570AC"/>
    <w:rsid w:val="00E57444"/>
    <w:rsid w:val="00E57E79"/>
    <w:rsid w:val="00E57EEC"/>
    <w:rsid w:val="00E601E9"/>
    <w:rsid w:val="00E601F2"/>
    <w:rsid w:val="00E606C4"/>
    <w:rsid w:val="00E6090F"/>
    <w:rsid w:val="00E60AF7"/>
    <w:rsid w:val="00E615DE"/>
    <w:rsid w:val="00E617BC"/>
    <w:rsid w:val="00E61B11"/>
    <w:rsid w:val="00E61D87"/>
    <w:rsid w:val="00E61F7E"/>
    <w:rsid w:val="00E62D84"/>
    <w:rsid w:val="00E63C7B"/>
    <w:rsid w:val="00E64099"/>
    <w:rsid w:val="00E64120"/>
    <w:rsid w:val="00E64ED5"/>
    <w:rsid w:val="00E65064"/>
    <w:rsid w:val="00E65C68"/>
    <w:rsid w:val="00E65D01"/>
    <w:rsid w:val="00E65F02"/>
    <w:rsid w:val="00E66BEB"/>
    <w:rsid w:val="00E66E6B"/>
    <w:rsid w:val="00E7006B"/>
    <w:rsid w:val="00E700D9"/>
    <w:rsid w:val="00E70801"/>
    <w:rsid w:val="00E70C63"/>
    <w:rsid w:val="00E716ED"/>
    <w:rsid w:val="00E72354"/>
    <w:rsid w:val="00E72592"/>
    <w:rsid w:val="00E72680"/>
    <w:rsid w:val="00E72B34"/>
    <w:rsid w:val="00E736CD"/>
    <w:rsid w:val="00E7391A"/>
    <w:rsid w:val="00E742A0"/>
    <w:rsid w:val="00E745B7"/>
    <w:rsid w:val="00E750EC"/>
    <w:rsid w:val="00E75A44"/>
    <w:rsid w:val="00E76018"/>
    <w:rsid w:val="00E768C2"/>
    <w:rsid w:val="00E77470"/>
    <w:rsid w:val="00E77912"/>
    <w:rsid w:val="00E8051A"/>
    <w:rsid w:val="00E80F4F"/>
    <w:rsid w:val="00E82938"/>
    <w:rsid w:val="00E832D1"/>
    <w:rsid w:val="00E836D1"/>
    <w:rsid w:val="00E844D0"/>
    <w:rsid w:val="00E848C1"/>
    <w:rsid w:val="00E84DA3"/>
    <w:rsid w:val="00E85EF5"/>
    <w:rsid w:val="00E85F04"/>
    <w:rsid w:val="00E86C0D"/>
    <w:rsid w:val="00E871B1"/>
    <w:rsid w:val="00E874B3"/>
    <w:rsid w:val="00E876DE"/>
    <w:rsid w:val="00E877F8"/>
    <w:rsid w:val="00E8795E"/>
    <w:rsid w:val="00E87967"/>
    <w:rsid w:val="00E90059"/>
    <w:rsid w:val="00E9147D"/>
    <w:rsid w:val="00E918DD"/>
    <w:rsid w:val="00E91BDF"/>
    <w:rsid w:val="00E91DF2"/>
    <w:rsid w:val="00E9258F"/>
    <w:rsid w:val="00E9318C"/>
    <w:rsid w:val="00E9398C"/>
    <w:rsid w:val="00E93BA0"/>
    <w:rsid w:val="00E93F06"/>
    <w:rsid w:val="00E9426D"/>
    <w:rsid w:val="00E9479E"/>
    <w:rsid w:val="00E94A47"/>
    <w:rsid w:val="00E9532D"/>
    <w:rsid w:val="00E9534F"/>
    <w:rsid w:val="00E95AC3"/>
    <w:rsid w:val="00E95CD4"/>
    <w:rsid w:val="00E95F8E"/>
    <w:rsid w:val="00E96B47"/>
    <w:rsid w:val="00E9791F"/>
    <w:rsid w:val="00E97B6F"/>
    <w:rsid w:val="00E97DDD"/>
    <w:rsid w:val="00EA01FF"/>
    <w:rsid w:val="00EA0A9F"/>
    <w:rsid w:val="00EA1022"/>
    <w:rsid w:val="00EA104A"/>
    <w:rsid w:val="00EA1AA2"/>
    <w:rsid w:val="00EA1B94"/>
    <w:rsid w:val="00EA25B4"/>
    <w:rsid w:val="00EA2BE7"/>
    <w:rsid w:val="00EA2D62"/>
    <w:rsid w:val="00EA2D6F"/>
    <w:rsid w:val="00EA3150"/>
    <w:rsid w:val="00EA3B1C"/>
    <w:rsid w:val="00EA3D4E"/>
    <w:rsid w:val="00EA42F9"/>
    <w:rsid w:val="00EA55DA"/>
    <w:rsid w:val="00EA5FC2"/>
    <w:rsid w:val="00EA7863"/>
    <w:rsid w:val="00EA7928"/>
    <w:rsid w:val="00EA7C92"/>
    <w:rsid w:val="00EA7CA9"/>
    <w:rsid w:val="00EB01FC"/>
    <w:rsid w:val="00EB0B1F"/>
    <w:rsid w:val="00EB0CD0"/>
    <w:rsid w:val="00EB1CA9"/>
    <w:rsid w:val="00EB2648"/>
    <w:rsid w:val="00EB2703"/>
    <w:rsid w:val="00EB3AD2"/>
    <w:rsid w:val="00EB5466"/>
    <w:rsid w:val="00EB5FB8"/>
    <w:rsid w:val="00EB6655"/>
    <w:rsid w:val="00EB71F8"/>
    <w:rsid w:val="00EC0D96"/>
    <w:rsid w:val="00EC1AD1"/>
    <w:rsid w:val="00EC2575"/>
    <w:rsid w:val="00EC276B"/>
    <w:rsid w:val="00EC2805"/>
    <w:rsid w:val="00EC2B54"/>
    <w:rsid w:val="00EC2F3C"/>
    <w:rsid w:val="00EC38DD"/>
    <w:rsid w:val="00EC3C52"/>
    <w:rsid w:val="00EC44FB"/>
    <w:rsid w:val="00EC5495"/>
    <w:rsid w:val="00EC5882"/>
    <w:rsid w:val="00EC5AAE"/>
    <w:rsid w:val="00EC5D6D"/>
    <w:rsid w:val="00EC727F"/>
    <w:rsid w:val="00EC72E6"/>
    <w:rsid w:val="00EC78C3"/>
    <w:rsid w:val="00EC7EB9"/>
    <w:rsid w:val="00ED0B2F"/>
    <w:rsid w:val="00ED0B96"/>
    <w:rsid w:val="00ED0D10"/>
    <w:rsid w:val="00ED1A48"/>
    <w:rsid w:val="00ED1AC3"/>
    <w:rsid w:val="00ED31C3"/>
    <w:rsid w:val="00ED323D"/>
    <w:rsid w:val="00ED4E0B"/>
    <w:rsid w:val="00ED550D"/>
    <w:rsid w:val="00ED61B9"/>
    <w:rsid w:val="00ED6303"/>
    <w:rsid w:val="00ED69D0"/>
    <w:rsid w:val="00ED6FAE"/>
    <w:rsid w:val="00ED7217"/>
    <w:rsid w:val="00ED7D2E"/>
    <w:rsid w:val="00EE0FA7"/>
    <w:rsid w:val="00EE157C"/>
    <w:rsid w:val="00EE15D7"/>
    <w:rsid w:val="00EE1D4E"/>
    <w:rsid w:val="00EE1F35"/>
    <w:rsid w:val="00EE20F6"/>
    <w:rsid w:val="00EE2830"/>
    <w:rsid w:val="00EE2F90"/>
    <w:rsid w:val="00EE3070"/>
    <w:rsid w:val="00EE322B"/>
    <w:rsid w:val="00EE32B9"/>
    <w:rsid w:val="00EE3563"/>
    <w:rsid w:val="00EE3CA8"/>
    <w:rsid w:val="00EE3CDA"/>
    <w:rsid w:val="00EE4792"/>
    <w:rsid w:val="00EE5DF6"/>
    <w:rsid w:val="00EE6F77"/>
    <w:rsid w:val="00EE704A"/>
    <w:rsid w:val="00EE75CB"/>
    <w:rsid w:val="00EF1063"/>
    <w:rsid w:val="00EF164F"/>
    <w:rsid w:val="00EF2424"/>
    <w:rsid w:val="00EF37C6"/>
    <w:rsid w:val="00EF3807"/>
    <w:rsid w:val="00EF3ADB"/>
    <w:rsid w:val="00EF47CB"/>
    <w:rsid w:val="00EF493A"/>
    <w:rsid w:val="00EF4A69"/>
    <w:rsid w:val="00EF56F5"/>
    <w:rsid w:val="00EF59A1"/>
    <w:rsid w:val="00EF5A5C"/>
    <w:rsid w:val="00EF616C"/>
    <w:rsid w:val="00EF7738"/>
    <w:rsid w:val="00EF78A5"/>
    <w:rsid w:val="00EF7B93"/>
    <w:rsid w:val="00EF7FE0"/>
    <w:rsid w:val="00F00159"/>
    <w:rsid w:val="00F01012"/>
    <w:rsid w:val="00F028B2"/>
    <w:rsid w:val="00F03092"/>
    <w:rsid w:val="00F03530"/>
    <w:rsid w:val="00F04257"/>
    <w:rsid w:val="00F04924"/>
    <w:rsid w:val="00F06642"/>
    <w:rsid w:val="00F06CE3"/>
    <w:rsid w:val="00F071B9"/>
    <w:rsid w:val="00F110B3"/>
    <w:rsid w:val="00F11BEC"/>
    <w:rsid w:val="00F126D9"/>
    <w:rsid w:val="00F12760"/>
    <w:rsid w:val="00F12A03"/>
    <w:rsid w:val="00F12B6F"/>
    <w:rsid w:val="00F12EA2"/>
    <w:rsid w:val="00F13E28"/>
    <w:rsid w:val="00F13FAB"/>
    <w:rsid w:val="00F14305"/>
    <w:rsid w:val="00F145D2"/>
    <w:rsid w:val="00F1477A"/>
    <w:rsid w:val="00F14897"/>
    <w:rsid w:val="00F1578C"/>
    <w:rsid w:val="00F165D1"/>
    <w:rsid w:val="00F16ECB"/>
    <w:rsid w:val="00F175FB"/>
    <w:rsid w:val="00F17F69"/>
    <w:rsid w:val="00F209DE"/>
    <w:rsid w:val="00F2181D"/>
    <w:rsid w:val="00F22529"/>
    <w:rsid w:val="00F227B3"/>
    <w:rsid w:val="00F22B98"/>
    <w:rsid w:val="00F232E9"/>
    <w:rsid w:val="00F238D4"/>
    <w:rsid w:val="00F23C3D"/>
    <w:rsid w:val="00F23ECB"/>
    <w:rsid w:val="00F2451B"/>
    <w:rsid w:val="00F249F7"/>
    <w:rsid w:val="00F24F0D"/>
    <w:rsid w:val="00F2524B"/>
    <w:rsid w:val="00F26056"/>
    <w:rsid w:val="00F2657C"/>
    <w:rsid w:val="00F265A2"/>
    <w:rsid w:val="00F26807"/>
    <w:rsid w:val="00F26C10"/>
    <w:rsid w:val="00F26F67"/>
    <w:rsid w:val="00F304A5"/>
    <w:rsid w:val="00F304E9"/>
    <w:rsid w:val="00F30888"/>
    <w:rsid w:val="00F30ABD"/>
    <w:rsid w:val="00F30D6A"/>
    <w:rsid w:val="00F31FF4"/>
    <w:rsid w:val="00F322C3"/>
    <w:rsid w:val="00F32BD9"/>
    <w:rsid w:val="00F33251"/>
    <w:rsid w:val="00F334B7"/>
    <w:rsid w:val="00F3356D"/>
    <w:rsid w:val="00F33FCE"/>
    <w:rsid w:val="00F341F6"/>
    <w:rsid w:val="00F34483"/>
    <w:rsid w:val="00F347A4"/>
    <w:rsid w:val="00F3485F"/>
    <w:rsid w:val="00F34FDD"/>
    <w:rsid w:val="00F35627"/>
    <w:rsid w:val="00F359B3"/>
    <w:rsid w:val="00F3620E"/>
    <w:rsid w:val="00F36E8C"/>
    <w:rsid w:val="00F37139"/>
    <w:rsid w:val="00F37832"/>
    <w:rsid w:val="00F40075"/>
    <w:rsid w:val="00F401D5"/>
    <w:rsid w:val="00F40CD8"/>
    <w:rsid w:val="00F417F4"/>
    <w:rsid w:val="00F41AB2"/>
    <w:rsid w:val="00F41ADB"/>
    <w:rsid w:val="00F41B36"/>
    <w:rsid w:val="00F42A00"/>
    <w:rsid w:val="00F42F6A"/>
    <w:rsid w:val="00F42F9F"/>
    <w:rsid w:val="00F42FEE"/>
    <w:rsid w:val="00F438FE"/>
    <w:rsid w:val="00F43BBA"/>
    <w:rsid w:val="00F43DE6"/>
    <w:rsid w:val="00F43E18"/>
    <w:rsid w:val="00F4446E"/>
    <w:rsid w:val="00F44587"/>
    <w:rsid w:val="00F4473E"/>
    <w:rsid w:val="00F45065"/>
    <w:rsid w:val="00F45416"/>
    <w:rsid w:val="00F5086A"/>
    <w:rsid w:val="00F51121"/>
    <w:rsid w:val="00F51405"/>
    <w:rsid w:val="00F5173D"/>
    <w:rsid w:val="00F521A4"/>
    <w:rsid w:val="00F52FB1"/>
    <w:rsid w:val="00F5342F"/>
    <w:rsid w:val="00F536BE"/>
    <w:rsid w:val="00F53CEE"/>
    <w:rsid w:val="00F5447B"/>
    <w:rsid w:val="00F54549"/>
    <w:rsid w:val="00F5549B"/>
    <w:rsid w:val="00F5626C"/>
    <w:rsid w:val="00F5628B"/>
    <w:rsid w:val="00F56A78"/>
    <w:rsid w:val="00F56D5F"/>
    <w:rsid w:val="00F6025D"/>
    <w:rsid w:val="00F6068B"/>
    <w:rsid w:val="00F60CE5"/>
    <w:rsid w:val="00F610A0"/>
    <w:rsid w:val="00F614D2"/>
    <w:rsid w:val="00F61588"/>
    <w:rsid w:val="00F61591"/>
    <w:rsid w:val="00F61657"/>
    <w:rsid w:val="00F619E2"/>
    <w:rsid w:val="00F623CB"/>
    <w:rsid w:val="00F6268B"/>
    <w:rsid w:val="00F630C5"/>
    <w:rsid w:val="00F63502"/>
    <w:rsid w:val="00F63723"/>
    <w:rsid w:val="00F6386A"/>
    <w:rsid w:val="00F638BF"/>
    <w:rsid w:val="00F64150"/>
    <w:rsid w:val="00F648DD"/>
    <w:rsid w:val="00F65753"/>
    <w:rsid w:val="00F65FF2"/>
    <w:rsid w:val="00F66150"/>
    <w:rsid w:val="00F6710C"/>
    <w:rsid w:val="00F6736B"/>
    <w:rsid w:val="00F678A7"/>
    <w:rsid w:val="00F678B6"/>
    <w:rsid w:val="00F67E29"/>
    <w:rsid w:val="00F67F82"/>
    <w:rsid w:val="00F7058B"/>
    <w:rsid w:val="00F7071C"/>
    <w:rsid w:val="00F71203"/>
    <w:rsid w:val="00F71753"/>
    <w:rsid w:val="00F72872"/>
    <w:rsid w:val="00F7303D"/>
    <w:rsid w:val="00F73773"/>
    <w:rsid w:val="00F745F8"/>
    <w:rsid w:val="00F751E0"/>
    <w:rsid w:val="00F753F8"/>
    <w:rsid w:val="00F75546"/>
    <w:rsid w:val="00F7598D"/>
    <w:rsid w:val="00F76364"/>
    <w:rsid w:val="00F7660A"/>
    <w:rsid w:val="00F77066"/>
    <w:rsid w:val="00F7755E"/>
    <w:rsid w:val="00F77DB4"/>
    <w:rsid w:val="00F80110"/>
    <w:rsid w:val="00F82CD2"/>
    <w:rsid w:val="00F83821"/>
    <w:rsid w:val="00F83854"/>
    <w:rsid w:val="00F838F8"/>
    <w:rsid w:val="00F83D74"/>
    <w:rsid w:val="00F83D8B"/>
    <w:rsid w:val="00F85057"/>
    <w:rsid w:val="00F86057"/>
    <w:rsid w:val="00F8686D"/>
    <w:rsid w:val="00F86C58"/>
    <w:rsid w:val="00F90583"/>
    <w:rsid w:val="00F90EA1"/>
    <w:rsid w:val="00F91893"/>
    <w:rsid w:val="00F91DF3"/>
    <w:rsid w:val="00F91E13"/>
    <w:rsid w:val="00F9213E"/>
    <w:rsid w:val="00F92E88"/>
    <w:rsid w:val="00F93D47"/>
    <w:rsid w:val="00F94293"/>
    <w:rsid w:val="00F971B5"/>
    <w:rsid w:val="00F9753E"/>
    <w:rsid w:val="00F9779A"/>
    <w:rsid w:val="00FA0163"/>
    <w:rsid w:val="00FA0B99"/>
    <w:rsid w:val="00FA1975"/>
    <w:rsid w:val="00FA1CB9"/>
    <w:rsid w:val="00FA1E20"/>
    <w:rsid w:val="00FA250B"/>
    <w:rsid w:val="00FA2B97"/>
    <w:rsid w:val="00FA2D3A"/>
    <w:rsid w:val="00FA3786"/>
    <w:rsid w:val="00FA3DB2"/>
    <w:rsid w:val="00FA3E39"/>
    <w:rsid w:val="00FA42FC"/>
    <w:rsid w:val="00FA4670"/>
    <w:rsid w:val="00FA48FD"/>
    <w:rsid w:val="00FA4BD8"/>
    <w:rsid w:val="00FA523E"/>
    <w:rsid w:val="00FA57C3"/>
    <w:rsid w:val="00FA6357"/>
    <w:rsid w:val="00FA67F4"/>
    <w:rsid w:val="00FA68E4"/>
    <w:rsid w:val="00FA7EC2"/>
    <w:rsid w:val="00FB049C"/>
    <w:rsid w:val="00FB11A7"/>
    <w:rsid w:val="00FB1D67"/>
    <w:rsid w:val="00FB21EE"/>
    <w:rsid w:val="00FB2D84"/>
    <w:rsid w:val="00FB34AE"/>
    <w:rsid w:val="00FB3604"/>
    <w:rsid w:val="00FB3EE7"/>
    <w:rsid w:val="00FB40AE"/>
    <w:rsid w:val="00FB4263"/>
    <w:rsid w:val="00FB467E"/>
    <w:rsid w:val="00FB4F61"/>
    <w:rsid w:val="00FB5969"/>
    <w:rsid w:val="00FB59AE"/>
    <w:rsid w:val="00FB5DA8"/>
    <w:rsid w:val="00FB64A3"/>
    <w:rsid w:val="00FB65B6"/>
    <w:rsid w:val="00FB69AB"/>
    <w:rsid w:val="00FB70FC"/>
    <w:rsid w:val="00FB7BAA"/>
    <w:rsid w:val="00FB7CA2"/>
    <w:rsid w:val="00FC0267"/>
    <w:rsid w:val="00FC04C9"/>
    <w:rsid w:val="00FC17F7"/>
    <w:rsid w:val="00FC1E45"/>
    <w:rsid w:val="00FC1F10"/>
    <w:rsid w:val="00FC21C7"/>
    <w:rsid w:val="00FC2C3B"/>
    <w:rsid w:val="00FC3592"/>
    <w:rsid w:val="00FC39DF"/>
    <w:rsid w:val="00FC3BE9"/>
    <w:rsid w:val="00FC3D55"/>
    <w:rsid w:val="00FC44A0"/>
    <w:rsid w:val="00FC44E2"/>
    <w:rsid w:val="00FC486F"/>
    <w:rsid w:val="00FC49BA"/>
    <w:rsid w:val="00FC4B99"/>
    <w:rsid w:val="00FC5119"/>
    <w:rsid w:val="00FC53C1"/>
    <w:rsid w:val="00FC54D0"/>
    <w:rsid w:val="00FC62EB"/>
    <w:rsid w:val="00FC6ADB"/>
    <w:rsid w:val="00FC6C0B"/>
    <w:rsid w:val="00FC6F96"/>
    <w:rsid w:val="00FC75AC"/>
    <w:rsid w:val="00FC77CF"/>
    <w:rsid w:val="00FC77D1"/>
    <w:rsid w:val="00FD1000"/>
    <w:rsid w:val="00FD195E"/>
    <w:rsid w:val="00FD3027"/>
    <w:rsid w:val="00FD30FB"/>
    <w:rsid w:val="00FD326D"/>
    <w:rsid w:val="00FD3A86"/>
    <w:rsid w:val="00FD42FB"/>
    <w:rsid w:val="00FD52F5"/>
    <w:rsid w:val="00FD5BC3"/>
    <w:rsid w:val="00FD5BF3"/>
    <w:rsid w:val="00FD657C"/>
    <w:rsid w:val="00FD691A"/>
    <w:rsid w:val="00FD7609"/>
    <w:rsid w:val="00FE0180"/>
    <w:rsid w:val="00FE088C"/>
    <w:rsid w:val="00FE08C4"/>
    <w:rsid w:val="00FE286F"/>
    <w:rsid w:val="00FE2A0B"/>
    <w:rsid w:val="00FE32FE"/>
    <w:rsid w:val="00FE3A56"/>
    <w:rsid w:val="00FE414F"/>
    <w:rsid w:val="00FE454C"/>
    <w:rsid w:val="00FE51C4"/>
    <w:rsid w:val="00FE5321"/>
    <w:rsid w:val="00FE5496"/>
    <w:rsid w:val="00FE5552"/>
    <w:rsid w:val="00FE586B"/>
    <w:rsid w:val="00FE5B59"/>
    <w:rsid w:val="00FE60E9"/>
    <w:rsid w:val="00FE6404"/>
    <w:rsid w:val="00FE6651"/>
    <w:rsid w:val="00FE6F32"/>
    <w:rsid w:val="00FE712E"/>
    <w:rsid w:val="00FE7163"/>
    <w:rsid w:val="00FE71EF"/>
    <w:rsid w:val="00FE77C6"/>
    <w:rsid w:val="00FE7948"/>
    <w:rsid w:val="00FF0018"/>
    <w:rsid w:val="00FF03CA"/>
    <w:rsid w:val="00FF0528"/>
    <w:rsid w:val="00FF0DE2"/>
    <w:rsid w:val="00FF1927"/>
    <w:rsid w:val="00FF1DA4"/>
    <w:rsid w:val="00FF2899"/>
    <w:rsid w:val="00FF356A"/>
    <w:rsid w:val="00FF3F3E"/>
    <w:rsid w:val="00FF4A69"/>
    <w:rsid w:val="00FF4D98"/>
    <w:rsid w:val="00FF5283"/>
    <w:rsid w:val="00FF5CCC"/>
    <w:rsid w:val="00FF5E8C"/>
    <w:rsid w:val="00FF669C"/>
    <w:rsid w:val="00FF67C8"/>
    <w:rsid w:val="00FF6892"/>
    <w:rsid w:val="00FF73D8"/>
    <w:rsid w:val="00FF757B"/>
    <w:rsid w:val="00FF7D2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AC3DCC1"/>
  <w15:docId w15:val="{7214F728-DB2E-474E-AC53-292E6C66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B42"/>
    <w:pPr>
      <w:spacing w:before="180" w:after="60"/>
    </w:pPr>
    <w:rPr>
      <w:rFonts w:asciiTheme="minorHAnsi" w:hAnsiTheme="minorHAnsi"/>
      <w:sz w:val="22"/>
      <w:szCs w:val="24"/>
    </w:rPr>
  </w:style>
  <w:style w:type="paragraph" w:styleId="Heading1">
    <w:name w:val="heading 1"/>
    <w:basedOn w:val="Normal"/>
    <w:next w:val="Normal"/>
    <w:link w:val="Heading1Char"/>
    <w:qFormat/>
    <w:rsid w:val="00F304E9"/>
    <w:pPr>
      <w:keepNext/>
      <w:pageBreakBefore/>
      <w:numPr>
        <w:numId w:val="6"/>
      </w:numPr>
      <w:spacing w:before="120" w:after="0"/>
      <w:ind w:left="431" w:hanging="431"/>
      <w:outlineLvl w:val="0"/>
    </w:pPr>
    <w:rPr>
      <w:rFonts w:eastAsiaTheme="minorHAnsi" w:cs="Arial"/>
      <w:b/>
      <w:bCs/>
      <w:color w:val="01653F"/>
      <w:kern w:val="32"/>
      <w:sz w:val="32"/>
      <w:szCs w:val="28"/>
      <w:lang w:val="en-US" w:eastAsia="en-US"/>
    </w:rPr>
  </w:style>
  <w:style w:type="paragraph" w:styleId="Heading2">
    <w:name w:val="heading 2"/>
    <w:basedOn w:val="Normal"/>
    <w:next w:val="Normal"/>
    <w:link w:val="Heading2Char"/>
    <w:qFormat/>
    <w:rsid w:val="0061330F"/>
    <w:pPr>
      <w:keepNext/>
      <w:numPr>
        <w:ilvl w:val="1"/>
        <w:numId w:val="6"/>
      </w:numPr>
      <w:spacing w:before="240" w:after="120"/>
      <w:ind w:left="578" w:hanging="578"/>
      <w:outlineLvl w:val="1"/>
    </w:pPr>
    <w:rPr>
      <w:rFonts w:eastAsiaTheme="minorHAnsi" w:cs="Arial"/>
      <w:b/>
      <w:bCs/>
      <w:iCs/>
      <w:color w:val="01653F"/>
      <w:sz w:val="26"/>
      <w:szCs w:val="22"/>
      <w:lang w:val="en-US" w:eastAsia="en-US"/>
    </w:rPr>
  </w:style>
  <w:style w:type="paragraph" w:styleId="Heading3">
    <w:name w:val="heading 3"/>
    <w:basedOn w:val="BodyText"/>
    <w:next w:val="Normal"/>
    <w:link w:val="Heading3Char"/>
    <w:qFormat/>
    <w:rsid w:val="00BA24F7"/>
    <w:pPr>
      <w:keepNext/>
      <w:spacing w:before="120" w:after="60"/>
      <w:outlineLvl w:val="2"/>
    </w:pPr>
    <w:rPr>
      <w:b/>
      <w:bCs/>
      <w:i/>
      <w:color w:val="B56012"/>
      <w:sz w:val="24"/>
      <w:szCs w:val="26"/>
      <w:lang w:val="en-US" w:eastAsia="en-US"/>
    </w:rPr>
  </w:style>
  <w:style w:type="paragraph" w:styleId="Heading4">
    <w:name w:val="heading 4"/>
    <w:basedOn w:val="03Tableundertext"/>
    <w:next w:val="Normal"/>
    <w:link w:val="Heading4Char"/>
    <w:uiPriority w:val="9"/>
    <w:qFormat/>
    <w:rsid w:val="00067EF9"/>
    <w:pPr>
      <w:spacing w:before="240" w:after="120"/>
      <w:outlineLvl w:val="3"/>
    </w:pPr>
    <w:rPr>
      <w:b/>
      <w:bCs w:val="0"/>
      <w:sz w:val="22"/>
      <w:szCs w:val="24"/>
    </w:rPr>
  </w:style>
  <w:style w:type="paragraph" w:styleId="Heading5">
    <w:name w:val="heading 5"/>
    <w:basedOn w:val="Normal"/>
    <w:next w:val="Normal"/>
    <w:link w:val="Heading5Char"/>
    <w:uiPriority w:val="9"/>
    <w:qFormat/>
    <w:rsid w:val="00E2102F"/>
    <w:pPr>
      <w:numPr>
        <w:ilvl w:val="4"/>
        <w:numId w:val="6"/>
      </w:numPr>
      <w:spacing w:before="240"/>
      <w:outlineLvl w:val="4"/>
    </w:pPr>
    <w:rPr>
      <w:rFonts w:eastAsiaTheme="minorHAnsi" w:cs="Arial"/>
      <w:b/>
      <w:bCs/>
      <w:iCs/>
      <w:sz w:val="26"/>
      <w:szCs w:val="26"/>
      <w:lang w:val="en-US" w:eastAsia="en-US"/>
    </w:rPr>
  </w:style>
  <w:style w:type="paragraph" w:styleId="Heading6">
    <w:name w:val="heading 6"/>
    <w:basedOn w:val="Normal"/>
    <w:next w:val="Normal"/>
    <w:link w:val="Heading6Char"/>
    <w:uiPriority w:val="9"/>
    <w:qFormat/>
    <w:rsid w:val="00E2102F"/>
    <w:pPr>
      <w:numPr>
        <w:ilvl w:val="5"/>
        <w:numId w:val="6"/>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E2102F"/>
    <w:pPr>
      <w:keepNext/>
      <w:keepLines/>
      <w:numPr>
        <w:ilvl w:val="6"/>
        <w:numId w:val="6"/>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E2102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E2102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aliases w:val="Table Heading"/>
    <w:basedOn w:val="DefaultParagraphFont"/>
    <w:uiPriority w:val="22"/>
    <w:qFormat/>
    <w:rsid w:val="00AF127F"/>
    <w:rPr>
      <w:b/>
      <w:bCs/>
    </w:rPr>
  </w:style>
  <w:style w:type="paragraph" w:styleId="Subtitle">
    <w:name w:val="Subtitle"/>
    <w:basedOn w:val="Normal"/>
    <w:next w:val="Normal"/>
    <w:link w:val="SubtitleChar"/>
    <w:uiPriority w:val="99"/>
    <w:qFormat/>
    <w:rsid w:val="00F623CB"/>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uiPriority w:val="99"/>
    <w:rsid w:val="00F623CB"/>
    <w:rPr>
      <w:rFonts w:asciiTheme="minorHAnsi" w:hAnsiTheme="minorHAnsi" w:cs="Arial"/>
      <w:b/>
      <w:color w:val="01653F"/>
      <w:spacing w:val="5"/>
      <w:sz w:val="48"/>
      <w:szCs w:val="48"/>
    </w:rPr>
  </w:style>
  <w:style w:type="paragraph" w:styleId="Title">
    <w:name w:val="Title"/>
    <w:basedOn w:val="Normal"/>
    <w:next w:val="Normal"/>
    <w:link w:val="TitleChar"/>
    <w:uiPriority w:val="99"/>
    <w:qFormat/>
    <w:rsid w:val="00F623CB"/>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uiPriority w:val="99"/>
    <w:rsid w:val="00F623CB"/>
    <w:rPr>
      <w:rFonts w:asciiTheme="minorHAnsi" w:hAnsiTheme="minorHAnsi" w:cs="Arial"/>
      <w:b/>
      <w:spacing w:val="5"/>
      <w:sz w:val="72"/>
      <w:szCs w:val="72"/>
    </w:rPr>
  </w:style>
  <w:style w:type="paragraph" w:styleId="NoSpacing">
    <w:name w:val="No Spacing"/>
    <w:uiPriority w:val="1"/>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before="200"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869E6"/>
    <w:pPr>
      <w:contextualSpacing/>
    </w:pPr>
    <w:rPr>
      <w:rFonts w:eastAsiaTheme="minorHAnsi" w:cs="Arial"/>
      <w:b/>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F127F"/>
    <w:rPr>
      <w:rFonts w:eastAsiaTheme="minorHAnsi" w:cs="Arial"/>
      <w:sz w:val="20"/>
      <w:szCs w:val="20"/>
    </w:rPr>
  </w:style>
  <w:style w:type="character" w:customStyle="1" w:styleId="FootnoteTextChar">
    <w:name w:val="Footnote Text Char"/>
    <w:basedOn w:val="DefaultParagraphFont"/>
    <w:link w:val="FootnoteText"/>
    <w:uiPriority w:val="99"/>
    <w:rsid w:val="00AF127F"/>
    <w:rPr>
      <w:rFonts w:ascii="Arial" w:hAnsi="Arial"/>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E2102F"/>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346AF5"/>
    <w:pPr>
      <w:tabs>
        <w:tab w:val="left" w:pos="440"/>
        <w:tab w:val="right" w:leader="dot" w:pos="9016"/>
      </w:tabs>
      <w:spacing w:before="120" w:after="0"/>
    </w:pPr>
    <w:rPr>
      <w:b/>
      <w:szCs w:val="22"/>
    </w:rPr>
  </w:style>
  <w:style w:type="paragraph" w:styleId="TOC2">
    <w:name w:val="toc 2"/>
    <w:basedOn w:val="Normal"/>
    <w:next w:val="Normal"/>
    <w:autoRedefine/>
    <w:uiPriority w:val="39"/>
    <w:qFormat/>
    <w:rsid w:val="00346AF5"/>
    <w:pPr>
      <w:tabs>
        <w:tab w:val="right" w:leader="dot" w:pos="9016"/>
      </w:tabs>
      <w:spacing w:before="0" w:after="0"/>
      <w:ind w:left="993" w:hanging="567"/>
    </w:pPr>
    <w:rPr>
      <w:noProof/>
      <w:szCs w:val="22"/>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uiPriority w:val="99"/>
    <w:rsid w:val="00AF127F"/>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C63AD2"/>
    <w:pPr>
      <w:keepNext/>
      <w:spacing w:before="120" w:after="0" w:line="312" w:lineRule="auto"/>
    </w:pPr>
    <w:rPr>
      <w:rFonts w:eastAsiaTheme="minorHAnsi" w:cs="Arial"/>
      <w:b/>
      <w:sz w:val="20"/>
      <w:szCs w:val="22"/>
      <w:lang w:eastAsia="en-US"/>
    </w:rPr>
  </w:style>
  <w:style w:type="paragraph" w:customStyle="1" w:styleId="Default">
    <w:name w:val="Default"/>
    <w:uiPriority w:val="99"/>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869E6"/>
    <w:rPr>
      <w:rFonts w:asciiTheme="minorHAnsi" w:eastAsiaTheme="minorHAnsi" w:hAnsiTheme="minorHAnsi" w:cs="Arial"/>
      <w:b/>
      <w:sz w:val="22"/>
      <w:szCs w:val="22"/>
    </w:rPr>
  </w:style>
  <w:style w:type="paragraph" w:styleId="TableofFigures">
    <w:name w:val="table of figures"/>
    <w:basedOn w:val="Normal"/>
    <w:next w:val="Normal"/>
    <w:uiPriority w:val="99"/>
    <w:rsid w:val="002345FA"/>
    <w:pPr>
      <w:spacing w:before="0" w:after="0"/>
      <w:ind w:left="440" w:hanging="440"/>
    </w:pPr>
    <w:rPr>
      <w:sz w:val="20"/>
      <w:szCs w:val="20"/>
    </w:rPr>
  </w:style>
  <w:style w:type="paragraph" w:styleId="TOC3">
    <w:name w:val="toc 3"/>
    <w:basedOn w:val="Normal"/>
    <w:next w:val="Normal"/>
    <w:autoRedefine/>
    <w:uiPriority w:val="39"/>
    <w:qFormat/>
    <w:rsid w:val="00AF127F"/>
    <w:pPr>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uiPriority w:val="99"/>
    <w:rsid w:val="006C0049"/>
    <w:pPr>
      <w:spacing w:after="120"/>
    </w:pPr>
    <w:rPr>
      <w:rFonts w:eastAsiaTheme="minorHAnsi" w:cs="Arial"/>
      <w:szCs w:val="20"/>
    </w:rPr>
  </w:style>
  <w:style w:type="character" w:customStyle="1" w:styleId="BodyTextChar">
    <w:name w:val="Body Text Char"/>
    <w:basedOn w:val="DefaultParagraphFont"/>
    <w:link w:val="BodyText"/>
    <w:uiPriority w:val="99"/>
    <w:rsid w:val="006C0049"/>
    <w:rPr>
      <w:rFonts w:ascii="Arial" w:hAnsi="Arial"/>
      <w:sz w:val="24"/>
    </w:rPr>
  </w:style>
  <w:style w:type="paragraph" w:customStyle="1" w:styleId="departmentalnormal">
    <w:name w:val="departmentalnormal"/>
    <w:basedOn w:val="Normal"/>
    <w:uiPriority w:val="99"/>
    <w:rsid w:val="006C0049"/>
    <w:pPr>
      <w:spacing w:before="100" w:beforeAutospacing="1" w:after="100" w:afterAutospacing="1"/>
    </w:pPr>
    <w:rPr>
      <w:rFonts w:eastAsiaTheme="minorHAnsi" w:cs="Arial"/>
      <w:szCs w:val="22"/>
    </w:rPr>
  </w:style>
  <w:style w:type="paragraph" w:styleId="BodyText3">
    <w:name w:val="Body Text 3"/>
    <w:basedOn w:val="Normal"/>
    <w:link w:val="BodyText3Char"/>
    <w:uiPriority w:val="99"/>
    <w:rsid w:val="006C0049"/>
    <w:pPr>
      <w:spacing w:after="120"/>
    </w:pPr>
    <w:rPr>
      <w:rFonts w:eastAsiaTheme="minorHAnsi" w:cs="Arial"/>
      <w:sz w:val="16"/>
      <w:szCs w:val="16"/>
    </w:rPr>
  </w:style>
  <w:style w:type="character" w:customStyle="1" w:styleId="BodyText3Char">
    <w:name w:val="Body Text 3 Char"/>
    <w:basedOn w:val="DefaultParagraphFont"/>
    <w:link w:val="BodyText3"/>
    <w:uiPriority w:val="99"/>
    <w:rsid w:val="006C0049"/>
    <w:rPr>
      <w:rFonts w:ascii="Arial" w:hAnsi="Arial"/>
      <w:sz w:val="16"/>
      <w:szCs w:val="16"/>
    </w:rPr>
  </w:style>
  <w:style w:type="paragraph" w:styleId="BodyTextIndent">
    <w:name w:val="Body Text Indent"/>
    <w:basedOn w:val="Normal"/>
    <w:link w:val="BodyTextIndentChar"/>
    <w:uiPriority w:val="99"/>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uiPriority w:val="99"/>
    <w:rsid w:val="006C0049"/>
    <w:rPr>
      <w:rFonts w:ascii="Arial" w:hAnsi="Arial"/>
      <w:sz w:val="24"/>
    </w:rPr>
  </w:style>
  <w:style w:type="paragraph" w:customStyle="1" w:styleId="DepartmentalNormal0">
    <w:name w:val="Departmental Normal"/>
    <w:basedOn w:val="Normal"/>
    <w:uiPriority w:val="99"/>
    <w:rsid w:val="006C0049"/>
    <w:rPr>
      <w:rFonts w:eastAsiaTheme="minorHAnsi" w:cs="Arial"/>
      <w:szCs w:val="20"/>
    </w:rPr>
  </w:style>
  <w:style w:type="paragraph" w:customStyle="1" w:styleId="CharCharChar">
    <w:name w:val="Char Char Char"/>
    <w:basedOn w:val="Normal"/>
    <w:uiPriority w:val="99"/>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NormalBulleted">
    <w:name w:val="Normal Bulleted"/>
    <w:basedOn w:val="ListContinue"/>
    <w:link w:val="NormalBulletedChar"/>
    <w:qFormat/>
    <w:rsid w:val="00704DA2"/>
    <w:pPr>
      <w:numPr>
        <w:numId w:val="7"/>
      </w:numPr>
      <w:spacing w:before="120"/>
      <w:ind w:left="431"/>
      <w:contextualSpacing w:val="0"/>
    </w:pPr>
  </w:style>
  <w:style w:type="character" w:customStyle="1" w:styleId="NormalBulletedChar">
    <w:name w:val="Normal Bulleted Char"/>
    <w:basedOn w:val="DefaultParagraphFont"/>
    <w:link w:val="NormalBulleted"/>
    <w:rsid w:val="00704DA2"/>
    <w:rPr>
      <w:rFonts w:asciiTheme="minorHAnsi" w:hAnsiTheme="minorHAnsi"/>
      <w:sz w:val="22"/>
      <w:szCs w:val="24"/>
    </w:rPr>
  </w:style>
  <w:style w:type="character" w:customStyle="1" w:styleId="Heading7Char">
    <w:name w:val="Heading 7 Char"/>
    <w:basedOn w:val="DefaultParagraphFont"/>
    <w:link w:val="Heading7"/>
    <w:uiPriority w:val="9"/>
    <w:rsid w:val="00E2102F"/>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102F"/>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102F"/>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uiPriority w:val="99"/>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uiPriority w:val="99"/>
    <w:rsid w:val="003C2F8E"/>
    <w:rPr>
      <w:sz w:val="24"/>
      <w:szCs w:val="24"/>
      <w:lang w:val="en-US" w:eastAsia="en-US"/>
    </w:rPr>
  </w:style>
  <w:style w:type="paragraph" w:customStyle="1" w:styleId="02Tabletext">
    <w:name w:val="02. Table text"/>
    <w:basedOn w:val="Normal"/>
    <w:next w:val="Normal"/>
    <w:link w:val="02TabletextChar"/>
    <w:uiPriority w:val="11"/>
    <w:qFormat/>
    <w:rsid w:val="00E04253"/>
    <w:pPr>
      <w:spacing w:before="20"/>
    </w:pPr>
    <w:rPr>
      <w:rFonts w:ascii="Arial" w:eastAsiaTheme="minorHAnsi" w:hAnsi="Arial" w:cs="Arial"/>
      <w:sz w:val="18"/>
      <w:szCs w:val="18"/>
      <w:lang w:eastAsia="en-US"/>
    </w:rPr>
  </w:style>
  <w:style w:type="character" w:customStyle="1" w:styleId="02TabletextChar">
    <w:name w:val="02. Table text Char"/>
    <w:basedOn w:val="DefaultParagraphFont"/>
    <w:link w:val="02Tabletext"/>
    <w:uiPriority w:val="11"/>
    <w:rsid w:val="00E04253"/>
    <w:rPr>
      <w:rFonts w:ascii="Arial" w:eastAsiaTheme="minorHAnsi" w:hAnsi="Arial" w:cs="Arial"/>
      <w:sz w:val="18"/>
      <w:szCs w:val="18"/>
      <w:lang w:eastAsia="en-US"/>
    </w:rPr>
  </w:style>
  <w:style w:type="paragraph" w:customStyle="1" w:styleId="01Tableheaderrow">
    <w:name w:val="01. Table header row"/>
    <w:link w:val="01TableheaderrowChar"/>
    <w:rsid w:val="008E039A"/>
    <w:pPr>
      <w:keepNext/>
      <w:spacing w:before="120" w:after="6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rsid w:val="008E039A"/>
    <w:rPr>
      <w:rFonts w:ascii="Arial" w:eastAsiaTheme="minorHAnsi" w:hAnsi="Arial" w:cs="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uiPriority w:val="99"/>
    <w:qFormat/>
    <w:rsid w:val="00B949B4"/>
    <w:pPr>
      <w:spacing w:before="0" w:after="0"/>
    </w:pPr>
  </w:style>
  <w:style w:type="paragraph" w:customStyle="1" w:styleId="Bullet2">
    <w:name w:val="Bullet 2"/>
    <w:basedOn w:val="ListParagraph"/>
    <w:uiPriority w:val="99"/>
    <w:rsid w:val="00B949B4"/>
    <w:pPr>
      <w:numPr>
        <w:ilvl w:val="1"/>
        <w:numId w:val="2"/>
      </w:numPr>
      <w:spacing w:before="120"/>
      <w:ind w:left="851"/>
      <w:contextualSpacing w:val="0"/>
    </w:pPr>
    <w:rPr>
      <w:b w:val="0"/>
    </w:rPr>
  </w:style>
  <w:style w:type="paragraph" w:customStyle="1" w:styleId="Bullet3">
    <w:name w:val="Bullet 3"/>
    <w:basedOn w:val="ListParagraph"/>
    <w:uiPriority w:val="74"/>
    <w:qFormat/>
    <w:rsid w:val="00E2102F"/>
    <w:pPr>
      <w:numPr>
        <w:ilvl w:val="2"/>
        <w:numId w:val="1"/>
      </w:numPr>
      <w:spacing w:before="120"/>
      <w:ind w:left="1797" w:hanging="357"/>
      <w:contextualSpacing w:val="0"/>
    </w:pPr>
  </w:style>
  <w:style w:type="paragraph" w:styleId="TOC4">
    <w:name w:val="toc 4"/>
    <w:basedOn w:val="Normal"/>
    <w:next w:val="Normal"/>
    <w:autoRedefine/>
    <w:uiPriority w:val="39"/>
    <w:unhideWhenUsed/>
    <w:rsid w:val="00C56DF9"/>
    <w:pPr>
      <w:spacing w:before="0" w:after="0"/>
      <w:ind w:left="660"/>
    </w:pPr>
    <w:rPr>
      <w:sz w:val="18"/>
      <w:szCs w:val="18"/>
    </w:rPr>
  </w:style>
  <w:style w:type="paragraph" w:styleId="TOC5">
    <w:name w:val="toc 5"/>
    <w:basedOn w:val="Normal"/>
    <w:next w:val="Normal"/>
    <w:autoRedefine/>
    <w:uiPriority w:val="39"/>
    <w:unhideWhenUsed/>
    <w:rsid w:val="00C56DF9"/>
    <w:pPr>
      <w:spacing w:before="0" w:after="0"/>
      <w:ind w:left="880"/>
    </w:pPr>
    <w:rPr>
      <w:sz w:val="18"/>
      <w:szCs w:val="18"/>
    </w:rPr>
  </w:style>
  <w:style w:type="paragraph" w:styleId="TOC6">
    <w:name w:val="toc 6"/>
    <w:basedOn w:val="Normal"/>
    <w:next w:val="Normal"/>
    <w:autoRedefine/>
    <w:uiPriority w:val="39"/>
    <w:unhideWhenUsed/>
    <w:rsid w:val="00C56DF9"/>
    <w:pPr>
      <w:spacing w:before="0" w:after="0"/>
      <w:ind w:left="1100"/>
    </w:pPr>
    <w:rPr>
      <w:sz w:val="18"/>
      <w:szCs w:val="18"/>
    </w:rPr>
  </w:style>
  <w:style w:type="paragraph" w:styleId="TOC7">
    <w:name w:val="toc 7"/>
    <w:basedOn w:val="Normal"/>
    <w:next w:val="Normal"/>
    <w:autoRedefine/>
    <w:uiPriority w:val="39"/>
    <w:unhideWhenUsed/>
    <w:rsid w:val="00C56DF9"/>
    <w:pPr>
      <w:spacing w:before="0" w:after="0"/>
      <w:ind w:left="1320"/>
    </w:pPr>
    <w:rPr>
      <w:sz w:val="18"/>
      <w:szCs w:val="18"/>
    </w:rPr>
  </w:style>
  <w:style w:type="paragraph" w:styleId="TOC8">
    <w:name w:val="toc 8"/>
    <w:basedOn w:val="Normal"/>
    <w:next w:val="Normal"/>
    <w:autoRedefine/>
    <w:uiPriority w:val="39"/>
    <w:unhideWhenUsed/>
    <w:rsid w:val="00C56DF9"/>
    <w:pPr>
      <w:spacing w:before="0" w:after="0"/>
      <w:ind w:left="1540"/>
    </w:pPr>
    <w:rPr>
      <w:sz w:val="18"/>
      <w:szCs w:val="18"/>
    </w:rPr>
  </w:style>
  <w:style w:type="paragraph" w:styleId="TOC9">
    <w:name w:val="toc 9"/>
    <w:basedOn w:val="Normal"/>
    <w:next w:val="Normal"/>
    <w:autoRedefine/>
    <w:uiPriority w:val="39"/>
    <w:unhideWhenUsed/>
    <w:rsid w:val="00C56DF9"/>
    <w:pPr>
      <w:spacing w:before="0" w:after="0"/>
      <w:ind w:left="1760"/>
    </w:pPr>
    <w:rPr>
      <w:sz w:val="18"/>
      <w:szCs w:val="18"/>
    </w:rPr>
  </w:style>
  <w:style w:type="character" w:styleId="CommentReference">
    <w:name w:val="annotation reference"/>
    <w:basedOn w:val="DefaultParagraphFont"/>
    <w:uiPriority w:val="99"/>
    <w:semiHidden/>
    <w:unhideWhenUsed/>
    <w:rsid w:val="000337EF"/>
    <w:rPr>
      <w:sz w:val="16"/>
      <w:szCs w:val="16"/>
    </w:rPr>
  </w:style>
  <w:style w:type="paragraph" w:styleId="CommentText">
    <w:name w:val="annotation text"/>
    <w:basedOn w:val="Normal"/>
    <w:link w:val="CommentTextChar"/>
    <w:uiPriority w:val="99"/>
    <w:semiHidden/>
    <w:unhideWhenUsed/>
    <w:rsid w:val="000337EF"/>
    <w:rPr>
      <w:sz w:val="20"/>
      <w:szCs w:val="20"/>
    </w:rPr>
  </w:style>
  <w:style w:type="character" w:customStyle="1" w:styleId="CommentTextChar">
    <w:name w:val="Comment Text Char"/>
    <w:basedOn w:val="DefaultParagraphFont"/>
    <w:link w:val="CommentText"/>
    <w:uiPriority w:val="99"/>
    <w:semiHidden/>
    <w:rsid w:val="000337EF"/>
    <w:rPr>
      <w:rFonts w:ascii="Arial" w:hAnsi="Arial"/>
    </w:rPr>
  </w:style>
  <w:style w:type="paragraph" w:styleId="CommentSubject">
    <w:name w:val="annotation subject"/>
    <w:basedOn w:val="CommentText"/>
    <w:next w:val="CommentText"/>
    <w:link w:val="CommentSubjectChar"/>
    <w:uiPriority w:val="99"/>
    <w:semiHidden/>
    <w:unhideWhenUsed/>
    <w:rsid w:val="000337EF"/>
    <w:rPr>
      <w:b/>
      <w:bCs/>
    </w:rPr>
  </w:style>
  <w:style w:type="character" w:customStyle="1" w:styleId="CommentSubjectChar">
    <w:name w:val="Comment Subject Char"/>
    <w:basedOn w:val="CommentTextChar"/>
    <w:link w:val="CommentSubject"/>
    <w:uiPriority w:val="99"/>
    <w:semiHidden/>
    <w:rsid w:val="000337EF"/>
    <w:rPr>
      <w:rFonts w:ascii="Arial" w:hAnsi="Arial"/>
      <w:b/>
      <w:bCs/>
    </w:rPr>
  </w:style>
  <w:style w:type="paragraph" w:customStyle="1" w:styleId="60exhnormal">
    <w:name w:val="60 exh normal"/>
    <w:basedOn w:val="Normal"/>
    <w:uiPriority w:val="99"/>
    <w:rsid w:val="00F26056"/>
    <w:pPr>
      <w:spacing w:before="0" w:after="0"/>
    </w:pPr>
    <w:rPr>
      <w:szCs w:val="20"/>
      <w:lang w:val="en-US" w:eastAsia="en-US"/>
    </w:rPr>
  </w:style>
  <w:style w:type="paragraph" w:customStyle="1" w:styleId="70exhtblnormal">
    <w:name w:val="70 exh tbl normal"/>
    <w:basedOn w:val="Normal"/>
    <w:uiPriority w:val="99"/>
    <w:rsid w:val="00F26056"/>
    <w:pPr>
      <w:spacing w:before="60"/>
      <w:ind w:left="144" w:right="289"/>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link w:val="01squarebulletChar"/>
    <w:uiPriority w:val="3"/>
    <w:qFormat/>
    <w:rsid w:val="00E2102F"/>
    <w:pPr>
      <w:numPr>
        <w:numId w:val="3"/>
      </w:numPr>
      <w:spacing w:before="120"/>
      <w:ind w:right="142"/>
    </w:pPr>
    <w:rPr>
      <w:szCs w:val="20"/>
      <w:lang w:val="en-US" w:eastAsia="en-US"/>
    </w:rPr>
  </w:style>
  <w:style w:type="paragraph" w:customStyle="1" w:styleId="02dash">
    <w:name w:val="02 dash"/>
    <w:basedOn w:val="01squarebullet"/>
    <w:link w:val="02dashChar"/>
    <w:uiPriority w:val="4"/>
    <w:qFormat/>
    <w:rsid w:val="00A236C2"/>
    <w:pPr>
      <w:numPr>
        <w:ilvl w:val="1"/>
      </w:numPr>
      <w:ind w:left="681" w:hanging="227"/>
    </w:pPr>
  </w:style>
  <w:style w:type="paragraph" w:customStyle="1" w:styleId="03opensquarebullet">
    <w:name w:val="03 open square bullet"/>
    <w:basedOn w:val="02dash"/>
    <w:uiPriority w:val="5"/>
    <w:rsid w:val="00E2102F"/>
    <w:pPr>
      <w:numPr>
        <w:ilvl w:val="2"/>
      </w:numPr>
    </w:pPr>
  </w:style>
  <w:style w:type="paragraph" w:customStyle="1" w:styleId="04shortdash">
    <w:name w:val="04 short dash"/>
    <w:basedOn w:val="03opensquarebullet"/>
    <w:uiPriority w:val="6"/>
    <w:rsid w:val="00E2102F"/>
    <w:pPr>
      <w:numPr>
        <w:ilvl w:val="3"/>
      </w:numPr>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rsid w:val="0061330F"/>
    <w:pPr>
      <w:spacing w:after="60"/>
    </w:pPr>
  </w:style>
  <w:style w:type="character" w:customStyle="1" w:styleId="Heading2ReportChar">
    <w:name w:val="Heading 2 Report Char"/>
    <w:basedOn w:val="DefaultParagraphFont"/>
    <w:link w:val="Heading2Report"/>
    <w:rsid w:val="0061330F"/>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uiPriority w:val="99"/>
    <w:qFormat/>
    <w:rsid w:val="008E09A2"/>
    <w:pPr>
      <w:numPr>
        <w:numId w:val="4"/>
      </w:numPr>
      <w:spacing w:before="0" w:after="0"/>
      <w:outlineLvl w:val="0"/>
    </w:pPr>
    <w:rPr>
      <w:rFonts w:cs="Arial"/>
      <w:b/>
      <w:color w:val="016500"/>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uiPriority w:val="99"/>
    <w:rsid w:val="00F417F4"/>
    <w:pPr>
      <w:spacing w:before="100" w:beforeAutospacing="1" w:after="100" w:afterAutospacing="1"/>
    </w:pPr>
    <w:rPr>
      <w:rFonts w:ascii="Times New Roman" w:hAnsi="Times New Roman"/>
      <w:sz w:val="24"/>
    </w:rPr>
  </w:style>
  <w:style w:type="paragraph" w:customStyle="1" w:styleId="Numbering">
    <w:name w:val="Numbering"/>
    <w:basedOn w:val="ListParagraph"/>
    <w:link w:val="NumberingChar"/>
    <w:rsid w:val="00E2102F"/>
    <w:pPr>
      <w:numPr>
        <w:numId w:val="5"/>
      </w:numPr>
      <w:spacing w:before="120" w:after="120"/>
    </w:pPr>
    <w:rPr>
      <w:lang w:val="en-US" w:eastAsia="en-US"/>
    </w:rPr>
  </w:style>
  <w:style w:type="character" w:customStyle="1" w:styleId="NumberingChar">
    <w:name w:val="Numbering Char"/>
    <w:basedOn w:val="ListParagraphChar"/>
    <w:link w:val="Numbering"/>
    <w:rsid w:val="00E2102F"/>
    <w:rPr>
      <w:rFonts w:asciiTheme="minorHAnsi" w:eastAsiaTheme="minorHAnsi" w:hAnsiTheme="minorHAnsi" w:cs="Arial"/>
      <w:b/>
      <w:sz w:val="22"/>
      <w:szCs w:val="22"/>
      <w:lang w:val="en-US" w:eastAsia="en-US"/>
    </w:rPr>
  </w:style>
  <w:style w:type="paragraph" w:styleId="DocumentMap">
    <w:name w:val="Document Map"/>
    <w:basedOn w:val="Normal"/>
    <w:link w:val="DocumentMapChar"/>
    <w:uiPriority w:val="99"/>
    <w:semiHidden/>
    <w:unhideWhenUsed/>
    <w:rsid w:val="0060697D"/>
    <w:pPr>
      <w:spacing w:before="0" w:after="0"/>
    </w:pPr>
    <w:rPr>
      <w:rFonts w:ascii="Times New Roman" w:hAnsi="Times New Roman"/>
      <w:sz w:val="24"/>
    </w:rPr>
  </w:style>
  <w:style w:type="character" w:customStyle="1" w:styleId="DocumentMapChar">
    <w:name w:val="Document Map Char"/>
    <w:basedOn w:val="DefaultParagraphFont"/>
    <w:link w:val="DocumentMap"/>
    <w:uiPriority w:val="99"/>
    <w:semiHidden/>
    <w:rsid w:val="0060697D"/>
    <w:rPr>
      <w:sz w:val="24"/>
      <w:szCs w:val="24"/>
    </w:rPr>
  </w:style>
  <w:style w:type="paragraph" w:styleId="EndnoteText">
    <w:name w:val="endnote text"/>
    <w:basedOn w:val="Normal"/>
    <w:link w:val="EndnoteTextChar"/>
    <w:uiPriority w:val="99"/>
    <w:unhideWhenUsed/>
    <w:rsid w:val="00303AE1"/>
    <w:pPr>
      <w:spacing w:before="0" w:after="0"/>
    </w:pPr>
    <w:rPr>
      <w:sz w:val="24"/>
    </w:rPr>
  </w:style>
  <w:style w:type="character" w:customStyle="1" w:styleId="EndnoteTextChar">
    <w:name w:val="Endnote Text Char"/>
    <w:basedOn w:val="DefaultParagraphFont"/>
    <w:link w:val="EndnoteText"/>
    <w:uiPriority w:val="99"/>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Heading3Numbered"/>
    <w:uiPriority w:val="99"/>
    <w:qFormat/>
    <w:rsid w:val="006270E4"/>
    <w:pPr>
      <w:numPr>
        <w:ilvl w:val="0"/>
        <w:numId w:val="0"/>
      </w:numPr>
      <w:outlineLvl w:val="3"/>
    </w:pPr>
    <w:rPr>
      <w:color w:val="016500"/>
    </w:rPr>
  </w:style>
  <w:style w:type="paragraph" w:styleId="PlainText">
    <w:name w:val="Plain Text"/>
    <w:basedOn w:val="Normal"/>
    <w:link w:val="PlainTextChar"/>
    <w:uiPriority w:val="99"/>
    <w:unhideWhenUsed/>
    <w:rsid w:val="000869E6"/>
    <w:pPr>
      <w:spacing w:before="0" w:after="0"/>
    </w:pPr>
    <w:rPr>
      <w:rFonts w:ascii="Calibri" w:eastAsiaTheme="minorHAnsi" w:hAnsi="Calibri"/>
      <w:szCs w:val="21"/>
    </w:rPr>
  </w:style>
  <w:style w:type="character" w:customStyle="1" w:styleId="PlainTextChar">
    <w:name w:val="Plain Text Char"/>
    <w:basedOn w:val="DefaultParagraphFont"/>
    <w:link w:val="PlainText"/>
    <w:uiPriority w:val="99"/>
    <w:rsid w:val="000869E6"/>
    <w:rPr>
      <w:rFonts w:ascii="Calibri" w:eastAsiaTheme="minorHAnsi" w:hAnsi="Calibri"/>
      <w:sz w:val="22"/>
      <w:szCs w:val="21"/>
    </w:rPr>
  </w:style>
  <w:style w:type="paragraph" w:customStyle="1" w:styleId="Bulleted">
    <w:name w:val="Bulleted"/>
    <w:basedOn w:val="Normal"/>
    <w:link w:val="BulletedChar"/>
    <w:rsid w:val="00E2102F"/>
    <w:pPr>
      <w:numPr>
        <w:numId w:val="8"/>
      </w:num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E2102F"/>
    <w:rPr>
      <w:rFonts w:ascii="Arial" w:eastAsia="MS Mincho" w:hAnsi="Arial" w:cs="Arial"/>
      <w:sz w:val="22"/>
      <w:szCs w:val="22"/>
      <w:lang w:eastAsia="en-US"/>
    </w:rPr>
  </w:style>
  <w:style w:type="paragraph" w:customStyle="1" w:styleId="tabletext">
    <w:name w:val="tabletext"/>
    <w:basedOn w:val="Normal"/>
    <w:uiPriority w:val="99"/>
    <w:rsid w:val="000869E6"/>
    <w:pPr>
      <w:spacing w:before="100" w:beforeAutospacing="1" w:after="100" w:afterAutospacing="1"/>
    </w:pPr>
    <w:rPr>
      <w:rFonts w:ascii="Times New Roman" w:hAnsi="Times New Roman"/>
      <w:sz w:val="24"/>
    </w:rPr>
  </w:style>
  <w:style w:type="character" w:customStyle="1" w:styleId="A3">
    <w:name w:val="A3"/>
    <w:uiPriority w:val="99"/>
    <w:rsid w:val="00A74C6B"/>
    <w:rPr>
      <w:rFonts w:cs="Myriad Pro"/>
      <w:color w:val="000000"/>
      <w:sz w:val="18"/>
      <w:szCs w:val="18"/>
      <w:u w:val="single"/>
    </w:rPr>
  </w:style>
  <w:style w:type="paragraph" w:styleId="ListContinue">
    <w:name w:val="List Continue"/>
    <w:basedOn w:val="Normal"/>
    <w:uiPriority w:val="99"/>
    <w:semiHidden/>
    <w:unhideWhenUsed/>
    <w:rsid w:val="000869E6"/>
    <w:pPr>
      <w:spacing w:after="120"/>
      <w:ind w:left="283"/>
      <w:contextualSpacing/>
    </w:pPr>
  </w:style>
  <w:style w:type="table" w:styleId="TableClassic1">
    <w:name w:val="Table Classic 1"/>
    <w:basedOn w:val="TableNormal"/>
    <w:rsid w:val="00A74C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ubGroupHeader">
    <w:name w:val="SubGroupHeader"/>
    <w:basedOn w:val="Normal"/>
    <w:uiPriority w:val="99"/>
    <w:rsid w:val="00A74C6B"/>
    <w:pPr>
      <w:spacing w:before="0" w:after="0"/>
      <w:jc w:val="right"/>
    </w:pPr>
    <w:rPr>
      <w:rFonts w:ascii="Times New Roman" w:hAnsi="Times New Roman"/>
      <w:b/>
      <w:caps/>
      <w:sz w:val="18"/>
      <w:szCs w:val="20"/>
    </w:rPr>
  </w:style>
  <w:style w:type="paragraph" w:customStyle="1" w:styleId="GroupHeader">
    <w:name w:val="GroupHeader"/>
    <w:basedOn w:val="Normal"/>
    <w:uiPriority w:val="99"/>
    <w:rsid w:val="00A74C6B"/>
    <w:pPr>
      <w:spacing w:before="0" w:after="0"/>
    </w:pPr>
    <w:rPr>
      <w:rFonts w:ascii="Times New Roman" w:hAnsi="Times New Roman"/>
      <w:b/>
      <w:caps/>
      <w:sz w:val="18"/>
      <w:szCs w:val="20"/>
    </w:rPr>
  </w:style>
  <w:style w:type="paragraph" w:customStyle="1" w:styleId="GroupDescription">
    <w:name w:val="GroupDescription"/>
    <w:basedOn w:val="Heading1"/>
    <w:link w:val="GroupDescriptionChar"/>
    <w:autoRedefine/>
    <w:rsid w:val="00A74C6B"/>
    <w:pPr>
      <w:numPr>
        <w:numId w:val="0"/>
      </w:numPr>
      <w:spacing w:after="60"/>
    </w:pPr>
    <w:rPr>
      <w:rFonts w:ascii="Arial Bold" w:eastAsia="Times New Roman" w:hAnsi="Arial Bold"/>
      <w:smallCaps/>
      <w:color w:val="auto"/>
      <w:sz w:val="20"/>
      <w:szCs w:val="20"/>
      <w:lang w:val="en-AU" w:eastAsia="en-AU"/>
    </w:rPr>
  </w:style>
  <w:style w:type="character" w:customStyle="1" w:styleId="GroupDescriptionChar">
    <w:name w:val="GroupDescription Char"/>
    <w:link w:val="GroupDescription"/>
    <w:locked/>
    <w:rsid w:val="00A74C6B"/>
    <w:rPr>
      <w:rFonts w:ascii="Arial Bold" w:hAnsi="Arial Bold" w:cs="Arial"/>
      <w:b/>
      <w:bCs/>
      <w:smallCaps/>
      <w:kern w:val="32"/>
    </w:rPr>
  </w:style>
  <w:style w:type="paragraph" w:customStyle="1" w:styleId="SubGroupDescription">
    <w:name w:val="SubGroupDescription"/>
    <w:basedOn w:val="Heading2"/>
    <w:autoRedefine/>
    <w:uiPriority w:val="99"/>
    <w:rsid w:val="00A74C6B"/>
    <w:pPr>
      <w:numPr>
        <w:ilvl w:val="0"/>
        <w:numId w:val="0"/>
      </w:numPr>
      <w:spacing w:after="60"/>
      <w:jc w:val="center"/>
    </w:pPr>
    <w:rPr>
      <w:rFonts w:ascii="Arial" w:eastAsia="Times New Roman" w:hAnsi="Arial"/>
      <w:b w:val="0"/>
      <w:i/>
      <w:sz w:val="20"/>
      <w:szCs w:val="28"/>
      <w:lang w:val="en-AU" w:eastAsia="en-AU"/>
    </w:rPr>
  </w:style>
  <w:style w:type="character" w:customStyle="1" w:styleId="Heading3Char">
    <w:name w:val="Heading 3 Char"/>
    <w:basedOn w:val="DefaultParagraphFont"/>
    <w:link w:val="Heading3"/>
    <w:rsid w:val="00BA24F7"/>
    <w:rPr>
      <w:rFonts w:asciiTheme="minorHAnsi" w:eastAsiaTheme="minorHAnsi" w:hAnsiTheme="minorHAnsi" w:cs="Arial"/>
      <w:b/>
      <w:bCs/>
      <w:i/>
      <w:color w:val="B56012"/>
      <w:sz w:val="24"/>
      <w:szCs w:val="26"/>
      <w:lang w:val="en-US" w:eastAsia="en-US"/>
    </w:rPr>
  </w:style>
  <w:style w:type="paragraph" w:customStyle="1" w:styleId="Heading3Numbered">
    <w:name w:val="Heading 3 Numbered"/>
    <w:basedOn w:val="Heading2"/>
    <w:qFormat/>
    <w:rsid w:val="0061330F"/>
    <w:pPr>
      <w:numPr>
        <w:ilvl w:val="2"/>
      </w:numPr>
      <w:ind w:left="720"/>
      <w:outlineLvl w:val="2"/>
    </w:pPr>
    <w:rPr>
      <w:i/>
      <w:color w:val="B56011"/>
      <w:sz w:val="24"/>
    </w:rPr>
  </w:style>
  <w:style w:type="paragraph" w:customStyle="1" w:styleId="03Tableundertext">
    <w:name w:val="03 Table under text"/>
    <w:basedOn w:val="Normal"/>
    <w:rsid w:val="00E2102F"/>
    <w:pPr>
      <w:spacing w:before="0"/>
    </w:pPr>
    <w:rPr>
      <w:bCs/>
      <w:sz w:val="18"/>
      <w:szCs w:val="16"/>
      <w:lang w:val="en-US"/>
    </w:rPr>
  </w:style>
  <w:style w:type="paragraph" w:customStyle="1" w:styleId="FigureCaption">
    <w:name w:val="Figure Caption"/>
    <w:basedOn w:val="Caption"/>
    <w:uiPriority w:val="99"/>
    <w:qFormat/>
    <w:rsid w:val="009662CD"/>
    <w:rPr>
      <w:noProof/>
      <w:lang w:val="en-US"/>
    </w:rPr>
  </w:style>
  <w:style w:type="paragraph" w:customStyle="1" w:styleId="Numbered">
    <w:name w:val="Numbered"/>
    <w:basedOn w:val="ListParagraph"/>
    <w:uiPriority w:val="99"/>
    <w:qFormat/>
    <w:rsid w:val="00B97CDF"/>
    <w:pPr>
      <w:numPr>
        <w:numId w:val="9"/>
      </w:numPr>
      <w:spacing w:after="120"/>
      <w:ind w:left="357" w:hanging="357"/>
      <w:contextualSpacing w:val="0"/>
    </w:pPr>
    <w:rPr>
      <w:b w:val="0"/>
      <w:lang w:val="en-US"/>
    </w:rPr>
  </w:style>
  <w:style w:type="paragraph" w:styleId="Revision">
    <w:name w:val="Revision"/>
    <w:hidden/>
    <w:uiPriority w:val="99"/>
    <w:semiHidden/>
    <w:rsid w:val="00A118D9"/>
    <w:rPr>
      <w:rFonts w:asciiTheme="minorHAnsi" w:hAnsiTheme="minorHAnsi"/>
      <w:sz w:val="22"/>
      <w:szCs w:val="24"/>
    </w:rPr>
  </w:style>
  <w:style w:type="paragraph" w:customStyle="1" w:styleId="BoxText">
    <w:name w:val="BoxText"/>
    <w:basedOn w:val="Normal"/>
    <w:uiPriority w:val="99"/>
    <w:qFormat/>
    <w:rsid w:val="00F623CB"/>
    <w:pPr>
      <w:pBdr>
        <w:top w:val="single" w:sz="12" w:space="4" w:color="C75F09"/>
        <w:left w:val="single" w:sz="12" w:space="4" w:color="C75F09"/>
        <w:bottom w:val="single" w:sz="12" w:space="4" w:color="C75F09"/>
        <w:right w:val="single" w:sz="12" w:space="4" w:color="C75F09"/>
      </w:pBdr>
      <w:spacing w:before="0" w:after="120"/>
    </w:pPr>
    <w:rPr>
      <w:rFonts w:ascii="Calibri" w:hAnsi="Calibri"/>
      <w:color w:val="000000"/>
      <w:szCs w:val="20"/>
    </w:rPr>
  </w:style>
  <w:style w:type="paragraph" w:customStyle="1" w:styleId="BoxBullet">
    <w:name w:val="BoxBullet"/>
    <w:basedOn w:val="BoxText"/>
    <w:uiPriority w:val="99"/>
    <w:rsid w:val="00F623CB"/>
    <w:pPr>
      <w:numPr>
        <w:numId w:val="10"/>
      </w:numPr>
    </w:pPr>
  </w:style>
  <w:style w:type="paragraph" w:customStyle="1" w:styleId="AppendixStyle2">
    <w:name w:val="Appendix Style2"/>
    <w:basedOn w:val="Heading2Report"/>
    <w:uiPriority w:val="99"/>
    <w:qFormat/>
    <w:rsid w:val="00C96B34"/>
    <w:pPr>
      <w:numPr>
        <w:ilvl w:val="0"/>
        <w:numId w:val="0"/>
      </w:numPr>
    </w:pPr>
    <w:rPr>
      <w:color w:val="auto"/>
    </w:rPr>
  </w:style>
  <w:style w:type="paragraph" w:customStyle="1" w:styleId="TableBullet">
    <w:name w:val="TableBullet"/>
    <w:basedOn w:val="NormalBulleted"/>
    <w:uiPriority w:val="99"/>
    <w:rsid w:val="00017563"/>
    <w:pPr>
      <w:spacing w:before="40" w:after="40"/>
    </w:pPr>
    <w:rPr>
      <w:rFonts w:cs="Arial"/>
      <w:color w:val="000000" w:themeColor="text1"/>
      <w:sz w:val="18"/>
      <w:szCs w:val="18"/>
    </w:rPr>
  </w:style>
  <w:style w:type="character" w:customStyle="1" w:styleId="Underline">
    <w:name w:val="Underline"/>
    <w:basedOn w:val="DefaultParagraphFont"/>
    <w:uiPriority w:val="1"/>
    <w:rsid w:val="00381125"/>
    <w:rPr>
      <w:bCs/>
      <w:color w:val="000000" w:themeColor="text1"/>
      <w:szCs w:val="22"/>
      <w:u w:val="single"/>
      <w:lang w:val="en-US"/>
    </w:rPr>
  </w:style>
  <w:style w:type="paragraph" w:customStyle="1" w:styleId="Tabletext9">
    <w:name w:val="Table text9"/>
    <w:basedOn w:val="NormalBulleted"/>
    <w:uiPriority w:val="99"/>
    <w:qFormat/>
    <w:rsid w:val="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pPr>
    <w:rPr>
      <w:color w:val="000000"/>
      <w:sz w:val="18"/>
      <w:szCs w:val="18"/>
    </w:rPr>
  </w:style>
  <w:style w:type="paragraph" w:customStyle="1" w:styleId="TableBulletrom">
    <w:name w:val="Table Bullet rom"/>
    <w:basedOn w:val="Tabletext9"/>
    <w:uiPriority w:val="99"/>
    <w:rsid w:val="00856FC4"/>
    <w:pPr>
      <w:numPr>
        <w:numId w:val="11"/>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pPr>
    <w:rPr>
      <w:rFonts w:cs="Arial"/>
      <w:sz w:val="17"/>
      <w:szCs w:val="17"/>
    </w:rPr>
  </w:style>
  <w:style w:type="paragraph" w:customStyle="1" w:styleId="TableTextDecimalAlign">
    <w:name w:val="TableTextDecimalAlign"/>
    <w:basedOn w:val="tabletext"/>
    <w:uiPriority w:val="99"/>
    <w:rsid w:val="00C54A35"/>
    <w:pPr>
      <w:keepNext/>
      <w:tabs>
        <w:tab w:val="decimal" w:pos="1119"/>
      </w:tabs>
      <w:spacing w:before="60" w:beforeAutospacing="0" w:after="60" w:afterAutospacing="0"/>
    </w:pPr>
    <w:rPr>
      <w:rFonts w:ascii="Calibri" w:hAnsi="Calibri"/>
      <w:color w:val="000000"/>
      <w:szCs w:val="21"/>
    </w:rPr>
  </w:style>
  <w:style w:type="paragraph" w:customStyle="1" w:styleId="EndNoteBibliographyTitle">
    <w:name w:val="EndNote Bibliography Title"/>
    <w:basedOn w:val="Normal"/>
    <w:link w:val="EndNoteBibliographyTitleChar"/>
    <w:rsid w:val="003744B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744BA"/>
    <w:rPr>
      <w:rFonts w:ascii="Calibri" w:hAnsi="Calibri" w:cs="Calibri"/>
      <w:noProof/>
      <w:sz w:val="22"/>
      <w:szCs w:val="24"/>
    </w:rPr>
  </w:style>
  <w:style w:type="paragraph" w:customStyle="1" w:styleId="EndNoteBibliography">
    <w:name w:val="EndNote Bibliography"/>
    <w:basedOn w:val="Normal"/>
    <w:link w:val="EndNoteBibliographyChar"/>
    <w:rsid w:val="003744BA"/>
    <w:rPr>
      <w:rFonts w:ascii="Calibri" w:hAnsi="Calibri" w:cs="Calibri"/>
      <w:noProof/>
    </w:rPr>
  </w:style>
  <w:style w:type="character" w:customStyle="1" w:styleId="EndNoteBibliographyChar">
    <w:name w:val="EndNote Bibliography Char"/>
    <w:basedOn w:val="DefaultParagraphFont"/>
    <w:link w:val="EndNoteBibliography"/>
    <w:rsid w:val="003744BA"/>
    <w:rPr>
      <w:rFonts w:ascii="Calibri" w:hAnsi="Calibri" w:cs="Calibri"/>
      <w:noProof/>
      <w:sz w:val="22"/>
      <w:szCs w:val="24"/>
    </w:rPr>
  </w:style>
  <w:style w:type="character" w:customStyle="1" w:styleId="01squarebulletChar">
    <w:name w:val="01 square bullet Char"/>
    <w:basedOn w:val="DefaultParagraphFont"/>
    <w:link w:val="01squarebullet"/>
    <w:uiPriority w:val="3"/>
    <w:locked/>
    <w:rsid w:val="00751666"/>
    <w:rPr>
      <w:rFonts w:asciiTheme="minorHAnsi" w:hAnsiTheme="minorHAnsi"/>
      <w:sz w:val="22"/>
      <w:lang w:val="en-US" w:eastAsia="en-US"/>
    </w:rPr>
  </w:style>
  <w:style w:type="character" w:customStyle="1" w:styleId="02dashChar">
    <w:name w:val="02 dash Char"/>
    <w:basedOn w:val="DefaultParagraphFont"/>
    <w:link w:val="02dash"/>
    <w:uiPriority w:val="4"/>
    <w:locked/>
    <w:rsid w:val="00A236C2"/>
    <w:rPr>
      <w:rFonts w:asciiTheme="minorHAnsi" w:hAnsiTheme="minorHAnsi"/>
      <w:sz w:val="22"/>
      <w:lang w:val="en-US" w:eastAsia="en-US"/>
    </w:rPr>
  </w:style>
  <w:style w:type="numbering" w:customStyle="1" w:styleId="Style2">
    <w:name w:val="Style2"/>
    <w:uiPriority w:val="99"/>
    <w:rsid w:val="00751666"/>
    <w:pPr>
      <w:numPr>
        <w:numId w:val="12"/>
      </w:numPr>
    </w:pPr>
  </w:style>
  <w:style w:type="character" w:customStyle="1" w:styleId="Heading1Char">
    <w:name w:val="Heading 1 Char"/>
    <w:basedOn w:val="DefaultParagraphFont"/>
    <w:link w:val="Heading1"/>
    <w:rsid w:val="00F304E9"/>
    <w:rPr>
      <w:rFonts w:asciiTheme="minorHAnsi" w:eastAsiaTheme="minorHAnsi" w:hAnsiTheme="minorHAnsi" w:cs="Arial"/>
      <w:b/>
      <w:bCs/>
      <w:color w:val="01653F"/>
      <w:kern w:val="32"/>
      <w:sz w:val="32"/>
      <w:szCs w:val="28"/>
      <w:lang w:val="en-US" w:eastAsia="en-US"/>
    </w:rPr>
  </w:style>
  <w:style w:type="character" w:customStyle="1" w:styleId="Heading2Char">
    <w:name w:val="Heading 2 Char"/>
    <w:basedOn w:val="DefaultParagraphFont"/>
    <w:link w:val="Heading2"/>
    <w:rsid w:val="0061330F"/>
    <w:rPr>
      <w:rFonts w:asciiTheme="minorHAnsi" w:eastAsiaTheme="minorHAnsi" w:hAnsiTheme="minorHAnsi" w:cs="Arial"/>
      <w:b/>
      <w:bCs/>
      <w:iCs/>
      <w:color w:val="01653F"/>
      <w:sz w:val="26"/>
      <w:szCs w:val="22"/>
      <w:lang w:val="en-US" w:eastAsia="en-US"/>
    </w:rPr>
  </w:style>
  <w:style w:type="character" w:customStyle="1" w:styleId="Heading4Char">
    <w:name w:val="Heading 4 Char"/>
    <w:basedOn w:val="DefaultParagraphFont"/>
    <w:link w:val="Heading4"/>
    <w:uiPriority w:val="9"/>
    <w:rsid w:val="00AF5D75"/>
    <w:rPr>
      <w:rFonts w:asciiTheme="minorHAnsi" w:hAnsiTheme="minorHAnsi"/>
      <w:b/>
      <w:sz w:val="22"/>
      <w:szCs w:val="24"/>
      <w:lang w:val="en-US"/>
    </w:rPr>
  </w:style>
  <w:style w:type="character" w:customStyle="1" w:styleId="Heading5Char">
    <w:name w:val="Heading 5 Char"/>
    <w:basedOn w:val="DefaultParagraphFont"/>
    <w:link w:val="Heading5"/>
    <w:uiPriority w:val="9"/>
    <w:rsid w:val="00AF5D75"/>
    <w:rPr>
      <w:rFonts w:asciiTheme="minorHAnsi" w:eastAsiaTheme="minorHAnsi" w:hAnsiTheme="minorHAnsi" w:cs="Arial"/>
      <w:b/>
      <w:bCs/>
      <w:iCs/>
      <w:sz w:val="26"/>
      <w:szCs w:val="26"/>
      <w:lang w:val="en-US" w:eastAsia="en-US"/>
    </w:rPr>
  </w:style>
  <w:style w:type="character" w:customStyle="1" w:styleId="Heading6Char">
    <w:name w:val="Heading 6 Char"/>
    <w:basedOn w:val="DefaultParagraphFont"/>
    <w:link w:val="Heading6"/>
    <w:uiPriority w:val="9"/>
    <w:rsid w:val="00AF5D75"/>
    <w:rPr>
      <w:rFonts w:asciiTheme="minorHAnsi" w:eastAsiaTheme="minorHAnsi" w:hAnsiTheme="minorHAnsi" w:cs="Arial"/>
      <w:b/>
      <w:bCs/>
      <w:i/>
      <w:sz w:val="22"/>
      <w:szCs w:val="22"/>
      <w:lang w:val="en-US" w:eastAsia="en-US"/>
    </w:rPr>
  </w:style>
  <w:style w:type="table" w:customStyle="1" w:styleId="TableGrid4">
    <w:name w:val="Table Grid4"/>
    <w:basedOn w:val="TableNormal"/>
    <w:next w:val="TableGrid"/>
    <w:uiPriority w:val="59"/>
    <w:rsid w:val="003D4772"/>
    <w:pPr>
      <w:spacing w:line="259"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hdg">
    <w:name w:val="Bold hdg"/>
    <w:basedOn w:val="Normal"/>
    <w:link w:val="BoldhdgChar"/>
    <w:uiPriority w:val="99"/>
    <w:qFormat/>
    <w:rsid w:val="009112F9"/>
    <w:pPr>
      <w:keepNext/>
      <w:spacing w:before="320"/>
    </w:pPr>
    <w:rPr>
      <w:rFonts w:eastAsiaTheme="minorHAnsi" w:cs="Arial"/>
      <w:b/>
      <w:szCs w:val="22"/>
      <w:lang w:val="en-US" w:eastAsia="en-US"/>
    </w:rPr>
  </w:style>
  <w:style w:type="character" w:customStyle="1" w:styleId="BoldhdgChar">
    <w:name w:val="Bold hdg Char"/>
    <w:basedOn w:val="DefaultParagraphFont"/>
    <w:link w:val="Boldhdg"/>
    <w:uiPriority w:val="99"/>
    <w:rsid w:val="009112F9"/>
    <w:rPr>
      <w:rFonts w:asciiTheme="minorHAnsi" w:eastAsiaTheme="minorHAnsi" w:hAnsiTheme="minorHAnsi" w:cs="Arial"/>
      <w:b/>
      <w:sz w:val="22"/>
      <w:szCs w:val="22"/>
      <w:lang w:val="en-US" w:eastAsia="en-US"/>
    </w:rPr>
  </w:style>
  <w:style w:type="numbering" w:customStyle="1" w:styleId="Style21">
    <w:name w:val="Style21"/>
    <w:uiPriority w:val="99"/>
    <w:rsid w:val="0084487B"/>
  </w:style>
  <w:style w:type="paragraph" w:customStyle="1" w:styleId="EndNoteCategoryHeading">
    <w:name w:val="EndNote Category Heading"/>
    <w:basedOn w:val="Normal"/>
    <w:link w:val="EndNoteCategoryHeadingChar"/>
    <w:rsid w:val="0047745E"/>
    <w:pPr>
      <w:spacing w:before="120" w:after="120"/>
    </w:pPr>
  </w:style>
  <w:style w:type="character" w:customStyle="1" w:styleId="EndNoteCategoryHeadingChar">
    <w:name w:val="EndNote Category Heading Char"/>
    <w:basedOn w:val="EndNoteBibliographyChar"/>
    <w:link w:val="EndNoteCategoryHeading"/>
    <w:rsid w:val="0047745E"/>
    <w:rPr>
      <w:rFonts w:asciiTheme="minorHAnsi" w:hAnsiTheme="minorHAnsi" w:cs="Calibri"/>
      <w:noProof/>
      <w:sz w:val="22"/>
      <w:szCs w:val="24"/>
    </w:rPr>
  </w:style>
  <w:style w:type="paragraph" w:customStyle="1" w:styleId="EndNoteCategoryTitle">
    <w:name w:val="EndNote Category Title"/>
    <w:basedOn w:val="Normal"/>
    <w:link w:val="EndNoteCategoryTitleChar"/>
    <w:rsid w:val="0047745E"/>
    <w:pPr>
      <w:spacing w:before="120" w:after="120"/>
      <w:jc w:val="center"/>
    </w:pPr>
  </w:style>
  <w:style w:type="character" w:customStyle="1" w:styleId="EndNoteCategoryTitleChar">
    <w:name w:val="EndNote Category Title Char"/>
    <w:basedOn w:val="EndNoteBibliographyChar"/>
    <w:link w:val="EndNoteCategoryTitle"/>
    <w:rsid w:val="0047745E"/>
    <w:rPr>
      <w:rFonts w:asciiTheme="minorHAnsi" w:hAnsiTheme="minorHAnsi" w:cs="Calibri"/>
      <w:noProof/>
      <w:sz w:val="22"/>
      <w:szCs w:val="24"/>
    </w:rPr>
  </w:style>
  <w:style w:type="character" w:customStyle="1" w:styleId="N1Char">
    <w:name w:val="N 1 Char"/>
    <w:basedOn w:val="DefaultParagraphFont"/>
    <w:link w:val="N1"/>
    <w:locked/>
    <w:rsid w:val="00E01B21"/>
  </w:style>
  <w:style w:type="paragraph" w:customStyle="1" w:styleId="N1">
    <w:name w:val="N 1"/>
    <w:basedOn w:val="Normal"/>
    <w:link w:val="N1Char"/>
    <w:rsid w:val="00E01B21"/>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7146359">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12190334">
      <w:bodyDiv w:val="1"/>
      <w:marLeft w:val="0"/>
      <w:marRight w:val="0"/>
      <w:marTop w:val="0"/>
      <w:marBottom w:val="0"/>
      <w:divBdr>
        <w:top w:val="none" w:sz="0" w:space="0" w:color="auto"/>
        <w:left w:val="none" w:sz="0" w:space="0" w:color="auto"/>
        <w:bottom w:val="none" w:sz="0" w:space="0" w:color="auto"/>
        <w:right w:val="none" w:sz="0" w:space="0" w:color="auto"/>
      </w:divBdr>
    </w:div>
    <w:div w:id="27806509">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32703496">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50809457">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61609840">
      <w:bodyDiv w:val="1"/>
      <w:marLeft w:val="0"/>
      <w:marRight w:val="0"/>
      <w:marTop w:val="0"/>
      <w:marBottom w:val="0"/>
      <w:divBdr>
        <w:top w:val="none" w:sz="0" w:space="0" w:color="auto"/>
        <w:left w:val="none" w:sz="0" w:space="0" w:color="auto"/>
        <w:bottom w:val="none" w:sz="0" w:space="0" w:color="auto"/>
        <w:right w:val="none" w:sz="0" w:space="0" w:color="auto"/>
      </w:divBdr>
    </w:div>
    <w:div w:id="63842982">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81220582">
      <w:bodyDiv w:val="1"/>
      <w:marLeft w:val="0"/>
      <w:marRight w:val="0"/>
      <w:marTop w:val="0"/>
      <w:marBottom w:val="0"/>
      <w:divBdr>
        <w:top w:val="none" w:sz="0" w:space="0" w:color="auto"/>
        <w:left w:val="none" w:sz="0" w:space="0" w:color="auto"/>
        <w:bottom w:val="none" w:sz="0" w:space="0" w:color="auto"/>
        <w:right w:val="none" w:sz="0" w:space="0" w:color="auto"/>
      </w:divBdr>
    </w:div>
    <w:div w:id="88501888">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0491340">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09251845">
      <w:bodyDiv w:val="1"/>
      <w:marLeft w:val="0"/>
      <w:marRight w:val="0"/>
      <w:marTop w:val="0"/>
      <w:marBottom w:val="0"/>
      <w:divBdr>
        <w:top w:val="none" w:sz="0" w:space="0" w:color="auto"/>
        <w:left w:val="none" w:sz="0" w:space="0" w:color="auto"/>
        <w:bottom w:val="none" w:sz="0" w:space="0" w:color="auto"/>
        <w:right w:val="none" w:sz="0" w:space="0" w:color="auto"/>
      </w:divBdr>
    </w:div>
    <w:div w:id="111019145">
      <w:bodyDiv w:val="1"/>
      <w:marLeft w:val="0"/>
      <w:marRight w:val="0"/>
      <w:marTop w:val="0"/>
      <w:marBottom w:val="0"/>
      <w:divBdr>
        <w:top w:val="none" w:sz="0" w:space="0" w:color="auto"/>
        <w:left w:val="none" w:sz="0" w:space="0" w:color="auto"/>
        <w:bottom w:val="none" w:sz="0" w:space="0" w:color="auto"/>
        <w:right w:val="none" w:sz="0" w:space="0" w:color="auto"/>
      </w:divBdr>
    </w:div>
    <w:div w:id="112674369">
      <w:bodyDiv w:val="1"/>
      <w:marLeft w:val="0"/>
      <w:marRight w:val="0"/>
      <w:marTop w:val="0"/>
      <w:marBottom w:val="0"/>
      <w:divBdr>
        <w:top w:val="none" w:sz="0" w:space="0" w:color="auto"/>
        <w:left w:val="none" w:sz="0" w:space="0" w:color="auto"/>
        <w:bottom w:val="none" w:sz="0" w:space="0" w:color="auto"/>
        <w:right w:val="none" w:sz="0" w:space="0" w:color="auto"/>
      </w:divBdr>
    </w:div>
    <w:div w:id="121777774">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37963457">
      <w:bodyDiv w:val="1"/>
      <w:marLeft w:val="0"/>
      <w:marRight w:val="0"/>
      <w:marTop w:val="0"/>
      <w:marBottom w:val="0"/>
      <w:divBdr>
        <w:top w:val="none" w:sz="0" w:space="0" w:color="auto"/>
        <w:left w:val="none" w:sz="0" w:space="0" w:color="auto"/>
        <w:bottom w:val="none" w:sz="0" w:space="0" w:color="auto"/>
        <w:right w:val="none" w:sz="0" w:space="0" w:color="auto"/>
      </w:divBdr>
    </w:div>
    <w:div w:id="152571468">
      <w:bodyDiv w:val="1"/>
      <w:marLeft w:val="0"/>
      <w:marRight w:val="0"/>
      <w:marTop w:val="0"/>
      <w:marBottom w:val="0"/>
      <w:divBdr>
        <w:top w:val="none" w:sz="0" w:space="0" w:color="auto"/>
        <w:left w:val="none" w:sz="0" w:space="0" w:color="auto"/>
        <w:bottom w:val="none" w:sz="0" w:space="0" w:color="auto"/>
        <w:right w:val="none" w:sz="0" w:space="0" w:color="auto"/>
      </w:divBdr>
    </w:div>
    <w:div w:id="156313508">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183446570">
      <w:bodyDiv w:val="1"/>
      <w:marLeft w:val="0"/>
      <w:marRight w:val="0"/>
      <w:marTop w:val="0"/>
      <w:marBottom w:val="0"/>
      <w:divBdr>
        <w:top w:val="none" w:sz="0" w:space="0" w:color="auto"/>
        <w:left w:val="none" w:sz="0" w:space="0" w:color="auto"/>
        <w:bottom w:val="none" w:sz="0" w:space="0" w:color="auto"/>
        <w:right w:val="none" w:sz="0" w:space="0" w:color="auto"/>
      </w:divBdr>
    </w:div>
    <w:div w:id="189299937">
      <w:bodyDiv w:val="1"/>
      <w:marLeft w:val="0"/>
      <w:marRight w:val="0"/>
      <w:marTop w:val="0"/>
      <w:marBottom w:val="0"/>
      <w:divBdr>
        <w:top w:val="none" w:sz="0" w:space="0" w:color="auto"/>
        <w:left w:val="none" w:sz="0" w:space="0" w:color="auto"/>
        <w:bottom w:val="none" w:sz="0" w:space="0" w:color="auto"/>
        <w:right w:val="none" w:sz="0" w:space="0" w:color="auto"/>
      </w:divBdr>
    </w:div>
    <w:div w:id="195699597">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4005204">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21064785">
      <w:bodyDiv w:val="1"/>
      <w:marLeft w:val="0"/>
      <w:marRight w:val="0"/>
      <w:marTop w:val="0"/>
      <w:marBottom w:val="0"/>
      <w:divBdr>
        <w:top w:val="none" w:sz="0" w:space="0" w:color="auto"/>
        <w:left w:val="none" w:sz="0" w:space="0" w:color="auto"/>
        <w:bottom w:val="none" w:sz="0" w:space="0" w:color="auto"/>
        <w:right w:val="none" w:sz="0" w:space="0" w:color="auto"/>
      </w:divBdr>
    </w:div>
    <w:div w:id="237909659">
      <w:bodyDiv w:val="1"/>
      <w:marLeft w:val="0"/>
      <w:marRight w:val="0"/>
      <w:marTop w:val="0"/>
      <w:marBottom w:val="0"/>
      <w:divBdr>
        <w:top w:val="none" w:sz="0" w:space="0" w:color="auto"/>
        <w:left w:val="none" w:sz="0" w:space="0" w:color="auto"/>
        <w:bottom w:val="none" w:sz="0" w:space="0" w:color="auto"/>
        <w:right w:val="none" w:sz="0" w:space="0" w:color="auto"/>
      </w:divBdr>
    </w:div>
    <w:div w:id="240407617">
      <w:bodyDiv w:val="1"/>
      <w:marLeft w:val="0"/>
      <w:marRight w:val="0"/>
      <w:marTop w:val="0"/>
      <w:marBottom w:val="0"/>
      <w:divBdr>
        <w:top w:val="none" w:sz="0" w:space="0" w:color="auto"/>
        <w:left w:val="none" w:sz="0" w:space="0" w:color="auto"/>
        <w:bottom w:val="none" w:sz="0" w:space="0" w:color="auto"/>
        <w:right w:val="none" w:sz="0" w:space="0" w:color="auto"/>
      </w:divBdr>
    </w:div>
    <w:div w:id="243492185">
      <w:bodyDiv w:val="1"/>
      <w:marLeft w:val="0"/>
      <w:marRight w:val="0"/>
      <w:marTop w:val="0"/>
      <w:marBottom w:val="0"/>
      <w:divBdr>
        <w:top w:val="none" w:sz="0" w:space="0" w:color="auto"/>
        <w:left w:val="none" w:sz="0" w:space="0" w:color="auto"/>
        <w:bottom w:val="none" w:sz="0" w:space="0" w:color="auto"/>
        <w:right w:val="none" w:sz="0" w:space="0" w:color="auto"/>
      </w:divBdr>
    </w:div>
    <w:div w:id="245383705">
      <w:bodyDiv w:val="1"/>
      <w:marLeft w:val="0"/>
      <w:marRight w:val="0"/>
      <w:marTop w:val="0"/>
      <w:marBottom w:val="0"/>
      <w:divBdr>
        <w:top w:val="none" w:sz="0" w:space="0" w:color="auto"/>
        <w:left w:val="none" w:sz="0" w:space="0" w:color="auto"/>
        <w:bottom w:val="none" w:sz="0" w:space="0" w:color="auto"/>
        <w:right w:val="none" w:sz="0" w:space="0" w:color="auto"/>
      </w:divBdr>
    </w:div>
    <w:div w:id="250511293">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52709315">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6608257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84847677">
      <w:bodyDiv w:val="1"/>
      <w:marLeft w:val="0"/>
      <w:marRight w:val="0"/>
      <w:marTop w:val="0"/>
      <w:marBottom w:val="0"/>
      <w:divBdr>
        <w:top w:val="none" w:sz="0" w:space="0" w:color="auto"/>
        <w:left w:val="none" w:sz="0" w:space="0" w:color="auto"/>
        <w:bottom w:val="none" w:sz="0" w:space="0" w:color="auto"/>
        <w:right w:val="none" w:sz="0" w:space="0" w:color="auto"/>
      </w:divBdr>
    </w:div>
    <w:div w:id="289479090">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09597709">
      <w:bodyDiv w:val="1"/>
      <w:marLeft w:val="0"/>
      <w:marRight w:val="0"/>
      <w:marTop w:val="0"/>
      <w:marBottom w:val="0"/>
      <w:divBdr>
        <w:top w:val="none" w:sz="0" w:space="0" w:color="auto"/>
        <w:left w:val="none" w:sz="0" w:space="0" w:color="auto"/>
        <w:bottom w:val="none" w:sz="0" w:space="0" w:color="auto"/>
        <w:right w:val="none" w:sz="0" w:space="0" w:color="auto"/>
      </w:divBdr>
    </w:div>
    <w:div w:id="318265498">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7568076">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217346">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79332164">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10932960">
      <w:bodyDiv w:val="1"/>
      <w:marLeft w:val="0"/>
      <w:marRight w:val="0"/>
      <w:marTop w:val="0"/>
      <w:marBottom w:val="0"/>
      <w:divBdr>
        <w:top w:val="none" w:sz="0" w:space="0" w:color="auto"/>
        <w:left w:val="none" w:sz="0" w:space="0" w:color="auto"/>
        <w:bottom w:val="none" w:sz="0" w:space="0" w:color="auto"/>
        <w:right w:val="none" w:sz="0" w:space="0" w:color="auto"/>
      </w:divBdr>
    </w:div>
    <w:div w:id="412092669">
      <w:bodyDiv w:val="1"/>
      <w:marLeft w:val="0"/>
      <w:marRight w:val="0"/>
      <w:marTop w:val="0"/>
      <w:marBottom w:val="0"/>
      <w:divBdr>
        <w:top w:val="none" w:sz="0" w:space="0" w:color="auto"/>
        <w:left w:val="none" w:sz="0" w:space="0" w:color="auto"/>
        <w:bottom w:val="none" w:sz="0" w:space="0" w:color="auto"/>
        <w:right w:val="none" w:sz="0" w:space="0" w:color="auto"/>
      </w:divBdr>
    </w:div>
    <w:div w:id="41864520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66047329">
      <w:bodyDiv w:val="1"/>
      <w:marLeft w:val="0"/>
      <w:marRight w:val="0"/>
      <w:marTop w:val="0"/>
      <w:marBottom w:val="0"/>
      <w:divBdr>
        <w:top w:val="none" w:sz="0" w:space="0" w:color="auto"/>
        <w:left w:val="none" w:sz="0" w:space="0" w:color="auto"/>
        <w:bottom w:val="none" w:sz="0" w:space="0" w:color="auto"/>
        <w:right w:val="none" w:sz="0" w:space="0" w:color="auto"/>
      </w:divBdr>
    </w:div>
    <w:div w:id="467168114">
      <w:bodyDiv w:val="1"/>
      <w:marLeft w:val="0"/>
      <w:marRight w:val="0"/>
      <w:marTop w:val="0"/>
      <w:marBottom w:val="0"/>
      <w:divBdr>
        <w:top w:val="none" w:sz="0" w:space="0" w:color="auto"/>
        <w:left w:val="none" w:sz="0" w:space="0" w:color="auto"/>
        <w:bottom w:val="none" w:sz="0" w:space="0" w:color="auto"/>
        <w:right w:val="none" w:sz="0" w:space="0" w:color="auto"/>
      </w:divBdr>
    </w:div>
    <w:div w:id="472872262">
      <w:bodyDiv w:val="1"/>
      <w:marLeft w:val="0"/>
      <w:marRight w:val="0"/>
      <w:marTop w:val="0"/>
      <w:marBottom w:val="0"/>
      <w:divBdr>
        <w:top w:val="none" w:sz="0" w:space="0" w:color="auto"/>
        <w:left w:val="none" w:sz="0" w:space="0" w:color="auto"/>
        <w:bottom w:val="none" w:sz="0" w:space="0" w:color="auto"/>
        <w:right w:val="none" w:sz="0" w:space="0" w:color="auto"/>
      </w:divBdr>
    </w:div>
    <w:div w:id="475998930">
      <w:bodyDiv w:val="1"/>
      <w:marLeft w:val="0"/>
      <w:marRight w:val="0"/>
      <w:marTop w:val="0"/>
      <w:marBottom w:val="0"/>
      <w:divBdr>
        <w:top w:val="none" w:sz="0" w:space="0" w:color="auto"/>
        <w:left w:val="none" w:sz="0" w:space="0" w:color="auto"/>
        <w:bottom w:val="none" w:sz="0" w:space="0" w:color="auto"/>
        <w:right w:val="none" w:sz="0" w:space="0" w:color="auto"/>
      </w:divBdr>
    </w:div>
    <w:div w:id="476460875">
      <w:bodyDiv w:val="1"/>
      <w:marLeft w:val="0"/>
      <w:marRight w:val="0"/>
      <w:marTop w:val="0"/>
      <w:marBottom w:val="0"/>
      <w:divBdr>
        <w:top w:val="none" w:sz="0" w:space="0" w:color="auto"/>
        <w:left w:val="none" w:sz="0" w:space="0" w:color="auto"/>
        <w:bottom w:val="none" w:sz="0" w:space="0" w:color="auto"/>
        <w:right w:val="none" w:sz="0" w:space="0" w:color="auto"/>
      </w:divBdr>
    </w:div>
    <w:div w:id="495846801">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05630409">
      <w:bodyDiv w:val="1"/>
      <w:marLeft w:val="0"/>
      <w:marRight w:val="0"/>
      <w:marTop w:val="0"/>
      <w:marBottom w:val="0"/>
      <w:divBdr>
        <w:top w:val="none" w:sz="0" w:space="0" w:color="auto"/>
        <w:left w:val="none" w:sz="0" w:space="0" w:color="auto"/>
        <w:bottom w:val="none" w:sz="0" w:space="0" w:color="auto"/>
        <w:right w:val="none" w:sz="0" w:space="0" w:color="auto"/>
      </w:divBdr>
    </w:div>
    <w:div w:id="508981121">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473592">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001899">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23775181">
      <w:bodyDiv w:val="1"/>
      <w:marLeft w:val="0"/>
      <w:marRight w:val="0"/>
      <w:marTop w:val="0"/>
      <w:marBottom w:val="0"/>
      <w:divBdr>
        <w:top w:val="none" w:sz="0" w:space="0" w:color="auto"/>
        <w:left w:val="none" w:sz="0" w:space="0" w:color="auto"/>
        <w:bottom w:val="none" w:sz="0" w:space="0" w:color="auto"/>
        <w:right w:val="none" w:sz="0" w:space="0" w:color="auto"/>
      </w:divBdr>
    </w:div>
    <w:div w:id="627321438">
      <w:bodyDiv w:val="1"/>
      <w:marLeft w:val="0"/>
      <w:marRight w:val="0"/>
      <w:marTop w:val="0"/>
      <w:marBottom w:val="0"/>
      <w:divBdr>
        <w:top w:val="none" w:sz="0" w:space="0" w:color="auto"/>
        <w:left w:val="none" w:sz="0" w:space="0" w:color="auto"/>
        <w:bottom w:val="none" w:sz="0" w:space="0" w:color="auto"/>
        <w:right w:val="none" w:sz="0" w:space="0" w:color="auto"/>
      </w:divBdr>
    </w:div>
    <w:div w:id="629167437">
      <w:bodyDiv w:val="1"/>
      <w:marLeft w:val="0"/>
      <w:marRight w:val="0"/>
      <w:marTop w:val="0"/>
      <w:marBottom w:val="0"/>
      <w:divBdr>
        <w:top w:val="none" w:sz="0" w:space="0" w:color="auto"/>
        <w:left w:val="none" w:sz="0" w:space="0" w:color="auto"/>
        <w:bottom w:val="none" w:sz="0" w:space="0" w:color="auto"/>
        <w:right w:val="none" w:sz="0" w:space="0" w:color="auto"/>
      </w:divBdr>
    </w:div>
    <w:div w:id="630673280">
      <w:bodyDiv w:val="1"/>
      <w:marLeft w:val="0"/>
      <w:marRight w:val="0"/>
      <w:marTop w:val="0"/>
      <w:marBottom w:val="0"/>
      <w:divBdr>
        <w:top w:val="none" w:sz="0" w:space="0" w:color="auto"/>
        <w:left w:val="none" w:sz="0" w:space="0" w:color="auto"/>
        <w:bottom w:val="none" w:sz="0" w:space="0" w:color="auto"/>
        <w:right w:val="none" w:sz="0" w:space="0" w:color="auto"/>
      </w:divBdr>
    </w:div>
    <w:div w:id="643194712">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1376984">
      <w:bodyDiv w:val="1"/>
      <w:marLeft w:val="0"/>
      <w:marRight w:val="0"/>
      <w:marTop w:val="0"/>
      <w:marBottom w:val="0"/>
      <w:divBdr>
        <w:top w:val="none" w:sz="0" w:space="0" w:color="auto"/>
        <w:left w:val="none" w:sz="0" w:space="0" w:color="auto"/>
        <w:bottom w:val="none" w:sz="0" w:space="0" w:color="auto"/>
        <w:right w:val="none" w:sz="0" w:space="0" w:color="auto"/>
      </w:divBdr>
    </w:div>
    <w:div w:id="6528303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77077891">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84788974">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699159743">
      <w:bodyDiv w:val="1"/>
      <w:marLeft w:val="0"/>
      <w:marRight w:val="0"/>
      <w:marTop w:val="0"/>
      <w:marBottom w:val="0"/>
      <w:divBdr>
        <w:top w:val="none" w:sz="0" w:space="0" w:color="auto"/>
        <w:left w:val="none" w:sz="0" w:space="0" w:color="auto"/>
        <w:bottom w:val="none" w:sz="0" w:space="0" w:color="auto"/>
        <w:right w:val="none" w:sz="0" w:space="0" w:color="auto"/>
      </w:divBdr>
    </w:div>
    <w:div w:id="699860166">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8941592">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22338137">
      <w:bodyDiv w:val="1"/>
      <w:marLeft w:val="0"/>
      <w:marRight w:val="0"/>
      <w:marTop w:val="0"/>
      <w:marBottom w:val="0"/>
      <w:divBdr>
        <w:top w:val="none" w:sz="0" w:space="0" w:color="auto"/>
        <w:left w:val="none" w:sz="0" w:space="0" w:color="auto"/>
        <w:bottom w:val="none" w:sz="0" w:space="0" w:color="auto"/>
        <w:right w:val="none" w:sz="0" w:space="0" w:color="auto"/>
      </w:divBdr>
    </w:div>
    <w:div w:id="734550176">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43911076">
      <w:bodyDiv w:val="1"/>
      <w:marLeft w:val="0"/>
      <w:marRight w:val="0"/>
      <w:marTop w:val="0"/>
      <w:marBottom w:val="0"/>
      <w:divBdr>
        <w:top w:val="none" w:sz="0" w:space="0" w:color="auto"/>
        <w:left w:val="none" w:sz="0" w:space="0" w:color="auto"/>
        <w:bottom w:val="none" w:sz="0" w:space="0" w:color="auto"/>
        <w:right w:val="none" w:sz="0" w:space="0" w:color="auto"/>
      </w:divBdr>
    </w:div>
    <w:div w:id="751898937">
      <w:bodyDiv w:val="1"/>
      <w:marLeft w:val="0"/>
      <w:marRight w:val="0"/>
      <w:marTop w:val="0"/>
      <w:marBottom w:val="0"/>
      <w:divBdr>
        <w:top w:val="none" w:sz="0" w:space="0" w:color="auto"/>
        <w:left w:val="none" w:sz="0" w:space="0" w:color="auto"/>
        <w:bottom w:val="none" w:sz="0" w:space="0" w:color="auto"/>
        <w:right w:val="none" w:sz="0" w:space="0" w:color="auto"/>
      </w:divBdr>
    </w:div>
    <w:div w:id="752705495">
      <w:bodyDiv w:val="1"/>
      <w:marLeft w:val="0"/>
      <w:marRight w:val="0"/>
      <w:marTop w:val="0"/>
      <w:marBottom w:val="0"/>
      <w:divBdr>
        <w:top w:val="none" w:sz="0" w:space="0" w:color="auto"/>
        <w:left w:val="none" w:sz="0" w:space="0" w:color="auto"/>
        <w:bottom w:val="none" w:sz="0" w:space="0" w:color="auto"/>
        <w:right w:val="none" w:sz="0" w:space="0" w:color="auto"/>
      </w:divBdr>
    </w:div>
    <w:div w:id="760568408">
      <w:bodyDiv w:val="1"/>
      <w:marLeft w:val="0"/>
      <w:marRight w:val="0"/>
      <w:marTop w:val="0"/>
      <w:marBottom w:val="0"/>
      <w:divBdr>
        <w:top w:val="none" w:sz="0" w:space="0" w:color="auto"/>
        <w:left w:val="none" w:sz="0" w:space="0" w:color="auto"/>
        <w:bottom w:val="none" w:sz="0" w:space="0" w:color="auto"/>
        <w:right w:val="none" w:sz="0" w:space="0" w:color="auto"/>
      </w:divBdr>
    </w:div>
    <w:div w:id="777677885">
      <w:bodyDiv w:val="1"/>
      <w:marLeft w:val="0"/>
      <w:marRight w:val="0"/>
      <w:marTop w:val="0"/>
      <w:marBottom w:val="0"/>
      <w:divBdr>
        <w:top w:val="none" w:sz="0" w:space="0" w:color="auto"/>
        <w:left w:val="none" w:sz="0" w:space="0" w:color="auto"/>
        <w:bottom w:val="none" w:sz="0" w:space="0" w:color="auto"/>
        <w:right w:val="none" w:sz="0" w:space="0" w:color="auto"/>
      </w:divBdr>
    </w:div>
    <w:div w:id="797069244">
      <w:bodyDiv w:val="1"/>
      <w:marLeft w:val="0"/>
      <w:marRight w:val="0"/>
      <w:marTop w:val="0"/>
      <w:marBottom w:val="0"/>
      <w:divBdr>
        <w:top w:val="none" w:sz="0" w:space="0" w:color="auto"/>
        <w:left w:val="none" w:sz="0" w:space="0" w:color="auto"/>
        <w:bottom w:val="none" w:sz="0" w:space="0" w:color="auto"/>
        <w:right w:val="none" w:sz="0" w:space="0" w:color="auto"/>
      </w:divBdr>
    </w:div>
    <w:div w:id="809439681">
      <w:bodyDiv w:val="1"/>
      <w:marLeft w:val="0"/>
      <w:marRight w:val="0"/>
      <w:marTop w:val="0"/>
      <w:marBottom w:val="0"/>
      <w:divBdr>
        <w:top w:val="none" w:sz="0" w:space="0" w:color="auto"/>
        <w:left w:val="none" w:sz="0" w:space="0" w:color="auto"/>
        <w:bottom w:val="none" w:sz="0" w:space="0" w:color="auto"/>
        <w:right w:val="none" w:sz="0" w:space="0" w:color="auto"/>
      </w:divBdr>
    </w:div>
    <w:div w:id="811025659">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13255655">
      <w:bodyDiv w:val="1"/>
      <w:marLeft w:val="0"/>
      <w:marRight w:val="0"/>
      <w:marTop w:val="0"/>
      <w:marBottom w:val="0"/>
      <w:divBdr>
        <w:top w:val="none" w:sz="0" w:space="0" w:color="auto"/>
        <w:left w:val="none" w:sz="0" w:space="0" w:color="auto"/>
        <w:bottom w:val="none" w:sz="0" w:space="0" w:color="auto"/>
        <w:right w:val="none" w:sz="0" w:space="0" w:color="auto"/>
      </w:divBdr>
    </w:div>
    <w:div w:id="816338935">
      <w:bodyDiv w:val="1"/>
      <w:marLeft w:val="0"/>
      <w:marRight w:val="0"/>
      <w:marTop w:val="0"/>
      <w:marBottom w:val="0"/>
      <w:divBdr>
        <w:top w:val="none" w:sz="0" w:space="0" w:color="auto"/>
        <w:left w:val="none" w:sz="0" w:space="0" w:color="auto"/>
        <w:bottom w:val="none" w:sz="0" w:space="0" w:color="auto"/>
        <w:right w:val="none" w:sz="0" w:space="0" w:color="auto"/>
      </w:divBdr>
    </w:div>
    <w:div w:id="816535497">
      <w:bodyDiv w:val="1"/>
      <w:marLeft w:val="0"/>
      <w:marRight w:val="0"/>
      <w:marTop w:val="0"/>
      <w:marBottom w:val="0"/>
      <w:divBdr>
        <w:top w:val="none" w:sz="0" w:space="0" w:color="auto"/>
        <w:left w:val="none" w:sz="0" w:space="0" w:color="auto"/>
        <w:bottom w:val="none" w:sz="0" w:space="0" w:color="auto"/>
        <w:right w:val="none" w:sz="0" w:space="0" w:color="auto"/>
      </w:divBdr>
    </w:div>
    <w:div w:id="830872438">
      <w:bodyDiv w:val="1"/>
      <w:marLeft w:val="0"/>
      <w:marRight w:val="0"/>
      <w:marTop w:val="0"/>
      <w:marBottom w:val="0"/>
      <w:divBdr>
        <w:top w:val="none" w:sz="0" w:space="0" w:color="auto"/>
        <w:left w:val="none" w:sz="0" w:space="0" w:color="auto"/>
        <w:bottom w:val="none" w:sz="0" w:space="0" w:color="auto"/>
        <w:right w:val="none" w:sz="0" w:space="0" w:color="auto"/>
      </w:divBdr>
    </w:div>
    <w:div w:id="835152082">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873612714">
      <w:bodyDiv w:val="1"/>
      <w:marLeft w:val="0"/>
      <w:marRight w:val="0"/>
      <w:marTop w:val="0"/>
      <w:marBottom w:val="0"/>
      <w:divBdr>
        <w:top w:val="none" w:sz="0" w:space="0" w:color="auto"/>
        <w:left w:val="none" w:sz="0" w:space="0" w:color="auto"/>
        <w:bottom w:val="none" w:sz="0" w:space="0" w:color="auto"/>
        <w:right w:val="none" w:sz="0" w:space="0" w:color="auto"/>
      </w:divBdr>
    </w:div>
    <w:div w:id="884215898">
      <w:bodyDiv w:val="1"/>
      <w:marLeft w:val="0"/>
      <w:marRight w:val="0"/>
      <w:marTop w:val="0"/>
      <w:marBottom w:val="0"/>
      <w:divBdr>
        <w:top w:val="none" w:sz="0" w:space="0" w:color="auto"/>
        <w:left w:val="none" w:sz="0" w:space="0" w:color="auto"/>
        <w:bottom w:val="none" w:sz="0" w:space="0" w:color="auto"/>
        <w:right w:val="none" w:sz="0" w:space="0" w:color="auto"/>
      </w:divBdr>
    </w:div>
    <w:div w:id="89266604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17640551">
      <w:bodyDiv w:val="1"/>
      <w:marLeft w:val="0"/>
      <w:marRight w:val="0"/>
      <w:marTop w:val="0"/>
      <w:marBottom w:val="0"/>
      <w:divBdr>
        <w:top w:val="none" w:sz="0" w:space="0" w:color="auto"/>
        <w:left w:val="none" w:sz="0" w:space="0" w:color="auto"/>
        <w:bottom w:val="none" w:sz="0" w:space="0" w:color="auto"/>
        <w:right w:val="none" w:sz="0" w:space="0" w:color="auto"/>
      </w:divBdr>
    </w:div>
    <w:div w:id="928121237">
      <w:bodyDiv w:val="1"/>
      <w:marLeft w:val="0"/>
      <w:marRight w:val="0"/>
      <w:marTop w:val="0"/>
      <w:marBottom w:val="0"/>
      <w:divBdr>
        <w:top w:val="none" w:sz="0" w:space="0" w:color="auto"/>
        <w:left w:val="none" w:sz="0" w:space="0" w:color="auto"/>
        <w:bottom w:val="none" w:sz="0" w:space="0" w:color="auto"/>
        <w:right w:val="none" w:sz="0" w:space="0" w:color="auto"/>
      </w:divBdr>
    </w:div>
    <w:div w:id="931932090">
      <w:bodyDiv w:val="1"/>
      <w:marLeft w:val="0"/>
      <w:marRight w:val="0"/>
      <w:marTop w:val="0"/>
      <w:marBottom w:val="0"/>
      <w:divBdr>
        <w:top w:val="none" w:sz="0" w:space="0" w:color="auto"/>
        <w:left w:val="none" w:sz="0" w:space="0" w:color="auto"/>
        <w:bottom w:val="none" w:sz="0" w:space="0" w:color="auto"/>
        <w:right w:val="none" w:sz="0" w:space="0" w:color="auto"/>
      </w:divBdr>
    </w:div>
    <w:div w:id="940453733">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46693630">
      <w:bodyDiv w:val="1"/>
      <w:marLeft w:val="0"/>
      <w:marRight w:val="0"/>
      <w:marTop w:val="0"/>
      <w:marBottom w:val="0"/>
      <w:divBdr>
        <w:top w:val="none" w:sz="0" w:space="0" w:color="auto"/>
        <w:left w:val="none" w:sz="0" w:space="0" w:color="auto"/>
        <w:bottom w:val="none" w:sz="0" w:space="0" w:color="auto"/>
        <w:right w:val="none" w:sz="0" w:space="0" w:color="auto"/>
      </w:divBdr>
    </w:div>
    <w:div w:id="948662218">
      <w:bodyDiv w:val="1"/>
      <w:marLeft w:val="0"/>
      <w:marRight w:val="0"/>
      <w:marTop w:val="0"/>
      <w:marBottom w:val="0"/>
      <w:divBdr>
        <w:top w:val="none" w:sz="0" w:space="0" w:color="auto"/>
        <w:left w:val="none" w:sz="0" w:space="0" w:color="auto"/>
        <w:bottom w:val="none" w:sz="0" w:space="0" w:color="auto"/>
        <w:right w:val="none" w:sz="0" w:space="0" w:color="auto"/>
      </w:divBdr>
    </w:div>
    <w:div w:id="967203496">
      <w:bodyDiv w:val="1"/>
      <w:marLeft w:val="0"/>
      <w:marRight w:val="0"/>
      <w:marTop w:val="0"/>
      <w:marBottom w:val="0"/>
      <w:divBdr>
        <w:top w:val="none" w:sz="0" w:space="0" w:color="auto"/>
        <w:left w:val="none" w:sz="0" w:space="0" w:color="auto"/>
        <w:bottom w:val="none" w:sz="0" w:space="0" w:color="auto"/>
        <w:right w:val="none" w:sz="0" w:space="0" w:color="auto"/>
      </w:divBdr>
    </w:div>
    <w:div w:id="974483170">
      <w:bodyDiv w:val="1"/>
      <w:marLeft w:val="0"/>
      <w:marRight w:val="0"/>
      <w:marTop w:val="0"/>
      <w:marBottom w:val="0"/>
      <w:divBdr>
        <w:top w:val="none" w:sz="0" w:space="0" w:color="auto"/>
        <w:left w:val="none" w:sz="0" w:space="0" w:color="auto"/>
        <w:bottom w:val="none" w:sz="0" w:space="0" w:color="auto"/>
        <w:right w:val="none" w:sz="0" w:space="0" w:color="auto"/>
      </w:divBdr>
    </w:div>
    <w:div w:id="975255940">
      <w:bodyDiv w:val="1"/>
      <w:marLeft w:val="0"/>
      <w:marRight w:val="0"/>
      <w:marTop w:val="0"/>
      <w:marBottom w:val="0"/>
      <w:divBdr>
        <w:top w:val="none" w:sz="0" w:space="0" w:color="auto"/>
        <w:left w:val="none" w:sz="0" w:space="0" w:color="auto"/>
        <w:bottom w:val="none" w:sz="0" w:space="0" w:color="auto"/>
        <w:right w:val="none" w:sz="0" w:space="0" w:color="auto"/>
      </w:divBdr>
    </w:div>
    <w:div w:id="979073534">
      <w:bodyDiv w:val="1"/>
      <w:marLeft w:val="0"/>
      <w:marRight w:val="0"/>
      <w:marTop w:val="0"/>
      <w:marBottom w:val="0"/>
      <w:divBdr>
        <w:top w:val="none" w:sz="0" w:space="0" w:color="auto"/>
        <w:left w:val="none" w:sz="0" w:space="0" w:color="auto"/>
        <w:bottom w:val="none" w:sz="0" w:space="0" w:color="auto"/>
        <w:right w:val="none" w:sz="0" w:space="0" w:color="auto"/>
      </w:divBdr>
    </w:div>
    <w:div w:id="1010835069">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8852839">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2153134">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3120881">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59135914">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080371038">
      <w:bodyDiv w:val="1"/>
      <w:marLeft w:val="0"/>
      <w:marRight w:val="0"/>
      <w:marTop w:val="0"/>
      <w:marBottom w:val="0"/>
      <w:divBdr>
        <w:top w:val="none" w:sz="0" w:space="0" w:color="auto"/>
        <w:left w:val="none" w:sz="0" w:space="0" w:color="auto"/>
        <w:bottom w:val="none" w:sz="0" w:space="0" w:color="auto"/>
        <w:right w:val="none" w:sz="0" w:space="0" w:color="auto"/>
      </w:divBdr>
    </w:div>
    <w:div w:id="1093280842">
      <w:bodyDiv w:val="1"/>
      <w:marLeft w:val="0"/>
      <w:marRight w:val="0"/>
      <w:marTop w:val="0"/>
      <w:marBottom w:val="0"/>
      <w:divBdr>
        <w:top w:val="none" w:sz="0" w:space="0" w:color="auto"/>
        <w:left w:val="none" w:sz="0" w:space="0" w:color="auto"/>
        <w:bottom w:val="none" w:sz="0" w:space="0" w:color="auto"/>
        <w:right w:val="none" w:sz="0" w:space="0" w:color="auto"/>
      </w:divBdr>
    </w:div>
    <w:div w:id="109740591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8526074">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62038309">
      <w:bodyDiv w:val="1"/>
      <w:marLeft w:val="0"/>
      <w:marRight w:val="0"/>
      <w:marTop w:val="0"/>
      <w:marBottom w:val="0"/>
      <w:divBdr>
        <w:top w:val="none" w:sz="0" w:space="0" w:color="auto"/>
        <w:left w:val="none" w:sz="0" w:space="0" w:color="auto"/>
        <w:bottom w:val="none" w:sz="0" w:space="0" w:color="auto"/>
        <w:right w:val="none" w:sz="0" w:space="0" w:color="auto"/>
      </w:divBdr>
    </w:div>
    <w:div w:id="1166480345">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179004894">
      <w:bodyDiv w:val="1"/>
      <w:marLeft w:val="0"/>
      <w:marRight w:val="0"/>
      <w:marTop w:val="0"/>
      <w:marBottom w:val="0"/>
      <w:divBdr>
        <w:top w:val="none" w:sz="0" w:space="0" w:color="auto"/>
        <w:left w:val="none" w:sz="0" w:space="0" w:color="auto"/>
        <w:bottom w:val="none" w:sz="0" w:space="0" w:color="auto"/>
        <w:right w:val="none" w:sz="0" w:space="0" w:color="auto"/>
      </w:divBdr>
    </w:div>
    <w:div w:id="1185948519">
      <w:bodyDiv w:val="1"/>
      <w:marLeft w:val="0"/>
      <w:marRight w:val="0"/>
      <w:marTop w:val="0"/>
      <w:marBottom w:val="0"/>
      <w:divBdr>
        <w:top w:val="none" w:sz="0" w:space="0" w:color="auto"/>
        <w:left w:val="none" w:sz="0" w:space="0" w:color="auto"/>
        <w:bottom w:val="none" w:sz="0" w:space="0" w:color="auto"/>
        <w:right w:val="none" w:sz="0" w:space="0" w:color="auto"/>
      </w:divBdr>
    </w:div>
    <w:div w:id="1187065394">
      <w:bodyDiv w:val="1"/>
      <w:marLeft w:val="0"/>
      <w:marRight w:val="0"/>
      <w:marTop w:val="0"/>
      <w:marBottom w:val="0"/>
      <w:divBdr>
        <w:top w:val="none" w:sz="0" w:space="0" w:color="auto"/>
        <w:left w:val="none" w:sz="0" w:space="0" w:color="auto"/>
        <w:bottom w:val="none" w:sz="0" w:space="0" w:color="auto"/>
        <w:right w:val="none" w:sz="0" w:space="0" w:color="auto"/>
      </w:divBdr>
    </w:div>
    <w:div w:id="1192770146">
      <w:bodyDiv w:val="1"/>
      <w:marLeft w:val="0"/>
      <w:marRight w:val="0"/>
      <w:marTop w:val="0"/>
      <w:marBottom w:val="0"/>
      <w:divBdr>
        <w:top w:val="none" w:sz="0" w:space="0" w:color="auto"/>
        <w:left w:val="none" w:sz="0" w:space="0" w:color="auto"/>
        <w:bottom w:val="none" w:sz="0" w:space="0" w:color="auto"/>
        <w:right w:val="none" w:sz="0" w:space="0" w:color="auto"/>
      </w:divBdr>
    </w:div>
    <w:div w:id="1197306947">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14082040">
      <w:bodyDiv w:val="1"/>
      <w:marLeft w:val="0"/>
      <w:marRight w:val="0"/>
      <w:marTop w:val="0"/>
      <w:marBottom w:val="0"/>
      <w:divBdr>
        <w:top w:val="none" w:sz="0" w:space="0" w:color="auto"/>
        <w:left w:val="none" w:sz="0" w:space="0" w:color="auto"/>
        <w:bottom w:val="none" w:sz="0" w:space="0" w:color="auto"/>
        <w:right w:val="none" w:sz="0" w:space="0" w:color="auto"/>
      </w:divBdr>
    </w:div>
    <w:div w:id="1218278982">
      <w:bodyDiv w:val="1"/>
      <w:marLeft w:val="0"/>
      <w:marRight w:val="0"/>
      <w:marTop w:val="0"/>
      <w:marBottom w:val="0"/>
      <w:divBdr>
        <w:top w:val="none" w:sz="0" w:space="0" w:color="auto"/>
        <w:left w:val="none" w:sz="0" w:space="0" w:color="auto"/>
        <w:bottom w:val="none" w:sz="0" w:space="0" w:color="auto"/>
        <w:right w:val="none" w:sz="0" w:space="0" w:color="auto"/>
      </w:divBdr>
    </w:div>
    <w:div w:id="1222014237">
      <w:bodyDiv w:val="1"/>
      <w:marLeft w:val="0"/>
      <w:marRight w:val="0"/>
      <w:marTop w:val="0"/>
      <w:marBottom w:val="0"/>
      <w:divBdr>
        <w:top w:val="none" w:sz="0" w:space="0" w:color="auto"/>
        <w:left w:val="none" w:sz="0" w:space="0" w:color="auto"/>
        <w:bottom w:val="none" w:sz="0" w:space="0" w:color="auto"/>
        <w:right w:val="none" w:sz="0" w:space="0" w:color="auto"/>
      </w:divBdr>
    </w:div>
    <w:div w:id="1227111186">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39441669">
      <w:bodyDiv w:val="1"/>
      <w:marLeft w:val="0"/>
      <w:marRight w:val="0"/>
      <w:marTop w:val="0"/>
      <w:marBottom w:val="0"/>
      <w:divBdr>
        <w:top w:val="none" w:sz="0" w:space="0" w:color="auto"/>
        <w:left w:val="none" w:sz="0" w:space="0" w:color="auto"/>
        <w:bottom w:val="none" w:sz="0" w:space="0" w:color="auto"/>
        <w:right w:val="none" w:sz="0" w:space="0" w:color="auto"/>
      </w:divBdr>
    </w:div>
    <w:div w:id="1243687022">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61335120">
      <w:bodyDiv w:val="1"/>
      <w:marLeft w:val="0"/>
      <w:marRight w:val="0"/>
      <w:marTop w:val="0"/>
      <w:marBottom w:val="0"/>
      <w:divBdr>
        <w:top w:val="none" w:sz="0" w:space="0" w:color="auto"/>
        <w:left w:val="none" w:sz="0" w:space="0" w:color="auto"/>
        <w:bottom w:val="none" w:sz="0" w:space="0" w:color="auto"/>
        <w:right w:val="none" w:sz="0" w:space="0" w:color="auto"/>
      </w:divBdr>
    </w:div>
    <w:div w:id="1269698994">
      <w:bodyDiv w:val="1"/>
      <w:marLeft w:val="0"/>
      <w:marRight w:val="0"/>
      <w:marTop w:val="0"/>
      <w:marBottom w:val="0"/>
      <w:divBdr>
        <w:top w:val="none" w:sz="0" w:space="0" w:color="auto"/>
        <w:left w:val="none" w:sz="0" w:space="0" w:color="auto"/>
        <w:bottom w:val="none" w:sz="0" w:space="0" w:color="auto"/>
        <w:right w:val="none" w:sz="0" w:space="0" w:color="auto"/>
      </w:divBdr>
    </w:div>
    <w:div w:id="1277912266">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0800171">
      <w:bodyDiv w:val="1"/>
      <w:marLeft w:val="0"/>
      <w:marRight w:val="0"/>
      <w:marTop w:val="0"/>
      <w:marBottom w:val="0"/>
      <w:divBdr>
        <w:top w:val="none" w:sz="0" w:space="0" w:color="auto"/>
        <w:left w:val="none" w:sz="0" w:space="0" w:color="auto"/>
        <w:bottom w:val="none" w:sz="0" w:space="0" w:color="auto"/>
        <w:right w:val="none" w:sz="0" w:space="0" w:color="auto"/>
      </w:divBdr>
    </w:div>
    <w:div w:id="1284114500">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290239112">
      <w:bodyDiv w:val="1"/>
      <w:marLeft w:val="0"/>
      <w:marRight w:val="0"/>
      <w:marTop w:val="0"/>
      <w:marBottom w:val="0"/>
      <w:divBdr>
        <w:top w:val="none" w:sz="0" w:space="0" w:color="auto"/>
        <w:left w:val="none" w:sz="0" w:space="0" w:color="auto"/>
        <w:bottom w:val="none" w:sz="0" w:space="0" w:color="auto"/>
        <w:right w:val="none" w:sz="0" w:space="0" w:color="auto"/>
      </w:divBdr>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17610845">
      <w:bodyDiv w:val="1"/>
      <w:marLeft w:val="0"/>
      <w:marRight w:val="0"/>
      <w:marTop w:val="0"/>
      <w:marBottom w:val="0"/>
      <w:divBdr>
        <w:top w:val="none" w:sz="0" w:space="0" w:color="auto"/>
        <w:left w:val="none" w:sz="0" w:space="0" w:color="auto"/>
        <w:bottom w:val="none" w:sz="0" w:space="0" w:color="auto"/>
        <w:right w:val="none" w:sz="0" w:space="0" w:color="auto"/>
      </w:divBdr>
    </w:div>
    <w:div w:id="1319312278">
      <w:bodyDiv w:val="1"/>
      <w:marLeft w:val="0"/>
      <w:marRight w:val="0"/>
      <w:marTop w:val="0"/>
      <w:marBottom w:val="0"/>
      <w:divBdr>
        <w:top w:val="none" w:sz="0" w:space="0" w:color="auto"/>
        <w:left w:val="none" w:sz="0" w:space="0" w:color="auto"/>
        <w:bottom w:val="none" w:sz="0" w:space="0" w:color="auto"/>
        <w:right w:val="none" w:sz="0" w:space="0" w:color="auto"/>
      </w:divBdr>
    </w:div>
    <w:div w:id="1320575880">
      <w:bodyDiv w:val="1"/>
      <w:marLeft w:val="0"/>
      <w:marRight w:val="0"/>
      <w:marTop w:val="0"/>
      <w:marBottom w:val="0"/>
      <w:divBdr>
        <w:top w:val="none" w:sz="0" w:space="0" w:color="auto"/>
        <w:left w:val="none" w:sz="0" w:space="0" w:color="auto"/>
        <w:bottom w:val="none" w:sz="0" w:space="0" w:color="auto"/>
        <w:right w:val="none" w:sz="0" w:space="0" w:color="auto"/>
      </w:divBdr>
    </w:div>
    <w:div w:id="1321736145">
      <w:bodyDiv w:val="1"/>
      <w:marLeft w:val="0"/>
      <w:marRight w:val="0"/>
      <w:marTop w:val="0"/>
      <w:marBottom w:val="0"/>
      <w:divBdr>
        <w:top w:val="none" w:sz="0" w:space="0" w:color="auto"/>
        <w:left w:val="none" w:sz="0" w:space="0" w:color="auto"/>
        <w:bottom w:val="none" w:sz="0" w:space="0" w:color="auto"/>
        <w:right w:val="none" w:sz="0" w:space="0" w:color="auto"/>
      </w:divBdr>
    </w:div>
    <w:div w:id="1327706095">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2417225">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45592866">
      <w:bodyDiv w:val="1"/>
      <w:marLeft w:val="0"/>
      <w:marRight w:val="0"/>
      <w:marTop w:val="0"/>
      <w:marBottom w:val="0"/>
      <w:divBdr>
        <w:top w:val="none" w:sz="0" w:space="0" w:color="auto"/>
        <w:left w:val="none" w:sz="0" w:space="0" w:color="auto"/>
        <w:bottom w:val="none" w:sz="0" w:space="0" w:color="auto"/>
        <w:right w:val="none" w:sz="0" w:space="0" w:color="auto"/>
      </w:divBdr>
    </w:div>
    <w:div w:id="1349793448">
      <w:bodyDiv w:val="1"/>
      <w:marLeft w:val="0"/>
      <w:marRight w:val="0"/>
      <w:marTop w:val="0"/>
      <w:marBottom w:val="0"/>
      <w:divBdr>
        <w:top w:val="none" w:sz="0" w:space="0" w:color="auto"/>
        <w:left w:val="none" w:sz="0" w:space="0" w:color="auto"/>
        <w:bottom w:val="none" w:sz="0" w:space="0" w:color="auto"/>
        <w:right w:val="none" w:sz="0" w:space="0" w:color="auto"/>
      </w:divBdr>
    </w:div>
    <w:div w:id="135530567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2224887">
      <w:bodyDiv w:val="1"/>
      <w:marLeft w:val="0"/>
      <w:marRight w:val="0"/>
      <w:marTop w:val="0"/>
      <w:marBottom w:val="0"/>
      <w:divBdr>
        <w:top w:val="none" w:sz="0" w:space="0" w:color="auto"/>
        <w:left w:val="none" w:sz="0" w:space="0" w:color="auto"/>
        <w:bottom w:val="none" w:sz="0" w:space="0" w:color="auto"/>
        <w:right w:val="none" w:sz="0" w:space="0" w:color="auto"/>
      </w:divBdr>
    </w:div>
    <w:div w:id="1373842764">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88336815">
      <w:bodyDiv w:val="1"/>
      <w:marLeft w:val="0"/>
      <w:marRight w:val="0"/>
      <w:marTop w:val="0"/>
      <w:marBottom w:val="0"/>
      <w:divBdr>
        <w:top w:val="none" w:sz="0" w:space="0" w:color="auto"/>
        <w:left w:val="none" w:sz="0" w:space="0" w:color="auto"/>
        <w:bottom w:val="none" w:sz="0" w:space="0" w:color="auto"/>
        <w:right w:val="none" w:sz="0" w:space="0" w:color="auto"/>
      </w:divBdr>
    </w:div>
    <w:div w:id="1389114930">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397896072">
      <w:bodyDiv w:val="1"/>
      <w:marLeft w:val="0"/>
      <w:marRight w:val="0"/>
      <w:marTop w:val="0"/>
      <w:marBottom w:val="0"/>
      <w:divBdr>
        <w:top w:val="none" w:sz="0" w:space="0" w:color="auto"/>
        <w:left w:val="none" w:sz="0" w:space="0" w:color="auto"/>
        <w:bottom w:val="none" w:sz="0" w:space="0" w:color="auto"/>
        <w:right w:val="none" w:sz="0" w:space="0" w:color="auto"/>
      </w:divBdr>
    </w:div>
    <w:div w:id="1399744857">
      <w:bodyDiv w:val="1"/>
      <w:marLeft w:val="0"/>
      <w:marRight w:val="0"/>
      <w:marTop w:val="0"/>
      <w:marBottom w:val="0"/>
      <w:divBdr>
        <w:top w:val="none" w:sz="0" w:space="0" w:color="auto"/>
        <w:left w:val="none" w:sz="0" w:space="0" w:color="auto"/>
        <w:bottom w:val="none" w:sz="0" w:space="0" w:color="auto"/>
        <w:right w:val="none" w:sz="0" w:space="0" w:color="auto"/>
      </w:divBdr>
    </w:div>
    <w:div w:id="1412702165">
      <w:bodyDiv w:val="1"/>
      <w:marLeft w:val="0"/>
      <w:marRight w:val="0"/>
      <w:marTop w:val="0"/>
      <w:marBottom w:val="0"/>
      <w:divBdr>
        <w:top w:val="none" w:sz="0" w:space="0" w:color="auto"/>
        <w:left w:val="none" w:sz="0" w:space="0" w:color="auto"/>
        <w:bottom w:val="none" w:sz="0" w:space="0" w:color="auto"/>
        <w:right w:val="none" w:sz="0" w:space="0" w:color="auto"/>
      </w:divBdr>
    </w:div>
    <w:div w:id="1419786509">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46340594">
      <w:bodyDiv w:val="1"/>
      <w:marLeft w:val="0"/>
      <w:marRight w:val="0"/>
      <w:marTop w:val="0"/>
      <w:marBottom w:val="0"/>
      <w:divBdr>
        <w:top w:val="none" w:sz="0" w:space="0" w:color="auto"/>
        <w:left w:val="none" w:sz="0" w:space="0" w:color="auto"/>
        <w:bottom w:val="none" w:sz="0" w:space="0" w:color="auto"/>
        <w:right w:val="none" w:sz="0" w:space="0" w:color="auto"/>
      </w:divBdr>
    </w:div>
    <w:div w:id="1458841967">
      <w:bodyDiv w:val="1"/>
      <w:marLeft w:val="0"/>
      <w:marRight w:val="0"/>
      <w:marTop w:val="0"/>
      <w:marBottom w:val="0"/>
      <w:divBdr>
        <w:top w:val="none" w:sz="0" w:space="0" w:color="auto"/>
        <w:left w:val="none" w:sz="0" w:space="0" w:color="auto"/>
        <w:bottom w:val="none" w:sz="0" w:space="0" w:color="auto"/>
        <w:right w:val="none" w:sz="0" w:space="0" w:color="auto"/>
      </w:divBdr>
    </w:div>
    <w:div w:id="1467578156">
      <w:bodyDiv w:val="1"/>
      <w:marLeft w:val="0"/>
      <w:marRight w:val="0"/>
      <w:marTop w:val="0"/>
      <w:marBottom w:val="0"/>
      <w:divBdr>
        <w:top w:val="none" w:sz="0" w:space="0" w:color="auto"/>
        <w:left w:val="none" w:sz="0" w:space="0" w:color="auto"/>
        <w:bottom w:val="none" w:sz="0" w:space="0" w:color="auto"/>
        <w:right w:val="none" w:sz="0" w:space="0" w:color="auto"/>
      </w:divBdr>
    </w:div>
    <w:div w:id="1468737906">
      <w:bodyDiv w:val="1"/>
      <w:marLeft w:val="0"/>
      <w:marRight w:val="0"/>
      <w:marTop w:val="0"/>
      <w:marBottom w:val="0"/>
      <w:divBdr>
        <w:top w:val="none" w:sz="0" w:space="0" w:color="auto"/>
        <w:left w:val="none" w:sz="0" w:space="0" w:color="auto"/>
        <w:bottom w:val="none" w:sz="0" w:space="0" w:color="auto"/>
        <w:right w:val="none" w:sz="0" w:space="0" w:color="auto"/>
      </w:divBdr>
    </w:div>
    <w:div w:id="1473672145">
      <w:bodyDiv w:val="1"/>
      <w:marLeft w:val="0"/>
      <w:marRight w:val="0"/>
      <w:marTop w:val="0"/>
      <w:marBottom w:val="0"/>
      <w:divBdr>
        <w:top w:val="none" w:sz="0" w:space="0" w:color="auto"/>
        <w:left w:val="none" w:sz="0" w:space="0" w:color="auto"/>
        <w:bottom w:val="none" w:sz="0" w:space="0" w:color="auto"/>
        <w:right w:val="none" w:sz="0" w:space="0" w:color="auto"/>
      </w:divBdr>
    </w:div>
    <w:div w:id="1474520418">
      <w:bodyDiv w:val="1"/>
      <w:marLeft w:val="0"/>
      <w:marRight w:val="0"/>
      <w:marTop w:val="0"/>
      <w:marBottom w:val="0"/>
      <w:divBdr>
        <w:top w:val="none" w:sz="0" w:space="0" w:color="auto"/>
        <w:left w:val="none" w:sz="0" w:space="0" w:color="auto"/>
        <w:bottom w:val="none" w:sz="0" w:space="0" w:color="auto"/>
        <w:right w:val="none" w:sz="0" w:space="0" w:color="auto"/>
      </w:divBdr>
    </w:div>
    <w:div w:id="1476951116">
      <w:bodyDiv w:val="1"/>
      <w:marLeft w:val="0"/>
      <w:marRight w:val="0"/>
      <w:marTop w:val="0"/>
      <w:marBottom w:val="0"/>
      <w:divBdr>
        <w:top w:val="none" w:sz="0" w:space="0" w:color="auto"/>
        <w:left w:val="none" w:sz="0" w:space="0" w:color="auto"/>
        <w:bottom w:val="none" w:sz="0" w:space="0" w:color="auto"/>
        <w:right w:val="none" w:sz="0" w:space="0" w:color="auto"/>
      </w:divBdr>
    </w:div>
    <w:div w:id="1478035253">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02818184">
      <w:bodyDiv w:val="1"/>
      <w:marLeft w:val="0"/>
      <w:marRight w:val="0"/>
      <w:marTop w:val="0"/>
      <w:marBottom w:val="0"/>
      <w:divBdr>
        <w:top w:val="none" w:sz="0" w:space="0" w:color="auto"/>
        <w:left w:val="none" w:sz="0" w:space="0" w:color="auto"/>
        <w:bottom w:val="none" w:sz="0" w:space="0" w:color="auto"/>
        <w:right w:val="none" w:sz="0" w:space="0" w:color="auto"/>
      </w:divBdr>
    </w:div>
    <w:div w:id="1505627656">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24705102">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33032035">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47252910">
      <w:bodyDiv w:val="1"/>
      <w:marLeft w:val="0"/>
      <w:marRight w:val="0"/>
      <w:marTop w:val="0"/>
      <w:marBottom w:val="0"/>
      <w:divBdr>
        <w:top w:val="none" w:sz="0" w:space="0" w:color="auto"/>
        <w:left w:val="none" w:sz="0" w:space="0" w:color="auto"/>
        <w:bottom w:val="none" w:sz="0" w:space="0" w:color="auto"/>
        <w:right w:val="none" w:sz="0" w:space="0" w:color="auto"/>
      </w:divBdr>
    </w:div>
    <w:div w:id="1554392285">
      <w:bodyDiv w:val="1"/>
      <w:marLeft w:val="0"/>
      <w:marRight w:val="0"/>
      <w:marTop w:val="0"/>
      <w:marBottom w:val="0"/>
      <w:divBdr>
        <w:top w:val="none" w:sz="0" w:space="0" w:color="auto"/>
        <w:left w:val="none" w:sz="0" w:space="0" w:color="auto"/>
        <w:bottom w:val="none" w:sz="0" w:space="0" w:color="auto"/>
        <w:right w:val="none" w:sz="0" w:space="0" w:color="auto"/>
      </w:divBdr>
    </w:div>
    <w:div w:id="1575512696">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2908814">
      <w:bodyDiv w:val="1"/>
      <w:marLeft w:val="0"/>
      <w:marRight w:val="0"/>
      <w:marTop w:val="0"/>
      <w:marBottom w:val="0"/>
      <w:divBdr>
        <w:top w:val="none" w:sz="0" w:space="0" w:color="auto"/>
        <w:left w:val="none" w:sz="0" w:space="0" w:color="auto"/>
        <w:bottom w:val="none" w:sz="0" w:space="0" w:color="auto"/>
        <w:right w:val="none" w:sz="0" w:space="0" w:color="auto"/>
      </w:divBdr>
    </w:div>
    <w:div w:id="1585798713">
      <w:bodyDiv w:val="1"/>
      <w:marLeft w:val="0"/>
      <w:marRight w:val="0"/>
      <w:marTop w:val="0"/>
      <w:marBottom w:val="0"/>
      <w:divBdr>
        <w:top w:val="none" w:sz="0" w:space="0" w:color="auto"/>
        <w:left w:val="none" w:sz="0" w:space="0" w:color="auto"/>
        <w:bottom w:val="none" w:sz="0" w:space="0" w:color="auto"/>
        <w:right w:val="none" w:sz="0" w:space="0" w:color="auto"/>
      </w:divBdr>
    </w:div>
    <w:div w:id="1589651827">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526525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08081038">
      <w:bodyDiv w:val="1"/>
      <w:marLeft w:val="0"/>
      <w:marRight w:val="0"/>
      <w:marTop w:val="0"/>
      <w:marBottom w:val="0"/>
      <w:divBdr>
        <w:top w:val="none" w:sz="0" w:space="0" w:color="auto"/>
        <w:left w:val="none" w:sz="0" w:space="0" w:color="auto"/>
        <w:bottom w:val="none" w:sz="0" w:space="0" w:color="auto"/>
        <w:right w:val="none" w:sz="0" w:space="0" w:color="auto"/>
      </w:divBdr>
    </w:div>
    <w:div w:id="1622688637">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31473686">
      <w:bodyDiv w:val="1"/>
      <w:marLeft w:val="0"/>
      <w:marRight w:val="0"/>
      <w:marTop w:val="0"/>
      <w:marBottom w:val="0"/>
      <w:divBdr>
        <w:top w:val="none" w:sz="0" w:space="0" w:color="auto"/>
        <w:left w:val="none" w:sz="0" w:space="0" w:color="auto"/>
        <w:bottom w:val="none" w:sz="0" w:space="0" w:color="auto"/>
        <w:right w:val="none" w:sz="0" w:space="0" w:color="auto"/>
      </w:divBdr>
    </w:div>
    <w:div w:id="1635331291">
      <w:bodyDiv w:val="1"/>
      <w:marLeft w:val="0"/>
      <w:marRight w:val="0"/>
      <w:marTop w:val="0"/>
      <w:marBottom w:val="0"/>
      <w:divBdr>
        <w:top w:val="none" w:sz="0" w:space="0" w:color="auto"/>
        <w:left w:val="none" w:sz="0" w:space="0" w:color="auto"/>
        <w:bottom w:val="none" w:sz="0" w:space="0" w:color="auto"/>
        <w:right w:val="none" w:sz="0" w:space="0" w:color="auto"/>
      </w:divBdr>
    </w:div>
    <w:div w:id="1646352923">
      <w:bodyDiv w:val="1"/>
      <w:marLeft w:val="0"/>
      <w:marRight w:val="0"/>
      <w:marTop w:val="0"/>
      <w:marBottom w:val="0"/>
      <w:divBdr>
        <w:top w:val="none" w:sz="0" w:space="0" w:color="auto"/>
        <w:left w:val="none" w:sz="0" w:space="0" w:color="auto"/>
        <w:bottom w:val="none" w:sz="0" w:space="0" w:color="auto"/>
        <w:right w:val="none" w:sz="0" w:space="0" w:color="auto"/>
      </w:divBdr>
    </w:div>
    <w:div w:id="1659529272">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66280602">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4187550">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690908523">
      <w:bodyDiv w:val="1"/>
      <w:marLeft w:val="0"/>
      <w:marRight w:val="0"/>
      <w:marTop w:val="0"/>
      <w:marBottom w:val="0"/>
      <w:divBdr>
        <w:top w:val="none" w:sz="0" w:space="0" w:color="auto"/>
        <w:left w:val="none" w:sz="0" w:space="0" w:color="auto"/>
        <w:bottom w:val="none" w:sz="0" w:space="0" w:color="auto"/>
        <w:right w:val="none" w:sz="0" w:space="0" w:color="auto"/>
      </w:divBdr>
    </w:div>
    <w:div w:id="1692296180">
      <w:bodyDiv w:val="1"/>
      <w:marLeft w:val="0"/>
      <w:marRight w:val="0"/>
      <w:marTop w:val="0"/>
      <w:marBottom w:val="0"/>
      <w:divBdr>
        <w:top w:val="none" w:sz="0" w:space="0" w:color="auto"/>
        <w:left w:val="none" w:sz="0" w:space="0" w:color="auto"/>
        <w:bottom w:val="none" w:sz="0" w:space="0" w:color="auto"/>
        <w:right w:val="none" w:sz="0" w:space="0" w:color="auto"/>
      </w:divBdr>
    </w:div>
    <w:div w:id="1699314926">
      <w:bodyDiv w:val="1"/>
      <w:marLeft w:val="0"/>
      <w:marRight w:val="0"/>
      <w:marTop w:val="0"/>
      <w:marBottom w:val="0"/>
      <w:divBdr>
        <w:top w:val="none" w:sz="0" w:space="0" w:color="auto"/>
        <w:left w:val="none" w:sz="0" w:space="0" w:color="auto"/>
        <w:bottom w:val="none" w:sz="0" w:space="0" w:color="auto"/>
        <w:right w:val="none" w:sz="0" w:space="0" w:color="auto"/>
      </w:divBdr>
    </w:div>
    <w:div w:id="1710181681">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7587310">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24717931">
      <w:bodyDiv w:val="1"/>
      <w:marLeft w:val="0"/>
      <w:marRight w:val="0"/>
      <w:marTop w:val="0"/>
      <w:marBottom w:val="0"/>
      <w:divBdr>
        <w:top w:val="none" w:sz="0" w:space="0" w:color="auto"/>
        <w:left w:val="none" w:sz="0" w:space="0" w:color="auto"/>
        <w:bottom w:val="none" w:sz="0" w:space="0" w:color="auto"/>
        <w:right w:val="none" w:sz="0" w:space="0" w:color="auto"/>
      </w:divBdr>
    </w:div>
    <w:div w:id="1758597392">
      <w:bodyDiv w:val="1"/>
      <w:marLeft w:val="0"/>
      <w:marRight w:val="0"/>
      <w:marTop w:val="0"/>
      <w:marBottom w:val="0"/>
      <w:divBdr>
        <w:top w:val="none" w:sz="0" w:space="0" w:color="auto"/>
        <w:left w:val="none" w:sz="0" w:space="0" w:color="auto"/>
        <w:bottom w:val="none" w:sz="0" w:space="0" w:color="auto"/>
        <w:right w:val="none" w:sz="0" w:space="0" w:color="auto"/>
      </w:divBdr>
    </w:div>
    <w:div w:id="1774669150">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01799390">
      <w:bodyDiv w:val="1"/>
      <w:marLeft w:val="0"/>
      <w:marRight w:val="0"/>
      <w:marTop w:val="0"/>
      <w:marBottom w:val="0"/>
      <w:divBdr>
        <w:top w:val="none" w:sz="0" w:space="0" w:color="auto"/>
        <w:left w:val="none" w:sz="0" w:space="0" w:color="auto"/>
        <w:bottom w:val="none" w:sz="0" w:space="0" w:color="auto"/>
        <w:right w:val="none" w:sz="0" w:space="0" w:color="auto"/>
      </w:divBdr>
    </w:div>
    <w:div w:id="1804883958">
      <w:bodyDiv w:val="1"/>
      <w:marLeft w:val="0"/>
      <w:marRight w:val="0"/>
      <w:marTop w:val="0"/>
      <w:marBottom w:val="0"/>
      <w:divBdr>
        <w:top w:val="none" w:sz="0" w:space="0" w:color="auto"/>
        <w:left w:val="none" w:sz="0" w:space="0" w:color="auto"/>
        <w:bottom w:val="none" w:sz="0" w:space="0" w:color="auto"/>
        <w:right w:val="none" w:sz="0" w:space="0" w:color="auto"/>
      </w:divBdr>
    </w:div>
    <w:div w:id="1817406802">
      <w:bodyDiv w:val="1"/>
      <w:marLeft w:val="0"/>
      <w:marRight w:val="0"/>
      <w:marTop w:val="0"/>
      <w:marBottom w:val="0"/>
      <w:divBdr>
        <w:top w:val="none" w:sz="0" w:space="0" w:color="auto"/>
        <w:left w:val="none" w:sz="0" w:space="0" w:color="auto"/>
        <w:bottom w:val="none" w:sz="0" w:space="0" w:color="auto"/>
        <w:right w:val="none" w:sz="0" w:space="0" w:color="auto"/>
      </w:divBdr>
    </w:div>
    <w:div w:id="1820993811">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43158768">
      <w:bodyDiv w:val="1"/>
      <w:marLeft w:val="0"/>
      <w:marRight w:val="0"/>
      <w:marTop w:val="0"/>
      <w:marBottom w:val="0"/>
      <w:divBdr>
        <w:top w:val="none" w:sz="0" w:space="0" w:color="auto"/>
        <w:left w:val="none" w:sz="0" w:space="0" w:color="auto"/>
        <w:bottom w:val="none" w:sz="0" w:space="0" w:color="auto"/>
        <w:right w:val="none" w:sz="0" w:space="0" w:color="auto"/>
      </w:divBdr>
    </w:div>
    <w:div w:id="1845171669">
      <w:bodyDiv w:val="1"/>
      <w:marLeft w:val="0"/>
      <w:marRight w:val="0"/>
      <w:marTop w:val="0"/>
      <w:marBottom w:val="0"/>
      <w:divBdr>
        <w:top w:val="none" w:sz="0" w:space="0" w:color="auto"/>
        <w:left w:val="none" w:sz="0" w:space="0" w:color="auto"/>
        <w:bottom w:val="none" w:sz="0" w:space="0" w:color="auto"/>
        <w:right w:val="none" w:sz="0" w:space="0" w:color="auto"/>
      </w:divBdr>
    </w:div>
    <w:div w:id="1846094343">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00751959">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27807515">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31691951">
      <w:bodyDiv w:val="1"/>
      <w:marLeft w:val="0"/>
      <w:marRight w:val="0"/>
      <w:marTop w:val="0"/>
      <w:marBottom w:val="0"/>
      <w:divBdr>
        <w:top w:val="none" w:sz="0" w:space="0" w:color="auto"/>
        <w:left w:val="none" w:sz="0" w:space="0" w:color="auto"/>
        <w:bottom w:val="none" w:sz="0" w:space="0" w:color="auto"/>
        <w:right w:val="none" w:sz="0" w:space="0" w:color="auto"/>
      </w:divBdr>
    </w:div>
    <w:div w:id="1940217355">
      <w:bodyDiv w:val="1"/>
      <w:marLeft w:val="0"/>
      <w:marRight w:val="0"/>
      <w:marTop w:val="0"/>
      <w:marBottom w:val="0"/>
      <w:divBdr>
        <w:top w:val="none" w:sz="0" w:space="0" w:color="auto"/>
        <w:left w:val="none" w:sz="0" w:space="0" w:color="auto"/>
        <w:bottom w:val="none" w:sz="0" w:space="0" w:color="auto"/>
        <w:right w:val="none" w:sz="0" w:space="0" w:color="auto"/>
      </w:divBdr>
    </w:div>
    <w:div w:id="1940719826">
      <w:bodyDiv w:val="1"/>
      <w:marLeft w:val="0"/>
      <w:marRight w:val="0"/>
      <w:marTop w:val="0"/>
      <w:marBottom w:val="0"/>
      <w:divBdr>
        <w:top w:val="none" w:sz="0" w:space="0" w:color="auto"/>
        <w:left w:val="none" w:sz="0" w:space="0" w:color="auto"/>
        <w:bottom w:val="none" w:sz="0" w:space="0" w:color="auto"/>
        <w:right w:val="none" w:sz="0" w:space="0" w:color="auto"/>
      </w:divBdr>
    </w:div>
    <w:div w:id="1941066881">
      <w:bodyDiv w:val="1"/>
      <w:marLeft w:val="0"/>
      <w:marRight w:val="0"/>
      <w:marTop w:val="0"/>
      <w:marBottom w:val="0"/>
      <w:divBdr>
        <w:top w:val="none" w:sz="0" w:space="0" w:color="auto"/>
        <w:left w:val="none" w:sz="0" w:space="0" w:color="auto"/>
        <w:bottom w:val="none" w:sz="0" w:space="0" w:color="auto"/>
        <w:right w:val="none" w:sz="0" w:space="0" w:color="auto"/>
      </w:divBdr>
    </w:div>
    <w:div w:id="1958481639">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67077631">
      <w:bodyDiv w:val="1"/>
      <w:marLeft w:val="0"/>
      <w:marRight w:val="0"/>
      <w:marTop w:val="0"/>
      <w:marBottom w:val="0"/>
      <w:divBdr>
        <w:top w:val="none" w:sz="0" w:space="0" w:color="auto"/>
        <w:left w:val="none" w:sz="0" w:space="0" w:color="auto"/>
        <w:bottom w:val="none" w:sz="0" w:space="0" w:color="auto"/>
        <w:right w:val="none" w:sz="0" w:space="0" w:color="auto"/>
      </w:divBdr>
    </w:div>
    <w:div w:id="1982151695">
      <w:bodyDiv w:val="1"/>
      <w:marLeft w:val="0"/>
      <w:marRight w:val="0"/>
      <w:marTop w:val="0"/>
      <w:marBottom w:val="0"/>
      <w:divBdr>
        <w:top w:val="none" w:sz="0" w:space="0" w:color="auto"/>
        <w:left w:val="none" w:sz="0" w:space="0" w:color="auto"/>
        <w:bottom w:val="none" w:sz="0" w:space="0" w:color="auto"/>
        <w:right w:val="none" w:sz="0" w:space="0" w:color="auto"/>
      </w:divBdr>
    </w:div>
    <w:div w:id="1983385338">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3647814">
      <w:bodyDiv w:val="1"/>
      <w:marLeft w:val="0"/>
      <w:marRight w:val="0"/>
      <w:marTop w:val="0"/>
      <w:marBottom w:val="0"/>
      <w:divBdr>
        <w:top w:val="none" w:sz="0" w:space="0" w:color="auto"/>
        <w:left w:val="none" w:sz="0" w:space="0" w:color="auto"/>
        <w:bottom w:val="none" w:sz="0" w:space="0" w:color="auto"/>
        <w:right w:val="none" w:sz="0" w:space="0" w:color="auto"/>
      </w:divBdr>
    </w:div>
    <w:div w:id="203889358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3109">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57386374">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68994636">
      <w:bodyDiv w:val="1"/>
      <w:marLeft w:val="0"/>
      <w:marRight w:val="0"/>
      <w:marTop w:val="0"/>
      <w:marBottom w:val="0"/>
      <w:divBdr>
        <w:top w:val="none" w:sz="0" w:space="0" w:color="auto"/>
        <w:left w:val="none" w:sz="0" w:space="0" w:color="auto"/>
        <w:bottom w:val="none" w:sz="0" w:space="0" w:color="auto"/>
        <w:right w:val="none" w:sz="0" w:space="0" w:color="auto"/>
      </w:divBdr>
    </w:div>
    <w:div w:id="2075152761">
      <w:bodyDiv w:val="1"/>
      <w:marLeft w:val="0"/>
      <w:marRight w:val="0"/>
      <w:marTop w:val="0"/>
      <w:marBottom w:val="0"/>
      <w:divBdr>
        <w:top w:val="none" w:sz="0" w:space="0" w:color="auto"/>
        <w:left w:val="none" w:sz="0" w:space="0" w:color="auto"/>
        <w:bottom w:val="none" w:sz="0" w:space="0" w:color="auto"/>
        <w:right w:val="none" w:sz="0" w:space="0" w:color="auto"/>
      </w:divBdr>
    </w:div>
    <w:div w:id="2082406638">
      <w:bodyDiv w:val="1"/>
      <w:marLeft w:val="0"/>
      <w:marRight w:val="0"/>
      <w:marTop w:val="0"/>
      <w:marBottom w:val="0"/>
      <w:divBdr>
        <w:top w:val="none" w:sz="0" w:space="0" w:color="auto"/>
        <w:left w:val="none" w:sz="0" w:space="0" w:color="auto"/>
        <w:bottom w:val="none" w:sz="0" w:space="0" w:color="auto"/>
        <w:right w:val="none" w:sz="0" w:space="0" w:color="auto"/>
      </w:divBdr>
    </w:div>
    <w:div w:id="2086220595">
      <w:bodyDiv w:val="1"/>
      <w:marLeft w:val="0"/>
      <w:marRight w:val="0"/>
      <w:marTop w:val="0"/>
      <w:marBottom w:val="0"/>
      <w:divBdr>
        <w:top w:val="none" w:sz="0" w:space="0" w:color="auto"/>
        <w:left w:val="none" w:sz="0" w:space="0" w:color="auto"/>
        <w:bottom w:val="none" w:sz="0" w:space="0" w:color="auto"/>
        <w:right w:val="none" w:sz="0" w:space="0" w:color="auto"/>
      </w:divBdr>
    </w:div>
    <w:div w:id="2091465241">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095083083">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 w:id="2120761602">
      <w:bodyDiv w:val="1"/>
      <w:marLeft w:val="0"/>
      <w:marRight w:val="0"/>
      <w:marTop w:val="0"/>
      <w:marBottom w:val="0"/>
      <w:divBdr>
        <w:top w:val="none" w:sz="0" w:space="0" w:color="auto"/>
        <w:left w:val="none" w:sz="0" w:space="0" w:color="auto"/>
        <w:bottom w:val="none" w:sz="0" w:space="0" w:color="auto"/>
        <w:right w:val="none" w:sz="0" w:space="0" w:color="auto"/>
      </w:divBdr>
    </w:div>
    <w:div w:id="21375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sreviews@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ra.org.au/project/the-prevalence-of-neuromyelitis-optica-in-australia-and-new-zealand-and-a-blood-test-for-its-diagnosis/"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NPS\DoH\MBS%20Review\Report%20template\Pathology%20Clinical%20Committee%20repor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1</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2</b:RefOrder>
  </b:Source>
</b:Sources>
</file>

<file path=customXml/itemProps1.xml><?xml version="1.0" encoding="utf-8"?>
<ds:datastoreItem xmlns:ds="http://schemas.openxmlformats.org/officeDocument/2006/customXml" ds:itemID="{9B342ABD-FCA3-44DE-8498-C050CB9B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Pathology Clinical Committee report template.dotm</Template>
  <TotalTime>0</TotalTime>
  <Pages>46</Pages>
  <Words>19152</Words>
  <Characters>109172</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Pathology Clinical Committee – Immunology</vt:lpstr>
    </vt:vector>
  </TitlesOfParts>
  <Company/>
  <LinksUpToDate>false</LinksUpToDate>
  <CharactersWithSpaces>128068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Report from the Pathology Clinical Committee – Immunology</dc:title>
  <dc:subject>Medicare Benefits Schedule </dc:subject>
  <dc:creator>Australian Government Department of Health </dc:creator>
  <cp:keywords/>
  <dc:description>_x000d_
</dc:description>
  <cp:lastModifiedBy>SMEDLEY, Tyne</cp:lastModifiedBy>
  <cp:revision>2</cp:revision>
  <cp:lastPrinted>2018-01-12T03:14:00Z</cp:lastPrinted>
  <dcterms:created xsi:type="dcterms:W3CDTF">2021-06-29T01:43:00Z</dcterms:created>
  <dcterms:modified xsi:type="dcterms:W3CDTF">2021-06-29T01:43:00Z</dcterms:modified>
  <cp:category/>
  <cp:contentStatus>Final</cp:contentStatus>
</cp:coreProperties>
</file>