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AC2DE" w14:textId="77777777" w:rsidR="00A919FB" w:rsidRPr="00FC1976" w:rsidRDefault="00A919FB" w:rsidP="00CE36BE">
      <w:pPr>
        <w:pStyle w:val="Subtitle"/>
        <w:pBdr>
          <w:top w:val="double" w:sz="4" w:space="6" w:color="B66113"/>
          <w:bottom w:val="double" w:sz="4" w:space="6" w:color="B66113"/>
        </w:pBdr>
        <w:ind w:right="-188"/>
        <w:jc w:val="center"/>
        <w:rPr>
          <w:lang w:val="en-AU"/>
        </w:rPr>
      </w:pPr>
      <w:bookmarkStart w:id="0" w:name="_Toc448369494"/>
      <w:bookmarkStart w:id="1" w:name="_Toc427153112"/>
      <w:r w:rsidRPr="00FC1976">
        <w:rPr>
          <w:rFonts w:asciiTheme="minorHAnsi" w:hAnsiTheme="minorHAnsi"/>
          <w:b/>
          <w:color w:val="01653F"/>
          <w:sz w:val="48"/>
          <w:lang w:val="en-AU"/>
        </w:rPr>
        <w:t>Medicare Benefits Schedule Review Taskforce</w:t>
      </w:r>
      <w:r w:rsidR="007B0B8F" w:rsidRPr="00FC1976">
        <w:rPr>
          <w:rFonts w:asciiTheme="minorHAnsi" w:hAnsiTheme="minorHAnsi"/>
          <w:b/>
          <w:color w:val="01653F"/>
          <w:sz w:val="48"/>
          <w:lang w:val="en-AU"/>
        </w:rPr>
        <w:br/>
      </w:r>
      <w:r w:rsidR="007B0B8F" w:rsidRPr="00FC1976">
        <w:rPr>
          <w:rFonts w:asciiTheme="minorHAnsi" w:hAnsiTheme="minorHAnsi"/>
          <w:b/>
          <w:color w:val="01653F"/>
          <w:sz w:val="48"/>
          <w:lang w:val="en-AU"/>
        </w:rPr>
        <w:br/>
      </w:r>
      <w:r w:rsidR="007B0B8F" w:rsidRPr="00FC1976">
        <w:rPr>
          <w:rFonts w:asciiTheme="minorHAnsi" w:hAnsiTheme="minorHAnsi"/>
          <w:b/>
          <w:color w:val="01653F"/>
          <w:sz w:val="48"/>
          <w:lang w:val="en-AU"/>
        </w:rPr>
        <w:br/>
      </w:r>
      <w:r w:rsidRPr="00FC1976">
        <w:rPr>
          <w:rFonts w:asciiTheme="minorHAnsi" w:hAnsiTheme="minorHAnsi"/>
          <w:b/>
          <w:color w:val="000000" w:themeColor="text1"/>
          <w:sz w:val="60"/>
          <w:lang w:val="en-AU"/>
        </w:rPr>
        <w:t xml:space="preserve">Report from the </w:t>
      </w:r>
      <w:r w:rsidR="00C5240A">
        <w:rPr>
          <w:rFonts w:asciiTheme="minorHAnsi" w:hAnsiTheme="minorHAnsi"/>
          <w:b/>
          <w:color w:val="000000" w:themeColor="text1"/>
          <w:sz w:val="60"/>
          <w:lang w:val="en-AU"/>
        </w:rPr>
        <w:t>Pathology</w:t>
      </w:r>
      <w:r w:rsidR="007B0B8F" w:rsidRPr="00FC1976">
        <w:rPr>
          <w:rFonts w:asciiTheme="minorHAnsi" w:hAnsiTheme="minorHAnsi"/>
          <w:b/>
          <w:color w:val="000000" w:themeColor="text1"/>
          <w:sz w:val="60"/>
          <w:lang w:val="en-AU"/>
        </w:rPr>
        <w:t xml:space="preserve"> </w:t>
      </w:r>
      <w:r w:rsidRPr="00FC1976">
        <w:rPr>
          <w:rFonts w:asciiTheme="minorHAnsi" w:hAnsiTheme="minorHAnsi"/>
          <w:b/>
          <w:color w:val="000000" w:themeColor="text1"/>
          <w:sz w:val="60"/>
          <w:lang w:val="en-AU"/>
        </w:rPr>
        <w:t>Clinical Committee</w:t>
      </w:r>
      <w:r w:rsidR="001576E8">
        <w:rPr>
          <w:rFonts w:asciiTheme="minorHAnsi" w:hAnsiTheme="minorHAnsi"/>
          <w:b/>
          <w:color w:val="000000" w:themeColor="text1"/>
          <w:sz w:val="60"/>
          <w:lang w:val="en-AU"/>
        </w:rPr>
        <w:t>-Haematology</w:t>
      </w:r>
      <w:r w:rsidRPr="00FC1976">
        <w:rPr>
          <w:color w:val="01653F"/>
          <w:sz w:val="60"/>
          <w:lang w:val="en-AU"/>
        </w:rPr>
        <w:br/>
      </w:r>
      <w:r w:rsidRPr="00FC1976">
        <w:rPr>
          <w:color w:val="01653F"/>
          <w:sz w:val="60"/>
          <w:lang w:val="en-AU"/>
        </w:rPr>
        <w:br/>
      </w:r>
      <w:r w:rsidR="004D086C">
        <w:rPr>
          <w:rFonts w:asciiTheme="minorHAnsi" w:hAnsiTheme="minorHAnsi"/>
          <w:b/>
          <w:color w:val="01653F"/>
          <w:sz w:val="48"/>
          <w:lang w:val="en-AU"/>
        </w:rPr>
        <w:t xml:space="preserve">October </w:t>
      </w:r>
      <w:r w:rsidR="00384682">
        <w:rPr>
          <w:rFonts w:asciiTheme="minorHAnsi" w:hAnsiTheme="minorHAnsi"/>
          <w:b/>
          <w:color w:val="01653F"/>
          <w:sz w:val="48"/>
          <w:lang w:val="en-AU"/>
        </w:rPr>
        <w:t>2017</w:t>
      </w:r>
      <w:r w:rsidR="00BE1330">
        <w:rPr>
          <w:rFonts w:asciiTheme="minorHAnsi" w:hAnsiTheme="minorHAnsi"/>
          <w:b/>
          <w:color w:val="01653F"/>
          <w:sz w:val="48"/>
          <w:lang w:val="en-AU"/>
        </w:rPr>
        <w:t xml:space="preserve"> </w:t>
      </w:r>
      <w:r w:rsidR="004D086C">
        <w:rPr>
          <w:rFonts w:asciiTheme="minorHAnsi" w:hAnsiTheme="minorHAnsi"/>
          <w:b/>
          <w:color w:val="01653F"/>
          <w:sz w:val="48"/>
          <w:lang w:val="en-AU"/>
        </w:rPr>
        <w:t>v1</w:t>
      </w:r>
    </w:p>
    <w:p w14:paraId="6DF26F20" w14:textId="77777777" w:rsidR="00A919FB" w:rsidRPr="00FC1976" w:rsidRDefault="00A919FB" w:rsidP="00A919FB">
      <w:pPr>
        <w:rPr>
          <w:lang w:val="en-AU"/>
        </w:rPr>
      </w:pPr>
    </w:p>
    <w:p w14:paraId="089E0C79" w14:textId="77777777" w:rsidR="00B1476E" w:rsidRPr="00FC1976" w:rsidRDefault="00B1476E" w:rsidP="00A919FB">
      <w:pPr>
        <w:rPr>
          <w:lang w:val="en-AU"/>
        </w:rPr>
        <w:sectPr w:rsidR="00B1476E" w:rsidRPr="00FC1976" w:rsidSect="0048563C">
          <w:footerReference w:type="default" r:id="rId8"/>
          <w:footerReference w:type="first" r:id="rId9"/>
          <w:footnotePr>
            <w:pos w:val="beneathText"/>
            <w:numFmt w:val="lowerRoman"/>
          </w:footnotePr>
          <w:pgSz w:w="11906" w:h="16838" w:code="9"/>
          <w:pgMar w:top="1440" w:right="1440" w:bottom="1276" w:left="1440" w:header="720" w:footer="720" w:gutter="0"/>
          <w:paperSrc w:first="2" w:other="2"/>
          <w:cols w:space="720"/>
          <w:docGrid w:linePitch="326"/>
        </w:sectPr>
      </w:pPr>
    </w:p>
    <w:p w14:paraId="32513C86" w14:textId="77777777" w:rsidR="007606F4" w:rsidRPr="00FC1976" w:rsidRDefault="00D11360" w:rsidP="007606F4">
      <w:pPr>
        <w:rPr>
          <w:lang w:val="en-AU"/>
        </w:rPr>
      </w:pPr>
      <w:r>
        <w:rPr>
          <w:lang w:val="en-AU"/>
        </w:rPr>
        <w:object w:dxaOrig="9112" w:dyaOrig="6144" w14:anchorId="5BE0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portant note&#10;The views and recommendations in this report from the Clinical Committee have been released for the purpose of seeking the views of stakeholders. &#10;This report does not constitute the final position on these items, which is subject to: &#10;Δ Stakeholder feedback.&#10;Then&#10;Δ Consideration by the MBS Review Taskforce.&#10;Then, if endorsed, consideration by&#10;Δ The Minister for Health. &#10;Δ The Government.&#10;Stakeholders should provide comment on the recommendations via mbsreviews@health.gov.au.&#10;Confidentiality of comments: &#10;If you would like your feedback to remain confidential, please mark it as such. It is important to be aware that confidential feedback may still be subject to access under freedom of information law.&#10;" style="width:455pt;height:307.5pt" o:ole="">
            <v:imagedata r:id="rId10" o:title=""/>
          </v:shape>
          <o:OLEObject Type="Embed" ProgID="Word.Document.12" ShapeID="_x0000_i1025" DrawAspect="Content" ObjectID="_1686472016" r:id="rId11">
            <o:FieldCodes>\s</o:FieldCodes>
          </o:OLEObject>
        </w:object>
      </w:r>
    </w:p>
    <w:p w14:paraId="718BADDA" w14:textId="77777777" w:rsidR="00262127" w:rsidRPr="00FC1976" w:rsidRDefault="00262127" w:rsidP="00082595">
      <w:pPr>
        <w:rPr>
          <w:lang w:val="en-AU"/>
        </w:rPr>
      </w:pPr>
      <w:r w:rsidRPr="00FC1976">
        <w:rPr>
          <w:lang w:val="en-AU"/>
        </w:rPr>
        <w:br w:type="page"/>
      </w:r>
    </w:p>
    <w:p w14:paraId="169987D9" w14:textId="77777777" w:rsidR="00CE268D" w:rsidRPr="00A773F4" w:rsidRDefault="00C56DF9" w:rsidP="00A773F4">
      <w:pPr>
        <w:rPr>
          <w:b/>
          <w:color w:val="01653F"/>
          <w:sz w:val="32"/>
          <w:lang w:val="en-AU"/>
        </w:rPr>
      </w:pPr>
      <w:r w:rsidRPr="00FC1976">
        <w:rPr>
          <w:b/>
          <w:color w:val="01653F"/>
          <w:sz w:val="32"/>
          <w:lang w:val="en-AU"/>
        </w:rPr>
        <w:lastRenderedPageBreak/>
        <w:t>Table of Contents</w:t>
      </w:r>
      <w:bookmarkEnd w:id="0"/>
    </w:p>
    <w:p w14:paraId="1AFD48DB" w14:textId="77777777" w:rsidR="00193FB6" w:rsidRDefault="00A5097F">
      <w:pPr>
        <w:pStyle w:val="TOC1"/>
        <w:tabs>
          <w:tab w:val="right" w:leader="dot" w:pos="9016"/>
        </w:tabs>
        <w:rPr>
          <w:rFonts w:eastAsiaTheme="minorEastAsia" w:cstheme="minorBidi"/>
          <w:b w:val="0"/>
          <w:bCs w:val="0"/>
          <w:noProof/>
          <w:sz w:val="22"/>
          <w:szCs w:val="22"/>
          <w:lang w:val="en-AU"/>
        </w:rPr>
      </w:pPr>
      <w:r w:rsidRPr="00FC1976">
        <w:rPr>
          <w:lang w:val="en-AU"/>
        </w:rPr>
        <w:fldChar w:fldCharType="begin"/>
      </w:r>
      <w:r w:rsidRPr="00FC1976">
        <w:rPr>
          <w:lang w:val="en-AU"/>
        </w:rPr>
        <w:instrText xml:space="preserve"> TOC \h \z \u \t "Heading 1,1,Heading 2,2,Heading 3,3</w:instrText>
      </w:r>
      <w:r w:rsidR="001D17CD" w:rsidRPr="00FC1976">
        <w:rPr>
          <w:lang w:val="en-AU"/>
        </w:rPr>
        <w:instrText>, Appendix Style 1, 1</w:instrText>
      </w:r>
      <w:r w:rsidRPr="00FC1976">
        <w:rPr>
          <w:lang w:val="en-AU"/>
        </w:rPr>
        <w:instrText xml:space="preserve">" </w:instrText>
      </w:r>
      <w:r w:rsidRPr="00FC1976">
        <w:rPr>
          <w:lang w:val="en-AU"/>
        </w:rPr>
        <w:fldChar w:fldCharType="separate"/>
      </w:r>
      <w:hyperlink w:anchor="_Toc495403373" w:history="1">
        <w:r w:rsidR="00193FB6" w:rsidRPr="00BE6FCA">
          <w:rPr>
            <w:rStyle w:val="Hyperlink"/>
            <w:noProof/>
            <w:lang w:bidi="x-none"/>
            <w14:scene3d>
              <w14:camera w14:prst="orthographicFront"/>
              <w14:lightRig w14:rig="threePt" w14:dir="t">
                <w14:rot w14:lat="0" w14:lon="0" w14:rev="0"/>
              </w14:lightRig>
            </w14:scene3d>
          </w:rPr>
          <w:t>1.</w:t>
        </w:r>
        <w:r w:rsidR="00193FB6">
          <w:rPr>
            <w:rFonts w:eastAsiaTheme="minorEastAsia" w:cstheme="minorBidi"/>
            <w:b w:val="0"/>
            <w:bCs w:val="0"/>
            <w:noProof/>
            <w:sz w:val="22"/>
            <w:szCs w:val="22"/>
            <w:lang w:val="en-AU"/>
          </w:rPr>
          <w:tab/>
        </w:r>
        <w:r w:rsidR="00193FB6" w:rsidRPr="00BE6FCA">
          <w:rPr>
            <w:rStyle w:val="Hyperlink"/>
            <w:noProof/>
          </w:rPr>
          <w:t>Executive summary</w:t>
        </w:r>
        <w:r w:rsidR="00193FB6">
          <w:rPr>
            <w:noProof/>
            <w:webHidden/>
          </w:rPr>
          <w:tab/>
        </w:r>
        <w:r w:rsidR="00193FB6">
          <w:rPr>
            <w:noProof/>
            <w:webHidden/>
          </w:rPr>
          <w:fldChar w:fldCharType="begin"/>
        </w:r>
        <w:r w:rsidR="00193FB6">
          <w:rPr>
            <w:noProof/>
            <w:webHidden/>
          </w:rPr>
          <w:instrText xml:space="preserve"> PAGEREF _Toc495403373 \h </w:instrText>
        </w:r>
        <w:r w:rsidR="00193FB6">
          <w:rPr>
            <w:noProof/>
            <w:webHidden/>
          </w:rPr>
        </w:r>
        <w:r w:rsidR="00193FB6">
          <w:rPr>
            <w:noProof/>
            <w:webHidden/>
          </w:rPr>
          <w:fldChar w:fldCharType="separate"/>
        </w:r>
        <w:r w:rsidR="00755508">
          <w:rPr>
            <w:noProof/>
            <w:webHidden/>
          </w:rPr>
          <w:t>1</w:t>
        </w:r>
        <w:r w:rsidR="00193FB6">
          <w:rPr>
            <w:noProof/>
            <w:webHidden/>
          </w:rPr>
          <w:fldChar w:fldCharType="end"/>
        </w:r>
      </w:hyperlink>
    </w:p>
    <w:p w14:paraId="01E0B5CE" w14:textId="77777777" w:rsidR="00193FB6" w:rsidRDefault="00A01059">
      <w:pPr>
        <w:pStyle w:val="TOC2"/>
        <w:rPr>
          <w:rFonts w:eastAsiaTheme="minorEastAsia" w:cstheme="minorBidi"/>
          <w:i w:val="0"/>
          <w:iCs w:val="0"/>
          <w:noProof/>
          <w:sz w:val="22"/>
          <w:szCs w:val="22"/>
          <w:lang w:val="en-AU"/>
        </w:rPr>
      </w:pPr>
      <w:hyperlink w:anchor="_Toc495403374" w:history="1">
        <w:r w:rsidR="00193FB6" w:rsidRPr="00BE6FCA">
          <w:rPr>
            <w:rStyle w:val="Hyperlink"/>
            <w:noProof/>
            <w14:scene3d>
              <w14:camera w14:prst="orthographicFront"/>
              <w14:lightRig w14:rig="threePt" w14:dir="t">
                <w14:rot w14:lat="0" w14:lon="0" w14:rev="0"/>
              </w14:lightRig>
            </w14:scene3d>
          </w:rPr>
          <w:t>1.1</w:t>
        </w:r>
        <w:r w:rsidR="00193FB6">
          <w:rPr>
            <w:rFonts w:eastAsiaTheme="minorEastAsia" w:cstheme="minorBidi"/>
            <w:i w:val="0"/>
            <w:iCs w:val="0"/>
            <w:noProof/>
            <w:sz w:val="22"/>
            <w:szCs w:val="22"/>
            <w:lang w:val="en-AU"/>
          </w:rPr>
          <w:tab/>
        </w:r>
        <w:r w:rsidR="00193FB6" w:rsidRPr="00BE6FCA">
          <w:rPr>
            <w:rStyle w:val="Hyperlink"/>
            <w:noProof/>
          </w:rPr>
          <w:t>The Pathology Clinical Committee</w:t>
        </w:r>
        <w:r w:rsidR="00193FB6">
          <w:rPr>
            <w:noProof/>
            <w:webHidden/>
          </w:rPr>
          <w:tab/>
        </w:r>
        <w:r w:rsidR="00193FB6">
          <w:rPr>
            <w:noProof/>
            <w:webHidden/>
          </w:rPr>
          <w:fldChar w:fldCharType="begin"/>
        </w:r>
        <w:r w:rsidR="00193FB6">
          <w:rPr>
            <w:noProof/>
            <w:webHidden/>
          </w:rPr>
          <w:instrText xml:space="preserve"> PAGEREF _Toc495403374 \h </w:instrText>
        </w:r>
        <w:r w:rsidR="00193FB6">
          <w:rPr>
            <w:noProof/>
            <w:webHidden/>
          </w:rPr>
        </w:r>
        <w:r w:rsidR="00193FB6">
          <w:rPr>
            <w:noProof/>
            <w:webHidden/>
          </w:rPr>
          <w:fldChar w:fldCharType="separate"/>
        </w:r>
        <w:r w:rsidR="00755508">
          <w:rPr>
            <w:noProof/>
            <w:webHidden/>
          </w:rPr>
          <w:t>1</w:t>
        </w:r>
        <w:r w:rsidR="00193FB6">
          <w:rPr>
            <w:noProof/>
            <w:webHidden/>
          </w:rPr>
          <w:fldChar w:fldCharType="end"/>
        </w:r>
      </w:hyperlink>
    </w:p>
    <w:p w14:paraId="24AB54D0" w14:textId="77777777" w:rsidR="00193FB6" w:rsidRDefault="00A01059">
      <w:pPr>
        <w:pStyle w:val="TOC2"/>
        <w:rPr>
          <w:rFonts w:eastAsiaTheme="minorEastAsia" w:cstheme="minorBidi"/>
          <w:i w:val="0"/>
          <w:iCs w:val="0"/>
          <w:noProof/>
          <w:sz w:val="22"/>
          <w:szCs w:val="22"/>
          <w:lang w:val="en-AU"/>
        </w:rPr>
      </w:pPr>
      <w:hyperlink w:anchor="_Toc495403375" w:history="1">
        <w:r w:rsidR="00193FB6" w:rsidRPr="00BE6FCA">
          <w:rPr>
            <w:rStyle w:val="Hyperlink"/>
            <w:noProof/>
            <w14:scene3d>
              <w14:camera w14:prst="orthographicFront"/>
              <w14:lightRig w14:rig="threePt" w14:dir="t">
                <w14:rot w14:lat="0" w14:lon="0" w14:rev="0"/>
              </w14:lightRig>
            </w14:scene3d>
          </w:rPr>
          <w:t>1.2</w:t>
        </w:r>
        <w:r w:rsidR="00193FB6">
          <w:rPr>
            <w:rFonts w:eastAsiaTheme="minorEastAsia" w:cstheme="minorBidi"/>
            <w:i w:val="0"/>
            <w:iCs w:val="0"/>
            <w:noProof/>
            <w:sz w:val="22"/>
            <w:szCs w:val="22"/>
            <w:lang w:val="en-AU"/>
          </w:rPr>
          <w:tab/>
        </w:r>
        <w:r w:rsidR="00193FB6" w:rsidRPr="00BE6FCA">
          <w:rPr>
            <w:rStyle w:val="Hyperlink"/>
            <w:noProof/>
          </w:rPr>
          <w:t>Key recommendations</w:t>
        </w:r>
        <w:r w:rsidR="00193FB6">
          <w:rPr>
            <w:noProof/>
            <w:webHidden/>
          </w:rPr>
          <w:tab/>
        </w:r>
        <w:r w:rsidR="00193FB6">
          <w:rPr>
            <w:noProof/>
            <w:webHidden/>
          </w:rPr>
          <w:fldChar w:fldCharType="begin"/>
        </w:r>
        <w:r w:rsidR="00193FB6">
          <w:rPr>
            <w:noProof/>
            <w:webHidden/>
          </w:rPr>
          <w:instrText xml:space="preserve"> PAGEREF _Toc495403375 \h </w:instrText>
        </w:r>
        <w:r w:rsidR="00193FB6">
          <w:rPr>
            <w:noProof/>
            <w:webHidden/>
          </w:rPr>
        </w:r>
        <w:r w:rsidR="00193FB6">
          <w:rPr>
            <w:noProof/>
            <w:webHidden/>
          </w:rPr>
          <w:fldChar w:fldCharType="separate"/>
        </w:r>
        <w:r w:rsidR="00755508">
          <w:rPr>
            <w:noProof/>
            <w:webHidden/>
          </w:rPr>
          <w:t>2</w:t>
        </w:r>
        <w:r w:rsidR="00193FB6">
          <w:rPr>
            <w:noProof/>
            <w:webHidden/>
          </w:rPr>
          <w:fldChar w:fldCharType="end"/>
        </w:r>
      </w:hyperlink>
    </w:p>
    <w:p w14:paraId="5BE17326" w14:textId="77777777" w:rsidR="00193FB6" w:rsidRDefault="00A01059">
      <w:pPr>
        <w:pStyle w:val="TOC3"/>
        <w:tabs>
          <w:tab w:val="left" w:pos="1474"/>
        </w:tabs>
        <w:rPr>
          <w:rFonts w:eastAsiaTheme="minorEastAsia" w:cstheme="minorBidi"/>
          <w:noProof/>
          <w:sz w:val="22"/>
          <w:szCs w:val="22"/>
          <w:lang w:val="en-AU"/>
        </w:rPr>
      </w:pPr>
      <w:hyperlink w:anchor="_Toc495403376" w:history="1">
        <w:r w:rsidR="00193FB6" w:rsidRPr="00BE6FCA">
          <w:rPr>
            <w:rStyle w:val="Hyperlink"/>
            <w:noProof/>
            <w14:scene3d>
              <w14:camera w14:prst="orthographicFront"/>
              <w14:lightRig w14:rig="threePt" w14:dir="t">
                <w14:rot w14:lat="0" w14:lon="0" w14:rev="0"/>
              </w14:lightRig>
            </w14:scene3d>
          </w:rPr>
          <w:t>1.2.1</w:t>
        </w:r>
        <w:r w:rsidR="00193FB6">
          <w:rPr>
            <w:rFonts w:eastAsiaTheme="minorEastAsia" w:cstheme="minorBidi"/>
            <w:noProof/>
            <w:sz w:val="22"/>
            <w:szCs w:val="22"/>
            <w:lang w:val="en-AU"/>
          </w:rPr>
          <w:tab/>
        </w:r>
        <w:r w:rsidR="00193FB6" w:rsidRPr="00BE6FCA">
          <w:rPr>
            <w:rStyle w:val="Hyperlink"/>
            <w:noProof/>
          </w:rPr>
          <w:t>Recommendations for consultation</w:t>
        </w:r>
        <w:r w:rsidR="00193FB6">
          <w:rPr>
            <w:noProof/>
            <w:webHidden/>
          </w:rPr>
          <w:tab/>
        </w:r>
        <w:r w:rsidR="00193FB6">
          <w:rPr>
            <w:noProof/>
            <w:webHidden/>
          </w:rPr>
          <w:fldChar w:fldCharType="begin"/>
        </w:r>
        <w:r w:rsidR="00193FB6">
          <w:rPr>
            <w:noProof/>
            <w:webHidden/>
          </w:rPr>
          <w:instrText xml:space="preserve"> PAGEREF _Toc495403376 \h </w:instrText>
        </w:r>
        <w:r w:rsidR="00193FB6">
          <w:rPr>
            <w:noProof/>
            <w:webHidden/>
          </w:rPr>
        </w:r>
        <w:r w:rsidR="00193FB6">
          <w:rPr>
            <w:noProof/>
            <w:webHidden/>
          </w:rPr>
          <w:fldChar w:fldCharType="separate"/>
        </w:r>
        <w:r w:rsidR="00755508">
          <w:rPr>
            <w:noProof/>
            <w:webHidden/>
          </w:rPr>
          <w:t>2</w:t>
        </w:r>
        <w:r w:rsidR="00193FB6">
          <w:rPr>
            <w:noProof/>
            <w:webHidden/>
          </w:rPr>
          <w:fldChar w:fldCharType="end"/>
        </w:r>
      </w:hyperlink>
    </w:p>
    <w:p w14:paraId="730B6380" w14:textId="77777777" w:rsidR="00193FB6" w:rsidRDefault="00A01059">
      <w:pPr>
        <w:pStyle w:val="TOC3"/>
        <w:tabs>
          <w:tab w:val="left" w:pos="1474"/>
        </w:tabs>
        <w:rPr>
          <w:rFonts w:eastAsiaTheme="minorEastAsia" w:cstheme="minorBidi"/>
          <w:noProof/>
          <w:sz w:val="22"/>
          <w:szCs w:val="22"/>
          <w:lang w:val="en-AU"/>
        </w:rPr>
      </w:pPr>
      <w:hyperlink w:anchor="_Toc495403377" w:history="1">
        <w:r w:rsidR="00193FB6" w:rsidRPr="00BE6FCA">
          <w:rPr>
            <w:rStyle w:val="Hyperlink"/>
            <w:noProof/>
            <w14:scene3d>
              <w14:camera w14:prst="orthographicFront"/>
              <w14:lightRig w14:rig="threePt" w14:dir="t">
                <w14:rot w14:lat="0" w14:lon="0" w14:rev="0"/>
              </w14:lightRig>
            </w14:scene3d>
          </w:rPr>
          <w:t>1.2.2</w:t>
        </w:r>
        <w:r w:rsidR="00193FB6">
          <w:rPr>
            <w:rFonts w:eastAsiaTheme="minorEastAsia" w:cstheme="minorBidi"/>
            <w:noProof/>
            <w:sz w:val="22"/>
            <w:szCs w:val="22"/>
            <w:lang w:val="en-AU"/>
          </w:rPr>
          <w:tab/>
        </w:r>
        <w:r w:rsidR="00193FB6" w:rsidRPr="00BE6FCA">
          <w:rPr>
            <w:rStyle w:val="Hyperlink"/>
            <w:noProof/>
          </w:rPr>
          <w:t>Recommendations for referral to other committees</w:t>
        </w:r>
        <w:r w:rsidR="00193FB6">
          <w:rPr>
            <w:noProof/>
            <w:webHidden/>
          </w:rPr>
          <w:tab/>
        </w:r>
        <w:r w:rsidR="00193FB6">
          <w:rPr>
            <w:noProof/>
            <w:webHidden/>
          </w:rPr>
          <w:fldChar w:fldCharType="begin"/>
        </w:r>
        <w:r w:rsidR="00193FB6">
          <w:rPr>
            <w:noProof/>
            <w:webHidden/>
          </w:rPr>
          <w:instrText xml:space="preserve"> PAGEREF _Toc495403377 \h </w:instrText>
        </w:r>
        <w:r w:rsidR="00193FB6">
          <w:rPr>
            <w:noProof/>
            <w:webHidden/>
          </w:rPr>
        </w:r>
        <w:r w:rsidR="00193FB6">
          <w:rPr>
            <w:noProof/>
            <w:webHidden/>
          </w:rPr>
          <w:fldChar w:fldCharType="separate"/>
        </w:r>
        <w:r w:rsidR="00755508">
          <w:rPr>
            <w:noProof/>
            <w:webHidden/>
          </w:rPr>
          <w:t>3</w:t>
        </w:r>
        <w:r w:rsidR="00193FB6">
          <w:rPr>
            <w:noProof/>
            <w:webHidden/>
          </w:rPr>
          <w:fldChar w:fldCharType="end"/>
        </w:r>
      </w:hyperlink>
    </w:p>
    <w:p w14:paraId="16F51885" w14:textId="77777777" w:rsidR="00193FB6" w:rsidRDefault="00A01059">
      <w:pPr>
        <w:pStyle w:val="TOC2"/>
        <w:rPr>
          <w:rFonts w:eastAsiaTheme="minorEastAsia" w:cstheme="minorBidi"/>
          <w:i w:val="0"/>
          <w:iCs w:val="0"/>
          <w:noProof/>
          <w:sz w:val="22"/>
          <w:szCs w:val="22"/>
          <w:lang w:val="en-AU"/>
        </w:rPr>
      </w:pPr>
      <w:hyperlink w:anchor="_Toc495403378" w:history="1">
        <w:r w:rsidR="00193FB6" w:rsidRPr="00BE6FCA">
          <w:rPr>
            <w:rStyle w:val="Hyperlink"/>
            <w:noProof/>
            <w14:scene3d>
              <w14:camera w14:prst="orthographicFront"/>
              <w14:lightRig w14:rig="threePt" w14:dir="t">
                <w14:rot w14:lat="0" w14:lon="0" w14:rev="0"/>
              </w14:lightRig>
            </w14:scene3d>
          </w:rPr>
          <w:t>1.3</w:t>
        </w:r>
        <w:r w:rsidR="00193FB6">
          <w:rPr>
            <w:rFonts w:eastAsiaTheme="minorEastAsia" w:cstheme="minorBidi"/>
            <w:i w:val="0"/>
            <w:iCs w:val="0"/>
            <w:noProof/>
            <w:sz w:val="22"/>
            <w:szCs w:val="22"/>
            <w:lang w:val="en-AU"/>
          </w:rPr>
          <w:tab/>
        </w:r>
        <w:r w:rsidR="00193FB6" w:rsidRPr="00BE6FCA">
          <w:rPr>
            <w:rStyle w:val="Hyperlink"/>
            <w:noProof/>
          </w:rPr>
          <w:t>Consumer engagement</w:t>
        </w:r>
        <w:r w:rsidR="00193FB6">
          <w:rPr>
            <w:noProof/>
            <w:webHidden/>
          </w:rPr>
          <w:tab/>
        </w:r>
        <w:r w:rsidR="00193FB6">
          <w:rPr>
            <w:noProof/>
            <w:webHidden/>
          </w:rPr>
          <w:fldChar w:fldCharType="begin"/>
        </w:r>
        <w:r w:rsidR="00193FB6">
          <w:rPr>
            <w:noProof/>
            <w:webHidden/>
          </w:rPr>
          <w:instrText xml:space="preserve"> PAGEREF _Toc495403378 \h </w:instrText>
        </w:r>
        <w:r w:rsidR="00193FB6">
          <w:rPr>
            <w:noProof/>
            <w:webHidden/>
          </w:rPr>
        </w:r>
        <w:r w:rsidR="00193FB6">
          <w:rPr>
            <w:noProof/>
            <w:webHidden/>
          </w:rPr>
          <w:fldChar w:fldCharType="separate"/>
        </w:r>
        <w:r w:rsidR="00755508">
          <w:rPr>
            <w:noProof/>
            <w:webHidden/>
          </w:rPr>
          <w:t>3</w:t>
        </w:r>
        <w:r w:rsidR="00193FB6">
          <w:rPr>
            <w:noProof/>
            <w:webHidden/>
          </w:rPr>
          <w:fldChar w:fldCharType="end"/>
        </w:r>
      </w:hyperlink>
    </w:p>
    <w:p w14:paraId="53BA52E6"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379" w:history="1">
        <w:r w:rsidR="00193FB6" w:rsidRPr="00BE6FCA">
          <w:rPr>
            <w:rStyle w:val="Hyperlink"/>
            <w:noProof/>
            <w:lang w:val="en-AU" w:bidi="x-none"/>
            <w14:scene3d>
              <w14:camera w14:prst="orthographicFront"/>
              <w14:lightRig w14:rig="threePt" w14:dir="t">
                <w14:rot w14:lat="0" w14:lon="0" w14:rev="0"/>
              </w14:lightRig>
            </w14:scene3d>
          </w:rPr>
          <w:t>2.</w:t>
        </w:r>
        <w:r w:rsidR="00193FB6">
          <w:rPr>
            <w:rFonts w:eastAsiaTheme="minorEastAsia" w:cstheme="minorBidi"/>
            <w:b w:val="0"/>
            <w:bCs w:val="0"/>
            <w:noProof/>
            <w:sz w:val="22"/>
            <w:szCs w:val="22"/>
            <w:lang w:val="en-AU"/>
          </w:rPr>
          <w:tab/>
        </w:r>
        <w:r w:rsidR="00193FB6" w:rsidRPr="00BE6FCA">
          <w:rPr>
            <w:rStyle w:val="Hyperlink"/>
            <w:noProof/>
            <w:lang w:val="en-AU"/>
          </w:rPr>
          <w:t>About the Medicare Benefits Schedule (MBS) Review</w:t>
        </w:r>
        <w:r w:rsidR="00193FB6">
          <w:rPr>
            <w:noProof/>
            <w:webHidden/>
          </w:rPr>
          <w:tab/>
        </w:r>
        <w:r w:rsidR="00193FB6">
          <w:rPr>
            <w:noProof/>
            <w:webHidden/>
          </w:rPr>
          <w:fldChar w:fldCharType="begin"/>
        </w:r>
        <w:r w:rsidR="00193FB6">
          <w:rPr>
            <w:noProof/>
            <w:webHidden/>
          </w:rPr>
          <w:instrText xml:space="preserve"> PAGEREF _Toc495403379 \h </w:instrText>
        </w:r>
        <w:r w:rsidR="00193FB6">
          <w:rPr>
            <w:noProof/>
            <w:webHidden/>
          </w:rPr>
        </w:r>
        <w:r w:rsidR="00193FB6">
          <w:rPr>
            <w:noProof/>
            <w:webHidden/>
          </w:rPr>
          <w:fldChar w:fldCharType="separate"/>
        </w:r>
        <w:r w:rsidR="00755508">
          <w:rPr>
            <w:noProof/>
            <w:webHidden/>
          </w:rPr>
          <w:t>5</w:t>
        </w:r>
        <w:r w:rsidR="00193FB6">
          <w:rPr>
            <w:noProof/>
            <w:webHidden/>
          </w:rPr>
          <w:fldChar w:fldCharType="end"/>
        </w:r>
      </w:hyperlink>
    </w:p>
    <w:p w14:paraId="2E0B1E51" w14:textId="77777777" w:rsidR="00193FB6" w:rsidRDefault="00A01059">
      <w:pPr>
        <w:pStyle w:val="TOC2"/>
        <w:rPr>
          <w:rFonts w:eastAsiaTheme="minorEastAsia" w:cstheme="minorBidi"/>
          <w:i w:val="0"/>
          <w:iCs w:val="0"/>
          <w:noProof/>
          <w:sz w:val="22"/>
          <w:szCs w:val="22"/>
          <w:lang w:val="en-AU"/>
        </w:rPr>
      </w:pPr>
      <w:hyperlink w:anchor="_Toc495403380" w:history="1">
        <w:r w:rsidR="00193FB6" w:rsidRPr="00BE6FCA">
          <w:rPr>
            <w:rStyle w:val="Hyperlink"/>
            <w:noProof/>
            <w:lang w:val="en-AU"/>
            <w14:scene3d>
              <w14:camera w14:prst="orthographicFront"/>
              <w14:lightRig w14:rig="threePt" w14:dir="t">
                <w14:rot w14:lat="0" w14:lon="0" w14:rev="0"/>
              </w14:lightRig>
            </w14:scene3d>
          </w:rPr>
          <w:t>2.1</w:t>
        </w:r>
        <w:r w:rsidR="00193FB6">
          <w:rPr>
            <w:rFonts w:eastAsiaTheme="minorEastAsia" w:cstheme="minorBidi"/>
            <w:i w:val="0"/>
            <w:iCs w:val="0"/>
            <w:noProof/>
            <w:sz w:val="22"/>
            <w:szCs w:val="22"/>
            <w:lang w:val="en-AU"/>
          </w:rPr>
          <w:tab/>
        </w:r>
        <w:r w:rsidR="00193FB6" w:rsidRPr="00BE6FCA">
          <w:rPr>
            <w:rStyle w:val="Hyperlink"/>
            <w:noProof/>
            <w:lang w:val="en-AU"/>
          </w:rPr>
          <w:t>Medicare and the MBS</w:t>
        </w:r>
        <w:r w:rsidR="00193FB6">
          <w:rPr>
            <w:noProof/>
            <w:webHidden/>
          </w:rPr>
          <w:tab/>
        </w:r>
        <w:r w:rsidR="00193FB6">
          <w:rPr>
            <w:noProof/>
            <w:webHidden/>
          </w:rPr>
          <w:fldChar w:fldCharType="begin"/>
        </w:r>
        <w:r w:rsidR="00193FB6">
          <w:rPr>
            <w:noProof/>
            <w:webHidden/>
          </w:rPr>
          <w:instrText xml:space="preserve"> PAGEREF _Toc495403380 \h </w:instrText>
        </w:r>
        <w:r w:rsidR="00193FB6">
          <w:rPr>
            <w:noProof/>
            <w:webHidden/>
          </w:rPr>
        </w:r>
        <w:r w:rsidR="00193FB6">
          <w:rPr>
            <w:noProof/>
            <w:webHidden/>
          </w:rPr>
          <w:fldChar w:fldCharType="separate"/>
        </w:r>
        <w:r w:rsidR="00755508">
          <w:rPr>
            <w:noProof/>
            <w:webHidden/>
          </w:rPr>
          <w:t>5</w:t>
        </w:r>
        <w:r w:rsidR="00193FB6">
          <w:rPr>
            <w:noProof/>
            <w:webHidden/>
          </w:rPr>
          <w:fldChar w:fldCharType="end"/>
        </w:r>
      </w:hyperlink>
    </w:p>
    <w:p w14:paraId="7B96DE51" w14:textId="77777777" w:rsidR="00193FB6" w:rsidRDefault="00A01059">
      <w:pPr>
        <w:pStyle w:val="TOC2"/>
        <w:rPr>
          <w:rFonts w:eastAsiaTheme="minorEastAsia" w:cstheme="minorBidi"/>
          <w:i w:val="0"/>
          <w:iCs w:val="0"/>
          <w:noProof/>
          <w:sz w:val="22"/>
          <w:szCs w:val="22"/>
          <w:lang w:val="en-AU"/>
        </w:rPr>
      </w:pPr>
      <w:hyperlink w:anchor="_Toc495403381" w:history="1">
        <w:r w:rsidR="00193FB6" w:rsidRPr="00BE6FCA">
          <w:rPr>
            <w:rStyle w:val="Hyperlink"/>
            <w:noProof/>
            <w:lang w:val="en-AU"/>
            <w14:scene3d>
              <w14:camera w14:prst="orthographicFront"/>
              <w14:lightRig w14:rig="threePt" w14:dir="t">
                <w14:rot w14:lat="0" w14:lon="0" w14:rev="0"/>
              </w14:lightRig>
            </w14:scene3d>
          </w:rPr>
          <w:t>2.2</w:t>
        </w:r>
        <w:r w:rsidR="00193FB6">
          <w:rPr>
            <w:rFonts w:eastAsiaTheme="minorEastAsia" w:cstheme="minorBidi"/>
            <w:i w:val="0"/>
            <w:iCs w:val="0"/>
            <w:noProof/>
            <w:sz w:val="22"/>
            <w:szCs w:val="22"/>
            <w:lang w:val="en-AU"/>
          </w:rPr>
          <w:tab/>
        </w:r>
        <w:r w:rsidR="00193FB6" w:rsidRPr="00BE6FCA">
          <w:rPr>
            <w:rStyle w:val="Hyperlink"/>
            <w:noProof/>
            <w:lang w:val="en-AU"/>
          </w:rPr>
          <w:t>What is the MBS Review Taskforce?</w:t>
        </w:r>
        <w:r w:rsidR="00193FB6">
          <w:rPr>
            <w:noProof/>
            <w:webHidden/>
          </w:rPr>
          <w:tab/>
        </w:r>
        <w:r w:rsidR="00193FB6">
          <w:rPr>
            <w:noProof/>
            <w:webHidden/>
          </w:rPr>
          <w:fldChar w:fldCharType="begin"/>
        </w:r>
        <w:r w:rsidR="00193FB6">
          <w:rPr>
            <w:noProof/>
            <w:webHidden/>
          </w:rPr>
          <w:instrText xml:space="preserve"> PAGEREF _Toc495403381 \h </w:instrText>
        </w:r>
        <w:r w:rsidR="00193FB6">
          <w:rPr>
            <w:noProof/>
            <w:webHidden/>
          </w:rPr>
        </w:r>
        <w:r w:rsidR="00193FB6">
          <w:rPr>
            <w:noProof/>
            <w:webHidden/>
          </w:rPr>
          <w:fldChar w:fldCharType="separate"/>
        </w:r>
        <w:r w:rsidR="00755508">
          <w:rPr>
            <w:noProof/>
            <w:webHidden/>
          </w:rPr>
          <w:t>5</w:t>
        </w:r>
        <w:r w:rsidR="00193FB6">
          <w:rPr>
            <w:noProof/>
            <w:webHidden/>
          </w:rPr>
          <w:fldChar w:fldCharType="end"/>
        </w:r>
      </w:hyperlink>
    </w:p>
    <w:p w14:paraId="65DBC1E9" w14:textId="77777777" w:rsidR="00193FB6" w:rsidRDefault="00A01059">
      <w:pPr>
        <w:pStyle w:val="TOC2"/>
        <w:rPr>
          <w:rFonts w:eastAsiaTheme="minorEastAsia" w:cstheme="minorBidi"/>
          <w:i w:val="0"/>
          <w:iCs w:val="0"/>
          <w:noProof/>
          <w:sz w:val="22"/>
          <w:szCs w:val="22"/>
          <w:lang w:val="en-AU"/>
        </w:rPr>
      </w:pPr>
      <w:hyperlink w:anchor="_Toc495403382" w:history="1">
        <w:r w:rsidR="00193FB6" w:rsidRPr="00BE6FCA">
          <w:rPr>
            <w:rStyle w:val="Hyperlink"/>
            <w:noProof/>
            <w:lang w:val="en-AU"/>
            <w14:scene3d>
              <w14:camera w14:prst="orthographicFront"/>
              <w14:lightRig w14:rig="threePt" w14:dir="t">
                <w14:rot w14:lat="0" w14:lon="0" w14:rev="0"/>
              </w14:lightRig>
            </w14:scene3d>
          </w:rPr>
          <w:t>2.3</w:t>
        </w:r>
        <w:r w:rsidR="00193FB6">
          <w:rPr>
            <w:rFonts w:eastAsiaTheme="minorEastAsia" w:cstheme="minorBidi"/>
            <w:i w:val="0"/>
            <w:iCs w:val="0"/>
            <w:noProof/>
            <w:sz w:val="22"/>
            <w:szCs w:val="22"/>
            <w:lang w:val="en-AU"/>
          </w:rPr>
          <w:tab/>
        </w:r>
        <w:r w:rsidR="00193FB6" w:rsidRPr="00BE6FCA">
          <w:rPr>
            <w:rStyle w:val="Hyperlink"/>
            <w:noProof/>
            <w:lang w:val="en-AU"/>
          </w:rPr>
          <w:t>The Taskforce’s approach</w:t>
        </w:r>
        <w:r w:rsidR="00193FB6">
          <w:rPr>
            <w:noProof/>
            <w:webHidden/>
          </w:rPr>
          <w:tab/>
        </w:r>
        <w:r w:rsidR="00193FB6">
          <w:rPr>
            <w:noProof/>
            <w:webHidden/>
          </w:rPr>
          <w:fldChar w:fldCharType="begin"/>
        </w:r>
        <w:r w:rsidR="00193FB6">
          <w:rPr>
            <w:noProof/>
            <w:webHidden/>
          </w:rPr>
          <w:instrText xml:space="preserve"> PAGEREF _Toc495403382 \h </w:instrText>
        </w:r>
        <w:r w:rsidR="00193FB6">
          <w:rPr>
            <w:noProof/>
            <w:webHidden/>
          </w:rPr>
        </w:r>
        <w:r w:rsidR="00193FB6">
          <w:rPr>
            <w:noProof/>
            <w:webHidden/>
          </w:rPr>
          <w:fldChar w:fldCharType="separate"/>
        </w:r>
        <w:r w:rsidR="00755508">
          <w:rPr>
            <w:noProof/>
            <w:webHidden/>
          </w:rPr>
          <w:t>6</w:t>
        </w:r>
        <w:r w:rsidR="00193FB6">
          <w:rPr>
            <w:noProof/>
            <w:webHidden/>
          </w:rPr>
          <w:fldChar w:fldCharType="end"/>
        </w:r>
      </w:hyperlink>
    </w:p>
    <w:p w14:paraId="3AAAE47B"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383" w:history="1">
        <w:r w:rsidR="00193FB6" w:rsidRPr="00BE6FCA">
          <w:rPr>
            <w:rStyle w:val="Hyperlink"/>
            <w:noProof/>
            <w:lang w:val="en-AU" w:bidi="x-none"/>
            <w14:scene3d>
              <w14:camera w14:prst="orthographicFront"/>
              <w14:lightRig w14:rig="threePt" w14:dir="t">
                <w14:rot w14:lat="0" w14:lon="0" w14:rev="0"/>
              </w14:lightRig>
            </w14:scene3d>
          </w:rPr>
          <w:t>3.</w:t>
        </w:r>
        <w:r w:rsidR="00193FB6">
          <w:rPr>
            <w:rFonts w:eastAsiaTheme="minorEastAsia" w:cstheme="minorBidi"/>
            <w:b w:val="0"/>
            <w:bCs w:val="0"/>
            <w:noProof/>
            <w:sz w:val="22"/>
            <w:szCs w:val="22"/>
            <w:lang w:val="en-AU"/>
          </w:rPr>
          <w:tab/>
        </w:r>
        <w:r w:rsidR="00193FB6" w:rsidRPr="00BE6FCA">
          <w:rPr>
            <w:rStyle w:val="Hyperlink"/>
            <w:noProof/>
            <w:lang w:val="en-AU"/>
          </w:rPr>
          <w:t>About the Pathology Clinical Committee</w:t>
        </w:r>
        <w:r w:rsidR="00193FB6">
          <w:rPr>
            <w:noProof/>
            <w:webHidden/>
          </w:rPr>
          <w:tab/>
        </w:r>
        <w:r w:rsidR="00193FB6">
          <w:rPr>
            <w:noProof/>
            <w:webHidden/>
          </w:rPr>
          <w:fldChar w:fldCharType="begin"/>
        </w:r>
        <w:r w:rsidR="00193FB6">
          <w:rPr>
            <w:noProof/>
            <w:webHidden/>
          </w:rPr>
          <w:instrText xml:space="preserve"> PAGEREF _Toc495403383 \h </w:instrText>
        </w:r>
        <w:r w:rsidR="00193FB6">
          <w:rPr>
            <w:noProof/>
            <w:webHidden/>
          </w:rPr>
        </w:r>
        <w:r w:rsidR="00193FB6">
          <w:rPr>
            <w:noProof/>
            <w:webHidden/>
          </w:rPr>
          <w:fldChar w:fldCharType="separate"/>
        </w:r>
        <w:r w:rsidR="00755508">
          <w:rPr>
            <w:noProof/>
            <w:webHidden/>
          </w:rPr>
          <w:t>7</w:t>
        </w:r>
        <w:r w:rsidR="00193FB6">
          <w:rPr>
            <w:noProof/>
            <w:webHidden/>
          </w:rPr>
          <w:fldChar w:fldCharType="end"/>
        </w:r>
      </w:hyperlink>
    </w:p>
    <w:p w14:paraId="490C1E8C" w14:textId="77777777" w:rsidR="00193FB6" w:rsidRDefault="00A01059">
      <w:pPr>
        <w:pStyle w:val="TOC2"/>
        <w:rPr>
          <w:rFonts w:eastAsiaTheme="minorEastAsia" w:cstheme="minorBidi"/>
          <w:i w:val="0"/>
          <w:iCs w:val="0"/>
          <w:noProof/>
          <w:sz w:val="22"/>
          <w:szCs w:val="22"/>
          <w:lang w:val="en-AU"/>
        </w:rPr>
      </w:pPr>
      <w:hyperlink w:anchor="_Toc495403384" w:history="1">
        <w:r w:rsidR="00193FB6" w:rsidRPr="00BE6FCA">
          <w:rPr>
            <w:rStyle w:val="Hyperlink"/>
            <w:noProof/>
            <w:lang w:val="en-AU"/>
            <w14:scene3d>
              <w14:camera w14:prst="orthographicFront"/>
              <w14:lightRig w14:rig="threePt" w14:dir="t">
                <w14:rot w14:lat="0" w14:lon="0" w14:rev="0"/>
              </w14:lightRig>
            </w14:scene3d>
          </w:rPr>
          <w:t>3.1</w:t>
        </w:r>
        <w:r w:rsidR="00193FB6">
          <w:rPr>
            <w:rFonts w:eastAsiaTheme="minorEastAsia" w:cstheme="minorBidi"/>
            <w:i w:val="0"/>
            <w:iCs w:val="0"/>
            <w:noProof/>
            <w:sz w:val="22"/>
            <w:szCs w:val="22"/>
            <w:lang w:val="en-AU"/>
          </w:rPr>
          <w:tab/>
        </w:r>
        <w:r w:rsidR="00193FB6" w:rsidRPr="00BE6FCA">
          <w:rPr>
            <w:rStyle w:val="Hyperlink"/>
            <w:noProof/>
            <w:lang w:val="en-AU"/>
          </w:rPr>
          <w:t>Pathology Clinical Committee members</w:t>
        </w:r>
        <w:r w:rsidR="00193FB6">
          <w:rPr>
            <w:noProof/>
            <w:webHidden/>
          </w:rPr>
          <w:tab/>
        </w:r>
        <w:r w:rsidR="00193FB6">
          <w:rPr>
            <w:noProof/>
            <w:webHidden/>
          </w:rPr>
          <w:fldChar w:fldCharType="begin"/>
        </w:r>
        <w:r w:rsidR="00193FB6">
          <w:rPr>
            <w:noProof/>
            <w:webHidden/>
          </w:rPr>
          <w:instrText xml:space="preserve"> PAGEREF _Toc495403384 \h </w:instrText>
        </w:r>
        <w:r w:rsidR="00193FB6">
          <w:rPr>
            <w:noProof/>
            <w:webHidden/>
          </w:rPr>
        </w:r>
        <w:r w:rsidR="00193FB6">
          <w:rPr>
            <w:noProof/>
            <w:webHidden/>
          </w:rPr>
          <w:fldChar w:fldCharType="separate"/>
        </w:r>
        <w:r w:rsidR="00755508">
          <w:rPr>
            <w:noProof/>
            <w:webHidden/>
          </w:rPr>
          <w:t>8</w:t>
        </w:r>
        <w:r w:rsidR="00193FB6">
          <w:rPr>
            <w:noProof/>
            <w:webHidden/>
          </w:rPr>
          <w:fldChar w:fldCharType="end"/>
        </w:r>
      </w:hyperlink>
    </w:p>
    <w:p w14:paraId="70FCAEDB" w14:textId="77777777" w:rsidR="00193FB6" w:rsidRDefault="00A01059">
      <w:pPr>
        <w:pStyle w:val="TOC2"/>
        <w:rPr>
          <w:rFonts w:eastAsiaTheme="minorEastAsia" w:cstheme="minorBidi"/>
          <w:i w:val="0"/>
          <w:iCs w:val="0"/>
          <w:noProof/>
          <w:sz w:val="22"/>
          <w:szCs w:val="22"/>
          <w:lang w:val="en-AU"/>
        </w:rPr>
      </w:pPr>
      <w:hyperlink w:anchor="_Toc495403385" w:history="1">
        <w:r w:rsidR="00193FB6" w:rsidRPr="00BE6FCA">
          <w:rPr>
            <w:rStyle w:val="Hyperlink"/>
            <w:noProof/>
            <w14:scene3d>
              <w14:camera w14:prst="orthographicFront"/>
              <w14:lightRig w14:rig="threePt" w14:dir="t">
                <w14:rot w14:lat="0" w14:lon="0" w14:rev="0"/>
              </w14:lightRig>
            </w14:scene3d>
          </w:rPr>
          <w:t>3.2</w:t>
        </w:r>
        <w:r w:rsidR="00193FB6">
          <w:rPr>
            <w:rFonts w:eastAsiaTheme="minorEastAsia" w:cstheme="minorBidi"/>
            <w:i w:val="0"/>
            <w:iCs w:val="0"/>
            <w:noProof/>
            <w:sz w:val="22"/>
            <w:szCs w:val="22"/>
            <w:lang w:val="en-AU"/>
          </w:rPr>
          <w:tab/>
        </w:r>
        <w:r w:rsidR="00193FB6" w:rsidRPr="00BE6FCA">
          <w:rPr>
            <w:rStyle w:val="Hyperlink"/>
            <w:noProof/>
          </w:rPr>
          <w:t>Haematology Working Group</w:t>
        </w:r>
        <w:r w:rsidR="00193FB6">
          <w:rPr>
            <w:noProof/>
            <w:webHidden/>
          </w:rPr>
          <w:tab/>
        </w:r>
        <w:r w:rsidR="00193FB6">
          <w:rPr>
            <w:noProof/>
            <w:webHidden/>
          </w:rPr>
          <w:fldChar w:fldCharType="begin"/>
        </w:r>
        <w:r w:rsidR="00193FB6">
          <w:rPr>
            <w:noProof/>
            <w:webHidden/>
          </w:rPr>
          <w:instrText xml:space="preserve"> PAGEREF _Toc495403385 \h </w:instrText>
        </w:r>
        <w:r w:rsidR="00193FB6">
          <w:rPr>
            <w:noProof/>
            <w:webHidden/>
          </w:rPr>
        </w:r>
        <w:r w:rsidR="00193FB6">
          <w:rPr>
            <w:noProof/>
            <w:webHidden/>
          </w:rPr>
          <w:fldChar w:fldCharType="separate"/>
        </w:r>
        <w:r w:rsidR="00755508">
          <w:rPr>
            <w:noProof/>
            <w:webHidden/>
          </w:rPr>
          <w:t>8</w:t>
        </w:r>
        <w:r w:rsidR="00193FB6">
          <w:rPr>
            <w:noProof/>
            <w:webHidden/>
          </w:rPr>
          <w:fldChar w:fldCharType="end"/>
        </w:r>
      </w:hyperlink>
    </w:p>
    <w:p w14:paraId="28CD0B22" w14:textId="77777777" w:rsidR="00193FB6" w:rsidRDefault="00A01059">
      <w:pPr>
        <w:pStyle w:val="TOC2"/>
        <w:rPr>
          <w:rFonts w:eastAsiaTheme="minorEastAsia" w:cstheme="minorBidi"/>
          <w:i w:val="0"/>
          <w:iCs w:val="0"/>
          <w:noProof/>
          <w:sz w:val="22"/>
          <w:szCs w:val="22"/>
          <w:lang w:val="en-AU"/>
        </w:rPr>
      </w:pPr>
      <w:hyperlink w:anchor="_Toc495403386" w:history="1">
        <w:r w:rsidR="00193FB6" w:rsidRPr="00BE6FCA">
          <w:rPr>
            <w:rStyle w:val="Hyperlink"/>
            <w:noProof/>
            <w:lang w:val="en-AU"/>
            <w14:scene3d>
              <w14:camera w14:prst="orthographicFront"/>
              <w14:lightRig w14:rig="threePt" w14:dir="t">
                <w14:rot w14:lat="0" w14:lon="0" w14:rev="0"/>
              </w14:lightRig>
            </w14:scene3d>
          </w:rPr>
          <w:t>3.3</w:t>
        </w:r>
        <w:r w:rsidR="00193FB6">
          <w:rPr>
            <w:rFonts w:eastAsiaTheme="minorEastAsia" w:cstheme="minorBidi"/>
            <w:i w:val="0"/>
            <w:iCs w:val="0"/>
            <w:noProof/>
            <w:sz w:val="22"/>
            <w:szCs w:val="22"/>
            <w:lang w:val="en-AU"/>
          </w:rPr>
          <w:tab/>
        </w:r>
        <w:r w:rsidR="00193FB6" w:rsidRPr="00BE6FCA">
          <w:rPr>
            <w:rStyle w:val="Hyperlink"/>
            <w:noProof/>
            <w:lang w:val="en-AU"/>
          </w:rPr>
          <w:t>Areas of responsibility of the Committee</w:t>
        </w:r>
        <w:r w:rsidR="00193FB6">
          <w:rPr>
            <w:noProof/>
            <w:webHidden/>
          </w:rPr>
          <w:tab/>
        </w:r>
        <w:r w:rsidR="00193FB6">
          <w:rPr>
            <w:noProof/>
            <w:webHidden/>
          </w:rPr>
          <w:fldChar w:fldCharType="begin"/>
        </w:r>
        <w:r w:rsidR="00193FB6">
          <w:rPr>
            <w:noProof/>
            <w:webHidden/>
          </w:rPr>
          <w:instrText xml:space="preserve"> PAGEREF _Toc495403386 \h </w:instrText>
        </w:r>
        <w:r w:rsidR="00193FB6">
          <w:rPr>
            <w:noProof/>
            <w:webHidden/>
          </w:rPr>
        </w:r>
        <w:r w:rsidR="00193FB6">
          <w:rPr>
            <w:noProof/>
            <w:webHidden/>
          </w:rPr>
          <w:fldChar w:fldCharType="separate"/>
        </w:r>
        <w:r w:rsidR="00755508">
          <w:rPr>
            <w:noProof/>
            <w:webHidden/>
          </w:rPr>
          <w:t>9</w:t>
        </w:r>
        <w:r w:rsidR="00193FB6">
          <w:rPr>
            <w:noProof/>
            <w:webHidden/>
          </w:rPr>
          <w:fldChar w:fldCharType="end"/>
        </w:r>
      </w:hyperlink>
    </w:p>
    <w:p w14:paraId="5D30EFB1" w14:textId="77777777" w:rsidR="00193FB6" w:rsidRDefault="00A01059">
      <w:pPr>
        <w:pStyle w:val="TOC2"/>
        <w:rPr>
          <w:rFonts w:eastAsiaTheme="minorEastAsia" w:cstheme="minorBidi"/>
          <w:i w:val="0"/>
          <w:iCs w:val="0"/>
          <w:noProof/>
          <w:sz w:val="22"/>
          <w:szCs w:val="22"/>
          <w:lang w:val="en-AU"/>
        </w:rPr>
      </w:pPr>
      <w:hyperlink w:anchor="_Toc495403387" w:history="1">
        <w:r w:rsidR="00193FB6" w:rsidRPr="00BE6FCA">
          <w:rPr>
            <w:rStyle w:val="Hyperlink"/>
            <w:noProof/>
            <w:lang w:val="en-AU"/>
            <w14:scene3d>
              <w14:camera w14:prst="orthographicFront"/>
              <w14:lightRig w14:rig="threePt" w14:dir="t">
                <w14:rot w14:lat="0" w14:lon="0" w14:rev="0"/>
              </w14:lightRig>
            </w14:scene3d>
          </w:rPr>
          <w:t>3.4</w:t>
        </w:r>
        <w:r w:rsidR="00193FB6">
          <w:rPr>
            <w:rFonts w:eastAsiaTheme="minorEastAsia" w:cstheme="minorBidi"/>
            <w:i w:val="0"/>
            <w:iCs w:val="0"/>
            <w:noProof/>
            <w:sz w:val="22"/>
            <w:szCs w:val="22"/>
            <w:lang w:val="en-AU"/>
          </w:rPr>
          <w:tab/>
        </w:r>
        <w:r w:rsidR="00193FB6" w:rsidRPr="00BE6FCA">
          <w:rPr>
            <w:rStyle w:val="Hyperlink"/>
            <w:noProof/>
            <w:lang w:val="en-AU"/>
          </w:rPr>
          <w:t>Summary of the Committee’s review approach</w:t>
        </w:r>
        <w:r w:rsidR="00193FB6">
          <w:rPr>
            <w:noProof/>
            <w:webHidden/>
          </w:rPr>
          <w:tab/>
        </w:r>
        <w:r w:rsidR="00193FB6">
          <w:rPr>
            <w:noProof/>
            <w:webHidden/>
          </w:rPr>
          <w:fldChar w:fldCharType="begin"/>
        </w:r>
        <w:r w:rsidR="00193FB6">
          <w:rPr>
            <w:noProof/>
            <w:webHidden/>
          </w:rPr>
          <w:instrText xml:space="preserve"> PAGEREF _Toc495403387 \h </w:instrText>
        </w:r>
        <w:r w:rsidR="00193FB6">
          <w:rPr>
            <w:noProof/>
            <w:webHidden/>
          </w:rPr>
        </w:r>
        <w:r w:rsidR="00193FB6">
          <w:rPr>
            <w:noProof/>
            <w:webHidden/>
          </w:rPr>
          <w:fldChar w:fldCharType="separate"/>
        </w:r>
        <w:r w:rsidR="00755508">
          <w:rPr>
            <w:noProof/>
            <w:webHidden/>
          </w:rPr>
          <w:t>9</w:t>
        </w:r>
        <w:r w:rsidR="00193FB6">
          <w:rPr>
            <w:noProof/>
            <w:webHidden/>
          </w:rPr>
          <w:fldChar w:fldCharType="end"/>
        </w:r>
      </w:hyperlink>
    </w:p>
    <w:p w14:paraId="3968390F"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388" w:history="1">
        <w:r w:rsidR="00193FB6" w:rsidRPr="00BE6FCA">
          <w:rPr>
            <w:rStyle w:val="Hyperlink"/>
            <w:noProof/>
            <w:lang w:val="en-AU" w:bidi="x-none"/>
            <w14:scene3d>
              <w14:camera w14:prst="orthographicFront"/>
              <w14:lightRig w14:rig="threePt" w14:dir="t">
                <w14:rot w14:lat="0" w14:lon="0" w14:rev="0"/>
              </w14:lightRig>
            </w14:scene3d>
          </w:rPr>
          <w:t>4.</w:t>
        </w:r>
        <w:r w:rsidR="00193FB6">
          <w:rPr>
            <w:rFonts w:eastAsiaTheme="minorEastAsia" w:cstheme="minorBidi"/>
            <w:b w:val="0"/>
            <w:bCs w:val="0"/>
            <w:noProof/>
            <w:sz w:val="22"/>
            <w:szCs w:val="22"/>
            <w:lang w:val="en-AU"/>
          </w:rPr>
          <w:tab/>
        </w:r>
        <w:r w:rsidR="00193FB6" w:rsidRPr="00BE6FCA">
          <w:rPr>
            <w:rStyle w:val="Hyperlink"/>
            <w:noProof/>
            <w:lang w:val="en-AU"/>
          </w:rPr>
          <w:t>Recommendations for consultation</w:t>
        </w:r>
        <w:r w:rsidR="00193FB6">
          <w:rPr>
            <w:noProof/>
            <w:webHidden/>
          </w:rPr>
          <w:tab/>
        </w:r>
        <w:r w:rsidR="00193FB6">
          <w:rPr>
            <w:noProof/>
            <w:webHidden/>
          </w:rPr>
          <w:fldChar w:fldCharType="begin"/>
        </w:r>
        <w:r w:rsidR="00193FB6">
          <w:rPr>
            <w:noProof/>
            <w:webHidden/>
          </w:rPr>
          <w:instrText xml:space="preserve"> PAGEREF _Toc495403388 \h </w:instrText>
        </w:r>
        <w:r w:rsidR="00193FB6">
          <w:rPr>
            <w:noProof/>
            <w:webHidden/>
          </w:rPr>
        </w:r>
        <w:r w:rsidR="00193FB6">
          <w:rPr>
            <w:noProof/>
            <w:webHidden/>
          </w:rPr>
          <w:fldChar w:fldCharType="separate"/>
        </w:r>
        <w:r w:rsidR="00755508">
          <w:rPr>
            <w:noProof/>
            <w:webHidden/>
          </w:rPr>
          <w:t>10</w:t>
        </w:r>
        <w:r w:rsidR="00193FB6">
          <w:rPr>
            <w:noProof/>
            <w:webHidden/>
          </w:rPr>
          <w:fldChar w:fldCharType="end"/>
        </w:r>
      </w:hyperlink>
    </w:p>
    <w:p w14:paraId="6E61D388" w14:textId="77777777" w:rsidR="00193FB6" w:rsidRDefault="00A01059">
      <w:pPr>
        <w:pStyle w:val="TOC2"/>
        <w:rPr>
          <w:rFonts w:eastAsiaTheme="minorEastAsia" w:cstheme="minorBidi"/>
          <w:i w:val="0"/>
          <w:iCs w:val="0"/>
          <w:noProof/>
          <w:sz w:val="22"/>
          <w:szCs w:val="22"/>
          <w:lang w:val="en-AU"/>
        </w:rPr>
      </w:pPr>
      <w:hyperlink w:anchor="_Toc495403389" w:history="1">
        <w:r w:rsidR="00193FB6" w:rsidRPr="00BE6FCA">
          <w:rPr>
            <w:rStyle w:val="Hyperlink"/>
            <w:noProof/>
            <w:lang w:val="en-AU"/>
            <w14:scene3d>
              <w14:camera w14:prst="orthographicFront"/>
              <w14:lightRig w14:rig="threePt" w14:dir="t">
                <w14:rot w14:lat="0" w14:lon="0" w14:rev="0"/>
              </w14:lightRig>
            </w14:scene3d>
          </w:rPr>
          <w:t>4.1</w:t>
        </w:r>
        <w:r w:rsidR="00193FB6">
          <w:rPr>
            <w:rFonts w:eastAsiaTheme="minorEastAsia" w:cstheme="minorBidi"/>
            <w:i w:val="0"/>
            <w:iCs w:val="0"/>
            <w:noProof/>
            <w:sz w:val="22"/>
            <w:szCs w:val="22"/>
            <w:lang w:val="en-AU"/>
          </w:rPr>
          <w:tab/>
        </w:r>
        <w:r w:rsidR="00193FB6" w:rsidRPr="00BE6FCA">
          <w:rPr>
            <w:rStyle w:val="Hyperlink"/>
            <w:noProof/>
            <w:lang w:val="en-AU"/>
          </w:rPr>
          <w:t xml:space="preserve">Blood grouping and blood group antibodies: items </w:t>
        </w:r>
        <w:r w:rsidR="00193FB6" w:rsidRPr="00BE6FCA">
          <w:rPr>
            <w:rStyle w:val="Hyperlink"/>
            <w:noProof/>
          </w:rPr>
          <w:t>65090, 65093, 65096 and 65111</w:t>
        </w:r>
        <w:r w:rsidR="00193FB6">
          <w:rPr>
            <w:noProof/>
            <w:webHidden/>
          </w:rPr>
          <w:tab/>
        </w:r>
        <w:r w:rsidR="00193FB6">
          <w:rPr>
            <w:noProof/>
            <w:webHidden/>
          </w:rPr>
          <w:fldChar w:fldCharType="begin"/>
        </w:r>
        <w:r w:rsidR="00193FB6">
          <w:rPr>
            <w:noProof/>
            <w:webHidden/>
          </w:rPr>
          <w:instrText xml:space="preserve"> PAGEREF _Toc495403389 \h </w:instrText>
        </w:r>
        <w:r w:rsidR="00193FB6">
          <w:rPr>
            <w:noProof/>
            <w:webHidden/>
          </w:rPr>
        </w:r>
        <w:r w:rsidR="00193FB6">
          <w:rPr>
            <w:noProof/>
            <w:webHidden/>
          </w:rPr>
          <w:fldChar w:fldCharType="separate"/>
        </w:r>
        <w:r w:rsidR="00755508">
          <w:rPr>
            <w:noProof/>
            <w:webHidden/>
          </w:rPr>
          <w:t>10</w:t>
        </w:r>
        <w:r w:rsidR="00193FB6">
          <w:rPr>
            <w:noProof/>
            <w:webHidden/>
          </w:rPr>
          <w:fldChar w:fldCharType="end"/>
        </w:r>
      </w:hyperlink>
    </w:p>
    <w:p w14:paraId="39FCF581" w14:textId="77777777" w:rsidR="00193FB6" w:rsidRDefault="00A01059">
      <w:pPr>
        <w:pStyle w:val="TOC3"/>
        <w:tabs>
          <w:tab w:val="left" w:pos="1474"/>
        </w:tabs>
        <w:rPr>
          <w:rFonts w:eastAsiaTheme="minorEastAsia" w:cstheme="minorBidi"/>
          <w:noProof/>
          <w:sz w:val="22"/>
          <w:szCs w:val="22"/>
          <w:lang w:val="en-AU"/>
        </w:rPr>
      </w:pPr>
      <w:hyperlink w:anchor="_Toc495403390" w:history="1">
        <w:r w:rsidR="00193FB6" w:rsidRPr="00BE6FCA">
          <w:rPr>
            <w:rStyle w:val="Hyperlink"/>
            <w:noProof/>
            <w14:scene3d>
              <w14:camera w14:prst="orthographicFront"/>
              <w14:lightRig w14:rig="threePt" w14:dir="t">
                <w14:rot w14:lat="0" w14:lon="0" w14:rev="0"/>
              </w14:lightRig>
            </w14:scene3d>
          </w:rPr>
          <w:t>4.1.1</w:t>
        </w:r>
        <w:r w:rsidR="00193FB6">
          <w:rPr>
            <w:rFonts w:eastAsiaTheme="minorEastAsia" w:cstheme="minorBidi"/>
            <w:noProof/>
            <w:sz w:val="22"/>
            <w:szCs w:val="22"/>
            <w:lang w:val="en-AU"/>
          </w:rPr>
          <w:tab/>
        </w:r>
        <w:r w:rsidR="00193FB6" w:rsidRPr="00BE6FCA">
          <w:rPr>
            <w:rStyle w:val="Hyperlink"/>
            <w:noProof/>
          </w:rPr>
          <w:t>Recommendation 1</w:t>
        </w:r>
        <w:r w:rsidR="00193FB6">
          <w:rPr>
            <w:noProof/>
            <w:webHidden/>
          </w:rPr>
          <w:tab/>
        </w:r>
        <w:r w:rsidR="00193FB6">
          <w:rPr>
            <w:noProof/>
            <w:webHidden/>
          </w:rPr>
          <w:fldChar w:fldCharType="begin"/>
        </w:r>
        <w:r w:rsidR="00193FB6">
          <w:rPr>
            <w:noProof/>
            <w:webHidden/>
          </w:rPr>
          <w:instrText xml:space="preserve"> PAGEREF _Toc495403390 \h </w:instrText>
        </w:r>
        <w:r w:rsidR="00193FB6">
          <w:rPr>
            <w:noProof/>
            <w:webHidden/>
          </w:rPr>
        </w:r>
        <w:r w:rsidR="00193FB6">
          <w:rPr>
            <w:noProof/>
            <w:webHidden/>
          </w:rPr>
          <w:fldChar w:fldCharType="separate"/>
        </w:r>
        <w:r w:rsidR="00755508">
          <w:rPr>
            <w:noProof/>
            <w:webHidden/>
          </w:rPr>
          <w:t>11</w:t>
        </w:r>
        <w:r w:rsidR="00193FB6">
          <w:rPr>
            <w:noProof/>
            <w:webHidden/>
          </w:rPr>
          <w:fldChar w:fldCharType="end"/>
        </w:r>
      </w:hyperlink>
    </w:p>
    <w:p w14:paraId="38631B53" w14:textId="77777777" w:rsidR="00193FB6" w:rsidRDefault="00A01059">
      <w:pPr>
        <w:pStyle w:val="TOC3"/>
        <w:tabs>
          <w:tab w:val="left" w:pos="1474"/>
        </w:tabs>
        <w:rPr>
          <w:rFonts w:eastAsiaTheme="minorEastAsia" w:cstheme="minorBidi"/>
          <w:noProof/>
          <w:sz w:val="22"/>
          <w:szCs w:val="22"/>
          <w:lang w:val="en-AU"/>
        </w:rPr>
      </w:pPr>
      <w:hyperlink w:anchor="_Toc495403391" w:history="1">
        <w:r w:rsidR="00193FB6" w:rsidRPr="00BE6FCA">
          <w:rPr>
            <w:rStyle w:val="Hyperlink"/>
            <w:noProof/>
            <w14:scene3d>
              <w14:camera w14:prst="orthographicFront"/>
              <w14:lightRig w14:rig="threePt" w14:dir="t">
                <w14:rot w14:lat="0" w14:lon="0" w14:rev="0"/>
              </w14:lightRig>
            </w14:scene3d>
          </w:rPr>
          <w:t>4.1.2</w:t>
        </w:r>
        <w:r w:rsidR="00193FB6">
          <w:rPr>
            <w:rFonts w:eastAsiaTheme="minorEastAsia" w:cstheme="minorBidi"/>
            <w:noProof/>
            <w:sz w:val="22"/>
            <w:szCs w:val="22"/>
            <w:lang w:val="en-AU"/>
          </w:rPr>
          <w:tab/>
        </w:r>
        <w:r w:rsidR="00193FB6" w:rsidRPr="00BE6FCA">
          <w:rPr>
            <w:rStyle w:val="Hyperlink"/>
            <w:noProof/>
          </w:rPr>
          <w:t xml:space="preserve">Rationale </w:t>
        </w:r>
        <w:r w:rsidR="00193FB6">
          <w:rPr>
            <w:noProof/>
            <w:webHidden/>
          </w:rPr>
          <w:tab/>
        </w:r>
        <w:r w:rsidR="00193FB6">
          <w:rPr>
            <w:noProof/>
            <w:webHidden/>
          </w:rPr>
          <w:fldChar w:fldCharType="begin"/>
        </w:r>
        <w:r w:rsidR="00193FB6">
          <w:rPr>
            <w:noProof/>
            <w:webHidden/>
          </w:rPr>
          <w:instrText xml:space="preserve"> PAGEREF _Toc495403391 \h </w:instrText>
        </w:r>
        <w:r w:rsidR="00193FB6">
          <w:rPr>
            <w:noProof/>
            <w:webHidden/>
          </w:rPr>
        </w:r>
        <w:r w:rsidR="00193FB6">
          <w:rPr>
            <w:noProof/>
            <w:webHidden/>
          </w:rPr>
          <w:fldChar w:fldCharType="separate"/>
        </w:r>
        <w:r w:rsidR="00755508">
          <w:rPr>
            <w:noProof/>
            <w:webHidden/>
          </w:rPr>
          <w:t>12</w:t>
        </w:r>
        <w:r w:rsidR="00193FB6">
          <w:rPr>
            <w:noProof/>
            <w:webHidden/>
          </w:rPr>
          <w:fldChar w:fldCharType="end"/>
        </w:r>
      </w:hyperlink>
    </w:p>
    <w:p w14:paraId="4D1C013D" w14:textId="77777777" w:rsidR="00193FB6" w:rsidRDefault="00A01059">
      <w:pPr>
        <w:pStyle w:val="TOC2"/>
        <w:rPr>
          <w:rFonts w:eastAsiaTheme="minorEastAsia" w:cstheme="minorBidi"/>
          <w:i w:val="0"/>
          <w:iCs w:val="0"/>
          <w:noProof/>
          <w:sz w:val="22"/>
          <w:szCs w:val="22"/>
          <w:lang w:val="en-AU"/>
        </w:rPr>
      </w:pPr>
      <w:hyperlink w:anchor="_Toc495403392" w:history="1">
        <w:r w:rsidR="00193FB6" w:rsidRPr="00BE6FCA">
          <w:rPr>
            <w:rStyle w:val="Hyperlink"/>
            <w:noProof/>
            <w14:scene3d>
              <w14:camera w14:prst="orthographicFront"/>
              <w14:lightRig w14:rig="threePt" w14:dir="t">
                <w14:rot w14:lat="0" w14:lon="0" w14:rev="0"/>
              </w14:lightRig>
            </w14:scene3d>
          </w:rPr>
          <w:t>4.2</w:t>
        </w:r>
        <w:r w:rsidR="00193FB6">
          <w:rPr>
            <w:rFonts w:eastAsiaTheme="minorEastAsia" w:cstheme="minorBidi"/>
            <w:i w:val="0"/>
            <w:iCs w:val="0"/>
            <w:noProof/>
            <w:sz w:val="22"/>
            <w:szCs w:val="22"/>
            <w:lang w:val="en-AU"/>
          </w:rPr>
          <w:tab/>
        </w:r>
        <w:r w:rsidR="00193FB6" w:rsidRPr="00BE6FCA">
          <w:rPr>
            <w:rStyle w:val="Hyperlink"/>
            <w:noProof/>
          </w:rPr>
          <w:t xml:space="preserve">Compatibility testing: </w:t>
        </w:r>
        <w:r w:rsidR="00193FB6" w:rsidRPr="00BE6FCA">
          <w:rPr>
            <w:rStyle w:val="Hyperlink"/>
            <w:noProof/>
            <w:lang w:val="en-AU"/>
          </w:rPr>
          <w:t>items 65099, 65102, 65105 and 65108</w:t>
        </w:r>
        <w:r w:rsidR="00193FB6">
          <w:rPr>
            <w:noProof/>
            <w:webHidden/>
          </w:rPr>
          <w:tab/>
        </w:r>
        <w:r w:rsidR="00193FB6">
          <w:rPr>
            <w:noProof/>
            <w:webHidden/>
          </w:rPr>
          <w:fldChar w:fldCharType="begin"/>
        </w:r>
        <w:r w:rsidR="00193FB6">
          <w:rPr>
            <w:noProof/>
            <w:webHidden/>
          </w:rPr>
          <w:instrText xml:space="preserve"> PAGEREF _Toc495403392 \h </w:instrText>
        </w:r>
        <w:r w:rsidR="00193FB6">
          <w:rPr>
            <w:noProof/>
            <w:webHidden/>
          </w:rPr>
        </w:r>
        <w:r w:rsidR="00193FB6">
          <w:rPr>
            <w:noProof/>
            <w:webHidden/>
          </w:rPr>
          <w:fldChar w:fldCharType="separate"/>
        </w:r>
        <w:r w:rsidR="00755508">
          <w:rPr>
            <w:noProof/>
            <w:webHidden/>
          </w:rPr>
          <w:t>13</w:t>
        </w:r>
        <w:r w:rsidR="00193FB6">
          <w:rPr>
            <w:noProof/>
            <w:webHidden/>
          </w:rPr>
          <w:fldChar w:fldCharType="end"/>
        </w:r>
      </w:hyperlink>
    </w:p>
    <w:p w14:paraId="466862F1" w14:textId="77777777" w:rsidR="00193FB6" w:rsidRDefault="00A01059">
      <w:pPr>
        <w:pStyle w:val="TOC3"/>
        <w:tabs>
          <w:tab w:val="left" w:pos="1474"/>
        </w:tabs>
        <w:rPr>
          <w:rFonts w:eastAsiaTheme="minorEastAsia" w:cstheme="minorBidi"/>
          <w:noProof/>
          <w:sz w:val="22"/>
          <w:szCs w:val="22"/>
          <w:lang w:val="en-AU"/>
        </w:rPr>
      </w:pPr>
      <w:hyperlink w:anchor="_Toc495403393" w:history="1">
        <w:r w:rsidR="00193FB6" w:rsidRPr="00BE6FCA">
          <w:rPr>
            <w:rStyle w:val="Hyperlink"/>
            <w:noProof/>
            <w14:scene3d>
              <w14:camera w14:prst="orthographicFront"/>
              <w14:lightRig w14:rig="threePt" w14:dir="t">
                <w14:rot w14:lat="0" w14:lon="0" w14:rev="0"/>
              </w14:lightRig>
            </w14:scene3d>
          </w:rPr>
          <w:t>4.2.1</w:t>
        </w:r>
        <w:r w:rsidR="00193FB6">
          <w:rPr>
            <w:rFonts w:eastAsiaTheme="minorEastAsia" w:cstheme="minorBidi"/>
            <w:noProof/>
            <w:sz w:val="22"/>
            <w:szCs w:val="22"/>
            <w:lang w:val="en-AU"/>
          </w:rPr>
          <w:tab/>
        </w:r>
        <w:r w:rsidR="00193FB6" w:rsidRPr="00BE6FCA">
          <w:rPr>
            <w:rStyle w:val="Hyperlink"/>
            <w:noProof/>
          </w:rPr>
          <w:t>Recommendation 2</w:t>
        </w:r>
        <w:r w:rsidR="00193FB6">
          <w:rPr>
            <w:noProof/>
            <w:webHidden/>
          </w:rPr>
          <w:tab/>
        </w:r>
        <w:r w:rsidR="00193FB6">
          <w:rPr>
            <w:noProof/>
            <w:webHidden/>
          </w:rPr>
          <w:fldChar w:fldCharType="begin"/>
        </w:r>
        <w:r w:rsidR="00193FB6">
          <w:rPr>
            <w:noProof/>
            <w:webHidden/>
          </w:rPr>
          <w:instrText xml:space="preserve"> PAGEREF _Toc495403393 \h </w:instrText>
        </w:r>
        <w:r w:rsidR="00193FB6">
          <w:rPr>
            <w:noProof/>
            <w:webHidden/>
          </w:rPr>
        </w:r>
        <w:r w:rsidR="00193FB6">
          <w:rPr>
            <w:noProof/>
            <w:webHidden/>
          </w:rPr>
          <w:fldChar w:fldCharType="separate"/>
        </w:r>
        <w:r w:rsidR="00755508">
          <w:rPr>
            <w:noProof/>
            <w:webHidden/>
          </w:rPr>
          <w:t>15</w:t>
        </w:r>
        <w:r w:rsidR="00193FB6">
          <w:rPr>
            <w:noProof/>
            <w:webHidden/>
          </w:rPr>
          <w:fldChar w:fldCharType="end"/>
        </w:r>
      </w:hyperlink>
    </w:p>
    <w:p w14:paraId="2DA892F7" w14:textId="77777777" w:rsidR="00193FB6" w:rsidRDefault="00A01059">
      <w:pPr>
        <w:pStyle w:val="TOC3"/>
        <w:tabs>
          <w:tab w:val="left" w:pos="1474"/>
        </w:tabs>
        <w:rPr>
          <w:rFonts w:eastAsiaTheme="minorEastAsia" w:cstheme="minorBidi"/>
          <w:noProof/>
          <w:sz w:val="22"/>
          <w:szCs w:val="22"/>
          <w:lang w:val="en-AU"/>
        </w:rPr>
      </w:pPr>
      <w:hyperlink w:anchor="_Toc495403394" w:history="1">
        <w:r w:rsidR="00193FB6" w:rsidRPr="00BE6FCA">
          <w:rPr>
            <w:rStyle w:val="Hyperlink"/>
            <w:noProof/>
            <w14:scene3d>
              <w14:camera w14:prst="orthographicFront"/>
              <w14:lightRig w14:rig="threePt" w14:dir="t">
                <w14:rot w14:lat="0" w14:lon="0" w14:rev="0"/>
              </w14:lightRig>
            </w14:scene3d>
          </w:rPr>
          <w:t>4.2.2</w:t>
        </w:r>
        <w:r w:rsidR="00193FB6">
          <w:rPr>
            <w:rFonts w:eastAsiaTheme="minorEastAsia" w:cstheme="minorBidi"/>
            <w:noProof/>
            <w:sz w:val="22"/>
            <w:szCs w:val="22"/>
            <w:lang w:val="en-AU"/>
          </w:rPr>
          <w:tab/>
        </w:r>
        <w:r w:rsidR="00193FB6" w:rsidRPr="00BE6FCA">
          <w:rPr>
            <w:rStyle w:val="Hyperlink"/>
            <w:noProof/>
          </w:rPr>
          <w:t xml:space="preserve">Rationale </w:t>
        </w:r>
        <w:r w:rsidR="00193FB6">
          <w:rPr>
            <w:noProof/>
            <w:webHidden/>
          </w:rPr>
          <w:tab/>
        </w:r>
        <w:r w:rsidR="00193FB6">
          <w:rPr>
            <w:noProof/>
            <w:webHidden/>
          </w:rPr>
          <w:fldChar w:fldCharType="begin"/>
        </w:r>
        <w:r w:rsidR="00193FB6">
          <w:rPr>
            <w:noProof/>
            <w:webHidden/>
          </w:rPr>
          <w:instrText xml:space="preserve"> PAGEREF _Toc495403394 \h </w:instrText>
        </w:r>
        <w:r w:rsidR="00193FB6">
          <w:rPr>
            <w:noProof/>
            <w:webHidden/>
          </w:rPr>
        </w:r>
        <w:r w:rsidR="00193FB6">
          <w:rPr>
            <w:noProof/>
            <w:webHidden/>
          </w:rPr>
          <w:fldChar w:fldCharType="separate"/>
        </w:r>
        <w:r w:rsidR="00755508">
          <w:rPr>
            <w:noProof/>
            <w:webHidden/>
          </w:rPr>
          <w:t>16</w:t>
        </w:r>
        <w:r w:rsidR="00193FB6">
          <w:rPr>
            <w:noProof/>
            <w:webHidden/>
          </w:rPr>
          <w:fldChar w:fldCharType="end"/>
        </w:r>
      </w:hyperlink>
    </w:p>
    <w:p w14:paraId="371AD849" w14:textId="77777777" w:rsidR="00193FB6" w:rsidRDefault="00A01059">
      <w:pPr>
        <w:pStyle w:val="TOC2"/>
        <w:rPr>
          <w:rFonts w:eastAsiaTheme="minorEastAsia" w:cstheme="minorBidi"/>
          <w:i w:val="0"/>
          <w:iCs w:val="0"/>
          <w:noProof/>
          <w:sz w:val="22"/>
          <w:szCs w:val="22"/>
          <w:lang w:val="en-AU"/>
        </w:rPr>
      </w:pPr>
      <w:hyperlink w:anchor="_Toc495403395" w:history="1">
        <w:r w:rsidR="00193FB6" w:rsidRPr="00BE6FCA">
          <w:rPr>
            <w:rStyle w:val="Hyperlink"/>
            <w:noProof/>
            <w14:scene3d>
              <w14:camera w14:prst="orthographicFront"/>
              <w14:lightRig w14:rig="threePt" w14:dir="t">
                <w14:rot w14:lat="0" w14:lon="0" w14:rev="0"/>
              </w14:lightRig>
            </w14:scene3d>
          </w:rPr>
          <w:t>4.3</w:t>
        </w:r>
        <w:r w:rsidR="00193FB6">
          <w:rPr>
            <w:rFonts w:eastAsiaTheme="minorEastAsia" w:cstheme="minorBidi"/>
            <w:i w:val="0"/>
            <w:iCs w:val="0"/>
            <w:noProof/>
            <w:sz w:val="22"/>
            <w:szCs w:val="22"/>
            <w:lang w:val="en-AU"/>
          </w:rPr>
          <w:tab/>
        </w:r>
        <w:r w:rsidR="00193FB6" w:rsidRPr="00BE6FCA">
          <w:rPr>
            <w:rStyle w:val="Hyperlink"/>
            <w:noProof/>
          </w:rPr>
          <w:t xml:space="preserve">Coagulation studies: </w:t>
        </w:r>
        <w:r w:rsidR="00193FB6" w:rsidRPr="00BE6FCA">
          <w:rPr>
            <w:rStyle w:val="Hyperlink"/>
            <w:noProof/>
            <w:lang w:val="en-AU"/>
          </w:rPr>
          <w:t xml:space="preserve">items </w:t>
        </w:r>
        <w:r w:rsidR="00193FB6" w:rsidRPr="00BE6FCA">
          <w:rPr>
            <w:rStyle w:val="Hyperlink"/>
            <w:noProof/>
          </w:rPr>
          <w:t>65120, 65123, 65126 and 65129</w:t>
        </w:r>
        <w:r w:rsidR="00193FB6">
          <w:rPr>
            <w:noProof/>
            <w:webHidden/>
          </w:rPr>
          <w:tab/>
        </w:r>
        <w:r w:rsidR="00193FB6">
          <w:rPr>
            <w:noProof/>
            <w:webHidden/>
          </w:rPr>
          <w:fldChar w:fldCharType="begin"/>
        </w:r>
        <w:r w:rsidR="00193FB6">
          <w:rPr>
            <w:noProof/>
            <w:webHidden/>
          </w:rPr>
          <w:instrText xml:space="preserve"> PAGEREF _Toc495403395 \h </w:instrText>
        </w:r>
        <w:r w:rsidR="00193FB6">
          <w:rPr>
            <w:noProof/>
            <w:webHidden/>
          </w:rPr>
        </w:r>
        <w:r w:rsidR="00193FB6">
          <w:rPr>
            <w:noProof/>
            <w:webHidden/>
          </w:rPr>
          <w:fldChar w:fldCharType="separate"/>
        </w:r>
        <w:r w:rsidR="00755508">
          <w:rPr>
            <w:noProof/>
            <w:webHidden/>
          </w:rPr>
          <w:t>17</w:t>
        </w:r>
        <w:r w:rsidR="00193FB6">
          <w:rPr>
            <w:noProof/>
            <w:webHidden/>
          </w:rPr>
          <w:fldChar w:fldCharType="end"/>
        </w:r>
      </w:hyperlink>
    </w:p>
    <w:p w14:paraId="1BE83819" w14:textId="77777777" w:rsidR="00193FB6" w:rsidRDefault="00A01059">
      <w:pPr>
        <w:pStyle w:val="TOC3"/>
        <w:tabs>
          <w:tab w:val="left" w:pos="1474"/>
        </w:tabs>
        <w:rPr>
          <w:rFonts w:eastAsiaTheme="minorEastAsia" w:cstheme="minorBidi"/>
          <w:noProof/>
          <w:sz w:val="22"/>
          <w:szCs w:val="22"/>
          <w:lang w:val="en-AU"/>
        </w:rPr>
      </w:pPr>
      <w:hyperlink w:anchor="_Toc495403396" w:history="1">
        <w:r w:rsidR="00193FB6" w:rsidRPr="00BE6FCA">
          <w:rPr>
            <w:rStyle w:val="Hyperlink"/>
            <w:noProof/>
            <w14:scene3d>
              <w14:camera w14:prst="orthographicFront"/>
              <w14:lightRig w14:rig="threePt" w14:dir="t">
                <w14:rot w14:lat="0" w14:lon="0" w14:rev="0"/>
              </w14:lightRig>
            </w14:scene3d>
          </w:rPr>
          <w:t>4.3.1</w:t>
        </w:r>
        <w:r w:rsidR="00193FB6">
          <w:rPr>
            <w:rFonts w:eastAsiaTheme="minorEastAsia" w:cstheme="minorBidi"/>
            <w:noProof/>
            <w:sz w:val="22"/>
            <w:szCs w:val="22"/>
            <w:lang w:val="en-AU"/>
          </w:rPr>
          <w:tab/>
        </w:r>
        <w:r w:rsidR="00193FB6" w:rsidRPr="00BE6FCA">
          <w:rPr>
            <w:rStyle w:val="Hyperlink"/>
            <w:noProof/>
          </w:rPr>
          <w:t>Recommendation 3</w:t>
        </w:r>
        <w:r w:rsidR="00193FB6">
          <w:rPr>
            <w:noProof/>
            <w:webHidden/>
          </w:rPr>
          <w:tab/>
        </w:r>
        <w:r w:rsidR="00193FB6">
          <w:rPr>
            <w:noProof/>
            <w:webHidden/>
          </w:rPr>
          <w:fldChar w:fldCharType="begin"/>
        </w:r>
        <w:r w:rsidR="00193FB6">
          <w:rPr>
            <w:noProof/>
            <w:webHidden/>
          </w:rPr>
          <w:instrText xml:space="preserve"> PAGEREF _Toc495403396 \h </w:instrText>
        </w:r>
        <w:r w:rsidR="00193FB6">
          <w:rPr>
            <w:noProof/>
            <w:webHidden/>
          </w:rPr>
        </w:r>
        <w:r w:rsidR="00193FB6">
          <w:rPr>
            <w:noProof/>
            <w:webHidden/>
          </w:rPr>
          <w:fldChar w:fldCharType="separate"/>
        </w:r>
        <w:r w:rsidR="00755508">
          <w:rPr>
            <w:noProof/>
            <w:webHidden/>
          </w:rPr>
          <w:t>17</w:t>
        </w:r>
        <w:r w:rsidR="00193FB6">
          <w:rPr>
            <w:noProof/>
            <w:webHidden/>
          </w:rPr>
          <w:fldChar w:fldCharType="end"/>
        </w:r>
      </w:hyperlink>
    </w:p>
    <w:p w14:paraId="36BCC6D0" w14:textId="77777777" w:rsidR="00193FB6" w:rsidRDefault="00A01059">
      <w:pPr>
        <w:pStyle w:val="TOC3"/>
        <w:tabs>
          <w:tab w:val="left" w:pos="1474"/>
        </w:tabs>
        <w:rPr>
          <w:rFonts w:eastAsiaTheme="minorEastAsia" w:cstheme="minorBidi"/>
          <w:noProof/>
          <w:sz w:val="22"/>
          <w:szCs w:val="22"/>
          <w:lang w:val="en-AU"/>
        </w:rPr>
      </w:pPr>
      <w:hyperlink w:anchor="_Toc495403397" w:history="1">
        <w:r w:rsidR="00193FB6" w:rsidRPr="00BE6FCA">
          <w:rPr>
            <w:rStyle w:val="Hyperlink"/>
            <w:noProof/>
            <w14:scene3d>
              <w14:camera w14:prst="orthographicFront"/>
              <w14:lightRig w14:rig="threePt" w14:dir="t">
                <w14:rot w14:lat="0" w14:lon="0" w14:rev="0"/>
              </w14:lightRig>
            </w14:scene3d>
          </w:rPr>
          <w:t>4.3.2</w:t>
        </w:r>
        <w:r w:rsidR="00193FB6">
          <w:rPr>
            <w:rFonts w:eastAsiaTheme="minorEastAsia" w:cstheme="minorBidi"/>
            <w:noProof/>
            <w:sz w:val="22"/>
            <w:szCs w:val="22"/>
            <w:lang w:val="en-AU"/>
          </w:rPr>
          <w:tab/>
        </w:r>
        <w:r w:rsidR="00193FB6" w:rsidRPr="00BE6FCA">
          <w:rPr>
            <w:rStyle w:val="Hyperlink"/>
            <w:noProof/>
          </w:rPr>
          <w:t xml:space="preserve">Rationale </w:t>
        </w:r>
        <w:r w:rsidR="00193FB6">
          <w:rPr>
            <w:noProof/>
            <w:webHidden/>
          </w:rPr>
          <w:tab/>
        </w:r>
        <w:r w:rsidR="00193FB6">
          <w:rPr>
            <w:noProof/>
            <w:webHidden/>
          </w:rPr>
          <w:fldChar w:fldCharType="begin"/>
        </w:r>
        <w:r w:rsidR="00193FB6">
          <w:rPr>
            <w:noProof/>
            <w:webHidden/>
          </w:rPr>
          <w:instrText xml:space="preserve"> PAGEREF _Toc495403397 \h </w:instrText>
        </w:r>
        <w:r w:rsidR="00193FB6">
          <w:rPr>
            <w:noProof/>
            <w:webHidden/>
          </w:rPr>
        </w:r>
        <w:r w:rsidR="00193FB6">
          <w:rPr>
            <w:noProof/>
            <w:webHidden/>
          </w:rPr>
          <w:fldChar w:fldCharType="separate"/>
        </w:r>
        <w:r w:rsidR="00755508">
          <w:rPr>
            <w:noProof/>
            <w:webHidden/>
          </w:rPr>
          <w:t>18</w:t>
        </w:r>
        <w:r w:rsidR="00193FB6">
          <w:rPr>
            <w:noProof/>
            <w:webHidden/>
          </w:rPr>
          <w:fldChar w:fldCharType="end"/>
        </w:r>
      </w:hyperlink>
    </w:p>
    <w:p w14:paraId="0323E817" w14:textId="77777777" w:rsidR="00193FB6" w:rsidRDefault="00A01059">
      <w:pPr>
        <w:pStyle w:val="TOC2"/>
        <w:rPr>
          <w:rFonts w:eastAsiaTheme="minorEastAsia" w:cstheme="minorBidi"/>
          <w:i w:val="0"/>
          <w:iCs w:val="0"/>
          <w:noProof/>
          <w:sz w:val="22"/>
          <w:szCs w:val="22"/>
          <w:lang w:val="en-AU"/>
        </w:rPr>
      </w:pPr>
      <w:hyperlink w:anchor="_Toc495403398" w:history="1">
        <w:r w:rsidR="00193FB6" w:rsidRPr="00BE6FCA">
          <w:rPr>
            <w:rStyle w:val="Hyperlink"/>
            <w:noProof/>
            <w14:scene3d>
              <w14:camera w14:prst="orthographicFront"/>
              <w14:lightRig w14:rig="threePt" w14:dir="t">
                <w14:rot w14:lat="0" w14:lon="0" w14:rev="0"/>
              </w14:lightRig>
            </w14:scene3d>
          </w:rPr>
          <w:t>4.4</w:t>
        </w:r>
        <w:r w:rsidR="00193FB6">
          <w:rPr>
            <w:rFonts w:eastAsiaTheme="minorEastAsia" w:cstheme="minorBidi"/>
            <w:i w:val="0"/>
            <w:iCs w:val="0"/>
            <w:noProof/>
            <w:sz w:val="22"/>
            <w:szCs w:val="22"/>
            <w:lang w:val="en-AU"/>
          </w:rPr>
          <w:tab/>
        </w:r>
        <w:r w:rsidR="00193FB6" w:rsidRPr="00BE6FCA">
          <w:rPr>
            <w:rStyle w:val="Hyperlink"/>
            <w:noProof/>
          </w:rPr>
          <w:t>D-dimer Item descriptor to be split</w:t>
        </w:r>
        <w:r w:rsidR="00193FB6">
          <w:rPr>
            <w:noProof/>
            <w:webHidden/>
          </w:rPr>
          <w:tab/>
        </w:r>
        <w:r w:rsidR="00193FB6">
          <w:rPr>
            <w:noProof/>
            <w:webHidden/>
          </w:rPr>
          <w:fldChar w:fldCharType="begin"/>
        </w:r>
        <w:r w:rsidR="00193FB6">
          <w:rPr>
            <w:noProof/>
            <w:webHidden/>
          </w:rPr>
          <w:instrText xml:space="preserve"> PAGEREF _Toc495403398 \h </w:instrText>
        </w:r>
        <w:r w:rsidR="00193FB6">
          <w:rPr>
            <w:noProof/>
            <w:webHidden/>
          </w:rPr>
        </w:r>
        <w:r w:rsidR="00193FB6">
          <w:rPr>
            <w:noProof/>
            <w:webHidden/>
          </w:rPr>
          <w:fldChar w:fldCharType="separate"/>
        </w:r>
        <w:r w:rsidR="00755508">
          <w:rPr>
            <w:noProof/>
            <w:webHidden/>
          </w:rPr>
          <w:t>19</w:t>
        </w:r>
        <w:r w:rsidR="00193FB6">
          <w:rPr>
            <w:noProof/>
            <w:webHidden/>
          </w:rPr>
          <w:fldChar w:fldCharType="end"/>
        </w:r>
      </w:hyperlink>
    </w:p>
    <w:p w14:paraId="138B7B9F" w14:textId="77777777" w:rsidR="00193FB6" w:rsidRDefault="00A01059">
      <w:pPr>
        <w:pStyle w:val="TOC3"/>
        <w:tabs>
          <w:tab w:val="left" w:pos="1474"/>
        </w:tabs>
        <w:rPr>
          <w:rFonts w:eastAsiaTheme="minorEastAsia" w:cstheme="minorBidi"/>
          <w:noProof/>
          <w:sz w:val="22"/>
          <w:szCs w:val="22"/>
          <w:lang w:val="en-AU"/>
        </w:rPr>
      </w:pPr>
      <w:hyperlink w:anchor="_Toc495403399" w:history="1">
        <w:r w:rsidR="00193FB6" w:rsidRPr="00BE6FCA">
          <w:rPr>
            <w:rStyle w:val="Hyperlink"/>
            <w:noProof/>
            <w14:scene3d>
              <w14:camera w14:prst="orthographicFront"/>
              <w14:lightRig w14:rig="threePt" w14:dir="t">
                <w14:rot w14:lat="0" w14:lon="0" w14:rev="0"/>
              </w14:lightRig>
            </w14:scene3d>
          </w:rPr>
          <w:t>4.4.1</w:t>
        </w:r>
        <w:r w:rsidR="00193FB6">
          <w:rPr>
            <w:rFonts w:eastAsiaTheme="minorEastAsia" w:cstheme="minorBidi"/>
            <w:noProof/>
            <w:sz w:val="22"/>
            <w:szCs w:val="22"/>
            <w:lang w:val="en-AU"/>
          </w:rPr>
          <w:tab/>
        </w:r>
        <w:r w:rsidR="00193FB6" w:rsidRPr="00BE6FCA">
          <w:rPr>
            <w:rStyle w:val="Hyperlink"/>
            <w:noProof/>
          </w:rPr>
          <w:t>Recommendation 4</w:t>
        </w:r>
        <w:r w:rsidR="00193FB6">
          <w:rPr>
            <w:noProof/>
            <w:webHidden/>
          </w:rPr>
          <w:tab/>
        </w:r>
        <w:r w:rsidR="00193FB6">
          <w:rPr>
            <w:noProof/>
            <w:webHidden/>
          </w:rPr>
          <w:fldChar w:fldCharType="begin"/>
        </w:r>
        <w:r w:rsidR="00193FB6">
          <w:rPr>
            <w:noProof/>
            <w:webHidden/>
          </w:rPr>
          <w:instrText xml:space="preserve"> PAGEREF _Toc495403399 \h </w:instrText>
        </w:r>
        <w:r w:rsidR="00193FB6">
          <w:rPr>
            <w:noProof/>
            <w:webHidden/>
          </w:rPr>
        </w:r>
        <w:r w:rsidR="00193FB6">
          <w:rPr>
            <w:noProof/>
            <w:webHidden/>
          </w:rPr>
          <w:fldChar w:fldCharType="separate"/>
        </w:r>
        <w:r w:rsidR="00755508">
          <w:rPr>
            <w:noProof/>
            <w:webHidden/>
          </w:rPr>
          <w:t>19</w:t>
        </w:r>
        <w:r w:rsidR="00193FB6">
          <w:rPr>
            <w:noProof/>
            <w:webHidden/>
          </w:rPr>
          <w:fldChar w:fldCharType="end"/>
        </w:r>
      </w:hyperlink>
    </w:p>
    <w:p w14:paraId="69123E41" w14:textId="77777777" w:rsidR="00193FB6" w:rsidRDefault="00A01059">
      <w:pPr>
        <w:pStyle w:val="TOC3"/>
        <w:tabs>
          <w:tab w:val="left" w:pos="1474"/>
        </w:tabs>
        <w:rPr>
          <w:rFonts w:eastAsiaTheme="minorEastAsia" w:cstheme="minorBidi"/>
          <w:noProof/>
          <w:sz w:val="22"/>
          <w:szCs w:val="22"/>
          <w:lang w:val="en-AU"/>
        </w:rPr>
      </w:pPr>
      <w:hyperlink w:anchor="_Toc495403400" w:history="1">
        <w:r w:rsidR="00193FB6" w:rsidRPr="00BE6FCA">
          <w:rPr>
            <w:rStyle w:val="Hyperlink"/>
            <w:noProof/>
            <w14:scene3d>
              <w14:camera w14:prst="orthographicFront"/>
              <w14:lightRig w14:rig="threePt" w14:dir="t">
                <w14:rot w14:lat="0" w14:lon="0" w14:rev="0"/>
              </w14:lightRig>
            </w14:scene3d>
          </w:rPr>
          <w:t>4.4.2</w:t>
        </w:r>
        <w:r w:rsidR="00193FB6">
          <w:rPr>
            <w:rFonts w:eastAsiaTheme="minorEastAsia" w:cstheme="minorBidi"/>
            <w:noProof/>
            <w:sz w:val="22"/>
            <w:szCs w:val="22"/>
            <w:lang w:val="en-AU"/>
          </w:rPr>
          <w:tab/>
        </w:r>
        <w:r w:rsidR="00193FB6" w:rsidRPr="00BE6FCA">
          <w:rPr>
            <w:rStyle w:val="Hyperlink"/>
            <w:noProof/>
          </w:rPr>
          <w:t xml:space="preserve">Rationale </w:t>
        </w:r>
        <w:r w:rsidR="00193FB6">
          <w:rPr>
            <w:noProof/>
            <w:webHidden/>
          </w:rPr>
          <w:tab/>
        </w:r>
        <w:r w:rsidR="00193FB6">
          <w:rPr>
            <w:noProof/>
            <w:webHidden/>
          </w:rPr>
          <w:fldChar w:fldCharType="begin"/>
        </w:r>
        <w:r w:rsidR="00193FB6">
          <w:rPr>
            <w:noProof/>
            <w:webHidden/>
          </w:rPr>
          <w:instrText xml:space="preserve"> PAGEREF _Toc495403400 \h </w:instrText>
        </w:r>
        <w:r w:rsidR="00193FB6">
          <w:rPr>
            <w:noProof/>
            <w:webHidden/>
          </w:rPr>
        </w:r>
        <w:r w:rsidR="00193FB6">
          <w:rPr>
            <w:noProof/>
            <w:webHidden/>
          </w:rPr>
          <w:fldChar w:fldCharType="separate"/>
        </w:r>
        <w:r w:rsidR="00755508">
          <w:rPr>
            <w:noProof/>
            <w:webHidden/>
          </w:rPr>
          <w:t>20</w:t>
        </w:r>
        <w:r w:rsidR="00193FB6">
          <w:rPr>
            <w:noProof/>
            <w:webHidden/>
          </w:rPr>
          <w:fldChar w:fldCharType="end"/>
        </w:r>
      </w:hyperlink>
    </w:p>
    <w:p w14:paraId="7BEB3CFE" w14:textId="77777777" w:rsidR="00193FB6" w:rsidRDefault="00A01059">
      <w:pPr>
        <w:pStyle w:val="TOC2"/>
        <w:rPr>
          <w:rFonts w:eastAsiaTheme="minorEastAsia" w:cstheme="minorBidi"/>
          <w:i w:val="0"/>
          <w:iCs w:val="0"/>
          <w:noProof/>
          <w:sz w:val="22"/>
          <w:szCs w:val="22"/>
          <w:lang w:val="en-AU"/>
        </w:rPr>
      </w:pPr>
      <w:hyperlink w:anchor="_Toc495403401" w:history="1">
        <w:r w:rsidR="00193FB6" w:rsidRPr="00BE6FCA">
          <w:rPr>
            <w:rStyle w:val="Hyperlink"/>
            <w:noProof/>
            <w14:scene3d>
              <w14:camera w14:prst="orthographicFront"/>
              <w14:lightRig w14:rig="threePt" w14:dir="t">
                <w14:rot w14:lat="0" w14:lon="0" w14:rev="0"/>
              </w14:lightRig>
            </w14:scene3d>
          </w:rPr>
          <w:t>4.5</w:t>
        </w:r>
        <w:r w:rsidR="00193FB6">
          <w:rPr>
            <w:rFonts w:eastAsiaTheme="minorEastAsia" w:cstheme="minorBidi"/>
            <w:i w:val="0"/>
            <w:iCs w:val="0"/>
            <w:noProof/>
            <w:sz w:val="22"/>
            <w:szCs w:val="22"/>
            <w:lang w:val="en-AU"/>
          </w:rPr>
          <w:tab/>
        </w:r>
        <w:r w:rsidR="00193FB6" w:rsidRPr="00BE6FCA">
          <w:rPr>
            <w:rStyle w:val="Hyperlink"/>
            <w:noProof/>
          </w:rPr>
          <w:t>Platelet assessment and platelet aggregation tests: item 65144 and new split item</w:t>
        </w:r>
        <w:r w:rsidR="00193FB6">
          <w:rPr>
            <w:noProof/>
            <w:webHidden/>
          </w:rPr>
          <w:tab/>
        </w:r>
        <w:r w:rsidR="00193FB6">
          <w:rPr>
            <w:noProof/>
            <w:webHidden/>
          </w:rPr>
          <w:fldChar w:fldCharType="begin"/>
        </w:r>
        <w:r w:rsidR="00193FB6">
          <w:rPr>
            <w:noProof/>
            <w:webHidden/>
          </w:rPr>
          <w:instrText xml:space="preserve"> PAGEREF _Toc495403401 \h </w:instrText>
        </w:r>
        <w:r w:rsidR="00193FB6">
          <w:rPr>
            <w:noProof/>
            <w:webHidden/>
          </w:rPr>
        </w:r>
        <w:r w:rsidR="00193FB6">
          <w:rPr>
            <w:noProof/>
            <w:webHidden/>
          </w:rPr>
          <w:fldChar w:fldCharType="separate"/>
        </w:r>
        <w:r w:rsidR="00755508">
          <w:rPr>
            <w:noProof/>
            <w:webHidden/>
          </w:rPr>
          <w:t>21</w:t>
        </w:r>
        <w:r w:rsidR="00193FB6">
          <w:rPr>
            <w:noProof/>
            <w:webHidden/>
          </w:rPr>
          <w:fldChar w:fldCharType="end"/>
        </w:r>
      </w:hyperlink>
    </w:p>
    <w:p w14:paraId="0A8FE65F" w14:textId="77777777" w:rsidR="00193FB6" w:rsidRDefault="00A01059">
      <w:pPr>
        <w:pStyle w:val="TOC3"/>
        <w:tabs>
          <w:tab w:val="left" w:pos="1474"/>
        </w:tabs>
        <w:rPr>
          <w:rFonts w:eastAsiaTheme="minorEastAsia" w:cstheme="minorBidi"/>
          <w:noProof/>
          <w:sz w:val="22"/>
          <w:szCs w:val="22"/>
          <w:lang w:val="en-AU"/>
        </w:rPr>
      </w:pPr>
      <w:hyperlink w:anchor="_Toc495403402" w:history="1">
        <w:r w:rsidR="00193FB6" w:rsidRPr="00BE6FCA">
          <w:rPr>
            <w:rStyle w:val="Hyperlink"/>
            <w:noProof/>
            <w14:scene3d>
              <w14:camera w14:prst="orthographicFront"/>
              <w14:lightRig w14:rig="threePt" w14:dir="t">
                <w14:rot w14:lat="0" w14:lon="0" w14:rev="0"/>
              </w14:lightRig>
            </w14:scene3d>
          </w:rPr>
          <w:t>4.5.1</w:t>
        </w:r>
        <w:r w:rsidR="00193FB6">
          <w:rPr>
            <w:rFonts w:eastAsiaTheme="minorEastAsia" w:cstheme="minorBidi"/>
            <w:noProof/>
            <w:sz w:val="22"/>
            <w:szCs w:val="22"/>
            <w:lang w:val="en-AU"/>
          </w:rPr>
          <w:tab/>
        </w:r>
        <w:r w:rsidR="00193FB6" w:rsidRPr="00BE6FCA">
          <w:rPr>
            <w:rStyle w:val="Hyperlink"/>
            <w:noProof/>
          </w:rPr>
          <w:t>Recommendation 5</w:t>
        </w:r>
        <w:r w:rsidR="00193FB6">
          <w:rPr>
            <w:noProof/>
            <w:webHidden/>
          </w:rPr>
          <w:tab/>
        </w:r>
        <w:r w:rsidR="00193FB6">
          <w:rPr>
            <w:noProof/>
            <w:webHidden/>
          </w:rPr>
          <w:fldChar w:fldCharType="begin"/>
        </w:r>
        <w:r w:rsidR="00193FB6">
          <w:rPr>
            <w:noProof/>
            <w:webHidden/>
          </w:rPr>
          <w:instrText xml:space="preserve"> PAGEREF _Toc495403402 \h </w:instrText>
        </w:r>
        <w:r w:rsidR="00193FB6">
          <w:rPr>
            <w:noProof/>
            <w:webHidden/>
          </w:rPr>
        </w:r>
        <w:r w:rsidR="00193FB6">
          <w:rPr>
            <w:noProof/>
            <w:webHidden/>
          </w:rPr>
          <w:fldChar w:fldCharType="separate"/>
        </w:r>
        <w:r w:rsidR="00755508">
          <w:rPr>
            <w:noProof/>
            <w:webHidden/>
          </w:rPr>
          <w:t>21</w:t>
        </w:r>
        <w:r w:rsidR="00193FB6">
          <w:rPr>
            <w:noProof/>
            <w:webHidden/>
          </w:rPr>
          <w:fldChar w:fldCharType="end"/>
        </w:r>
      </w:hyperlink>
    </w:p>
    <w:p w14:paraId="4D8574FF" w14:textId="77777777" w:rsidR="00193FB6" w:rsidRDefault="00A01059">
      <w:pPr>
        <w:pStyle w:val="TOC3"/>
        <w:tabs>
          <w:tab w:val="left" w:pos="1474"/>
        </w:tabs>
        <w:rPr>
          <w:rFonts w:eastAsiaTheme="minorEastAsia" w:cstheme="minorBidi"/>
          <w:noProof/>
          <w:sz w:val="22"/>
          <w:szCs w:val="22"/>
          <w:lang w:val="en-AU"/>
        </w:rPr>
      </w:pPr>
      <w:hyperlink w:anchor="_Toc495403403" w:history="1">
        <w:r w:rsidR="00193FB6" w:rsidRPr="00BE6FCA">
          <w:rPr>
            <w:rStyle w:val="Hyperlink"/>
            <w:noProof/>
            <w14:scene3d>
              <w14:camera w14:prst="orthographicFront"/>
              <w14:lightRig w14:rig="threePt" w14:dir="t">
                <w14:rot w14:lat="0" w14:lon="0" w14:rev="0"/>
              </w14:lightRig>
            </w14:scene3d>
          </w:rPr>
          <w:t>4.5.2</w:t>
        </w:r>
        <w:r w:rsidR="00193FB6">
          <w:rPr>
            <w:rFonts w:eastAsiaTheme="minorEastAsia" w:cstheme="minorBidi"/>
            <w:noProof/>
            <w:sz w:val="22"/>
            <w:szCs w:val="22"/>
            <w:lang w:val="en-AU"/>
          </w:rPr>
          <w:tab/>
        </w:r>
        <w:r w:rsidR="00193FB6" w:rsidRPr="00BE6FCA">
          <w:rPr>
            <w:rStyle w:val="Hyperlink"/>
            <w:noProof/>
          </w:rPr>
          <w:t xml:space="preserve">Rationale </w:t>
        </w:r>
        <w:r w:rsidR="00193FB6">
          <w:rPr>
            <w:noProof/>
            <w:webHidden/>
          </w:rPr>
          <w:tab/>
        </w:r>
        <w:r w:rsidR="00193FB6">
          <w:rPr>
            <w:noProof/>
            <w:webHidden/>
          </w:rPr>
          <w:fldChar w:fldCharType="begin"/>
        </w:r>
        <w:r w:rsidR="00193FB6">
          <w:rPr>
            <w:noProof/>
            <w:webHidden/>
          </w:rPr>
          <w:instrText xml:space="preserve"> PAGEREF _Toc495403403 \h </w:instrText>
        </w:r>
        <w:r w:rsidR="00193FB6">
          <w:rPr>
            <w:noProof/>
            <w:webHidden/>
          </w:rPr>
        </w:r>
        <w:r w:rsidR="00193FB6">
          <w:rPr>
            <w:noProof/>
            <w:webHidden/>
          </w:rPr>
          <w:fldChar w:fldCharType="separate"/>
        </w:r>
        <w:r w:rsidR="00755508">
          <w:rPr>
            <w:noProof/>
            <w:webHidden/>
          </w:rPr>
          <w:t>22</w:t>
        </w:r>
        <w:r w:rsidR="00193FB6">
          <w:rPr>
            <w:noProof/>
            <w:webHidden/>
          </w:rPr>
          <w:fldChar w:fldCharType="end"/>
        </w:r>
      </w:hyperlink>
    </w:p>
    <w:p w14:paraId="13E6341B" w14:textId="77777777" w:rsidR="00193FB6" w:rsidRDefault="00A01059">
      <w:pPr>
        <w:pStyle w:val="TOC2"/>
        <w:rPr>
          <w:rFonts w:eastAsiaTheme="minorEastAsia" w:cstheme="minorBidi"/>
          <w:i w:val="0"/>
          <w:iCs w:val="0"/>
          <w:noProof/>
          <w:sz w:val="22"/>
          <w:szCs w:val="22"/>
          <w:lang w:val="en-AU"/>
        </w:rPr>
      </w:pPr>
      <w:hyperlink w:anchor="_Toc495403404" w:history="1">
        <w:r w:rsidR="00193FB6" w:rsidRPr="00BE6FCA">
          <w:rPr>
            <w:rStyle w:val="Hyperlink"/>
            <w:noProof/>
            <w14:scene3d>
              <w14:camera w14:prst="orthographicFront"/>
              <w14:lightRig w14:rig="threePt" w14:dir="t">
                <w14:rot w14:lat="0" w14:lon="0" w14:rev="0"/>
              </w14:lightRig>
            </w14:scene3d>
          </w:rPr>
          <w:t>4.6</w:t>
        </w:r>
        <w:r w:rsidR="00193FB6">
          <w:rPr>
            <w:rFonts w:eastAsiaTheme="minorEastAsia" w:cstheme="minorBidi"/>
            <w:i w:val="0"/>
            <w:iCs w:val="0"/>
            <w:noProof/>
            <w:sz w:val="22"/>
            <w:szCs w:val="22"/>
            <w:lang w:val="en-AU"/>
          </w:rPr>
          <w:tab/>
        </w:r>
        <w:r w:rsidR="00193FB6" w:rsidRPr="00BE6FCA">
          <w:rPr>
            <w:rStyle w:val="Hyperlink"/>
            <w:noProof/>
          </w:rPr>
          <w:t>Assessment of haemolysis or metabolic enzymes: Item 65075</w:t>
        </w:r>
        <w:r w:rsidR="00193FB6">
          <w:rPr>
            <w:noProof/>
            <w:webHidden/>
          </w:rPr>
          <w:tab/>
        </w:r>
        <w:r w:rsidR="00193FB6">
          <w:rPr>
            <w:noProof/>
            <w:webHidden/>
          </w:rPr>
          <w:fldChar w:fldCharType="begin"/>
        </w:r>
        <w:r w:rsidR="00193FB6">
          <w:rPr>
            <w:noProof/>
            <w:webHidden/>
          </w:rPr>
          <w:instrText xml:space="preserve"> PAGEREF _Toc495403404 \h </w:instrText>
        </w:r>
        <w:r w:rsidR="00193FB6">
          <w:rPr>
            <w:noProof/>
            <w:webHidden/>
          </w:rPr>
        </w:r>
        <w:r w:rsidR="00193FB6">
          <w:rPr>
            <w:noProof/>
            <w:webHidden/>
          </w:rPr>
          <w:fldChar w:fldCharType="separate"/>
        </w:r>
        <w:r w:rsidR="00755508">
          <w:rPr>
            <w:noProof/>
            <w:webHidden/>
          </w:rPr>
          <w:t>23</w:t>
        </w:r>
        <w:r w:rsidR="00193FB6">
          <w:rPr>
            <w:noProof/>
            <w:webHidden/>
          </w:rPr>
          <w:fldChar w:fldCharType="end"/>
        </w:r>
      </w:hyperlink>
    </w:p>
    <w:p w14:paraId="01699EA5" w14:textId="77777777" w:rsidR="00193FB6" w:rsidRDefault="00A01059">
      <w:pPr>
        <w:pStyle w:val="TOC3"/>
        <w:tabs>
          <w:tab w:val="left" w:pos="1474"/>
        </w:tabs>
        <w:rPr>
          <w:rFonts w:eastAsiaTheme="minorEastAsia" w:cstheme="minorBidi"/>
          <w:noProof/>
          <w:sz w:val="22"/>
          <w:szCs w:val="22"/>
          <w:lang w:val="en-AU"/>
        </w:rPr>
      </w:pPr>
      <w:hyperlink w:anchor="_Toc495403405" w:history="1">
        <w:r w:rsidR="00193FB6" w:rsidRPr="00BE6FCA">
          <w:rPr>
            <w:rStyle w:val="Hyperlink"/>
            <w:noProof/>
            <w14:scene3d>
              <w14:camera w14:prst="orthographicFront"/>
              <w14:lightRig w14:rig="threePt" w14:dir="t">
                <w14:rot w14:lat="0" w14:lon="0" w14:rev="0"/>
              </w14:lightRig>
            </w14:scene3d>
          </w:rPr>
          <w:t>4.6.1</w:t>
        </w:r>
        <w:r w:rsidR="00193FB6">
          <w:rPr>
            <w:rFonts w:eastAsiaTheme="minorEastAsia" w:cstheme="minorBidi"/>
            <w:noProof/>
            <w:sz w:val="22"/>
            <w:szCs w:val="22"/>
            <w:lang w:val="en-AU"/>
          </w:rPr>
          <w:tab/>
        </w:r>
        <w:r w:rsidR="00193FB6" w:rsidRPr="00BE6FCA">
          <w:rPr>
            <w:rStyle w:val="Hyperlink"/>
            <w:noProof/>
          </w:rPr>
          <w:t>Recommendation 6</w:t>
        </w:r>
        <w:r w:rsidR="00193FB6">
          <w:rPr>
            <w:noProof/>
            <w:webHidden/>
          </w:rPr>
          <w:tab/>
        </w:r>
        <w:r w:rsidR="00193FB6">
          <w:rPr>
            <w:noProof/>
            <w:webHidden/>
          </w:rPr>
          <w:fldChar w:fldCharType="begin"/>
        </w:r>
        <w:r w:rsidR="00193FB6">
          <w:rPr>
            <w:noProof/>
            <w:webHidden/>
          </w:rPr>
          <w:instrText xml:space="preserve"> PAGEREF _Toc495403405 \h </w:instrText>
        </w:r>
        <w:r w:rsidR="00193FB6">
          <w:rPr>
            <w:noProof/>
            <w:webHidden/>
          </w:rPr>
        </w:r>
        <w:r w:rsidR="00193FB6">
          <w:rPr>
            <w:noProof/>
            <w:webHidden/>
          </w:rPr>
          <w:fldChar w:fldCharType="separate"/>
        </w:r>
        <w:r w:rsidR="00755508">
          <w:rPr>
            <w:noProof/>
            <w:webHidden/>
          </w:rPr>
          <w:t>23</w:t>
        </w:r>
        <w:r w:rsidR="00193FB6">
          <w:rPr>
            <w:noProof/>
            <w:webHidden/>
          </w:rPr>
          <w:fldChar w:fldCharType="end"/>
        </w:r>
      </w:hyperlink>
    </w:p>
    <w:p w14:paraId="4BF7C136" w14:textId="77777777" w:rsidR="00193FB6" w:rsidRDefault="00A01059">
      <w:pPr>
        <w:pStyle w:val="TOC3"/>
        <w:tabs>
          <w:tab w:val="left" w:pos="1474"/>
        </w:tabs>
        <w:rPr>
          <w:rFonts w:eastAsiaTheme="minorEastAsia" w:cstheme="minorBidi"/>
          <w:noProof/>
          <w:sz w:val="22"/>
          <w:szCs w:val="22"/>
          <w:lang w:val="en-AU"/>
        </w:rPr>
      </w:pPr>
      <w:hyperlink w:anchor="_Toc495403406" w:history="1">
        <w:r w:rsidR="00193FB6" w:rsidRPr="00BE6FCA">
          <w:rPr>
            <w:rStyle w:val="Hyperlink"/>
            <w:noProof/>
            <w14:scene3d>
              <w14:camera w14:prst="orthographicFront"/>
              <w14:lightRig w14:rig="threePt" w14:dir="t">
                <w14:rot w14:lat="0" w14:lon="0" w14:rev="0"/>
              </w14:lightRig>
            </w14:scene3d>
          </w:rPr>
          <w:t>4.6.2</w:t>
        </w:r>
        <w:r w:rsidR="00193FB6">
          <w:rPr>
            <w:rFonts w:eastAsiaTheme="minorEastAsia" w:cstheme="minorBidi"/>
            <w:noProof/>
            <w:sz w:val="22"/>
            <w:szCs w:val="22"/>
            <w:lang w:val="en-AU"/>
          </w:rPr>
          <w:tab/>
        </w:r>
        <w:r w:rsidR="00193FB6" w:rsidRPr="00BE6FCA">
          <w:rPr>
            <w:rStyle w:val="Hyperlink"/>
            <w:noProof/>
          </w:rPr>
          <w:t>Rationale</w:t>
        </w:r>
        <w:r w:rsidR="00193FB6">
          <w:rPr>
            <w:noProof/>
            <w:webHidden/>
          </w:rPr>
          <w:tab/>
        </w:r>
        <w:r w:rsidR="00193FB6">
          <w:rPr>
            <w:noProof/>
            <w:webHidden/>
          </w:rPr>
          <w:fldChar w:fldCharType="begin"/>
        </w:r>
        <w:r w:rsidR="00193FB6">
          <w:rPr>
            <w:noProof/>
            <w:webHidden/>
          </w:rPr>
          <w:instrText xml:space="preserve"> PAGEREF _Toc495403406 \h </w:instrText>
        </w:r>
        <w:r w:rsidR="00193FB6">
          <w:rPr>
            <w:noProof/>
            <w:webHidden/>
          </w:rPr>
        </w:r>
        <w:r w:rsidR="00193FB6">
          <w:rPr>
            <w:noProof/>
            <w:webHidden/>
          </w:rPr>
          <w:fldChar w:fldCharType="separate"/>
        </w:r>
        <w:r w:rsidR="00755508">
          <w:rPr>
            <w:noProof/>
            <w:webHidden/>
          </w:rPr>
          <w:t>23</w:t>
        </w:r>
        <w:r w:rsidR="00193FB6">
          <w:rPr>
            <w:noProof/>
            <w:webHidden/>
          </w:rPr>
          <w:fldChar w:fldCharType="end"/>
        </w:r>
      </w:hyperlink>
    </w:p>
    <w:p w14:paraId="7ABC00F8" w14:textId="77777777" w:rsidR="00193FB6" w:rsidRDefault="00A01059">
      <w:pPr>
        <w:pStyle w:val="TOC2"/>
        <w:rPr>
          <w:rFonts w:eastAsiaTheme="minorEastAsia" w:cstheme="minorBidi"/>
          <w:i w:val="0"/>
          <w:iCs w:val="0"/>
          <w:noProof/>
          <w:sz w:val="22"/>
          <w:szCs w:val="22"/>
          <w:lang w:val="en-AU"/>
        </w:rPr>
      </w:pPr>
      <w:hyperlink w:anchor="_Toc495403407" w:history="1">
        <w:r w:rsidR="00193FB6" w:rsidRPr="00BE6FCA">
          <w:rPr>
            <w:rStyle w:val="Hyperlink"/>
            <w:noProof/>
            <w14:scene3d>
              <w14:camera w14:prst="orthographicFront"/>
              <w14:lightRig w14:rig="threePt" w14:dir="t">
                <w14:rot w14:lat="0" w14:lon="0" w14:rev="0"/>
              </w14:lightRig>
            </w14:scene3d>
          </w:rPr>
          <w:t>4.7</w:t>
        </w:r>
        <w:r w:rsidR="00193FB6">
          <w:rPr>
            <w:rFonts w:eastAsiaTheme="minorEastAsia" w:cstheme="minorBidi"/>
            <w:i w:val="0"/>
            <w:iCs w:val="0"/>
            <w:noProof/>
            <w:sz w:val="22"/>
            <w:szCs w:val="22"/>
            <w:lang w:val="en-AU"/>
          </w:rPr>
          <w:tab/>
        </w:r>
        <w:r w:rsidR="00193FB6" w:rsidRPr="00BE6FCA">
          <w:rPr>
            <w:rStyle w:val="Hyperlink"/>
            <w:noProof/>
          </w:rPr>
          <w:t>Full blood examination: item 65070</w:t>
        </w:r>
        <w:r w:rsidR="00193FB6">
          <w:rPr>
            <w:noProof/>
            <w:webHidden/>
          </w:rPr>
          <w:tab/>
        </w:r>
        <w:r w:rsidR="00193FB6">
          <w:rPr>
            <w:noProof/>
            <w:webHidden/>
          </w:rPr>
          <w:fldChar w:fldCharType="begin"/>
        </w:r>
        <w:r w:rsidR="00193FB6">
          <w:rPr>
            <w:noProof/>
            <w:webHidden/>
          </w:rPr>
          <w:instrText xml:space="preserve"> PAGEREF _Toc495403407 \h </w:instrText>
        </w:r>
        <w:r w:rsidR="00193FB6">
          <w:rPr>
            <w:noProof/>
            <w:webHidden/>
          </w:rPr>
        </w:r>
        <w:r w:rsidR="00193FB6">
          <w:rPr>
            <w:noProof/>
            <w:webHidden/>
          </w:rPr>
          <w:fldChar w:fldCharType="separate"/>
        </w:r>
        <w:r w:rsidR="00755508">
          <w:rPr>
            <w:noProof/>
            <w:webHidden/>
          </w:rPr>
          <w:t>24</w:t>
        </w:r>
        <w:r w:rsidR="00193FB6">
          <w:rPr>
            <w:noProof/>
            <w:webHidden/>
          </w:rPr>
          <w:fldChar w:fldCharType="end"/>
        </w:r>
      </w:hyperlink>
    </w:p>
    <w:p w14:paraId="197E12EC" w14:textId="77777777" w:rsidR="00193FB6" w:rsidRDefault="00A01059">
      <w:pPr>
        <w:pStyle w:val="TOC3"/>
        <w:tabs>
          <w:tab w:val="left" w:pos="1474"/>
        </w:tabs>
        <w:rPr>
          <w:rFonts w:eastAsiaTheme="minorEastAsia" w:cstheme="minorBidi"/>
          <w:noProof/>
          <w:sz w:val="22"/>
          <w:szCs w:val="22"/>
          <w:lang w:val="en-AU"/>
        </w:rPr>
      </w:pPr>
      <w:hyperlink w:anchor="_Toc495403408" w:history="1">
        <w:r w:rsidR="00193FB6" w:rsidRPr="00BE6FCA">
          <w:rPr>
            <w:rStyle w:val="Hyperlink"/>
            <w:noProof/>
            <w14:scene3d>
              <w14:camera w14:prst="orthographicFront"/>
              <w14:lightRig w14:rig="threePt" w14:dir="t">
                <w14:rot w14:lat="0" w14:lon="0" w14:rev="0"/>
              </w14:lightRig>
            </w14:scene3d>
          </w:rPr>
          <w:t>4.7.1</w:t>
        </w:r>
        <w:r w:rsidR="00193FB6">
          <w:rPr>
            <w:rFonts w:eastAsiaTheme="minorEastAsia" w:cstheme="minorBidi"/>
            <w:noProof/>
            <w:sz w:val="22"/>
            <w:szCs w:val="22"/>
            <w:lang w:val="en-AU"/>
          </w:rPr>
          <w:tab/>
        </w:r>
        <w:r w:rsidR="00193FB6" w:rsidRPr="00BE6FCA">
          <w:rPr>
            <w:rStyle w:val="Hyperlink"/>
            <w:noProof/>
          </w:rPr>
          <w:t>Recommendation 7</w:t>
        </w:r>
        <w:r w:rsidR="00193FB6">
          <w:rPr>
            <w:noProof/>
            <w:webHidden/>
          </w:rPr>
          <w:tab/>
        </w:r>
        <w:r w:rsidR="00193FB6">
          <w:rPr>
            <w:noProof/>
            <w:webHidden/>
          </w:rPr>
          <w:fldChar w:fldCharType="begin"/>
        </w:r>
        <w:r w:rsidR="00193FB6">
          <w:rPr>
            <w:noProof/>
            <w:webHidden/>
          </w:rPr>
          <w:instrText xml:space="preserve"> PAGEREF _Toc495403408 \h </w:instrText>
        </w:r>
        <w:r w:rsidR="00193FB6">
          <w:rPr>
            <w:noProof/>
            <w:webHidden/>
          </w:rPr>
        </w:r>
        <w:r w:rsidR="00193FB6">
          <w:rPr>
            <w:noProof/>
            <w:webHidden/>
          </w:rPr>
          <w:fldChar w:fldCharType="separate"/>
        </w:r>
        <w:r w:rsidR="00755508">
          <w:rPr>
            <w:noProof/>
            <w:webHidden/>
          </w:rPr>
          <w:t>24</w:t>
        </w:r>
        <w:r w:rsidR="00193FB6">
          <w:rPr>
            <w:noProof/>
            <w:webHidden/>
          </w:rPr>
          <w:fldChar w:fldCharType="end"/>
        </w:r>
      </w:hyperlink>
    </w:p>
    <w:p w14:paraId="14A89FB5" w14:textId="77777777" w:rsidR="00193FB6" w:rsidRDefault="00A01059">
      <w:pPr>
        <w:pStyle w:val="TOC3"/>
        <w:tabs>
          <w:tab w:val="left" w:pos="1474"/>
        </w:tabs>
        <w:rPr>
          <w:rFonts w:eastAsiaTheme="minorEastAsia" w:cstheme="minorBidi"/>
          <w:noProof/>
          <w:sz w:val="22"/>
          <w:szCs w:val="22"/>
          <w:lang w:val="en-AU"/>
        </w:rPr>
      </w:pPr>
      <w:hyperlink w:anchor="_Toc495403409" w:history="1">
        <w:r w:rsidR="00193FB6" w:rsidRPr="00BE6FCA">
          <w:rPr>
            <w:rStyle w:val="Hyperlink"/>
            <w:noProof/>
            <w14:scene3d>
              <w14:camera w14:prst="orthographicFront"/>
              <w14:lightRig w14:rig="threePt" w14:dir="t">
                <w14:rot w14:lat="0" w14:lon="0" w14:rev="0"/>
              </w14:lightRig>
            </w14:scene3d>
          </w:rPr>
          <w:t>4.7.2</w:t>
        </w:r>
        <w:r w:rsidR="00193FB6">
          <w:rPr>
            <w:rFonts w:eastAsiaTheme="minorEastAsia" w:cstheme="minorBidi"/>
            <w:noProof/>
            <w:sz w:val="22"/>
            <w:szCs w:val="22"/>
            <w:lang w:val="en-AU"/>
          </w:rPr>
          <w:tab/>
        </w:r>
        <w:r w:rsidR="00193FB6" w:rsidRPr="00BE6FCA">
          <w:rPr>
            <w:rStyle w:val="Hyperlink"/>
            <w:noProof/>
          </w:rPr>
          <w:t>Rationale</w:t>
        </w:r>
        <w:r w:rsidR="00193FB6">
          <w:rPr>
            <w:noProof/>
            <w:webHidden/>
          </w:rPr>
          <w:tab/>
        </w:r>
        <w:r w:rsidR="00193FB6">
          <w:rPr>
            <w:noProof/>
            <w:webHidden/>
          </w:rPr>
          <w:fldChar w:fldCharType="begin"/>
        </w:r>
        <w:r w:rsidR="00193FB6">
          <w:rPr>
            <w:noProof/>
            <w:webHidden/>
          </w:rPr>
          <w:instrText xml:space="preserve"> PAGEREF _Toc495403409 \h </w:instrText>
        </w:r>
        <w:r w:rsidR="00193FB6">
          <w:rPr>
            <w:noProof/>
            <w:webHidden/>
          </w:rPr>
        </w:r>
        <w:r w:rsidR="00193FB6">
          <w:rPr>
            <w:noProof/>
            <w:webHidden/>
          </w:rPr>
          <w:fldChar w:fldCharType="separate"/>
        </w:r>
        <w:r w:rsidR="00755508">
          <w:rPr>
            <w:noProof/>
            <w:webHidden/>
          </w:rPr>
          <w:t>24</w:t>
        </w:r>
        <w:r w:rsidR="00193FB6">
          <w:rPr>
            <w:noProof/>
            <w:webHidden/>
          </w:rPr>
          <w:fldChar w:fldCharType="end"/>
        </w:r>
      </w:hyperlink>
    </w:p>
    <w:p w14:paraId="2403B088" w14:textId="77777777" w:rsidR="00193FB6" w:rsidRDefault="00A01059">
      <w:pPr>
        <w:pStyle w:val="TOC2"/>
        <w:rPr>
          <w:rFonts w:eastAsiaTheme="minorEastAsia" w:cstheme="minorBidi"/>
          <w:i w:val="0"/>
          <w:iCs w:val="0"/>
          <w:noProof/>
          <w:sz w:val="22"/>
          <w:szCs w:val="22"/>
          <w:lang w:val="en-AU"/>
        </w:rPr>
      </w:pPr>
      <w:hyperlink w:anchor="_Toc495403410" w:history="1">
        <w:r w:rsidR="00193FB6" w:rsidRPr="00BE6FCA">
          <w:rPr>
            <w:rStyle w:val="Hyperlink"/>
            <w:noProof/>
            <w14:scene3d>
              <w14:camera w14:prst="orthographicFront"/>
              <w14:lightRig w14:rig="threePt" w14:dir="t">
                <w14:rot w14:lat="0" w14:lon="0" w14:rev="0"/>
              </w14:lightRig>
            </w14:scene3d>
          </w:rPr>
          <w:t>4.8</w:t>
        </w:r>
        <w:r w:rsidR="00193FB6">
          <w:rPr>
            <w:rFonts w:eastAsiaTheme="minorEastAsia" w:cstheme="minorBidi"/>
            <w:i w:val="0"/>
            <w:iCs w:val="0"/>
            <w:noProof/>
            <w:sz w:val="22"/>
            <w:szCs w:val="22"/>
            <w:lang w:val="en-AU"/>
          </w:rPr>
          <w:tab/>
        </w:r>
        <w:r w:rsidR="00193FB6" w:rsidRPr="00BE6FCA">
          <w:rPr>
            <w:rStyle w:val="Hyperlink"/>
            <w:noProof/>
          </w:rPr>
          <w:t>Thrombophilia tests: items 65171, 65175, 65176, 65177, 65178, 65179, 65180 and 65181</w:t>
        </w:r>
        <w:r w:rsidR="00193FB6">
          <w:rPr>
            <w:noProof/>
            <w:webHidden/>
          </w:rPr>
          <w:tab/>
        </w:r>
        <w:r w:rsidR="00193FB6">
          <w:rPr>
            <w:noProof/>
            <w:webHidden/>
          </w:rPr>
          <w:fldChar w:fldCharType="begin"/>
        </w:r>
        <w:r w:rsidR="00193FB6">
          <w:rPr>
            <w:noProof/>
            <w:webHidden/>
          </w:rPr>
          <w:instrText xml:space="preserve"> PAGEREF _Toc495403410 \h </w:instrText>
        </w:r>
        <w:r w:rsidR="00193FB6">
          <w:rPr>
            <w:noProof/>
            <w:webHidden/>
          </w:rPr>
        </w:r>
        <w:r w:rsidR="00193FB6">
          <w:rPr>
            <w:noProof/>
            <w:webHidden/>
          </w:rPr>
          <w:fldChar w:fldCharType="separate"/>
        </w:r>
        <w:r w:rsidR="00755508">
          <w:rPr>
            <w:noProof/>
            <w:webHidden/>
          </w:rPr>
          <w:t>26</w:t>
        </w:r>
        <w:r w:rsidR="00193FB6">
          <w:rPr>
            <w:noProof/>
            <w:webHidden/>
          </w:rPr>
          <w:fldChar w:fldCharType="end"/>
        </w:r>
      </w:hyperlink>
    </w:p>
    <w:p w14:paraId="3C9819B6" w14:textId="77777777" w:rsidR="00193FB6" w:rsidRDefault="00A01059">
      <w:pPr>
        <w:pStyle w:val="TOC3"/>
        <w:tabs>
          <w:tab w:val="left" w:pos="1474"/>
        </w:tabs>
        <w:rPr>
          <w:rFonts w:eastAsiaTheme="minorEastAsia" w:cstheme="minorBidi"/>
          <w:noProof/>
          <w:sz w:val="22"/>
          <w:szCs w:val="22"/>
          <w:lang w:val="en-AU"/>
        </w:rPr>
      </w:pPr>
      <w:hyperlink w:anchor="_Toc495403411" w:history="1">
        <w:r w:rsidR="00193FB6" w:rsidRPr="00BE6FCA">
          <w:rPr>
            <w:rStyle w:val="Hyperlink"/>
            <w:noProof/>
            <w14:scene3d>
              <w14:camera w14:prst="orthographicFront"/>
              <w14:lightRig w14:rig="threePt" w14:dir="t">
                <w14:rot w14:lat="0" w14:lon="0" w14:rev="0"/>
              </w14:lightRig>
            </w14:scene3d>
          </w:rPr>
          <w:t>4.8.1</w:t>
        </w:r>
        <w:r w:rsidR="00193FB6">
          <w:rPr>
            <w:rFonts w:eastAsiaTheme="minorEastAsia" w:cstheme="minorBidi"/>
            <w:noProof/>
            <w:sz w:val="22"/>
            <w:szCs w:val="22"/>
            <w:lang w:val="en-AU"/>
          </w:rPr>
          <w:tab/>
        </w:r>
        <w:r w:rsidR="00193FB6" w:rsidRPr="00BE6FCA">
          <w:rPr>
            <w:rStyle w:val="Hyperlink"/>
            <w:noProof/>
          </w:rPr>
          <w:t>Recommendation 8</w:t>
        </w:r>
        <w:r w:rsidR="00193FB6">
          <w:rPr>
            <w:noProof/>
            <w:webHidden/>
          </w:rPr>
          <w:tab/>
        </w:r>
        <w:r w:rsidR="00193FB6">
          <w:rPr>
            <w:noProof/>
            <w:webHidden/>
          </w:rPr>
          <w:fldChar w:fldCharType="begin"/>
        </w:r>
        <w:r w:rsidR="00193FB6">
          <w:rPr>
            <w:noProof/>
            <w:webHidden/>
          </w:rPr>
          <w:instrText xml:space="preserve"> PAGEREF _Toc495403411 \h </w:instrText>
        </w:r>
        <w:r w:rsidR="00193FB6">
          <w:rPr>
            <w:noProof/>
            <w:webHidden/>
          </w:rPr>
        </w:r>
        <w:r w:rsidR="00193FB6">
          <w:rPr>
            <w:noProof/>
            <w:webHidden/>
          </w:rPr>
          <w:fldChar w:fldCharType="separate"/>
        </w:r>
        <w:r w:rsidR="00755508">
          <w:rPr>
            <w:noProof/>
            <w:webHidden/>
          </w:rPr>
          <w:t>27</w:t>
        </w:r>
        <w:r w:rsidR="00193FB6">
          <w:rPr>
            <w:noProof/>
            <w:webHidden/>
          </w:rPr>
          <w:fldChar w:fldCharType="end"/>
        </w:r>
      </w:hyperlink>
    </w:p>
    <w:p w14:paraId="321F3FD2" w14:textId="77777777" w:rsidR="00193FB6" w:rsidRDefault="00A01059">
      <w:pPr>
        <w:pStyle w:val="TOC3"/>
        <w:tabs>
          <w:tab w:val="left" w:pos="1474"/>
        </w:tabs>
        <w:rPr>
          <w:rFonts w:eastAsiaTheme="minorEastAsia" w:cstheme="minorBidi"/>
          <w:noProof/>
          <w:sz w:val="22"/>
          <w:szCs w:val="22"/>
          <w:lang w:val="en-AU"/>
        </w:rPr>
      </w:pPr>
      <w:hyperlink w:anchor="_Toc495403412" w:history="1">
        <w:r w:rsidR="00193FB6" w:rsidRPr="00BE6FCA">
          <w:rPr>
            <w:rStyle w:val="Hyperlink"/>
            <w:noProof/>
            <w14:scene3d>
              <w14:camera w14:prst="orthographicFront"/>
              <w14:lightRig w14:rig="threePt" w14:dir="t">
                <w14:rot w14:lat="0" w14:lon="0" w14:rev="0"/>
              </w14:lightRig>
            </w14:scene3d>
          </w:rPr>
          <w:t>4.8.2</w:t>
        </w:r>
        <w:r w:rsidR="00193FB6">
          <w:rPr>
            <w:rFonts w:eastAsiaTheme="minorEastAsia" w:cstheme="minorBidi"/>
            <w:noProof/>
            <w:sz w:val="22"/>
            <w:szCs w:val="22"/>
            <w:lang w:val="en-AU"/>
          </w:rPr>
          <w:tab/>
        </w:r>
        <w:r w:rsidR="00193FB6" w:rsidRPr="00BE6FCA">
          <w:rPr>
            <w:rStyle w:val="Hyperlink"/>
            <w:noProof/>
          </w:rPr>
          <w:t xml:space="preserve">Rationale </w:t>
        </w:r>
        <w:r w:rsidR="00193FB6">
          <w:rPr>
            <w:noProof/>
            <w:webHidden/>
          </w:rPr>
          <w:tab/>
        </w:r>
        <w:r w:rsidR="00193FB6">
          <w:rPr>
            <w:noProof/>
            <w:webHidden/>
          </w:rPr>
          <w:fldChar w:fldCharType="begin"/>
        </w:r>
        <w:r w:rsidR="00193FB6">
          <w:rPr>
            <w:noProof/>
            <w:webHidden/>
          </w:rPr>
          <w:instrText xml:space="preserve"> PAGEREF _Toc495403412 \h </w:instrText>
        </w:r>
        <w:r w:rsidR="00193FB6">
          <w:rPr>
            <w:noProof/>
            <w:webHidden/>
          </w:rPr>
        </w:r>
        <w:r w:rsidR="00193FB6">
          <w:rPr>
            <w:noProof/>
            <w:webHidden/>
          </w:rPr>
          <w:fldChar w:fldCharType="separate"/>
        </w:r>
        <w:r w:rsidR="00755508">
          <w:rPr>
            <w:noProof/>
            <w:webHidden/>
          </w:rPr>
          <w:t>27</w:t>
        </w:r>
        <w:r w:rsidR="00193FB6">
          <w:rPr>
            <w:noProof/>
            <w:webHidden/>
          </w:rPr>
          <w:fldChar w:fldCharType="end"/>
        </w:r>
      </w:hyperlink>
    </w:p>
    <w:p w14:paraId="73E039EC" w14:textId="77777777" w:rsidR="00193FB6" w:rsidRDefault="00A01059">
      <w:pPr>
        <w:pStyle w:val="TOC2"/>
        <w:rPr>
          <w:rFonts w:eastAsiaTheme="minorEastAsia" w:cstheme="minorBidi"/>
          <w:i w:val="0"/>
          <w:iCs w:val="0"/>
          <w:noProof/>
          <w:sz w:val="22"/>
          <w:szCs w:val="22"/>
          <w:lang w:val="en-AU"/>
        </w:rPr>
      </w:pPr>
      <w:hyperlink w:anchor="_Toc495403413" w:history="1">
        <w:r w:rsidR="00193FB6" w:rsidRPr="00BE6FCA">
          <w:rPr>
            <w:rStyle w:val="Hyperlink"/>
            <w:noProof/>
            <w14:scene3d>
              <w14:camera w14:prst="orthographicFront"/>
              <w14:lightRig w14:rig="threePt" w14:dir="t">
                <w14:rot w14:lat="0" w14:lon="0" w14:rev="0"/>
              </w14:lightRig>
            </w14:scene3d>
          </w:rPr>
          <w:t>4.9</w:t>
        </w:r>
        <w:r w:rsidR="00193FB6">
          <w:rPr>
            <w:rFonts w:eastAsiaTheme="minorEastAsia" w:cstheme="minorBidi"/>
            <w:i w:val="0"/>
            <w:iCs w:val="0"/>
            <w:noProof/>
            <w:sz w:val="22"/>
            <w:szCs w:val="22"/>
            <w:lang w:val="en-AU"/>
          </w:rPr>
          <w:tab/>
        </w:r>
        <w:r w:rsidR="00193FB6" w:rsidRPr="00BE6FCA">
          <w:rPr>
            <w:rStyle w:val="Hyperlink"/>
            <w:noProof/>
          </w:rPr>
          <w:t>Erythrocyte sedimentation rate (ESR): item 65060</w:t>
        </w:r>
        <w:r w:rsidR="00193FB6">
          <w:rPr>
            <w:noProof/>
            <w:webHidden/>
          </w:rPr>
          <w:tab/>
        </w:r>
        <w:r w:rsidR="00193FB6">
          <w:rPr>
            <w:noProof/>
            <w:webHidden/>
          </w:rPr>
          <w:fldChar w:fldCharType="begin"/>
        </w:r>
        <w:r w:rsidR="00193FB6">
          <w:rPr>
            <w:noProof/>
            <w:webHidden/>
          </w:rPr>
          <w:instrText xml:space="preserve"> PAGEREF _Toc495403413 \h </w:instrText>
        </w:r>
        <w:r w:rsidR="00193FB6">
          <w:rPr>
            <w:noProof/>
            <w:webHidden/>
          </w:rPr>
        </w:r>
        <w:r w:rsidR="00193FB6">
          <w:rPr>
            <w:noProof/>
            <w:webHidden/>
          </w:rPr>
          <w:fldChar w:fldCharType="separate"/>
        </w:r>
        <w:r w:rsidR="00755508">
          <w:rPr>
            <w:noProof/>
            <w:webHidden/>
          </w:rPr>
          <w:t>28</w:t>
        </w:r>
        <w:r w:rsidR="00193FB6">
          <w:rPr>
            <w:noProof/>
            <w:webHidden/>
          </w:rPr>
          <w:fldChar w:fldCharType="end"/>
        </w:r>
      </w:hyperlink>
    </w:p>
    <w:p w14:paraId="7C1AFC61" w14:textId="77777777" w:rsidR="00193FB6" w:rsidRDefault="00A01059">
      <w:pPr>
        <w:pStyle w:val="TOC3"/>
        <w:tabs>
          <w:tab w:val="left" w:pos="1474"/>
        </w:tabs>
        <w:rPr>
          <w:rFonts w:eastAsiaTheme="minorEastAsia" w:cstheme="minorBidi"/>
          <w:noProof/>
          <w:sz w:val="22"/>
          <w:szCs w:val="22"/>
          <w:lang w:val="en-AU"/>
        </w:rPr>
      </w:pPr>
      <w:hyperlink w:anchor="_Toc495403414" w:history="1">
        <w:r w:rsidR="00193FB6" w:rsidRPr="00BE6FCA">
          <w:rPr>
            <w:rStyle w:val="Hyperlink"/>
            <w:noProof/>
            <w14:scene3d>
              <w14:camera w14:prst="orthographicFront"/>
              <w14:lightRig w14:rig="threePt" w14:dir="t">
                <w14:rot w14:lat="0" w14:lon="0" w14:rev="0"/>
              </w14:lightRig>
            </w14:scene3d>
          </w:rPr>
          <w:t>4.9.1</w:t>
        </w:r>
        <w:r w:rsidR="00193FB6">
          <w:rPr>
            <w:rFonts w:eastAsiaTheme="minorEastAsia" w:cstheme="minorBidi"/>
            <w:noProof/>
            <w:sz w:val="22"/>
            <w:szCs w:val="22"/>
            <w:lang w:val="en-AU"/>
          </w:rPr>
          <w:tab/>
        </w:r>
        <w:r w:rsidR="00193FB6" w:rsidRPr="00BE6FCA">
          <w:rPr>
            <w:rStyle w:val="Hyperlink"/>
            <w:noProof/>
          </w:rPr>
          <w:t>Recommendation 9</w:t>
        </w:r>
        <w:r w:rsidR="00193FB6">
          <w:rPr>
            <w:noProof/>
            <w:webHidden/>
          </w:rPr>
          <w:tab/>
        </w:r>
        <w:r w:rsidR="00193FB6">
          <w:rPr>
            <w:noProof/>
            <w:webHidden/>
          </w:rPr>
          <w:fldChar w:fldCharType="begin"/>
        </w:r>
        <w:r w:rsidR="00193FB6">
          <w:rPr>
            <w:noProof/>
            <w:webHidden/>
          </w:rPr>
          <w:instrText xml:space="preserve"> PAGEREF _Toc495403414 \h </w:instrText>
        </w:r>
        <w:r w:rsidR="00193FB6">
          <w:rPr>
            <w:noProof/>
            <w:webHidden/>
          </w:rPr>
        </w:r>
        <w:r w:rsidR="00193FB6">
          <w:rPr>
            <w:noProof/>
            <w:webHidden/>
          </w:rPr>
          <w:fldChar w:fldCharType="separate"/>
        </w:r>
        <w:r w:rsidR="00755508">
          <w:rPr>
            <w:noProof/>
            <w:webHidden/>
          </w:rPr>
          <w:t>28</w:t>
        </w:r>
        <w:r w:rsidR="00193FB6">
          <w:rPr>
            <w:noProof/>
            <w:webHidden/>
          </w:rPr>
          <w:fldChar w:fldCharType="end"/>
        </w:r>
      </w:hyperlink>
    </w:p>
    <w:p w14:paraId="325119F0" w14:textId="77777777" w:rsidR="00193FB6" w:rsidRDefault="00A01059">
      <w:pPr>
        <w:pStyle w:val="TOC3"/>
        <w:tabs>
          <w:tab w:val="left" w:pos="1474"/>
        </w:tabs>
        <w:rPr>
          <w:rFonts w:eastAsiaTheme="minorEastAsia" w:cstheme="minorBidi"/>
          <w:noProof/>
          <w:sz w:val="22"/>
          <w:szCs w:val="22"/>
          <w:lang w:val="en-AU"/>
        </w:rPr>
      </w:pPr>
      <w:hyperlink w:anchor="_Toc495403415" w:history="1">
        <w:r w:rsidR="00193FB6" w:rsidRPr="00BE6FCA">
          <w:rPr>
            <w:rStyle w:val="Hyperlink"/>
            <w:noProof/>
            <w14:scene3d>
              <w14:camera w14:prst="orthographicFront"/>
              <w14:lightRig w14:rig="threePt" w14:dir="t">
                <w14:rot w14:lat="0" w14:lon="0" w14:rev="0"/>
              </w14:lightRig>
            </w14:scene3d>
          </w:rPr>
          <w:t>4.9.2</w:t>
        </w:r>
        <w:r w:rsidR="00193FB6">
          <w:rPr>
            <w:rFonts w:eastAsiaTheme="minorEastAsia" w:cstheme="minorBidi"/>
            <w:noProof/>
            <w:sz w:val="22"/>
            <w:szCs w:val="22"/>
            <w:lang w:val="en-AU"/>
          </w:rPr>
          <w:tab/>
        </w:r>
        <w:r w:rsidR="00193FB6" w:rsidRPr="00BE6FCA">
          <w:rPr>
            <w:rStyle w:val="Hyperlink"/>
            <w:noProof/>
          </w:rPr>
          <w:t xml:space="preserve">Rationale </w:t>
        </w:r>
        <w:r w:rsidR="00193FB6">
          <w:rPr>
            <w:noProof/>
            <w:webHidden/>
          </w:rPr>
          <w:tab/>
        </w:r>
        <w:r w:rsidR="00193FB6">
          <w:rPr>
            <w:noProof/>
            <w:webHidden/>
          </w:rPr>
          <w:fldChar w:fldCharType="begin"/>
        </w:r>
        <w:r w:rsidR="00193FB6">
          <w:rPr>
            <w:noProof/>
            <w:webHidden/>
          </w:rPr>
          <w:instrText xml:space="preserve"> PAGEREF _Toc495403415 \h </w:instrText>
        </w:r>
        <w:r w:rsidR="00193FB6">
          <w:rPr>
            <w:noProof/>
            <w:webHidden/>
          </w:rPr>
        </w:r>
        <w:r w:rsidR="00193FB6">
          <w:rPr>
            <w:noProof/>
            <w:webHidden/>
          </w:rPr>
          <w:fldChar w:fldCharType="separate"/>
        </w:r>
        <w:r w:rsidR="00755508">
          <w:rPr>
            <w:noProof/>
            <w:webHidden/>
          </w:rPr>
          <w:t>28</w:t>
        </w:r>
        <w:r w:rsidR="00193FB6">
          <w:rPr>
            <w:noProof/>
            <w:webHidden/>
          </w:rPr>
          <w:fldChar w:fldCharType="end"/>
        </w:r>
      </w:hyperlink>
    </w:p>
    <w:p w14:paraId="6C5CDA09" w14:textId="77777777" w:rsidR="00193FB6" w:rsidRDefault="00A01059">
      <w:pPr>
        <w:pStyle w:val="TOC2"/>
        <w:rPr>
          <w:rFonts w:eastAsiaTheme="minorEastAsia" w:cstheme="minorBidi"/>
          <w:i w:val="0"/>
          <w:iCs w:val="0"/>
          <w:noProof/>
          <w:sz w:val="22"/>
          <w:szCs w:val="22"/>
          <w:lang w:val="en-AU"/>
        </w:rPr>
      </w:pPr>
      <w:hyperlink w:anchor="_Toc495403416" w:history="1">
        <w:r w:rsidR="00193FB6" w:rsidRPr="00BE6FCA">
          <w:rPr>
            <w:rStyle w:val="Hyperlink"/>
            <w:noProof/>
            <w14:scene3d>
              <w14:camera w14:prst="orthographicFront"/>
              <w14:lightRig w14:rig="threePt" w14:dir="t">
                <w14:rot w14:lat="0" w14:lon="0" w14:rev="0"/>
              </w14:lightRig>
            </w14:scene3d>
          </w:rPr>
          <w:t>4.10</w:t>
        </w:r>
        <w:r w:rsidR="00193FB6">
          <w:rPr>
            <w:rFonts w:eastAsiaTheme="minorEastAsia" w:cstheme="minorBidi"/>
            <w:i w:val="0"/>
            <w:iCs w:val="0"/>
            <w:noProof/>
            <w:sz w:val="22"/>
            <w:szCs w:val="22"/>
            <w:lang w:val="en-AU"/>
          </w:rPr>
          <w:tab/>
        </w:r>
        <w:r w:rsidR="00193FB6" w:rsidRPr="00BE6FCA">
          <w:rPr>
            <w:rStyle w:val="Hyperlink"/>
            <w:noProof/>
          </w:rPr>
          <w:t>Minor changes</w:t>
        </w:r>
        <w:r w:rsidR="00193FB6">
          <w:rPr>
            <w:noProof/>
            <w:webHidden/>
          </w:rPr>
          <w:tab/>
        </w:r>
        <w:r w:rsidR="00193FB6">
          <w:rPr>
            <w:noProof/>
            <w:webHidden/>
          </w:rPr>
          <w:fldChar w:fldCharType="begin"/>
        </w:r>
        <w:r w:rsidR="00193FB6">
          <w:rPr>
            <w:noProof/>
            <w:webHidden/>
          </w:rPr>
          <w:instrText xml:space="preserve"> PAGEREF _Toc495403416 \h </w:instrText>
        </w:r>
        <w:r w:rsidR="00193FB6">
          <w:rPr>
            <w:noProof/>
            <w:webHidden/>
          </w:rPr>
        </w:r>
        <w:r w:rsidR="00193FB6">
          <w:rPr>
            <w:noProof/>
            <w:webHidden/>
          </w:rPr>
          <w:fldChar w:fldCharType="separate"/>
        </w:r>
        <w:r w:rsidR="00755508">
          <w:rPr>
            <w:noProof/>
            <w:webHidden/>
          </w:rPr>
          <w:t>29</w:t>
        </w:r>
        <w:r w:rsidR="00193FB6">
          <w:rPr>
            <w:noProof/>
            <w:webHidden/>
          </w:rPr>
          <w:fldChar w:fldCharType="end"/>
        </w:r>
      </w:hyperlink>
    </w:p>
    <w:p w14:paraId="412580E8" w14:textId="77777777" w:rsidR="00193FB6" w:rsidRDefault="00A01059">
      <w:pPr>
        <w:pStyle w:val="TOC2"/>
        <w:rPr>
          <w:rFonts w:eastAsiaTheme="minorEastAsia" w:cstheme="minorBidi"/>
          <w:i w:val="0"/>
          <w:iCs w:val="0"/>
          <w:noProof/>
          <w:sz w:val="22"/>
          <w:szCs w:val="22"/>
          <w:lang w:val="en-AU"/>
        </w:rPr>
      </w:pPr>
      <w:hyperlink w:anchor="_Toc495403417" w:history="1">
        <w:r w:rsidR="00193FB6" w:rsidRPr="00BE6FCA">
          <w:rPr>
            <w:rStyle w:val="Hyperlink"/>
            <w:noProof/>
            <w14:scene3d>
              <w14:camera w14:prst="orthographicFront"/>
              <w14:lightRig w14:rig="threePt" w14:dir="t">
                <w14:rot w14:lat="0" w14:lon="0" w14:rev="0"/>
              </w14:lightRig>
            </w14:scene3d>
          </w:rPr>
          <w:t>4.11</w:t>
        </w:r>
        <w:r w:rsidR="00193FB6">
          <w:rPr>
            <w:rFonts w:eastAsiaTheme="minorEastAsia" w:cstheme="minorBidi"/>
            <w:i w:val="0"/>
            <w:iCs w:val="0"/>
            <w:noProof/>
            <w:sz w:val="22"/>
            <w:szCs w:val="22"/>
            <w:lang w:val="en-AU"/>
          </w:rPr>
          <w:tab/>
        </w:r>
        <w:r w:rsidR="00193FB6" w:rsidRPr="00BE6FCA">
          <w:rPr>
            <w:rStyle w:val="Hyperlink"/>
            <w:noProof/>
          </w:rPr>
          <w:t>Items to be deleted</w:t>
        </w:r>
        <w:r w:rsidR="00193FB6">
          <w:rPr>
            <w:noProof/>
            <w:webHidden/>
          </w:rPr>
          <w:tab/>
        </w:r>
        <w:r w:rsidR="00193FB6">
          <w:rPr>
            <w:noProof/>
            <w:webHidden/>
          </w:rPr>
          <w:fldChar w:fldCharType="begin"/>
        </w:r>
        <w:r w:rsidR="00193FB6">
          <w:rPr>
            <w:noProof/>
            <w:webHidden/>
          </w:rPr>
          <w:instrText xml:space="preserve"> PAGEREF _Toc495403417 \h </w:instrText>
        </w:r>
        <w:r w:rsidR="00193FB6">
          <w:rPr>
            <w:noProof/>
            <w:webHidden/>
          </w:rPr>
        </w:r>
        <w:r w:rsidR="00193FB6">
          <w:rPr>
            <w:noProof/>
            <w:webHidden/>
          </w:rPr>
          <w:fldChar w:fldCharType="separate"/>
        </w:r>
        <w:r w:rsidR="00755508">
          <w:rPr>
            <w:noProof/>
            <w:webHidden/>
          </w:rPr>
          <w:t>30</w:t>
        </w:r>
        <w:r w:rsidR="00193FB6">
          <w:rPr>
            <w:noProof/>
            <w:webHidden/>
          </w:rPr>
          <w:fldChar w:fldCharType="end"/>
        </w:r>
      </w:hyperlink>
    </w:p>
    <w:p w14:paraId="56CF2503" w14:textId="77777777" w:rsidR="00193FB6" w:rsidRDefault="00A01059">
      <w:pPr>
        <w:pStyle w:val="TOC2"/>
        <w:rPr>
          <w:rFonts w:eastAsiaTheme="minorEastAsia" w:cstheme="minorBidi"/>
          <w:i w:val="0"/>
          <w:iCs w:val="0"/>
          <w:noProof/>
          <w:sz w:val="22"/>
          <w:szCs w:val="22"/>
          <w:lang w:val="en-AU"/>
        </w:rPr>
      </w:pPr>
      <w:hyperlink w:anchor="_Toc495403418" w:history="1">
        <w:r w:rsidR="00193FB6" w:rsidRPr="00BE6FCA">
          <w:rPr>
            <w:rStyle w:val="Hyperlink"/>
            <w:noProof/>
            <w14:scene3d>
              <w14:camera w14:prst="orthographicFront"/>
              <w14:lightRig w14:rig="threePt" w14:dir="t">
                <w14:rot w14:lat="0" w14:lon="0" w14:rev="0"/>
              </w14:lightRig>
            </w14:scene3d>
          </w:rPr>
          <w:t>4.12</w:t>
        </w:r>
        <w:r w:rsidR="00193FB6">
          <w:rPr>
            <w:rFonts w:eastAsiaTheme="minorEastAsia" w:cstheme="minorBidi"/>
            <w:i w:val="0"/>
            <w:iCs w:val="0"/>
            <w:noProof/>
            <w:sz w:val="22"/>
            <w:szCs w:val="22"/>
            <w:lang w:val="en-AU"/>
          </w:rPr>
          <w:tab/>
        </w:r>
        <w:r w:rsidR="00193FB6" w:rsidRPr="00BE6FCA">
          <w:rPr>
            <w:rStyle w:val="Hyperlink"/>
            <w:noProof/>
          </w:rPr>
          <w:t>No changes</w:t>
        </w:r>
        <w:r w:rsidR="00193FB6">
          <w:rPr>
            <w:noProof/>
            <w:webHidden/>
          </w:rPr>
          <w:tab/>
        </w:r>
        <w:r w:rsidR="00193FB6">
          <w:rPr>
            <w:noProof/>
            <w:webHidden/>
          </w:rPr>
          <w:fldChar w:fldCharType="begin"/>
        </w:r>
        <w:r w:rsidR="00193FB6">
          <w:rPr>
            <w:noProof/>
            <w:webHidden/>
          </w:rPr>
          <w:instrText xml:space="preserve"> PAGEREF _Toc495403418 \h </w:instrText>
        </w:r>
        <w:r w:rsidR="00193FB6">
          <w:rPr>
            <w:noProof/>
            <w:webHidden/>
          </w:rPr>
        </w:r>
        <w:r w:rsidR="00193FB6">
          <w:rPr>
            <w:noProof/>
            <w:webHidden/>
          </w:rPr>
          <w:fldChar w:fldCharType="separate"/>
        </w:r>
        <w:r w:rsidR="00755508">
          <w:rPr>
            <w:noProof/>
            <w:webHidden/>
          </w:rPr>
          <w:t>31</w:t>
        </w:r>
        <w:r w:rsidR="00193FB6">
          <w:rPr>
            <w:noProof/>
            <w:webHidden/>
          </w:rPr>
          <w:fldChar w:fldCharType="end"/>
        </w:r>
      </w:hyperlink>
    </w:p>
    <w:p w14:paraId="63CBD109"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419" w:history="1">
        <w:r w:rsidR="00193FB6" w:rsidRPr="00BE6FCA">
          <w:rPr>
            <w:rStyle w:val="Hyperlink"/>
            <w:noProof/>
            <w:lang w:val="en-AU" w:bidi="x-none"/>
            <w14:scene3d>
              <w14:camera w14:prst="orthographicFront"/>
              <w14:lightRig w14:rig="threePt" w14:dir="t">
                <w14:rot w14:lat="0" w14:lon="0" w14:rev="0"/>
              </w14:lightRig>
            </w14:scene3d>
          </w:rPr>
          <w:t>5.</w:t>
        </w:r>
        <w:r w:rsidR="00193FB6">
          <w:rPr>
            <w:rFonts w:eastAsiaTheme="minorEastAsia" w:cstheme="minorBidi"/>
            <w:b w:val="0"/>
            <w:bCs w:val="0"/>
            <w:noProof/>
            <w:sz w:val="22"/>
            <w:szCs w:val="22"/>
            <w:lang w:val="en-AU"/>
          </w:rPr>
          <w:tab/>
        </w:r>
        <w:r w:rsidR="00193FB6" w:rsidRPr="00BE6FCA">
          <w:rPr>
            <w:rStyle w:val="Hyperlink"/>
            <w:noProof/>
            <w:lang w:val="en-AU"/>
          </w:rPr>
          <w:t>Recommendations to other committees</w:t>
        </w:r>
        <w:r w:rsidR="00193FB6">
          <w:rPr>
            <w:noProof/>
            <w:webHidden/>
          </w:rPr>
          <w:tab/>
        </w:r>
        <w:r w:rsidR="00193FB6">
          <w:rPr>
            <w:noProof/>
            <w:webHidden/>
          </w:rPr>
          <w:fldChar w:fldCharType="begin"/>
        </w:r>
        <w:r w:rsidR="00193FB6">
          <w:rPr>
            <w:noProof/>
            <w:webHidden/>
          </w:rPr>
          <w:instrText xml:space="preserve"> PAGEREF _Toc495403419 \h </w:instrText>
        </w:r>
        <w:r w:rsidR="00193FB6">
          <w:rPr>
            <w:noProof/>
            <w:webHidden/>
          </w:rPr>
        </w:r>
        <w:r w:rsidR="00193FB6">
          <w:rPr>
            <w:noProof/>
            <w:webHidden/>
          </w:rPr>
          <w:fldChar w:fldCharType="separate"/>
        </w:r>
        <w:r w:rsidR="00755508">
          <w:rPr>
            <w:noProof/>
            <w:webHidden/>
          </w:rPr>
          <w:t>33</w:t>
        </w:r>
        <w:r w:rsidR="00193FB6">
          <w:rPr>
            <w:noProof/>
            <w:webHidden/>
          </w:rPr>
          <w:fldChar w:fldCharType="end"/>
        </w:r>
      </w:hyperlink>
    </w:p>
    <w:p w14:paraId="1D1F2428" w14:textId="77777777" w:rsidR="00193FB6" w:rsidRDefault="00A01059">
      <w:pPr>
        <w:pStyle w:val="TOC2"/>
        <w:rPr>
          <w:rFonts w:eastAsiaTheme="minorEastAsia" w:cstheme="minorBidi"/>
          <w:i w:val="0"/>
          <w:iCs w:val="0"/>
          <w:noProof/>
          <w:sz w:val="22"/>
          <w:szCs w:val="22"/>
          <w:lang w:val="en-AU"/>
        </w:rPr>
      </w:pPr>
      <w:hyperlink w:anchor="_Toc495403420" w:history="1">
        <w:r w:rsidR="00193FB6" w:rsidRPr="00BE6FCA">
          <w:rPr>
            <w:rStyle w:val="Hyperlink"/>
            <w:noProof/>
            <w14:scene3d>
              <w14:camera w14:prst="orthographicFront"/>
              <w14:lightRig w14:rig="threePt" w14:dir="t">
                <w14:rot w14:lat="0" w14:lon="0" w14:rev="0"/>
              </w14:lightRig>
            </w14:scene3d>
          </w:rPr>
          <w:t>5.1</w:t>
        </w:r>
        <w:r w:rsidR="00193FB6">
          <w:rPr>
            <w:rFonts w:eastAsiaTheme="minorEastAsia" w:cstheme="minorBidi"/>
            <w:i w:val="0"/>
            <w:iCs w:val="0"/>
            <w:noProof/>
            <w:sz w:val="22"/>
            <w:szCs w:val="22"/>
            <w:lang w:val="en-AU"/>
          </w:rPr>
          <w:tab/>
        </w:r>
        <w:r w:rsidR="00193FB6" w:rsidRPr="00BE6FCA">
          <w:rPr>
            <w:rStyle w:val="Hyperlink"/>
            <w:noProof/>
          </w:rPr>
          <w:t>Recommendations for referral to MSAC</w:t>
        </w:r>
        <w:r w:rsidR="00193FB6">
          <w:rPr>
            <w:noProof/>
            <w:webHidden/>
          </w:rPr>
          <w:tab/>
        </w:r>
        <w:r w:rsidR="00193FB6">
          <w:rPr>
            <w:noProof/>
            <w:webHidden/>
          </w:rPr>
          <w:fldChar w:fldCharType="begin"/>
        </w:r>
        <w:r w:rsidR="00193FB6">
          <w:rPr>
            <w:noProof/>
            <w:webHidden/>
          </w:rPr>
          <w:instrText xml:space="preserve"> PAGEREF _Toc495403420 \h </w:instrText>
        </w:r>
        <w:r w:rsidR="00193FB6">
          <w:rPr>
            <w:noProof/>
            <w:webHidden/>
          </w:rPr>
        </w:r>
        <w:r w:rsidR="00193FB6">
          <w:rPr>
            <w:noProof/>
            <w:webHidden/>
          </w:rPr>
          <w:fldChar w:fldCharType="separate"/>
        </w:r>
        <w:r w:rsidR="00755508">
          <w:rPr>
            <w:noProof/>
            <w:webHidden/>
          </w:rPr>
          <w:t>33</w:t>
        </w:r>
        <w:r w:rsidR="00193FB6">
          <w:rPr>
            <w:noProof/>
            <w:webHidden/>
          </w:rPr>
          <w:fldChar w:fldCharType="end"/>
        </w:r>
      </w:hyperlink>
    </w:p>
    <w:p w14:paraId="4EBADCDC" w14:textId="77777777" w:rsidR="00193FB6" w:rsidRDefault="00A01059">
      <w:pPr>
        <w:pStyle w:val="TOC3"/>
        <w:tabs>
          <w:tab w:val="left" w:pos="1474"/>
        </w:tabs>
        <w:rPr>
          <w:rFonts w:eastAsiaTheme="minorEastAsia" w:cstheme="minorBidi"/>
          <w:noProof/>
          <w:sz w:val="22"/>
          <w:szCs w:val="22"/>
          <w:lang w:val="en-AU"/>
        </w:rPr>
      </w:pPr>
      <w:hyperlink w:anchor="_Toc495403421" w:history="1">
        <w:r w:rsidR="00193FB6" w:rsidRPr="00BE6FCA">
          <w:rPr>
            <w:rStyle w:val="Hyperlink"/>
            <w:noProof/>
            <w14:scene3d>
              <w14:camera w14:prst="orthographicFront"/>
              <w14:lightRig w14:rig="threePt" w14:dir="t">
                <w14:rot w14:lat="0" w14:lon="0" w14:rev="0"/>
              </w14:lightRig>
            </w14:scene3d>
          </w:rPr>
          <w:t>5.1.1</w:t>
        </w:r>
        <w:r w:rsidR="00193FB6">
          <w:rPr>
            <w:rFonts w:eastAsiaTheme="minorEastAsia" w:cstheme="minorBidi"/>
            <w:noProof/>
            <w:sz w:val="22"/>
            <w:szCs w:val="22"/>
            <w:lang w:val="en-AU"/>
          </w:rPr>
          <w:tab/>
        </w:r>
        <w:r w:rsidR="00193FB6" w:rsidRPr="00BE6FCA">
          <w:rPr>
            <w:rStyle w:val="Hyperlink"/>
            <w:noProof/>
          </w:rPr>
          <w:t>Release of immunoglobulin (new item)—Recommendation 10</w:t>
        </w:r>
        <w:r w:rsidR="00193FB6">
          <w:rPr>
            <w:noProof/>
            <w:webHidden/>
          </w:rPr>
          <w:tab/>
        </w:r>
        <w:r w:rsidR="00193FB6">
          <w:rPr>
            <w:noProof/>
            <w:webHidden/>
          </w:rPr>
          <w:fldChar w:fldCharType="begin"/>
        </w:r>
        <w:r w:rsidR="00193FB6">
          <w:rPr>
            <w:noProof/>
            <w:webHidden/>
          </w:rPr>
          <w:instrText xml:space="preserve"> PAGEREF _Toc495403421 \h </w:instrText>
        </w:r>
        <w:r w:rsidR="00193FB6">
          <w:rPr>
            <w:noProof/>
            <w:webHidden/>
          </w:rPr>
        </w:r>
        <w:r w:rsidR="00193FB6">
          <w:rPr>
            <w:noProof/>
            <w:webHidden/>
          </w:rPr>
          <w:fldChar w:fldCharType="separate"/>
        </w:r>
        <w:r w:rsidR="00755508">
          <w:rPr>
            <w:noProof/>
            <w:webHidden/>
          </w:rPr>
          <w:t>33</w:t>
        </w:r>
        <w:r w:rsidR="00193FB6">
          <w:rPr>
            <w:noProof/>
            <w:webHidden/>
          </w:rPr>
          <w:fldChar w:fldCharType="end"/>
        </w:r>
      </w:hyperlink>
    </w:p>
    <w:p w14:paraId="71B7C4F4" w14:textId="77777777" w:rsidR="00193FB6" w:rsidRDefault="00A01059">
      <w:pPr>
        <w:pStyle w:val="TOC3"/>
        <w:rPr>
          <w:rFonts w:eastAsiaTheme="minorEastAsia" w:cstheme="minorBidi"/>
          <w:noProof/>
          <w:sz w:val="22"/>
          <w:szCs w:val="22"/>
          <w:lang w:val="en-AU"/>
        </w:rPr>
      </w:pPr>
      <w:hyperlink w:anchor="_Toc495403422" w:history="1">
        <w:r w:rsidR="00193FB6" w:rsidRPr="00BE6FCA">
          <w:rPr>
            <w:rStyle w:val="Hyperlink"/>
            <w:noProof/>
          </w:rPr>
          <w:t>Rationale 10</w:t>
        </w:r>
        <w:r w:rsidR="00193FB6">
          <w:rPr>
            <w:noProof/>
            <w:webHidden/>
          </w:rPr>
          <w:tab/>
        </w:r>
        <w:r w:rsidR="00193FB6">
          <w:rPr>
            <w:noProof/>
            <w:webHidden/>
          </w:rPr>
          <w:fldChar w:fldCharType="begin"/>
        </w:r>
        <w:r w:rsidR="00193FB6">
          <w:rPr>
            <w:noProof/>
            <w:webHidden/>
          </w:rPr>
          <w:instrText xml:space="preserve"> PAGEREF _Toc495403422 \h </w:instrText>
        </w:r>
        <w:r w:rsidR="00193FB6">
          <w:rPr>
            <w:noProof/>
            <w:webHidden/>
          </w:rPr>
        </w:r>
        <w:r w:rsidR="00193FB6">
          <w:rPr>
            <w:noProof/>
            <w:webHidden/>
          </w:rPr>
          <w:fldChar w:fldCharType="separate"/>
        </w:r>
        <w:r w:rsidR="00755508">
          <w:rPr>
            <w:noProof/>
            <w:webHidden/>
          </w:rPr>
          <w:t>33</w:t>
        </w:r>
        <w:r w:rsidR="00193FB6">
          <w:rPr>
            <w:noProof/>
            <w:webHidden/>
          </w:rPr>
          <w:fldChar w:fldCharType="end"/>
        </w:r>
      </w:hyperlink>
    </w:p>
    <w:p w14:paraId="320BA719" w14:textId="77777777" w:rsidR="00193FB6" w:rsidRDefault="00A01059">
      <w:pPr>
        <w:pStyle w:val="TOC3"/>
        <w:tabs>
          <w:tab w:val="left" w:pos="1474"/>
        </w:tabs>
        <w:rPr>
          <w:rFonts w:eastAsiaTheme="minorEastAsia" w:cstheme="minorBidi"/>
          <w:noProof/>
          <w:sz w:val="22"/>
          <w:szCs w:val="22"/>
          <w:lang w:val="en-AU"/>
        </w:rPr>
      </w:pPr>
      <w:hyperlink w:anchor="_Toc495403423" w:history="1">
        <w:r w:rsidR="00193FB6" w:rsidRPr="00BE6FCA">
          <w:rPr>
            <w:rStyle w:val="Hyperlink"/>
            <w:noProof/>
            <w14:scene3d>
              <w14:camera w14:prst="orthographicFront"/>
              <w14:lightRig w14:rig="threePt" w14:dir="t">
                <w14:rot w14:lat="0" w14:lon="0" w14:rev="0"/>
              </w14:lightRig>
            </w14:scene3d>
          </w:rPr>
          <w:t>5.1.2</w:t>
        </w:r>
        <w:r w:rsidR="00193FB6">
          <w:rPr>
            <w:rFonts w:eastAsiaTheme="minorEastAsia" w:cstheme="minorBidi"/>
            <w:noProof/>
            <w:sz w:val="22"/>
            <w:szCs w:val="22"/>
            <w:lang w:val="en-AU"/>
          </w:rPr>
          <w:tab/>
        </w:r>
        <w:r w:rsidR="00193FB6" w:rsidRPr="00BE6FCA">
          <w:rPr>
            <w:rStyle w:val="Hyperlink"/>
            <w:noProof/>
          </w:rPr>
          <w:t>Alpha thalassaemia genetic testing recommendation (new item)—Recommendation 11</w:t>
        </w:r>
        <w:r w:rsidR="00193FB6">
          <w:rPr>
            <w:noProof/>
            <w:webHidden/>
          </w:rPr>
          <w:tab/>
        </w:r>
        <w:r w:rsidR="00193FB6">
          <w:rPr>
            <w:noProof/>
            <w:webHidden/>
          </w:rPr>
          <w:fldChar w:fldCharType="begin"/>
        </w:r>
        <w:r w:rsidR="00193FB6">
          <w:rPr>
            <w:noProof/>
            <w:webHidden/>
          </w:rPr>
          <w:instrText xml:space="preserve"> PAGEREF _Toc495403423 \h </w:instrText>
        </w:r>
        <w:r w:rsidR="00193FB6">
          <w:rPr>
            <w:noProof/>
            <w:webHidden/>
          </w:rPr>
        </w:r>
        <w:r w:rsidR="00193FB6">
          <w:rPr>
            <w:noProof/>
            <w:webHidden/>
          </w:rPr>
          <w:fldChar w:fldCharType="separate"/>
        </w:r>
        <w:r w:rsidR="00755508">
          <w:rPr>
            <w:noProof/>
            <w:webHidden/>
          </w:rPr>
          <w:t>34</w:t>
        </w:r>
        <w:r w:rsidR="00193FB6">
          <w:rPr>
            <w:noProof/>
            <w:webHidden/>
          </w:rPr>
          <w:fldChar w:fldCharType="end"/>
        </w:r>
      </w:hyperlink>
    </w:p>
    <w:p w14:paraId="041637A3" w14:textId="77777777" w:rsidR="00193FB6" w:rsidRDefault="00A01059">
      <w:pPr>
        <w:pStyle w:val="TOC3"/>
        <w:rPr>
          <w:rFonts w:eastAsiaTheme="minorEastAsia" w:cstheme="minorBidi"/>
          <w:noProof/>
          <w:sz w:val="22"/>
          <w:szCs w:val="22"/>
          <w:lang w:val="en-AU"/>
        </w:rPr>
      </w:pPr>
      <w:hyperlink w:anchor="_Toc495403424" w:history="1">
        <w:r w:rsidR="00193FB6" w:rsidRPr="00BE6FCA">
          <w:rPr>
            <w:rStyle w:val="Hyperlink"/>
            <w:noProof/>
          </w:rPr>
          <w:t>Rationale 11</w:t>
        </w:r>
        <w:r w:rsidR="00193FB6">
          <w:rPr>
            <w:noProof/>
            <w:webHidden/>
          </w:rPr>
          <w:tab/>
        </w:r>
        <w:r w:rsidR="00193FB6">
          <w:rPr>
            <w:noProof/>
            <w:webHidden/>
          </w:rPr>
          <w:fldChar w:fldCharType="begin"/>
        </w:r>
        <w:r w:rsidR="00193FB6">
          <w:rPr>
            <w:noProof/>
            <w:webHidden/>
          </w:rPr>
          <w:instrText xml:space="preserve"> PAGEREF _Toc495403424 \h </w:instrText>
        </w:r>
        <w:r w:rsidR="00193FB6">
          <w:rPr>
            <w:noProof/>
            <w:webHidden/>
          </w:rPr>
        </w:r>
        <w:r w:rsidR="00193FB6">
          <w:rPr>
            <w:noProof/>
            <w:webHidden/>
          </w:rPr>
          <w:fldChar w:fldCharType="separate"/>
        </w:r>
        <w:r w:rsidR="00755508">
          <w:rPr>
            <w:noProof/>
            <w:webHidden/>
          </w:rPr>
          <w:t>34</w:t>
        </w:r>
        <w:r w:rsidR="00193FB6">
          <w:rPr>
            <w:noProof/>
            <w:webHidden/>
          </w:rPr>
          <w:fldChar w:fldCharType="end"/>
        </w:r>
      </w:hyperlink>
    </w:p>
    <w:p w14:paraId="63611B9D" w14:textId="77777777" w:rsidR="00193FB6" w:rsidRDefault="00A01059">
      <w:pPr>
        <w:pStyle w:val="TOC3"/>
        <w:tabs>
          <w:tab w:val="left" w:pos="1474"/>
        </w:tabs>
        <w:rPr>
          <w:rFonts w:eastAsiaTheme="minorEastAsia" w:cstheme="minorBidi"/>
          <w:noProof/>
          <w:sz w:val="22"/>
          <w:szCs w:val="22"/>
          <w:lang w:val="en-AU"/>
        </w:rPr>
      </w:pPr>
      <w:hyperlink w:anchor="_Toc495403425" w:history="1">
        <w:r w:rsidR="00193FB6" w:rsidRPr="00BE6FCA">
          <w:rPr>
            <w:rStyle w:val="Hyperlink"/>
            <w:noProof/>
            <w14:scene3d>
              <w14:camera w14:prst="orthographicFront"/>
              <w14:lightRig w14:rig="threePt" w14:dir="t">
                <w14:rot w14:lat="0" w14:lon="0" w14:rev="0"/>
              </w14:lightRig>
            </w14:scene3d>
          </w:rPr>
          <w:t>5.1.3</w:t>
        </w:r>
        <w:r w:rsidR="00193FB6">
          <w:rPr>
            <w:rFonts w:eastAsiaTheme="minorEastAsia" w:cstheme="minorBidi"/>
            <w:noProof/>
            <w:sz w:val="22"/>
            <w:szCs w:val="22"/>
            <w:lang w:val="en-AU"/>
          </w:rPr>
          <w:tab/>
        </w:r>
        <w:r w:rsidR="00193FB6" w:rsidRPr="00BE6FCA">
          <w:rPr>
            <w:rStyle w:val="Hyperlink"/>
            <w:noProof/>
          </w:rPr>
          <w:t>Warfarin care programs (new item)—Recommendation 12</w:t>
        </w:r>
        <w:r w:rsidR="00193FB6">
          <w:rPr>
            <w:noProof/>
            <w:webHidden/>
          </w:rPr>
          <w:tab/>
        </w:r>
        <w:r w:rsidR="00193FB6">
          <w:rPr>
            <w:noProof/>
            <w:webHidden/>
          </w:rPr>
          <w:fldChar w:fldCharType="begin"/>
        </w:r>
        <w:r w:rsidR="00193FB6">
          <w:rPr>
            <w:noProof/>
            <w:webHidden/>
          </w:rPr>
          <w:instrText xml:space="preserve"> PAGEREF _Toc495403425 \h </w:instrText>
        </w:r>
        <w:r w:rsidR="00193FB6">
          <w:rPr>
            <w:noProof/>
            <w:webHidden/>
          </w:rPr>
        </w:r>
        <w:r w:rsidR="00193FB6">
          <w:rPr>
            <w:noProof/>
            <w:webHidden/>
          </w:rPr>
          <w:fldChar w:fldCharType="separate"/>
        </w:r>
        <w:r w:rsidR="00755508">
          <w:rPr>
            <w:noProof/>
            <w:webHidden/>
          </w:rPr>
          <w:t>35</w:t>
        </w:r>
        <w:r w:rsidR="00193FB6">
          <w:rPr>
            <w:noProof/>
            <w:webHidden/>
          </w:rPr>
          <w:fldChar w:fldCharType="end"/>
        </w:r>
      </w:hyperlink>
    </w:p>
    <w:p w14:paraId="1F6D471B" w14:textId="77777777" w:rsidR="00193FB6" w:rsidRDefault="00A01059">
      <w:pPr>
        <w:pStyle w:val="TOC3"/>
        <w:rPr>
          <w:rFonts w:eastAsiaTheme="minorEastAsia" w:cstheme="minorBidi"/>
          <w:noProof/>
          <w:sz w:val="22"/>
          <w:szCs w:val="22"/>
          <w:lang w:val="en-AU"/>
        </w:rPr>
      </w:pPr>
      <w:hyperlink w:anchor="_Toc495403426" w:history="1">
        <w:r w:rsidR="00193FB6" w:rsidRPr="00BE6FCA">
          <w:rPr>
            <w:rStyle w:val="Hyperlink"/>
            <w:noProof/>
          </w:rPr>
          <w:t xml:space="preserve">Rationale </w:t>
        </w:r>
        <w:r w:rsidR="00193FB6">
          <w:rPr>
            <w:noProof/>
            <w:webHidden/>
          </w:rPr>
          <w:tab/>
        </w:r>
        <w:r w:rsidR="00193FB6">
          <w:rPr>
            <w:noProof/>
            <w:webHidden/>
          </w:rPr>
          <w:fldChar w:fldCharType="begin"/>
        </w:r>
        <w:r w:rsidR="00193FB6">
          <w:rPr>
            <w:noProof/>
            <w:webHidden/>
          </w:rPr>
          <w:instrText xml:space="preserve"> PAGEREF _Toc495403426 \h </w:instrText>
        </w:r>
        <w:r w:rsidR="00193FB6">
          <w:rPr>
            <w:noProof/>
            <w:webHidden/>
          </w:rPr>
        </w:r>
        <w:r w:rsidR="00193FB6">
          <w:rPr>
            <w:noProof/>
            <w:webHidden/>
          </w:rPr>
          <w:fldChar w:fldCharType="separate"/>
        </w:r>
        <w:r w:rsidR="00755508">
          <w:rPr>
            <w:noProof/>
            <w:webHidden/>
          </w:rPr>
          <w:t>35</w:t>
        </w:r>
        <w:r w:rsidR="00193FB6">
          <w:rPr>
            <w:noProof/>
            <w:webHidden/>
          </w:rPr>
          <w:fldChar w:fldCharType="end"/>
        </w:r>
      </w:hyperlink>
    </w:p>
    <w:p w14:paraId="3E4D8DF5" w14:textId="77777777" w:rsidR="00193FB6" w:rsidRDefault="00A01059">
      <w:pPr>
        <w:pStyle w:val="TOC2"/>
        <w:rPr>
          <w:rFonts w:eastAsiaTheme="minorEastAsia" w:cstheme="minorBidi"/>
          <w:i w:val="0"/>
          <w:iCs w:val="0"/>
          <w:noProof/>
          <w:sz w:val="22"/>
          <w:szCs w:val="22"/>
          <w:lang w:val="en-AU"/>
        </w:rPr>
      </w:pPr>
      <w:hyperlink w:anchor="_Toc495403427" w:history="1">
        <w:r w:rsidR="00193FB6" w:rsidRPr="00BE6FCA">
          <w:rPr>
            <w:rStyle w:val="Hyperlink"/>
            <w:noProof/>
            <w14:scene3d>
              <w14:camera w14:prst="orthographicFront"/>
              <w14:lightRig w14:rig="threePt" w14:dir="t">
                <w14:rot w14:lat="0" w14:lon="0" w14:rev="0"/>
              </w14:lightRig>
            </w14:scene3d>
          </w:rPr>
          <w:t>5.2</w:t>
        </w:r>
        <w:r w:rsidR="00193FB6">
          <w:rPr>
            <w:rFonts w:eastAsiaTheme="minorEastAsia" w:cstheme="minorBidi"/>
            <w:i w:val="0"/>
            <w:iCs w:val="0"/>
            <w:noProof/>
            <w:sz w:val="22"/>
            <w:szCs w:val="22"/>
            <w:lang w:val="en-AU"/>
          </w:rPr>
          <w:tab/>
        </w:r>
        <w:r w:rsidR="00193FB6" w:rsidRPr="00BE6FCA">
          <w:rPr>
            <w:rStyle w:val="Hyperlink"/>
            <w:noProof/>
          </w:rPr>
          <w:t>Recommendations to General Practice Primary Care Clinical Committee (GPPCCC) and the Diagnostic Medicine Clinical Committee (DMCC)</w:t>
        </w:r>
        <w:r w:rsidR="00193FB6">
          <w:rPr>
            <w:noProof/>
            <w:webHidden/>
          </w:rPr>
          <w:tab/>
        </w:r>
        <w:r w:rsidR="00193FB6">
          <w:rPr>
            <w:noProof/>
            <w:webHidden/>
          </w:rPr>
          <w:fldChar w:fldCharType="begin"/>
        </w:r>
        <w:r w:rsidR="00193FB6">
          <w:rPr>
            <w:noProof/>
            <w:webHidden/>
          </w:rPr>
          <w:instrText xml:space="preserve"> PAGEREF _Toc495403427 \h </w:instrText>
        </w:r>
        <w:r w:rsidR="00193FB6">
          <w:rPr>
            <w:noProof/>
            <w:webHidden/>
          </w:rPr>
        </w:r>
        <w:r w:rsidR="00193FB6">
          <w:rPr>
            <w:noProof/>
            <w:webHidden/>
          </w:rPr>
          <w:fldChar w:fldCharType="separate"/>
        </w:r>
        <w:r w:rsidR="00755508">
          <w:rPr>
            <w:noProof/>
            <w:webHidden/>
          </w:rPr>
          <w:t>36</w:t>
        </w:r>
        <w:r w:rsidR="00193FB6">
          <w:rPr>
            <w:noProof/>
            <w:webHidden/>
          </w:rPr>
          <w:fldChar w:fldCharType="end"/>
        </w:r>
      </w:hyperlink>
    </w:p>
    <w:p w14:paraId="404BBDDB"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428" w:history="1">
        <w:r w:rsidR="00193FB6" w:rsidRPr="00BE6FCA">
          <w:rPr>
            <w:rStyle w:val="Hyperlink"/>
            <w:noProof/>
            <w:lang w:val="en-AU" w:bidi="x-none"/>
            <w14:scene3d>
              <w14:camera w14:prst="orthographicFront"/>
              <w14:lightRig w14:rig="threePt" w14:dir="t">
                <w14:rot w14:lat="0" w14:lon="0" w14:rev="0"/>
              </w14:lightRig>
            </w14:scene3d>
          </w:rPr>
          <w:t>6.</w:t>
        </w:r>
        <w:r w:rsidR="00193FB6">
          <w:rPr>
            <w:rFonts w:eastAsiaTheme="minorEastAsia" w:cstheme="minorBidi"/>
            <w:b w:val="0"/>
            <w:bCs w:val="0"/>
            <w:noProof/>
            <w:sz w:val="22"/>
            <w:szCs w:val="22"/>
            <w:lang w:val="en-AU"/>
          </w:rPr>
          <w:tab/>
        </w:r>
        <w:r w:rsidR="00193FB6" w:rsidRPr="00BE6FCA">
          <w:rPr>
            <w:rStyle w:val="Hyperlink"/>
            <w:noProof/>
            <w:lang w:val="en-AU"/>
          </w:rPr>
          <w:t>References</w:t>
        </w:r>
        <w:r w:rsidR="00193FB6">
          <w:rPr>
            <w:noProof/>
            <w:webHidden/>
          </w:rPr>
          <w:tab/>
        </w:r>
        <w:r w:rsidR="00193FB6">
          <w:rPr>
            <w:noProof/>
            <w:webHidden/>
          </w:rPr>
          <w:fldChar w:fldCharType="begin"/>
        </w:r>
        <w:r w:rsidR="00193FB6">
          <w:rPr>
            <w:noProof/>
            <w:webHidden/>
          </w:rPr>
          <w:instrText xml:space="preserve"> PAGEREF _Toc495403428 \h </w:instrText>
        </w:r>
        <w:r w:rsidR="00193FB6">
          <w:rPr>
            <w:noProof/>
            <w:webHidden/>
          </w:rPr>
        </w:r>
        <w:r w:rsidR="00193FB6">
          <w:rPr>
            <w:noProof/>
            <w:webHidden/>
          </w:rPr>
          <w:fldChar w:fldCharType="separate"/>
        </w:r>
        <w:r w:rsidR="00755508">
          <w:rPr>
            <w:noProof/>
            <w:webHidden/>
          </w:rPr>
          <w:t>38</w:t>
        </w:r>
        <w:r w:rsidR="00193FB6">
          <w:rPr>
            <w:noProof/>
            <w:webHidden/>
          </w:rPr>
          <w:fldChar w:fldCharType="end"/>
        </w:r>
      </w:hyperlink>
    </w:p>
    <w:p w14:paraId="34BF49D5"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429" w:history="1">
        <w:r w:rsidR="00193FB6" w:rsidRPr="00BE6FCA">
          <w:rPr>
            <w:rStyle w:val="Hyperlink"/>
            <w:noProof/>
          </w:rPr>
          <w:t>Appendix A—Assigned items: recommendations list</w:t>
        </w:r>
        <w:r w:rsidR="00193FB6">
          <w:rPr>
            <w:noProof/>
            <w:webHidden/>
          </w:rPr>
          <w:tab/>
        </w:r>
        <w:r w:rsidR="00193FB6">
          <w:rPr>
            <w:noProof/>
            <w:webHidden/>
          </w:rPr>
          <w:fldChar w:fldCharType="begin"/>
        </w:r>
        <w:r w:rsidR="00193FB6">
          <w:rPr>
            <w:noProof/>
            <w:webHidden/>
          </w:rPr>
          <w:instrText xml:space="preserve"> PAGEREF _Toc495403429 \h </w:instrText>
        </w:r>
        <w:r w:rsidR="00193FB6">
          <w:rPr>
            <w:noProof/>
            <w:webHidden/>
          </w:rPr>
        </w:r>
        <w:r w:rsidR="00193FB6">
          <w:rPr>
            <w:noProof/>
            <w:webHidden/>
          </w:rPr>
          <w:fldChar w:fldCharType="separate"/>
        </w:r>
        <w:r w:rsidR="00755508">
          <w:rPr>
            <w:noProof/>
            <w:webHidden/>
          </w:rPr>
          <w:t>39</w:t>
        </w:r>
        <w:r w:rsidR="00193FB6">
          <w:rPr>
            <w:noProof/>
            <w:webHidden/>
          </w:rPr>
          <w:fldChar w:fldCharType="end"/>
        </w:r>
      </w:hyperlink>
    </w:p>
    <w:p w14:paraId="298050F7"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430" w:history="1">
        <w:r w:rsidR="00193FB6" w:rsidRPr="00BE6FCA">
          <w:rPr>
            <w:rStyle w:val="Hyperlink"/>
            <w:noProof/>
          </w:rPr>
          <w:t>Appendix B—New or split items</w:t>
        </w:r>
        <w:r w:rsidR="00193FB6">
          <w:rPr>
            <w:noProof/>
            <w:webHidden/>
          </w:rPr>
          <w:tab/>
        </w:r>
        <w:r w:rsidR="00193FB6">
          <w:rPr>
            <w:noProof/>
            <w:webHidden/>
          </w:rPr>
          <w:fldChar w:fldCharType="begin"/>
        </w:r>
        <w:r w:rsidR="00193FB6">
          <w:rPr>
            <w:noProof/>
            <w:webHidden/>
          </w:rPr>
          <w:instrText xml:space="preserve"> PAGEREF _Toc495403430 \h </w:instrText>
        </w:r>
        <w:r w:rsidR="00193FB6">
          <w:rPr>
            <w:noProof/>
            <w:webHidden/>
          </w:rPr>
        </w:r>
        <w:r w:rsidR="00193FB6">
          <w:rPr>
            <w:noProof/>
            <w:webHidden/>
          </w:rPr>
          <w:fldChar w:fldCharType="separate"/>
        </w:r>
        <w:r w:rsidR="00755508">
          <w:rPr>
            <w:noProof/>
            <w:webHidden/>
          </w:rPr>
          <w:t>43</w:t>
        </w:r>
        <w:r w:rsidR="00193FB6">
          <w:rPr>
            <w:noProof/>
            <w:webHidden/>
          </w:rPr>
          <w:fldChar w:fldCharType="end"/>
        </w:r>
      </w:hyperlink>
    </w:p>
    <w:p w14:paraId="3AAECC60"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431" w:history="1">
        <w:r w:rsidR="00193FB6" w:rsidRPr="00BE6FCA">
          <w:rPr>
            <w:rStyle w:val="Hyperlink"/>
            <w:noProof/>
          </w:rPr>
          <w:t>Appendix C—Summary for consumers</w:t>
        </w:r>
        <w:r w:rsidR="00193FB6">
          <w:rPr>
            <w:noProof/>
            <w:webHidden/>
          </w:rPr>
          <w:tab/>
        </w:r>
        <w:r w:rsidR="00193FB6">
          <w:rPr>
            <w:noProof/>
            <w:webHidden/>
          </w:rPr>
          <w:fldChar w:fldCharType="begin"/>
        </w:r>
        <w:r w:rsidR="00193FB6">
          <w:rPr>
            <w:noProof/>
            <w:webHidden/>
          </w:rPr>
          <w:instrText xml:space="preserve"> PAGEREF _Toc495403431 \h </w:instrText>
        </w:r>
        <w:r w:rsidR="00193FB6">
          <w:rPr>
            <w:noProof/>
            <w:webHidden/>
          </w:rPr>
        </w:r>
        <w:r w:rsidR="00193FB6">
          <w:rPr>
            <w:noProof/>
            <w:webHidden/>
          </w:rPr>
          <w:fldChar w:fldCharType="separate"/>
        </w:r>
        <w:r w:rsidR="00755508">
          <w:rPr>
            <w:noProof/>
            <w:webHidden/>
          </w:rPr>
          <w:t>44</w:t>
        </w:r>
        <w:r w:rsidR="00193FB6">
          <w:rPr>
            <w:noProof/>
            <w:webHidden/>
          </w:rPr>
          <w:fldChar w:fldCharType="end"/>
        </w:r>
      </w:hyperlink>
    </w:p>
    <w:p w14:paraId="5EE36500" w14:textId="77777777" w:rsidR="00193FB6" w:rsidRDefault="00A01059">
      <w:pPr>
        <w:pStyle w:val="TOC1"/>
        <w:tabs>
          <w:tab w:val="right" w:leader="dot" w:pos="9016"/>
        </w:tabs>
        <w:rPr>
          <w:rFonts w:eastAsiaTheme="minorEastAsia" w:cstheme="minorBidi"/>
          <w:b w:val="0"/>
          <w:bCs w:val="0"/>
          <w:noProof/>
          <w:sz w:val="22"/>
          <w:szCs w:val="22"/>
          <w:lang w:val="en-AU"/>
        </w:rPr>
      </w:pPr>
      <w:hyperlink w:anchor="_Toc495403432" w:history="1">
        <w:r w:rsidR="00193FB6" w:rsidRPr="00BE6FCA">
          <w:rPr>
            <w:rStyle w:val="Hyperlink"/>
            <w:noProof/>
          </w:rPr>
          <w:t>Appendix D—Glossary</w:t>
        </w:r>
        <w:r w:rsidR="00193FB6">
          <w:rPr>
            <w:noProof/>
            <w:webHidden/>
          </w:rPr>
          <w:tab/>
        </w:r>
        <w:r w:rsidR="00193FB6">
          <w:rPr>
            <w:noProof/>
            <w:webHidden/>
          </w:rPr>
          <w:fldChar w:fldCharType="begin"/>
        </w:r>
        <w:r w:rsidR="00193FB6">
          <w:rPr>
            <w:noProof/>
            <w:webHidden/>
          </w:rPr>
          <w:instrText xml:space="preserve"> PAGEREF _Toc495403432 \h </w:instrText>
        </w:r>
        <w:r w:rsidR="00193FB6">
          <w:rPr>
            <w:noProof/>
            <w:webHidden/>
          </w:rPr>
        </w:r>
        <w:r w:rsidR="00193FB6">
          <w:rPr>
            <w:noProof/>
            <w:webHidden/>
          </w:rPr>
          <w:fldChar w:fldCharType="separate"/>
        </w:r>
        <w:r w:rsidR="00755508">
          <w:rPr>
            <w:noProof/>
            <w:webHidden/>
          </w:rPr>
          <w:t>50</w:t>
        </w:r>
        <w:r w:rsidR="00193FB6">
          <w:rPr>
            <w:noProof/>
            <w:webHidden/>
          </w:rPr>
          <w:fldChar w:fldCharType="end"/>
        </w:r>
      </w:hyperlink>
    </w:p>
    <w:p w14:paraId="54A6A0F1" w14:textId="77777777" w:rsidR="006861C2" w:rsidRDefault="00A5097F" w:rsidP="00785F94">
      <w:pPr>
        <w:rPr>
          <w:noProof/>
        </w:rPr>
      </w:pPr>
      <w:r w:rsidRPr="00FC1976">
        <w:rPr>
          <w:lang w:val="en-AU"/>
        </w:rPr>
        <w:fldChar w:fldCharType="end"/>
      </w:r>
      <w:r w:rsidR="00836B2A" w:rsidRPr="00FC1976">
        <w:rPr>
          <w:b/>
          <w:color w:val="01653F"/>
          <w:sz w:val="32"/>
          <w:lang w:val="en-AU"/>
        </w:rPr>
        <w:t>Tables</w:t>
      </w:r>
      <w:r w:rsidR="00785F94">
        <w:rPr>
          <w:b/>
          <w:color w:val="01653F"/>
          <w:sz w:val="32"/>
          <w:lang w:val="en-AU"/>
        </w:rPr>
        <w:t xml:space="preserve"> </w:t>
      </w:r>
      <w:r w:rsidR="005D0750">
        <w:rPr>
          <w:lang w:val="en-AU"/>
        </w:rPr>
        <w:fldChar w:fldCharType="begin"/>
      </w:r>
      <w:r w:rsidR="005D0750">
        <w:rPr>
          <w:lang w:val="en-AU"/>
        </w:rPr>
        <w:instrText xml:space="preserve"> TOC \h \z \t "Caption" \c "Table" </w:instrText>
      </w:r>
      <w:r w:rsidR="005D0750">
        <w:rPr>
          <w:lang w:val="en-AU"/>
        </w:rPr>
        <w:fldChar w:fldCharType="separate"/>
      </w:r>
    </w:p>
    <w:p w14:paraId="177925A1"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68" w:history="1">
        <w:r w:rsidR="006861C2" w:rsidRPr="008A70C2">
          <w:rPr>
            <w:rStyle w:val="Hyperlink"/>
            <w:noProof/>
          </w:rPr>
          <w:t>Table 1: Pathology Clinical Committee members</w:t>
        </w:r>
        <w:r w:rsidR="006861C2">
          <w:rPr>
            <w:noProof/>
            <w:webHidden/>
          </w:rPr>
          <w:tab/>
        </w:r>
        <w:r w:rsidR="006861C2">
          <w:rPr>
            <w:noProof/>
            <w:webHidden/>
          </w:rPr>
          <w:fldChar w:fldCharType="begin"/>
        </w:r>
        <w:r w:rsidR="006861C2">
          <w:rPr>
            <w:noProof/>
            <w:webHidden/>
          </w:rPr>
          <w:instrText xml:space="preserve"> PAGEREF _Toc481493768 \h </w:instrText>
        </w:r>
        <w:r w:rsidR="006861C2">
          <w:rPr>
            <w:noProof/>
            <w:webHidden/>
          </w:rPr>
        </w:r>
        <w:r w:rsidR="006861C2">
          <w:rPr>
            <w:noProof/>
            <w:webHidden/>
          </w:rPr>
          <w:fldChar w:fldCharType="separate"/>
        </w:r>
        <w:r w:rsidR="00755508">
          <w:rPr>
            <w:noProof/>
            <w:webHidden/>
          </w:rPr>
          <w:t>8</w:t>
        </w:r>
        <w:r w:rsidR="006861C2">
          <w:rPr>
            <w:noProof/>
            <w:webHidden/>
          </w:rPr>
          <w:fldChar w:fldCharType="end"/>
        </w:r>
      </w:hyperlink>
    </w:p>
    <w:p w14:paraId="1DA5506E"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69" w:history="1">
        <w:r w:rsidR="006861C2" w:rsidRPr="008A70C2">
          <w:rPr>
            <w:rStyle w:val="Hyperlink"/>
            <w:noProof/>
          </w:rPr>
          <w:t>Table 2: Haematology Working Group members</w:t>
        </w:r>
        <w:r w:rsidR="006861C2">
          <w:rPr>
            <w:noProof/>
            <w:webHidden/>
          </w:rPr>
          <w:tab/>
        </w:r>
        <w:r w:rsidR="006861C2">
          <w:rPr>
            <w:noProof/>
            <w:webHidden/>
          </w:rPr>
          <w:fldChar w:fldCharType="begin"/>
        </w:r>
        <w:r w:rsidR="006861C2">
          <w:rPr>
            <w:noProof/>
            <w:webHidden/>
          </w:rPr>
          <w:instrText xml:space="preserve"> PAGEREF _Toc481493769 \h </w:instrText>
        </w:r>
        <w:r w:rsidR="006861C2">
          <w:rPr>
            <w:noProof/>
            <w:webHidden/>
          </w:rPr>
        </w:r>
        <w:r w:rsidR="006861C2">
          <w:rPr>
            <w:noProof/>
            <w:webHidden/>
          </w:rPr>
          <w:fldChar w:fldCharType="separate"/>
        </w:r>
        <w:r w:rsidR="00755508">
          <w:rPr>
            <w:noProof/>
            <w:webHidden/>
          </w:rPr>
          <w:t>9</w:t>
        </w:r>
        <w:r w:rsidR="006861C2">
          <w:rPr>
            <w:noProof/>
            <w:webHidden/>
          </w:rPr>
          <w:fldChar w:fldCharType="end"/>
        </w:r>
      </w:hyperlink>
    </w:p>
    <w:p w14:paraId="6A0B559D"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0" w:history="1">
        <w:r w:rsidR="006861C2" w:rsidRPr="008A70C2">
          <w:rPr>
            <w:rStyle w:val="Hyperlink"/>
            <w:noProof/>
          </w:rPr>
          <w:t>Table 3: Item introduction table for items 65090, 65093, 65096 and 65111</w:t>
        </w:r>
        <w:r w:rsidR="006861C2">
          <w:rPr>
            <w:noProof/>
            <w:webHidden/>
          </w:rPr>
          <w:tab/>
        </w:r>
        <w:r w:rsidR="006861C2">
          <w:rPr>
            <w:noProof/>
            <w:webHidden/>
          </w:rPr>
          <w:fldChar w:fldCharType="begin"/>
        </w:r>
        <w:r w:rsidR="006861C2">
          <w:rPr>
            <w:noProof/>
            <w:webHidden/>
          </w:rPr>
          <w:instrText xml:space="preserve"> PAGEREF _Toc481493770 \h </w:instrText>
        </w:r>
        <w:r w:rsidR="006861C2">
          <w:rPr>
            <w:noProof/>
            <w:webHidden/>
          </w:rPr>
        </w:r>
        <w:r w:rsidR="006861C2">
          <w:rPr>
            <w:noProof/>
            <w:webHidden/>
          </w:rPr>
          <w:fldChar w:fldCharType="separate"/>
        </w:r>
        <w:r w:rsidR="00755508">
          <w:rPr>
            <w:noProof/>
            <w:webHidden/>
          </w:rPr>
          <w:t>10</w:t>
        </w:r>
        <w:r w:rsidR="006861C2">
          <w:rPr>
            <w:noProof/>
            <w:webHidden/>
          </w:rPr>
          <w:fldChar w:fldCharType="end"/>
        </w:r>
      </w:hyperlink>
    </w:p>
    <w:p w14:paraId="4FE05714"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1" w:history="1">
        <w:r w:rsidR="006861C2" w:rsidRPr="008A70C2">
          <w:rPr>
            <w:rStyle w:val="Hyperlink"/>
            <w:noProof/>
          </w:rPr>
          <w:t>Table 4: Proposed changes to item 65096</w:t>
        </w:r>
        <w:r w:rsidR="006861C2">
          <w:rPr>
            <w:noProof/>
            <w:webHidden/>
          </w:rPr>
          <w:tab/>
        </w:r>
        <w:r w:rsidR="006861C2">
          <w:rPr>
            <w:noProof/>
            <w:webHidden/>
          </w:rPr>
          <w:fldChar w:fldCharType="begin"/>
        </w:r>
        <w:r w:rsidR="006861C2">
          <w:rPr>
            <w:noProof/>
            <w:webHidden/>
          </w:rPr>
          <w:instrText xml:space="preserve"> PAGEREF _Toc481493771 \h </w:instrText>
        </w:r>
        <w:r w:rsidR="006861C2">
          <w:rPr>
            <w:noProof/>
            <w:webHidden/>
          </w:rPr>
        </w:r>
        <w:r w:rsidR="006861C2">
          <w:rPr>
            <w:noProof/>
            <w:webHidden/>
          </w:rPr>
          <w:fldChar w:fldCharType="separate"/>
        </w:r>
        <w:r w:rsidR="00755508">
          <w:rPr>
            <w:noProof/>
            <w:webHidden/>
          </w:rPr>
          <w:t>11</w:t>
        </w:r>
        <w:r w:rsidR="006861C2">
          <w:rPr>
            <w:noProof/>
            <w:webHidden/>
          </w:rPr>
          <w:fldChar w:fldCharType="end"/>
        </w:r>
      </w:hyperlink>
    </w:p>
    <w:p w14:paraId="6C797B72"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2" w:history="1">
        <w:r w:rsidR="006861C2" w:rsidRPr="008A70C2">
          <w:rPr>
            <w:rStyle w:val="Hyperlink"/>
            <w:noProof/>
          </w:rPr>
          <w:t>Table 5: Item introduction table for items 65099, 65102, 65105 and 65108</w:t>
        </w:r>
        <w:r w:rsidR="006861C2">
          <w:rPr>
            <w:noProof/>
            <w:webHidden/>
          </w:rPr>
          <w:tab/>
        </w:r>
        <w:r w:rsidR="006861C2">
          <w:rPr>
            <w:noProof/>
            <w:webHidden/>
          </w:rPr>
          <w:fldChar w:fldCharType="begin"/>
        </w:r>
        <w:r w:rsidR="006861C2">
          <w:rPr>
            <w:noProof/>
            <w:webHidden/>
          </w:rPr>
          <w:instrText xml:space="preserve"> PAGEREF _Toc481493772 \h </w:instrText>
        </w:r>
        <w:r w:rsidR="006861C2">
          <w:rPr>
            <w:noProof/>
            <w:webHidden/>
          </w:rPr>
        </w:r>
        <w:r w:rsidR="006861C2">
          <w:rPr>
            <w:noProof/>
            <w:webHidden/>
          </w:rPr>
          <w:fldChar w:fldCharType="separate"/>
        </w:r>
        <w:r w:rsidR="00755508">
          <w:rPr>
            <w:noProof/>
            <w:webHidden/>
          </w:rPr>
          <w:t>13</w:t>
        </w:r>
        <w:r w:rsidR="006861C2">
          <w:rPr>
            <w:noProof/>
            <w:webHidden/>
          </w:rPr>
          <w:fldChar w:fldCharType="end"/>
        </w:r>
      </w:hyperlink>
    </w:p>
    <w:p w14:paraId="0B81B4CF"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3" w:history="1">
        <w:r w:rsidR="006861C2" w:rsidRPr="008A70C2">
          <w:rPr>
            <w:rStyle w:val="Hyperlink"/>
            <w:noProof/>
          </w:rPr>
          <w:t>Table 6: Proposed changes to compatibility items</w:t>
        </w:r>
        <w:r w:rsidR="006861C2">
          <w:rPr>
            <w:noProof/>
            <w:webHidden/>
          </w:rPr>
          <w:tab/>
        </w:r>
        <w:r w:rsidR="006861C2">
          <w:rPr>
            <w:noProof/>
            <w:webHidden/>
          </w:rPr>
          <w:fldChar w:fldCharType="begin"/>
        </w:r>
        <w:r w:rsidR="006861C2">
          <w:rPr>
            <w:noProof/>
            <w:webHidden/>
          </w:rPr>
          <w:instrText xml:space="preserve"> PAGEREF _Toc481493773 \h </w:instrText>
        </w:r>
        <w:r w:rsidR="006861C2">
          <w:rPr>
            <w:noProof/>
            <w:webHidden/>
          </w:rPr>
        </w:r>
        <w:r w:rsidR="006861C2">
          <w:rPr>
            <w:noProof/>
            <w:webHidden/>
          </w:rPr>
          <w:fldChar w:fldCharType="separate"/>
        </w:r>
        <w:r w:rsidR="00755508">
          <w:rPr>
            <w:noProof/>
            <w:webHidden/>
          </w:rPr>
          <w:t>15</w:t>
        </w:r>
        <w:r w:rsidR="006861C2">
          <w:rPr>
            <w:noProof/>
            <w:webHidden/>
          </w:rPr>
          <w:fldChar w:fldCharType="end"/>
        </w:r>
      </w:hyperlink>
    </w:p>
    <w:p w14:paraId="0A022E5D"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4" w:history="1">
        <w:r w:rsidR="006861C2" w:rsidRPr="008A70C2">
          <w:rPr>
            <w:rStyle w:val="Hyperlink"/>
            <w:noProof/>
          </w:rPr>
          <w:t>Table 7: Item introduction table for items 65120, 65123, 65126 and 65129</w:t>
        </w:r>
        <w:r w:rsidR="006861C2">
          <w:rPr>
            <w:noProof/>
            <w:webHidden/>
          </w:rPr>
          <w:tab/>
        </w:r>
        <w:r w:rsidR="006861C2">
          <w:rPr>
            <w:noProof/>
            <w:webHidden/>
          </w:rPr>
          <w:fldChar w:fldCharType="begin"/>
        </w:r>
        <w:r w:rsidR="006861C2">
          <w:rPr>
            <w:noProof/>
            <w:webHidden/>
          </w:rPr>
          <w:instrText xml:space="preserve"> PAGEREF _Toc481493774 \h </w:instrText>
        </w:r>
        <w:r w:rsidR="006861C2">
          <w:rPr>
            <w:noProof/>
            <w:webHidden/>
          </w:rPr>
        </w:r>
        <w:r w:rsidR="006861C2">
          <w:rPr>
            <w:noProof/>
            <w:webHidden/>
          </w:rPr>
          <w:fldChar w:fldCharType="separate"/>
        </w:r>
        <w:r w:rsidR="00755508">
          <w:rPr>
            <w:noProof/>
            <w:webHidden/>
          </w:rPr>
          <w:t>17</w:t>
        </w:r>
        <w:r w:rsidR="006861C2">
          <w:rPr>
            <w:noProof/>
            <w:webHidden/>
          </w:rPr>
          <w:fldChar w:fldCharType="end"/>
        </w:r>
      </w:hyperlink>
    </w:p>
    <w:p w14:paraId="10B94C00"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5" w:history="1">
        <w:r w:rsidR="006861C2" w:rsidRPr="008A70C2">
          <w:rPr>
            <w:rStyle w:val="Hyperlink"/>
            <w:noProof/>
          </w:rPr>
          <w:t>Table 8: Proposed changed to items 65120–65129</w:t>
        </w:r>
        <w:r w:rsidR="006861C2">
          <w:rPr>
            <w:noProof/>
            <w:webHidden/>
          </w:rPr>
          <w:tab/>
        </w:r>
        <w:r w:rsidR="006861C2">
          <w:rPr>
            <w:noProof/>
            <w:webHidden/>
          </w:rPr>
          <w:fldChar w:fldCharType="begin"/>
        </w:r>
        <w:r w:rsidR="006861C2">
          <w:rPr>
            <w:noProof/>
            <w:webHidden/>
          </w:rPr>
          <w:instrText xml:space="preserve"> PAGEREF _Toc481493775 \h </w:instrText>
        </w:r>
        <w:r w:rsidR="006861C2">
          <w:rPr>
            <w:noProof/>
            <w:webHidden/>
          </w:rPr>
        </w:r>
        <w:r w:rsidR="006861C2">
          <w:rPr>
            <w:noProof/>
            <w:webHidden/>
          </w:rPr>
          <w:fldChar w:fldCharType="separate"/>
        </w:r>
        <w:r w:rsidR="00755508">
          <w:rPr>
            <w:noProof/>
            <w:webHidden/>
          </w:rPr>
          <w:t>18</w:t>
        </w:r>
        <w:r w:rsidR="006861C2">
          <w:rPr>
            <w:noProof/>
            <w:webHidden/>
          </w:rPr>
          <w:fldChar w:fldCharType="end"/>
        </w:r>
      </w:hyperlink>
    </w:p>
    <w:p w14:paraId="2FA567E7"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6" w:history="1">
        <w:r w:rsidR="006861C2" w:rsidRPr="008A70C2">
          <w:rPr>
            <w:rStyle w:val="Hyperlink"/>
            <w:noProof/>
          </w:rPr>
          <w:t>Table 9: Proposed descriptor for new item for D-dimer.</w:t>
        </w:r>
        <w:r w:rsidR="006861C2">
          <w:rPr>
            <w:noProof/>
            <w:webHidden/>
          </w:rPr>
          <w:tab/>
        </w:r>
        <w:r w:rsidR="006861C2">
          <w:rPr>
            <w:noProof/>
            <w:webHidden/>
          </w:rPr>
          <w:fldChar w:fldCharType="begin"/>
        </w:r>
        <w:r w:rsidR="006861C2">
          <w:rPr>
            <w:noProof/>
            <w:webHidden/>
          </w:rPr>
          <w:instrText xml:space="preserve"> PAGEREF _Toc481493776 \h </w:instrText>
        </w:r>
        <w:r w:rsidR="006861C2">
          <w:rPr>
            <w:noProof/>
            <w:webHidden/>
          </w:rPr>
        </w:r>
        <w:r w:rsidR="006861C2">
          <w:rPr>
            <w:noProof/>
            <w:webHidden/>
          </w:rPr>
          <w:fldChar w:fldCharType="separate"/>
        </w:r>
        <w:r w:rsidR="00755508">
          <w:rPr>
            <w:noProof/>
            <w:webHidden/>
          </w:rPr>
          <w:t>19</w:t>
        </w:r>
        <w:r w:rsidR="006861C2">
          <w:rPr>
            <w:noProof/>
            <w:webHidden/>
          </w:rPr>
          <w:fldChar w:fldCharType="end"/>
        </w:r>
      </w:hyperlink>
    </w:p>
    <w:p w14:paraId="778FE2D4"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7" w:history="1">
        <w:r w:rsidR="006861C2" w:rsidRPr="008A70C2">
          <w:rPr>
            <w:rStyle w:val="Hyperlink"/>
            <w:noProof/>
          </w:rPr>
          <w:t>Table 10: Item introduction table for item 65144</w:t>
        </w:r>
        <w:r w:rsidR="006861C2">
          <w:rPr>
            <w:noProof/>
            <w:webHidden/>
          </w:rPr>
          <w:tab/>
        </w:r>
        <w:r w:rsidR="006861C2">
          <w:rPr>
            <w:noProof/>
            <w:webHidden/>
          </w:rPr>
          <w:fldChar w:fldCharType="begin"/>
        </w:r>
        <w:r w:rsidR="006861C2">
          <w:rPr>
            <w:noProof/>
            <w:webHidden/>
          </w:rPr>
          <w:instrText xml:space="preserve"> PAGEREF _Toc481493777 \h </w:instrText>
        </w:r>
        <w:r w:rsidR="006861C2">
          <w:rPr>
            <w:noProof/>
            <w:webHidden/>
          </w:rPr>
        </w:r>
        <w:r w:rsidR="006861C2">
          <w:rPr>
            <w:noProof/>
            <w:webHidden/>
          </w:rPr>
          <w:fldChar w:fldCharType="separate"/>
        </w:r>
        <w:r w:rsidR="00755508">
          <w:rPr>
            <w:noProof/>
            <w:webHidden/>
          </w:rPr>
          <w:t>21</w:t>
        </w:r>
        <w:r w:rsidR="006861C2">
          <w:rPr>
            <w:noProof/>
            <w:webHidden/>
          </w:rPr>
          <w:fldChar w:fldCharType="end"/>
        </w:r>
      </w:hyperlink>
    </w:p>
    <w:p w14:paraId="65FDDE04"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8" w:history="1">
        <w:r w:rsidR="006861C2" w:rsidRPr="008A70C2">
          <w:rPr>
            <w:rStyle w:val="Hyperlink"/>
            <w:noProof/>
          </w:rPr>
          <w:t>Table 11: Proposed changes to item 65144</w:t>
        </w:r>
        <w:r w:rsidR="006861C2">
          <w:rPr>
            <w:noProof/>
            <w:webHidden/>
          </w:rPr>
          <w:tab/>
        </w:r>
        <w:r w:rsidR="006861C2">
          <w:rPr>
            <w:noProof/>
            <w:webHidden/>
          </w:rPr>
          <w:fldChar w:fldCharType="begin"/>
        </w:r>
        <w:r w:rsidR="006861C2">
          <w:rPr>
            <w:noProof/>
            <w:webHidden/>
          </w:rPr>
          <w:instrText xml:space="preserve"> PAGEREF _Toc481493778 \h </w:instrText>
        </w:r>
        <w:r w:rsidR="006861C2">
          <w:rPr>
            <w:noProof/>
            <w:webHidden/>
          </w:rPr>
        </w:r>
        <w:r w:rsidR="006861C2">
          <w:rPr>
            <w:noProof/>
            <w:webHidden/>
          </w:rPr>
          <w:fldChar w:fldCharType="separate"/>
        </w:r>
        <w:r w:rsidR="00755508">
          <w:rPr>
            <w:noProof/>
            <w:webHidden/>
          </w:rPr>
          <w:t>21</w:t>
        </w:r>
        <w:r w:rsidR="006861C2">
          <w:rPr>
            <w:noProof/>
            <w:webHidden/>
          </w:rPr>
          <w:fldChar w:fldCharType="end"/>
        </w:r>
      </w:hyperlink>
    </w:p>
    <w:p w14:paraId="573B3B29"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79" w:history="1">
        <w:r w:rsidR="006861C2" w:rsidRPr="008A70C2">
          <w:rPr>
            <w:rStyle w:val="Hyperlink"/>
            <w:noProof/>
          </w:rPr>
          <w:t>Table 12: Item introduction table for item 65075</w:t>
        </w:r>
        <w:r w:rsidR="006861C2">
          <w:rPr>
            <w:noProof/>
            <w:webHidden/>
          </w:rPr>
          <w:tab/>
        </w:r>
        <w:r w:rsidR="006861C2">
          <w:rPr>
            <w:noProof/>
            <w:webHidden/>
          </w:rPr>
          <w:fldChar w:fldCharType="begin"/>
        </w:r>
        <w:r w:rsidR="006861C2">
          <w:rPr>
            <w:noProof/>
            <w:webHidden/>
          </w:rPr>
          <w:instrText xml:space="preserve"> PAGEREF _Toc481493779 \h </w:instrText>
        </w:r>
        <w:r w:rsidR="006861C2">
          <w:rPr>
            <w:noProof/>
            <w:webHidden/>
          </w:rPr>
        </w:r>
        <w:r w:rsidR="006861C2">
          <w:rPr>
            <w:noProof/>
            <w:webHidden/>
          </w:rPr>
          <w:fldChar w:fldCharType="separate"/>
        </w:r>
        <w:r w:rsidR="00755508">
          <w:rPr>
            <w:noProof/>
            <w:webHidden/>
          </w:rPr>
          <w:t>23</w:t>
        </w:r>
        <w:r w:rsidR="006861C2">
          <w:rPr>
            <w:noProof/>
            <w:webHidden/>
          </w:rPr>
          <w:fldChar w:fldCharType="end"/>
        </w:r>
      </w:hyperlink>
    </w:p>
    <w:p w14:paraId="16596977"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80" w:history="1">
        <w:r w:rsidR="006861C2" w:rsidRPr="008A70C2">
          <w:rPr>
            <w:rStyle w:val="Hyperlink"/>
            <w:noProof/>
          </w:rPr>
          <w:t>Table 13: Proposed changes to item 65075</w:t>
        </w:r>
        <w:r w:rsidR="006861C2">
          <w:rPr>
            <w:noProof/>
            <w:webHidden/>
          </w:rPr>
          <w:tab/>
        </w:r>
        <w:r w:rsidR="006861C2">
          <w:rPr>
            <w:noProof/>
            <w:webHidden/>
          </w:rPr>
          <w:fldChar w:fldCharType="begin"/>
        </w:r>
        <w:r w:rsidR="006861C2">
          <w:rPr>
            <w:noProof/>
            <w:webHidden/>
          </w:rPr>
          <w:instrText xml:space="preserve"> PAGEREF _Toc481493780 \h </w:instrText>
        </w:r>
        <w:r w:rsidR="006861C2">
          <w:rPr>
            <w:noProof/>
            <w:webHidden/>
          </w:rPr>
        </w:r>
        <w:r w:rsidR="006861C2">
          <w:rPr>
            <w:noProof/>
            <w:webHidden/>
          </w:rPr>
          <w:fldChar w:fldCharType="separate"/>
        </w:r>
        <w:r w:rsidR="00755508">
          <w:rPr>
            <w:noProof/>
            <w:webHidden/>
          </w:rPr>
          <w:t>23</w:t>
        </w:r>
        <w:r w:rsidR="006861C2">
          <w:rPr>
            <w:noProof/>
            <w:webHidden/>
          </w:rPr>
          <w:fldChar w:fldCharType="end"/>
        </w:r>
      </w:hyperlink>
    </w:p>
    <w:p w14:paraId="7F2FBE56"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81" w:history="1">
        <w:r w:rsidR="006861C2" w:rsidRPr="008A70C2">
          <w:rPr>
            <w:rStyle w:val="Hyperlink"/>
            <w:noProof/>
          </w:rPr>
          <w:t>Table 14: Item introduction table for item 65070</w:t>
        </w:r>
        <w:r w:rsidR="006861C2">
          <w:rPr>
            <w:noProof/>
            <w:webHidden/>
          </w:rPr>
          <w:tab/>
        </w:r>
        <w:r w:rsidR="006861C2">
          <w:rPr>
            <w:noProof/>
            <w:webHidden/>
          </w:rPr>
          <w:fldChar w:fldCharType="begin"/>
        </w:r>
        <w:r w:rsidR="006861C2">
          <w:rPr>
            <w:noProof/>
            <w:webHidden/>
          </w:rPr>
          <w:instrText xml:space="preserve"> PAGEREF _Toc481493781 \h </w:instrText>
        </w:r>
        <w:r w:rsidR="006861C2">
          <w:rPr>
            <w:noProof/>
            <w:webHidden/>
          </w:rPr>
        </w:r>
        <w:r w:rsidR="006861C2">
          <w:rPr>
            <w:noProof/>
            <w:webHidden/>
          </w:rPr>
          <w:fldChar w:fldCharType="separate"/>
        </w:r>
        <w:r w:rsidR="00755508">
          <w:rPr>
            <w:noProof/>
            <w:webHidden/>
          </w:rPr>
          <w:t>24</w:t>
        </w:r>
        <w:r w:rsidR="006861C2">
          <w:rPr>
            <w:noProof/>
            <w:webHidden/>
          </w:rPr>
          <w:fldChar w:fldCharType="end"/>
        </w:r>
      </w:hyperlink>
    </w:p>
    <w:p w14:paraId="65A5EDB7"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82" w:history="1">
        <w:r w:rsidR="006861C2" w:rsidRPr="008A70C2">
          <w:rPr>
            <w:rStyle w:val="Hyperlink"/>
            <w:noProof/>
          </w:rPr>
          <w:t>Table 15: Item introduction table for items 65171, 65175, 65176, 65177, 65178, 65179, 65180 and 65181</w:t>
        </w:r>
        <w:r w:rsidR="006861C2">
          <w:rPr>
            <w:noProof/>
            <w:webHidden/>
          </w:rPr>
          <w:tab/>
        </w:r>
        <w:r w:rsidR="006861C2">
          <w:rPr>
            <w:noProof/>
            <w:webHidden/>
          </w:rPr>
          <w:fldChar w:fldCharType="begin"/>
        </w:r>
        <w:r w:rsidR="006861C2">
          <w:rPr>
            <w:noProof/>
            <w:webHidden/>
          </w:rPr>
          <w:instrText xml:space="preserve"> PAGEREF _Toc481493782 \h </w:instrText>
        </w:r>
        <w:r w:rsidR="006861C2">
          <w:rPr>
            <w:noProof/>
            <w:webHidden/>
          </w:rPr>
        </w:r>
        <w:r w:rsidR="006861C2">
          <w:rPr>
            <w:noProof/>
            <w:webHidden/>
          </w:rPr>
          <w:fldChar w:fldCharType="separate"/>
        </w:r>
        <w:r w:rsidR="00755508">
          <w:rPr>
            <w:noProof/>
            <w:webHidden/>
          </w:rPr>
          <w:t>26</w:t>
        </w:r>
        <w:r w:rsidR="006861C2">
          <w:rPr>
            <w:noProof/>
            <w:webHidden/>
          </w:rPr>
          <w:fldChar w:fldCharType="end"/>
        </w:r>
      </w:hyperlink>
    </w:p>
    <w:p w14:paraId="299D64B7"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83" w:history="1">
        <w:r w:rsidR="006861C2" w:rsidRPr="008A70C2">
          <w:rPr>
            <w:rStyle w:val="Hyperlink"/>
            <w:noProof/>
          </w:rPr>
          <w:t>Table 16: Item introduction table for item 65060</w:t>
        </w:r>
        <w:r w:rsidR="006861C2">
          <w:rPr>
            <w:noProof/>
            <w:webHidden/>
          </w:rPr>
          <w:tab/>
        </w:r>
        <w:r w:rsidR="006861C2">
          <w:rPr>
            <w:noProof/>
            <w:webHidden/>
          </w:rPr>
          <w:fldChar w:fldCharType="begin"/>
        </w:r>
        <w:r w:rsidR="006861C2">
          <w:rPr>
            <w:noProof/>
            <w:webHidden/>
          </w:rPr>
          <w:instrText xml:space="preserve"> PAGEREF _Toc481493783 \h </w:instrText>
        </w:r>
        <w:r w:rsidR="006861C2">
          <w:rPr>
            <w:noProof/>
            <w:webHidden/>
          </w:rPr>
        </w:r>
        <w:r w:rsidR="006861C2">
          <w:rPr>
            <w:noProof/>
            <w:webHidden/>
          </w:rPr>
          <w:fldChar w:fldCharType="separate"/>
        </w:r>
        <w:r w:rsidR="00755508">
          <w:rPr>
            <w:noProof/>
            <w:webHidden/>
          </w:rPr>
          <w:t>28</w:t>
        </w:r>
        <w:r w:rsidR="006861C2">
          <w:rPr>
            <w:noProof/>
            <w:webHidden/>
          </w:rPr>
          <w:fldChar w:fldCharType="end"/>
        </w:r>
      </w:hyperlink>
    </w:p>
    <w:p w14:paraId="162D9527"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84" w:history="1">
        <w:r w:rsidR="006861C2" w:rsidRPr="008A70C2">
          <w:rPr>
            <w:rStyle w:val="Hyperlink"/>
            <w:noProof/>
          </w:rPr>
          <w:t>Table 17: Minor changes recommended</w:t>
        </w:r>
        <w:r w:rsidR="006861C2">
          <w:rPr>
            <w:noProof/>
            <w:webHidden/>
          </w:rPr>
          <w:tab/>
        </w:r>
        <w:r w:rsidR="006861C2">
          <w:rPr>
            <w:noProof/>
            <w:webHidden/>
          </w:rPr>
          <w:fldChar w:fldCharType="begin"/>
        </w:r>
        <w:r w:rsidR="006861C2">
          <w:rPr>
            <w:noProof/>
            <w:webHidden/>
          </w:rPr>
          <w:instrText xml:space="preserve"> PAGEREF _Toc481493784 \h </w:instrText>
        </w:r>
        <w:r w:rsidR="006861C2">
          <w:rPr>
            <w:noProof/>
            <w:webHidden/>
          </w:rPr>
        </w:r>
        <w:r w:rsidR="006861C2">
          <w:rPr>
            <w:noProof/>
            <w:webHidden/>
          </w:rPr>
          <w:fldChar w:fldCharType="separate"/>
        </w:r>
        <w:r w:rsidR="00755508">
          <w:rPr>
            <w:noProof/>
            <w:webHidden/>
          </w:rPr>
          <w:t>29</w:t>
        </w:r>
        <w:r w:rsidR="006861C2">
          <w:rPr>
            <w:noProof/>
            <w:webHidden/>
          </w:rPr>
          <w:fldChar w:fldCharType="end"/>
        </w:r>
      </w:hyperlink>
    </w:p>
    <w:p w14:paraId="6DBFB662"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85" w:history="1">
        <w:r w:rsidR="006861C2" w:rsidRPr="008A70C2">
          <w:rPr>
            <w:rStyle w:val="Hyperlink"/>
            <w:noProof/>
          </w:rPr>
          <w:t>Table 18: Items recommended for removal from the MBS</w:t>
        </w:r>
        <w:r w:rsidR="006861C2">
          <w:rPr>
            <w:noProof/>
            <w:webHidden/>
          </w:rPr>
          <w:tab/>
        </w:r>
        <w:r w:rsidR="006861C2">
          <w:rPr>
            <w:noProof/>
            <w:webHidden/>
          </w:rPr>
          <w:fldChar w:fldCharType="begin"/>
        </w:r>
        <w:r w:rsidR="006861C2">
          <w:rPr>
            <w:noProof/>
            <w:webHidden/>
          </w:rPr>
          <w:instrText xml:space="preserve"> PAGEREF _Toc481493785 \h </w:instrText>
        </w:r>
        <w:r w:rsidR="006861C2">
          <w:rPr>
            <w:noProof/>
            <w:webHidden/>
          </w:rPr>
        </w:r>
        <w:r w:rsidR="006861C2">
          <w:rPr>
            <w:noProof/>
            <w:webHidden/>
          </w:rPr>
          <w:fldChar w:fldCharType="separate"/>
        </w:r>
        <w:r w:rsidR="00755508">
          <w:rPr>
            <w:noProof/>
            <w:webHidden/>
          </w:rPr>
          <w:t>30</w:t>
        </w:r>
        <w:r w:rsidR="006861C2">
          <w:rPr>
            <w:noProof/>
            <w:webHidden/>
          </w:rPr>
          <w:fldChar w:fldCharType="end"/>
        </w:r>
      </w:hyperlink>
    </w:p>
    <w:p w14:paraId="6EC4B6CC" w14:textId="77777777" w:rsidR="006861C2" w:rsidRDefault="00A01059">
      <w:pPr>
        <w:pStyle w:val="TableofFigures"/>
        <w:tabs>
          <w:tab w:val="right" w:leader="dot" w:pos="9016"/>
        </w:tabs>
        <w:rPr>
          <w:rFonts w:eastAsiaTheme="minorEastAsia" w:cstheme="minorBidi"/>
          <w:bCs w:val="0"/>
          <w:noProof/>
          <w:sz w:val="22"/>
          <w:szCs w:val="22"/>
          <w:lang w:val="en-AU"/>
        </w:rPr>
      </w:pPr>
      <w:hyperlink w:anchor="_Toc481493786" w:history="1">
        <w:r w:rsidR="006861C2" w:rsidRPr="008A70C2">
          <w:rPr>
            <w:rStyle w:val="Hyperlink"/>
            <w:noProof/>
          </w:rPr>
          <w:t>Table 19: MBS items that do not require change</w:t>
        </w:r>
        <w:r w:rsidR="006861C2">
          <w:rPr>
            <w:noProof/>
            <w:webHidden/>
          </w:rPr>
          <w:tab/>
        </w:r>
        <w:r w:rsidR="006861C2">
          <w:rPr>
            <w:noProof/>
            <w:webHidden/>
          </w:rPr>
          <w:fldChar w:fldCharType="begin"/>
        </w:r>
        <w:r w:rsidR="006861C2">
          <w:rPr>
            <w:noProof/>
            <w:webHidden/>
          </w:rPr>
          <w:instrText xml:space="preserve"> PAGEREF _Toc481493786 \h </w:instrText>
        </w:r>
        <w:r w:rsidR="006861C2">
          <w:rPr>
            <w:noProof/>
            <w:webHidden/>
          </w:rPr>
        </w:r>
        <w:r w:rsidR="006861C2">
          <w:rPr>
            <w:noProof/>
            <w:webHidden/>
          </w:rPr>
          <w:fldChar w:fldCharType="separate"/>
        </w:r>
        <w:r w:rsidR="00755508">
          <w:rPr>
            <w:noProof/>
            <w:webHidden/>
          </w:rPr>
          <w:t>31</w:t>
        </w:r>
        <w:r w:rsidR="006861C2">
          <w:rPr>
            <w:noProof/>
            <w:webHidden/>
          </w:rPr>
          <w:fldChar w:fldCharType="end"/>
        </w:r>
      </w:hyperlink>
    </w:p>
    <w:p w14:paraId="0BA5B137" w14:textId="77777777" w:rsidR="00836B2A" w:rsidRPr="00FC1976" w:rsidRDefault="005D0750" w:rsidP="00082595">
      <w:pPr>
        <w:rPr>
          <w:b/>
          <w:color w:val="01653F"/>
          <w:sz w:val="32"/>
          <w:lang w:val="en-AU"/>
        </w:rPr>
      </w:pPr>
      <w:r>
        <w:rPr>
          <w:bCs/>
          <w:sz w:val="20"/>
          <w:szCs w:val="20"/>
          <w:lang w:val="en-AU"/>
        </w:rPr>
        <w:fldChar w:fldCharType="end"/>
      </w:r>
      <w:r w:rsidR="00836B2A" w:rsidRPr="00FC1976">
        <w:rPr>
          <w:b/>
          <w:color w:val="01653F"/>
          <w:sz w:val="32"/>
          <w:lang w:val="en-AU"/>
        </w:rPr>
        <w:t>Figures</w:t>
      </w:r>
    </w:p>
    <w:p w14:paraId="6E8C3D41" w14:textId="77777777" w:rsidR="00013A45" w:rsidRDefault="00574DE3">
      <w:pPr>
        <w:pStyle w:val="TableofFigures"/>
        <w:tabs>
          <w:tab w:val="right" w:leader="dot" w:pos="9016"/>
        </w:tabs>
        <w:rPr>
          <w:rFonts w:eastAsiaTheme="minorEastAsia" w:cstheme="minorBidi"/>
          <w:bCs w:val="0"/>
          <w:noProof/>
          <w:sz w:val="22"/>
          <w:szCs w:val="22"/>
          <w:lang w:val="en-AU"/>
        </w:rPr>
      </w:pPr>
      <w:r>
        <w:rPr>
          <w:bCs w:val="0"/>
          <w:lang w:val="en-AU"/>
        </w:rPr>
        <w:fldChar w:fldCharType="begin"/>
      </w:r>
      <w:r>
        <w:rPr>
          <w:bCs w:val="0"/>
          <w:lang w:val="en-AU"/>
        </w:rPr>
        <w:instrText xml:space="preserve"> TOC \h \z \t "Figure Caption" \c </w:instrText>
      </w:r>
      <w:r>
        <w:rPr>
          <w:bCs w:val="0"/>
          <w:lang w:val="en-AU"/>
        </w:rPr>
        <w:fldChar w:fldCharType="separate"/>
      </w:r>
      <w:hyperlink w:anchor="_Toc481140373" w:history="1">
        <w:r w:rsidR="00013A45" w:rsidRPr="00205018">
          <w:rPr>
            <w:rStyle w:val="Hyperlink"/>
            <w:noProof/>
          </w:rPr>
          <w:t>Figure 1. Prioritisation matrix.</w:t>
        </w:r>
        <w:r w:rsidR="00013A45">
          <w:rPr>
            <w:noProof/>
            <w:webHidden/>
          </w:rPr>
          <w:tab/>
        </w:r>
        <w:r w:rsidR="00013A45">
          <w:rPr>
            <w:noProof/>
            <w:webHidden/>
          </w:rPr>
          <w:fldChar w:fldCharType="begin"/>
        </w:r>
        <w:r w:rsidR="00013A45">
          <w:rPr>
            <w:noProof/>
            <w:webHidden/>
          </w:rPr>
          <w:instrText xml:space="preserve"> PAGEREF _Toc481140373 \h </w:instrText>
        </w:r>
        <w:r w:rsidR="00013A45">
          <w:rPr>
            <w:noProof/>
            <w:webHidden/>
          </w:rPr>
        </w:r>
        <w:r w:rsidR="00013A45">
          <w:rPr>
            <w:noProof/>
            <w:webHidden/>
          </w:rPr>
          <w:fldChar w:fldCharType="separate"/>
        </w:r>
        <w:r w:rsidR="00755508">
          <w:rPr>
            <w:noProof/>
            <w:webHidden/>
          </w:rPr>
          <w:t>7</w:t>
        </w:r>
        <w:r w:rsidR="00013A45">
          <w:rPr>
            <w:noProof/>
            <w:webHidden/>
          </w:rPr>
          <w:fldChar w:fldCharType="end"/>
        </w:r>
      </w:hyperlink>
    </w:p>
    <w:p w14:paraId="1516E23F" w14:textId="77777777" w:rsidR="00013A45" w:rsidRDefault="00A01059">
      <w:pPr>
        <w:pStyle w:val="TableofFigures"/>
        <w:tabs>
          <w:tab w:val="right" w:leader="dot" w:pos="9016"/>
        </w:tabs>
        <w:rPr>
          <w:rFonts w:eastAsiaTheme="minorEastAsia" w:cstheme="minorBidi"/>
          <w:bCs w:val="0"/>
          <w:noProof/>
          <w:sz w:val="22"/>
          <w:szCs w:val="22"/>
          <w:lang w:val="en-AU"/>
        </w:rPr>
      </w:pPr>
      <w:hyperlink w:anchor="_Toc481140374" w:history="1">
        <w:r w:rsidR="00013A45" w:rsidRPr="00205018">
          <w:rPr>
            <w:rStyle w:val="Hyperlink"/>
            <w:noProof/>
          </w:rPr>
          <w:t>Figure 2. Sequence of the proposed changes to item 65096.</w:t>
        </w:r>
        <w:r w:rsidR="00013A45">
          <w:rPr>
            <w:noProof/>
            <w:webHidden/>
          </w:rPr>
          <w:tab/>
        </w:r>
        <w:r w:rsidR="00013A45">
          <w:rPr>
            <w:noProof/>
            <w:webHidden/>
          </w:rPr>
          <w:fldChar w:fldCharType="begin"/>
        </w:r>
        <w:r w:rsidR="00013A45">
          <w:rPr>
            <w:noProof/>
            <w:webHidden/>
          </w:rPr>
          <w:instrText xml:space="preserve"> PAGEREF _Toc481140374 \h </w:instrText>
        </w:r>
        <w:r w:rsidR="00013A45">
          <w:rPr>
            <w:noProof/>
            <w:webHidden/>
          </w:rPr>
        </w:r>
        <w:r w:rsidR="00013A45">
          <w:rPr>
            <w:noProof/>
            <w:webHidden/>
          </w:rPr>
          <w:fldChar w:fldCharType="separate"/>
        </w:r>
        <w:r w:rsidR="00755508">
          <w:rPr>
            <w:noProof/>
            <w:webHidden/>
          </w:rPr>
          <w:t>13</w:t>
        </w:r>
        <w:r w:rsidR="00013A45">
          <w:rPr>
            <w:noProof/>
            <w:webHidden/>
          </w:rPr>
          <w:fldChar w:fldCharType="end"/>
        </w:r>
      </w:hyperlink>
    </w:p>
    <w:p w14:paraId="29F259A3" w14:textId="77777777" w:rsidR="00013A45" w:rsidRDefault="00A01059">
      <w:pPr>
        <w:pStyle w:val="TableofFigures"/>
        <w:tabs>
          <w:tab w:val="right" w:leader="dot" w:pos="9016"/>
        </w:tabs>
        <w:rPr>
          <w:rFonts w:eastAsiaTheme="minorEastAsia" w:cstheme="minorBidi"/>
          <w:bCs w:val="0"/>
          <w:noProof/>
          <w:sz w:val="22"/>
          <w:szCs w:val="22"/>
          <w:lang w:val="en-AU"/>
        </w:rPr>
      </w:pPr>
      <w:hyperlink w:anchor="_Toc481140375" w:history="1">
        <w:r w:rsidR="00013A45" w:rsidRPr="00205018">
          <w:rPr>
            <w:rStyle w:val="Hyperlink"/>
            <w:noProof/>
          </w:rPr>
          <w:t>Figure 3. Proposed sequence of compatibility testing and release of red cells for transfusion.</w:t>
        </w:r>
        <w:r w:rsidR="00013A45">
          <w:rPr>
            <w:noProof/>
            <w:webHidden/>
          </w:rPr>
          <w:tab/>
        </w:r>
        <w:r w:rsidR="00013A45">
          <w:rPr>
            <w:noProof/>
            <w:webHidden/>
          </w:rPr>
          <w:fldChar w:fldCharType="begin"/>
        </w:r>
        <w:r w:rsidR="00013A45">
          <w:rPr>
            <w:noProof/>
            <w:webHidden/>
          </w:rPr>
          <w:instrText xml:space="preserve"> PAGEREF _Toc481140375 \h </w:instrText>
        </w:r>
        <w:r w:rsidR="00013A45">
          <w:rPr>
            <w:noProof/>
            <w:webHidden/>
          </w:rPr>
        </w:r>
        <w:r w:rsidR="00013A45">
          <w:rPr>
            <w:noProof/>
            <w:webHidden/>
          </w:rPr>
          <w:fldChar w:fldCharType="separate"/>
        </w:r>
        <w:r w:rsidR="00755508">
          <w:rPr>
            <w:noProof/>
            <w:webHidden/>
          </w:rPr>
          <w:t>17</w:t>
        </w:r>
        <w:r w:rsidR="00013A45">
          <w:rPr>
            <w:noProof/>
            <w:webHidden/>
          </w:rPr>
          <w:fldChar w:fldCharType="end"/>
        </w:r>
      </w:hyperlink>
    </w:p>
    <w:p w14:paraId="51659862" w14:textId="77777777" w:rsidR="0050434D" w:rsidRDefault="00574DE3" w:rsidP="00082595">
      <w:pPr>
        <w:rPr>
          <w:sz w:val="20"/>
          <w:szCs w:val="20"/>
          <w:lang w:val="en-AU"/>
        </w:rPr>
        <w:sectPr w:rsidR="0050434D" w:rsidSect="000B702D">
          <w:footerReference w:type="default" r:id="rId12"/>
          <w:footnotePr>
            <w:pos w:val="beneathText"/>
            <w:numFmt w:val="lowerRoman"/>
          </w:footnotePr>
          <w:pgSz w:w="11906" w:h="16838" w:code="9"/>
          <w:pgMar w:top="1440" w:right="1440" w:bottom="1276" w:left="1440" w:header="720" w:footer="720" w:gutter="0"/>
          <w:paperSrc w:first="2" w:other="2"/>
          <w:pgNumType w:fmt="lowerRoman" w:start="2"/>
          <w:cols w:space="720"/>
          <w:titlePg/>
          <w:docGrid w:linePitch="326"/>
        </w:sectPr>
      </w:pPr>
      <w:r>
        <w:rPr>
          <w:sz w:val="20"/>
          <w:szCs w:val="20"/>
          <w:lang w:val="en-AU"/>
        </w:rPr>
        <w:fldChar w:fldCharType="end"/>
      </w:r>
    </w:p>
    <w:p w14:paraId="4193BD18" w14:textId="77777777" w:rsidR="00512F2C" w:rsidRDefault="00262127" w:rsidP="00D10783">
      <w:pPr>
        <w:pStyle w:val="Heading1"/>
      </w:pPr>
      <w:bookmarkStart w:id="2" w:name="_Toc456045422"/>
      <w:bookmarkStart w:id="3" w:name="_Toc495403373"/>
      <w:bookmarkEnd w:id="1"/>
      <w:r w:rsidRPr="00FC1976">
        <w:lastRenderedPageBreak/>
        <w:t xml:space="preserve">Executive </w:t>
      </w:r>
      <w:r w:rsidR="00AF345C">
        <w:t>s</w:t>
      </w:r>
      <w:r w:rsidRPr="00FC1976">
        <w:t>ummary</w:t>
      </w:r>
      <w:bookmarkEnd w:id="2"/>
      <w:bookmarkEnd w:id="3"/>
    </w:p>
    <w:p w14:paraId="5BCA2539" w14:textId="77777777" w:rsidR="0021330F" w:rsidRPr="0021330F" w:rsidRDefault="0021330F" w:rsidP="0021330F">
      <w:pPr>
        <w:rPr>
          <w:lang w:val="en-AU"/>
        </w:rPr>
      </w:pPr>
      <w:r w:rsidRPr="0021330F">
        <w:rPr>
          <w:lang w:val="en-AU"/>
        </w:rPr>
        <w:t>The Medicare Benefits Schedule (MBS) Review Taskforce (the Taskforce) is undertaking a program of work</w:t>
      </w:r>
      <w:r w:rsidR="00220071">
        <w:rPr>
          <w:lang w:val="en-AU"/>
        </w:rPr>
        <w:t xml:space="preserve"> that considers how more than 5</w:t>
      </w:r>
      <w:r w:rsidR="00CE36BE">
        <w:rPr>
          <w:lang w:val="en-AU"/>
        </w:rPr>
        <w:t>,</w:t>
      </w:r>
      <w:r w:rsidRPr="0021330F">
        <w:rPr>
          <w:lang w:val="en-AU"/>
        </w:rPr>
        <w:t>700 items on the MBS can be aligned with contemporary clinical eviden</w:t>
      </w:r>
      <w:r w:rsidR="00220071">
        <w:rPr>
          <w:lang w:val="en-AU"/>
        </w:rPr>
        <w:t>ce and practice and improve</w:t>
      </w:r>
      <w:r w:rsidRPr="0021330F">
        <w:rPr>
          <w:lang w:val="en-AU"/>
        </w:rPr>
        <w:t xml:space="preserve"> health outcomes for patients. The Taskforce will also seek to identify any services that may be unnecessary, outdated or potentially unsafe. </w:t>
      </w:r>
    </w:p>
    <w:p w14:paraId="7502DDEF" w14:textId="77777777" w:rsidR="0021330F" w:rsidRPr="0021330F" w:rsidRDefault="0021330F" w:rsidP="0021330F">
      <w:pPr>
        <w:rPr>
          <w:lang w:val="en-AU"/>
        </w:rPr>
      </w:pPr>
      <w:r w:rsidRPr="0021330F">
        <w:rPr>
          <w:lang w:val="en-AU"/>
        </w:rPr>
        <w:t>The Taskforce is committed to providing recommendations to the Minister for Health that will allow the MBS to deliver on each of these four key goals:</w:t>
      </w:r>
    </w:p>
    <w:p w14:paraId="0A091F0D" w14:textId="77777777" w:rsidR="0021330F" w:rsidRPr="0021330F" w:rsidRDefault="0021330F" w:rsidP="00CE36BE">
      <w:pPr>
        <w:pStyle w:val="NormalBulleted"/>
        <w:rPr>
          <w:lang w:val="en-AU" w:eastAsia="en-US"/>
        </w:rPr>
      </w:pPr>
      <w:r w:rsidRPr="0021330F">
        <w:rPr>
          <w:lang w:val="en-AU" w:eastAsia="en-US"/>
        </w:rPr>
        <w:t>Affordable and universal access.</w:t>
      </w:r>
    </w:p>
    <w:p w14:paraId="1AF8E7B4" w14:textId="77777777" w:rsidR="0021330F" w:rsidRPr="0021330F" w:rsidRDefault="0021330F" w:rsidP="00CE36BE">
      <w:pPr>
        <w:pStyle w:val="NormalBulleted"/>
        <w:rPr>
          <w:lang w:val="en-AU" w:eastAsia="en-US"/>
        </w:rPr>
      </w:pPr>
      <w:r w:rsidRPr="0021330F">
        <w:rPr>
          <w:lang w:val="en-AU" w:eastAsia="en-US"/>
        </w:rPr>
        <w:t>Best-practice health services.</w:t>
      </w:r>
    </w:p>
    <w:p w14:paraId="59DD9DC9" w14:textId="77777777" w:rsidR="0021330F" w:rsidRPr="0021330F" w:rsidRDefault="0021330F" w:rsidP="00CE36BE">
      <w:pPr>
        <w:pStyle w:val="NormalBulleted"/>
        <w:rPr>
          <w:lang w:val="en-AU" w:eastAsia="en-US"/>
        </w:rPr>
      </w:pPr>
      <w:r w:rsidRPr="0021330F">
        <w:rPr>
          <w:lang w:val="en-AU" w:eastAsia="en-US"/>
        </w:rPr>
        <w:t>Value for the individual patient.</w:t>
      </w:r>
    </w:p>
    <w:p w14:paraId="25FB071B" w14:textId="77777777" w:rsidR="0021330F" w:rsidRPr="0021330F" w:rsidRDefault="0021330F" w:rsidP="00CE36BE">
      <w:pPr>
        <w:pStyle w:val="NormalBulleted"/>
        <w:rPr>
          <w:lang w:val="en-AU" w:eastAsia="en-US"/>
        </w:rPr>
      </w:pPr>
      <w:r w:rsidRPr="0021330F">
        <w:rPr>
          <w:lang w:val="en-AU" w:eastAsia="en-US"/>
        </w:rPr>
        <w:t>Value for the health system.</w:t>
      </w:r>
    </w:p>
    <w:p w14:paraId="2A4C5D8B" w14:textId="77777777" w:rsidR="0021330F" w:rsidRPr="0021330F" w:rsidRDefault="0021330F" w:rsidP="0021330F">
      <w:pPr>
        <w:rPr>
          <w:lang w:val="en-AU"/>
        </w:rPr>
      </w:pPr>
      <w:r w:rsidRPr="0021330F">
        <w:rPr>
          <w:lang w:val="en-AU"/>
        </w:rPr>
        <w:t>The Taskforce has endorsed a methodology whereby the necessary clinical review</w:t>
      </w:r>
      <w:r w:rsidR="000819B5">
        <w:rPr>
          <w:lang w:val="en-AU"/>
        </w:rPr>
        <w:t xml:space="preserve"> of MBS items is undertaken by clinical c</w:t>
      </w:r>
      <w:r w:rsidRPr="0021330F">
        <w:rPr>
          <w:lang w:val="en-AU"/>
        </w:rPr>
        <w:t>om</w:t>
      </w:r>
      <w:r w:rsidR="000819B5">
        <w:rPr>
          <w:lang w:val="en-AU"/>
        </w:rPr>
        <w:t>mittees and w</w:t>
      </w:r>
      <w:r w:rsidRPr="0021330F">
        <w:rPr>
          <w:lang w:val="en-AU"/>
        </w:rPr>
        <w:t xml:space="preserve">orking </w:t>
      </w:r>
      <w:r w:rsidR="000819B5">
        <w:rPr>
          <w:lang w:val="en-AU"/>
        </w:rPr>
        <w:t>g</w:t>
      </w:r>
      <w:r w:rsidRPr="0021330F">
        <w:rPr>
          <w:lang w:val="en-AU"/>
        </w:rPr>
        <w:t xml:space="preserve">roups. The Taskforce has asked the </w:t>
      </w:r>
      <w:r w:rsidR="000819B5">
        <w:rPr>
          <w:lang w:val="en-AU"/>
        </w:rPr>
        <w:t>c</w:t>
      </w:r>
      <w:r w:rsidRPr="0021330F">
        <w:rPr>
          <w:lang w:val="en-AU"/>
        </w:rPr>
        <w:t xml:space="preserve">linical </w:t>
      </w:r>
      <w:r w:rsidR="000819B5">
        <w:rPr>
          <w:lang w:val="en-AU"/>
        </w:rPr>
        <w:t>c</w:t>
      </w:r>
      <w:r w:rsidRPr="0021330F">
        <w:rPr>
          <w:lang w:val="en-AU"/>
        </w:rPr>
        <w:t>ommittees to undertake the following tasks:</w:t>
      </w:r>
    </w:p>
    <w:p w14:paraId="4EAD62F4" w14:textId="77777777" w:rsidR="0021330F" w:rsidRPr="0021330F" w:rsidRDefault="0021330F" w:rsidP="001B6F8D">
      <w:pPr>
        <w:numPr>
          <w:ilvl w:val="0"/>
          <w:numId w:val="20"/>
        </w:numPr>
        <w:spacing w:before="180" w:line="360" w:lineRule="auto"/>
        <w:ind w:left="357" w:hanging="357"/>
        <w:contextualSpacing/>
        <w:rPr>
          <w:rFonts w:eastAsiaTheme="minorHAnsi" w:cs="Arial"/>
          <w:szCs w:val="22"/>
          <w:lang w:val="en-AU"/>
        </w:rPr>
      </w:pPr>
      <w:r w:rsidRPr="0021330F">
        <w:rPr>
          <w:rFonts w:eastAsiaTheme="minorHAnsi" w:cs="Arial"/>
          <w:szCs w:val="22"/>
          <w:lang w:val="en-AU"/>
        </w:rPr>
        <w:t>Consider whether there are MBS items that are obsolete and should be removed from the MBS.</w:t>
      </w:r>
    </w:p>
    <w:p w14:paraId="6CBA1317" w14:textId="77777777" w:rsidR="0021330F" w:rsidRPr="0021330F" w:rsidRDefault="0021330F" w:rsidP="001B6F8D">
      <w:pPr>
        <w:numPr>
          <w:ilvl w:val="0"/>
          <w:numId w:val="20"/>
        </w:numPr>
        <w:spacing w:before="180" w:line="360" w:lineRule="auto"/>
        <w:ind w:left="357" w:hanging="357"/>
        <w:contextualSpacing/>
        <w:rPr>
          <w:rFonts w:eastAsiaTheme="minorHAnsi" w:cs="Arial"/>
          <w:szCs w:val="22"/>
          <w:lang w:val="en-AU"/>
        </w:rPr>
      </w:pPr>
      <w:r w:rsidRPr="0021330F">
        <w:rPr>
          <w:rFonts w:eastAsiaTheme="minorHAnsi" w:cs="Arial"/>
          <w:szCs w:val="22"/>
          <w:lang w:val="en-AU"/>
        </w:rPr>
        <w:t>Consider identified priority reviews of selected MBS services.</w:t>
      </w:r>
    </w:p>
    <w:p w14:paraId="397B3B23" w14:textId="77777777" w:rsidR="0021330F" w:rsidRPr="0021330F" w:rsidRDefault="0021330F" w:rsidP="001B6F8D">
      <w:pPr>
        <w:numPr>
          <w:ilvl w:val="0"/>
          <w:numId w:val="20"/>
        </w:numPr>
        <w:spacing w:before="180" w:line="360" w:lineRule="auto"/>
        <w:ind w:left="357" w:hanging="357"/>
        <w:contextualSpacing/>
        <w:rPr>
          <w:rFonts w:eastAsiaTheme="minorHAnsi" w:cs="Arial"/>
          <w:szCs w:val="22"/>
          <w:lang w:val="en-AU"/>
        </w:rPr>
      </w:pPr>
      <w:r w:rsidRPr="0021330F">
        <w:rPr>
          <w:rFonts w:eastAsiaTheme="minorHAnsi" w:cs="Arial"/>
          <w:szCs w:val="22"/>
          <w:lang w:val="en-AU"/>
        </w:rPr>
        <w:t>Develop a program of work to consider the balance of MBS services within its remit and items assigned to the Committee.</w:t>
      </w:r>
    </w:p>
    <w:p w14:paraId="47988934" w14:textId="77777777" w:rsidR="0021330F" w:rsidRPr="0021330F" w:rsidRDefault="0021330F" w:rsidP="001B6F8D">
      <w:pPr>
        <w:numPr>
          <w:ilvl w:val="0"/>
          <w:numId w:val="20"/>
        </w:numPr>
        <w:spacing w:before="180" w:line="360" w:lineRule="auto"/>
        <w:ind w:left="357" w:hanging="357"/>
        <w:contextualSpacing/>
        <w:rPr>
          <w:rFonts w:eastAsiaTheme="minorHAnsi" w:cs="Arial"/>
          <w:szCs w:val="22"/>
          <w:lang w:val="en-AU"/>
        </w:rPr>
      </w:pPr>
      <w:r w:rsidRPr="0021330F">
        <w:rPr>
          <w:rFonts w:eastAsiaTheme="minorHAnsi" w:cs="Arial"/>
          <w:szCs w:val="22"/>
          <w:lang w:val="en-AU"/>
        </w:rPr>
        <w:t xml:space="preserve">Advise the Taskforce on relevant general MBS issues identified by the Committee </w:t>
      </w:r>
      <w:proofErr w:type="gramStart"/>
      <w:r w:rsidRPr="0021330F">
        <w:rPr>
          <w:rFonts w:eastAsiaTheme="minorHAnsi" w:cs="Arial"/>
          <w:szCs w:val="22"/>
          <w:lang w:val="en-AU"/>
        </w:rPr>
        <w:t>in the course of</w:t>
      </w:r>
      <w:proofErr w:type="gramEnd"/>
      <w:r w:rsidRPr="0021330F">
        <w:rPr>
          <w:rFonts w:eastAsiaTheme="minorHAnsi" w:cs="Arial"/>
          <w:szCs w:val="22"/>
          <w:lang w:val="en-AU"/>
        </w:rPr>
        <w:t xml:space="preserve"> its deliberations.</w:t>
      </w:r>
    </w:p>
    <w:p w14:paraId="41D4616A" w14:textId="77777777" w:rsidR="0021330F" w:rsidRPr="0021330F" w:rsidRDefault="0021330F" w:rsidP="0021330F">
      <w:pPr>
        <w:rPr>
          <w:lang w:val="en-AU"/>
        </w:rPr>
      </w:pPr>
      <w:r w:rsidRPr="0021330F">
        <w:rPr>
          <w:lang w:val="en-AU"/>
        </w:rPr>
        <w:t xml:space="preserve">The recommendations from the </w:t>
      </w:r>
      <w:r w:rsidR="000819B5">
        <w:rPr>
          <w:lang w:val="en-AU"/>
        </w:rPr>
        <w:t>c</w:t>
      </w:r>
      <w:r w:rsidRPr="0021330F">
        <w:rPr>
          <w:lang w:val="en-AU"/>
        </w:rPr>
        <w:t xml:space="preserve">linical </w:t>
      </w:r>
      <w:r w:rsidR="000819B5">
        <w:rPr>
          <w:lang w:val="en-AU"/>
        </w:rPr>
        <w:t>c</w:t>
      </w:r>
      <w:r w:rsidRPr="0021330F">
        <w:rPr>
          <w:lang w:val="en-AU"/>
        </w:rPr>
        <w:t xml:space="preserve">ommittees are released for stakeholder consultation. The </w:t>
      </w:r>
      <w:r w:rsidR="000819B5">
        <w:rPr>
          <w:lang w:val="en-AU"/>
        </w:rPr>
        <w:t>c</w:t>
      </w:r>
      <w:r w:rsidRPr="0021330F">
        <w:rPr>
          <w:lang w:val="en-AU"/>
        </w:rPr>
        <w:t xml:space="preserve">linical </w:t>
      </w:r>
      <w:r w:rsidR="000819B5">
        <w:rPr>
          <w:lang w:val="en-AU"/>
        </w:rPr>
        <w:t>c</w:t>
      </w:r>
      <w:r w:rsidRPr="0021330F">
        <w:rPr>
          <w:lang w:val="en-AU"/>
        </w:rPr>
        <w:t xml:space="preserve">ommittees will consider feedback from stakeholders then provide recommendations to the Taskforce in a Review Report. The Taskforce will consider the Review Report from </w:t>
      </w:r>
      <w:r w:rsidR="000819B5">
        <w:rPr>
          <w:lang w:val="en-AU"/>
        </w:rPr>
        <w:t>c</w:t>
      </w:r>
      <w:r w:rsidRPr="0021330F">
        <w:rPr>
          <w:lang w:val="en-AU"/>
        </w:rPr>
        <w:t xml:space="preserve">linical </w:t>
      </w:r>
      <w:r w:rsidR="000819B5">
        <w:rPr>
          <w:lang w:val="en-AU"/>
        </w:rPr>
        <w:t>c</w:t>
      </w:r>
      <w:r w:rsidRPr="0021330F">
        <w:rPr>
          <w:lang w:val="en-AU"/>
        </w:rPr>
        <w:t>ommittees and stakeholder feedback before making recommendations to the Minister for Health, for consideration by Government.</w:t>
      </w:r>
    </w:p>
    <w:p w14:paraId="0BA9EAF7" w14:textId="77777777" w:rsidR="00512F2C" w:rsidRDefault="00390750" w:rsidP="003131D1">
      <w:pPr>
        <w:pStyle w:val="Heading2"/>
      </w:pPr>
      <w:bookmarkStart w:id="4" w:name="_Toc495403374"/>
      <w:r w:rsidRPr="00FC1976">
        <w:t xml:space="preserve">The </w:t>
      </w:r>
      <w:r w:rsidR="00C5240A">
        <w:t>Pathology</w:t>
      </w:r>
      <w:r w:rsidRPr="007B3FE5">
        <w:t xml:space="preserve"> Cli</w:t>
      </w:r>
      <w:r w:rsidR="003607B2" w:rsidRPr="007B3FE5">
        <w:t>nical Committee</w:t>
      </w:r>
      <w:bookmarkEnd w:id="4"/>
    </w:p>
    <w:p w14:paraId="10A7B5D6" w14:textId="77777777" w:rsidR="00451BFB" w:rsidRDefault="00451BFB" w:rsidP="00451BFB">
      <w:pPr>
        <w:rPr>
          <w:lang w:val="en-US" w:eastAsia="en-US"/>
        </w:rPr>
      </w:pPr>
      <w:r w:rsidRPr="00684817">
        <w:rPr>
          <w:lang w:val="en-US" w:eastAsia="en-US"/>
        </w:rPr>
        <w:t xml:space="preserve">The </w:t>
      </w:r>
      <w:r>
        <w:rPr>
          <w:lang w:val="en-US" w:eastAsia="en-US"/>
        </w:rPr>
        <w:t>Pathology</w:t>
      </w:r>
      <w:r w:rsidRPr="00684817">
        <w:rPr>
          <w:lang w:val="en-US" w:eastAsia="en-US"/>
        </w:rPr>
        <w:t xml:space="preserve"> Clinical Committee (the Committee) was established in </w:t>
      </w:r>
      <w:r>
        <w:rPr>
          <w:lang w:val="en-US" w:eastAsia="en-US"/>
        </w:rPr>
        <w:t>2016</w:t>
      </w:r>
      <w:r w:rsidRPr="00684817">
        <w:rPr>
          <w:lang w:val="en-US" w:eastAsia="en-US"/>
        </w:rPr>
        <w:t xml:space="preserve"> to make recommendations to the MBS Review Taskforce on the review of MBS items within its remit, based on rapid evidence review and clinical expertise.</w:t>
      </w:r>
    </w:p>
    <w:p w14:paraId="0CF79DC0" w14:textId="77777777" w:rsidR="00451BFB" w:rsidRPr="00FC1976" w:rsidRDefault="00DE1992" w:rsidP="00451BFB">
      <w:pPr>
        <w:rPr>
          <w:lang w:val="en-AU"/>
        </w:rPr>
      </w:pPr>
      <w:proofErr w:type="gramStart"/>
      <w:r>
        <w:rPr>
          <w:lang w:val="en-AU"/>
        </w:rPr>
        <w:t>The majority of</w:t>
      </w:r>
      <w:proofErr w:type="gramEnd"/>
      <w:r w:rsidR="00451BFB" w:rsidRPr="007B3FE5">
        <w:rPr>
          <w:lang w:val="en-AU"/>
        </w:rPr>
        <w:t xml:space="preserve"> recommendations relating to these items are included in this report for consultation. The Committee also provided </w:t>
      </w:r>
      <w:r w:rsidR="00451BFB">
        <w:rPr>
          <w:lang w:val="en-AU"/>
        </w:rPr>
        <w:t xml:space="preserve">recommendations </w:t>
      </w:r>
      <w:r w:rsidR="00451BFB" w:rsidRPr="007B3FE5">
        <w:rPr>
          <w:lang w:val="en-AU"/>
        </w:rPr>
        <w:t xml:space="preserve">on items that will be referred </w:t>
      </w:r>
      <w:r w:rsidR="00451BFB">
        <w:rPr>
          <w:lang w:val="en-AU"/>
        </w:rPr>
        <w:t>to other committees</w:t>
      </w:r>
      <w:r w:rsidR="00451BFB" w:rsidRPr="007B3FE5">
        <w:rPr>
          <w:lang w:val="en-AU"/>
        </w:rPr>
        <w:t xml:space="preserve"> for consultation.</w:t>
      </w:r>
      <w:r w:rsidR="00451BFB" w:rsidRPr="00FC1976">
        <w:rPr>
          <w:lang w:val="en-AU"/>
        </w:rPr>
        <w:t xml:space="preserve"> </w:t>
      </w:r>
    </w:p>
    <w:p w14:paraId="126B7B69" w14:textId="77777777" w:rsidR="00451BFB" w:rsidRPr="00451BFB" w:rsidRDefault="00451BFB" w:rsidP="00451BFB">
      <w:pPr>
        <w:rPr>
          <w:lang w:val="en-AU"/>
        </w:rPr>
      </w:pPr>
      <w:r w:rsidRPr="00FC1976">
        <w:rPr>
          <w:lang w:val="en-AU"/>
        </w:rPr>
        <w:t xml:space="preserve">An inclusive set of stakeholders is now engaged in consultation on the recommendations outlined in this report. Following this period of consultation, the recommendations will be finalised and presented to the Taskforce. The Taskforce will consider the report and stakeholder feedback before making recommendations to the </w:t>
      </w:r>
      <w:r>
        <w:rPr>
          <w:lang w:val="en-AU"/>
        </w:rPr>
        <w:t xml:space="preserve">Minister for Health </w:t>
      </w:r>
      <w:r w:rsidRPr="00FC1976">
        <w:rPr>
          <w:lang w:val="en-AU"/>
        </w:rPr>
        <w:t>for co</w:t>
      </w:r>
      <w:r>
        <w:rPr>
          <w:lang w:val="en-AU"/>
        </w:rPr>
        <w:t xml:space="preserve">nsideration by the Government. </w:t>
      </w:r>
    </w:p>
    <w:p w14:paraId="406A2883" w14:textId="77777777" w:rsidR="00C72869" w:rsidRPr="00FC1976" w:rsidRDefault="00063889" w:rsidP="003131D1">
      <w:pPr>
        <w:pStyle w:val="Heading2"/>
      </w:pPr>
      <w:bookmarkStart w:id="5" w:name="_Toc495403375"/>
      <w:r>
        <w:lastRenderedPageBreak/>
        <w:t>Key r</w:t>
      </w:r>
      <w:r w:rsidR="004963B8" w:rsidRPr="00FC1976">
        <w:t>ecommendati</w:t>
      </w:r>
      <w:r w:rsidR="004963B8" w:rsidRPr="003131D1">
        <w:t>o</w:t>
      </w:r>
      <w:r w:rsidR="004963B8" w:rsidRPr="00FC1976">
        <w:t>ns</w:t>
      </w:r>
      <w:bookmarkEnd w:id="5"/>
    </w:p>
    <w:p w14:paraId="43A0FA5D" w14:textId="77777777" w:rsidR="005E7DDE" w:rsidRPr="00F46F00" w:rsidRDefault="005E7DDE" w:rsidP="00F46F00">
      <w:r w:rsidRPr="00F63F53">
        <w:rPr>
          <w:lang w:val="en-AU"/>
        </w:rPr>
        <w:t xml:space="preserve">The Committee has highlighted </w:t>
      </w:r>
      <w:r w:rsidR="00063889" w:rsidRPr="00F63F53">
        <w:rPr>
          <w:lang w:val="en-AU"/>
        </w:rPr>
        <w:t>it</w:t>
      </w:r>
      <w:r w:rsidR="00063889">
        <w:rPr>
          <w:lang w:val="en-AU"/>
        </w:rPr>
        <w:t>s</w:t>
      </w:r>
      <w:r w:rsidRPr="00F63F53">
        <w:rPr>
          <w:lang w:val="en-AU"/>
        </w:rPr>
        <w:t xml:space="preserve"> most important recommendations below. The complete recommendations (and the accompanying rationales) for all items can be found in Section </w:t>
      </w:r>
      <w:r w:rsidR="007E4981" w:rsidRPr="00F63F53">
        <w:rPr>
          <w:lang w:val="en-AU"/>
        </w:rPr>
        <w:t>4</w:t>
      </w:r>
      <w:r w:rsidR="003B30E4" w:rsidRPr="00F63F53">
        <w:rPr>
          <w:lang w:val="en-AU"/>
        </w:rPr>
        <w:t>.</w:t>
      </w:r>
      <w:r w:rsidR="00416C03" w:rsidRPr="00F63F53">
        <w:rPr>
          <w:lang w:val="en-AU"/>
        </w:rPr>
        <w:t xml:space="preserve"> Recommendations developed for referral to other committee</w:t>
      </w:r>
      <w:r w:rsidR="000060B8" w:rsidRPr="00F63F53">
        <w:rPr>
          <w:lang w:val="en-AU"/>
        </w:rPr>
        <w:t>s</w:t>
      </w:r>
      <w:r w:rsidR="00416C03" w:rsidRPr="00F63F53">
        <w:rPr>
          <w:lang w:val="en-AU"/>
        </w:rPr>
        <w:t xml:space="preserve"> are </w:t>
      </w:r>
      <w:r w:rsidR="00B62E1F" w:rsidRPr="00F63F53">
        <w:rPr>
          <w:lang w:val="en-AU"/>
        </w:rPr>
        <w:t>presented</w:t>
      </w:r>
      <w:r w:rsidR="00416C03" w:rsidRPr="00F63F53">
        <w:rPr>
          <w:lang w:val="en-AU"/>
        </w:rPr>
        <w:t xml:space="preserve"> in Section </w:t>
      </w:r>
      <w:r w:rsidR="007E4981" w:rsidRPr="00F63F53">
        <w:rPr>
          <w:lang w:val="en-AU"/>
        </w:rPr>
        <w:t>5</w:t>
      </w:r>
      <w:r w:rsidR="00416C03" w:rsidRPr="00F63F53">
        <w:rPr>
          <w:lang w:val="en-AU"/>
        </w:rPr>
        <w:t>.</w:t>
      </w:r>
      <w:r w:rsidR="005D4B5F">
        <w:rPr>
          <w:rStyle w:val="FootnoteReference"/>
          <w:lang w:val="en-AU"/>
        </w:rPr>
        <w:footnoteReference w:id="2"/>
      </w:r>
      <w:r w:rsidR="003B30E4" w:rsidRPr="00F63F53">
        <w:rPr>
          <w:lang w:val="en-AU"/>
        </w:rPr>
        <w:t xml:space="preserve"> A complete list of items, </w:t>
      </w:r>
      <w:r w:rsidR="000012D6" w:rsidRPr="00F63F53">
        <w:rPr>
          <w:lang w:val="en-AU"/>
        </w:rPr>
        <w:t xml:space="preserve">including </w:t>
      </w:r>
      <w:r w:rsidR="003B30E4" w:rsidRPr="00F63F53">
        <w:rPr>
          <w:lang w:val="en-AU"/>
        </w:rPr>
        <w:t xml:space="preserve">the nature of the recommendations and the page number </w:t>
      </w:r>
      <w:r w:rsidR="0076302F" w:rsidRPr="00F63F53">
        <w:rPr>
          <w:lang w:val="en-AU"/>
        </w:rPr>
        <w:t>for each</w:t>
      </w:r>
      <w:r w:rsidR="003B30E4" w:rsidRPr="00F63F53">
        <w:rPr>
          <w:lang w:val="en-AU"/>
        </w:rPr>
        <w:t xml:space="preserve"> recommendation</w:t>
      </w:r>
      <w:r w:rsidR="00FF742B" w:rsidRPr="00F63F53">
        <w:rPr>
          <w:lang w:val="en-AU"/>
        </w:rPr>
        <w:t>,</w:t>
      </w:r>
      <w:r w:rsidR="003B30E4" w:rsidRPr="00F63F53">
        <w:rPr>
          <w:lang w:val="en-AU"/>
        </w:rPr>
        <w:t xml:space="preserve"> can be found in Appendices A and B (in table summary form</w:t>
      </w:r>
      <w:r w:rsidR="003B30E4" w:rsidRPr="00F46F00">
        <w:t>).</w:t>
      </w:r>
    </w:p>
    <w:p w14:paraId="11B19449" w14:textId="77777777" w:rsidR="005E7DDE" w:rsidRPr="00713B0C" w:rsidRDefault="005E7DDE" w:rsidP="00F476B8">
      <w:pPr>
        <w:pStyle w:val="Heading3"/>
      </w:pPr>
      <w:bookmarkStart w:id="6" w:name="_Toc495403376"/>
      <w:r w:rsidRPr="00713B0C">
        <w:t xml:space="preserve">Recommendations </w:t>
      </w:r>
      <w:r w:rsidR="009864CC" w:rsidRPr="00713B0C">
        <w:t xml:space="preserve">for </w:t>
      </w:r>
      <w:r w:rsidR="003B30E4" w:rsidRPr="00713B0C">
        <w:t>c</w:t>
      </w:r>
      <w:r w:rsidR="009864CC" w:rsidRPr="00713B0C">
        <w:t>onsultation</w:t>
      </w:r>
      <w:bookmarkEnd w:id="6"/>
    </w:p>
    <w:p w14:paraId="64926778" w14:textId="77777777" w:rsidR="00DE1992" w:rsidRDefault="00531654" w:rsidP="00531654">
      <w:pPr>
        <w:rPr>
          <w:lang w:val="en-AU"/>
        </w:rPr>
      </w:pPr>
      <w:r>
        <w:rPr>
          <w:lang w:val="en-AU"/>
        </w:rPr>
        <w:t>The Committee’s recommendations for stakeholder consultation are</w:t>
      </w:r>
      <w:r w:rsidR="00DE1992">
        <w:rPr>
          <w:lang w:val="en-AU"/>
        </w:rPr>
        <w:t>:</w:t>
      </w:r>
    </w:p>
    <w:p w14:paraId="5F985436" w14:textId="77777777" w:rsidR="00DE1992" w:rsidRDefault="00531654" w:rsidP="00DD6F28">
      <w:pPr>
        <w:pStyle w:val="ListParagraph"/>
        <w:numPr>
          <w:ilvl w:val="0"/>
          <w:numId w:val="22"/>
        </w:numPr>
        <w:rPr>
          <w:lang w:val="en-AU"/>
        </w:rPr>
      </w:pPr>
      <w:r w:rsidRPr="00DE1992">
        <w:rPr>
          <w:lang w:val="en-AU"/>
        </w:rPr>
        <w:t xml:space="preserve">five items should be </w:t>
      </w:r>
      <w:r w:rsidR="00375E33">
        <w:rPr>
          <w:lang w:val="en-AU"/>
        </w:rPr>
        <w:t>deleted</w:t>
      </w:r>
      <w:r w:rsidR="005D4B5F">
        <w:rPr>
          <w:rStyle w:val="FootnoteReference"/>
          <w:lang w:val="en-AU"/>
        </w:rPr>
        <w:footnoteReference w:id="3"/>
      </w:r>
      <w:r w:rsidR="00375E33">
        <w:rPr>
          <w:lang w:val="en-AU"/>
        </w:rPr>
        <w:t xml:space="preserve"> </w:t>
      </w:r>
      <w:r w:rsidR="00A4291E">
        <w:rPr>
          <w:lang w:val="en-AU"/>
        </w:rPr>
        <w:t>from the</w:t>
      </w:r>
      <w:r w:rsidRPr="00DE1992">
        <w:rPr>
          <w:lang w:val="en-AU"/>
        </w:rPr>
        <w:t xml:space="preserve"> </w:t>
      </w:r>
      <w:proofErr w:type="gramStart"/>
      <w:r w:rsidRPr="00DE1992">
        <w:rPr>
          <w:lang w:val="en-AU"/>
        </w:rPr>
        <w:t>MBS</w:t>
      </w:r>
      <w:r w:rsidR="00DE1992">
        <w:rPr>
          <w:lang w:val="en-AU"/>
        </w:rPr>
        <w:t>;</w:t>
      </w:r>
      <w:proofErr w:type="gramEnd"/>
      <w:r w:rsidRPr="00DE1992">
        <w:rPr>
          <w:lang w:val="en-AU"/>
        </w:rPr>
        <w:t xml:space="preserve"> </w:t>
      </w:r>
    </w:p>
    <w:p w14:paraId="71E391DA" w14:textId="77777777" w:rsidR="00DE1992" w:rsidRDefault="00171A76" w:rsidP="00DD6F28">
      <w:pPr>
        <w:pStyle w:val="ListParagraph"/>
        <w:numPr>
          <w:ilvl w:val="0"/>
          <w:numId w:val="22"/>
        </w:numPr>
        <w:rPr>
          <w:lang w:val="en-AU"/>
        </w:rPr>
      </w:pPr>
      <w:r w:rsidRPr="00DE1992">
        <w:rPr>
          <w:lang w:val="en-AU"/>
        </w:rPr>
        <w:t>12</w:t>
      </w:r>
      <w:r w:rsidR="00531654" w:rsidRPr="00DE1992">
        <w:rPr>
          <w:lang w:val="en-AU"/>
        </w:rPr>
        <w:t xml:space="preserve"> items should be changed</w:t>
      </w:r>
      <w:r w:rsidR="005D4B5F">
        <w:rPr>
          <w:rStyle w:val="FootnoteReference"/>
          <w:lang w:val="en-AU"/>
        </w:rPr>
        <w:footnoteReference w:id="4"/>
      </w:r>
      <w:r w:rsidR="00DE1992">
        <w:rPr>
          <w:lang w:val="en-AU"/>
        </w:rPr>
        <w:t>;</w:t>
      </w:r>
      <w:r w:rsidR="00531654" w:rsidRPr="00DE1992">
        <w:rPr>
          <w:lang w:val="en-AU"/>
        </w:rPr>
        <w:t xml:space="preserve"> </w:t>
      </w:r>
    </w:p>
    <w:p w14:paraId="425F4A29" w14:textId="77777777" w:rsidR="00DE1992" w:rsidRDefault="00220071" w:rsidP="00DD6F28">
      <w:pPr>
        <w:pStyle w:val="ListParagraph"/>
        <w:numPr>
          <w:ilvl w:val="0"/>
          <w:numId w:val="22"/>
        </w:numPr>
        <w:rPr>
          <w:lang w:val="en-AU"/>
        </w:rPr>
      </w:pPr>
      <w:r w:rsidRPr="00DE1992">
        <w:rPr>
          <w:lang w:val="en-AU"/>
        </w:rPr>
        <w:t>3</w:t>
      </w:r>
      <w:r w:rsidR="00171A76" w:rsidRPr="00DE1992">
        <w:rPr>
          <w:lang w:val="en-AU"/>
        </w:rPr>
        <w:t>4</w:t>
      </w:r>
      <w:r w:rsidR="00531654" w:rsidRPr="00DE1992">
        <w:rPr>
          <w:lang w:val="en-AU"/>
        </w:rPr>
        <w:t xml:space="preserve"> items should remain unchanged. </w:t>
      </w:r>
    </w:p>
    <w:p w14:paraId="5CACEB5F" w14:textId="77777777" w:rsidR="00531654" w:rsidRPr="00D92EFF" w:rsidRDefault="00531654" w:rsidP="00DE1992">
      <w:pPr>
        <w:rPr>
          <w:lang w:val="en-AU"/>
        </w:rPr>
      </w:pPr>
      <w:r w:rsidRPr="00DE1992">
        <w:rPr>
          <w:lang w:val="en-AU"/>
        </w:rPr>
        <w:t>The Committee has proposed seven new items</w:t>
      </w:r>
      <w:r w:rsidR="006038B5">
        <w:rPr>
          <w:lang w:val="en-AU"/>
        </w:rPr>
        <w:t xml:space="preserve">; with </w:t>
      </w:r>
      <w:r w:rsidR="00C74583">
        <w:rPr>
          <w:lang w:val="en-AU"/>
        </w:rPr>
        <w:t>three</w:t>
      </w:r>
      <w:r w:rsidR="00D92EFF">
        <w:rPr>
          <w:lang w:val="en-AU"/>
        </w:rPr>
        <w:t xml:space="preserve"> expected to be referred to the Medicare Services Advisory Committee (MSAC)</w:t>
      </w:r>
      <w:r w:rsidR="00E1748E">
        <w:rPr>
          <w:lang w:val="en-AU"/>
        </w:rPr>
        <w:t>.</w:t>
      </w:r>
    </w:p>
    <w:p w14:paraId="70CE8B9A" w14:textId="77777777" w:rsidR="00531654" w:rsidRPr="007C74D2" w:rsidRDefault="00531654" w:rsidP="004377A2">
      <w:pPr>
        <w:rPr>
          <w:lang w:val="en-AU"/>
        </w:rPr>
      </w:pPr>
      <w:r>
        <w:rPr>
          <w:lang w:val="en-AU"/>
        </w:rPr>
        <w:t xml:space="preserve">These changes focus on encouraging best practice, modernising the MBS to reflect contemporary practice, and ensuring that MBS services provide value for the patient and the healthcare system. </w:t>
      </w:r>
    </w:p>
    <w:p w14:paraId="3ECE88F5" w14:textId="77777777" w:rsidR="00A4291E" w:rsidRDefault="006038B5" w:rsidP="00531654">
      <w:pPr>
        <w:rPr>
          <w:lang w:val="en-AU" w:eastAsia="en-US"/>
        </w:rPr>
      </w:pPr>
      <w:r>
        <w:rPr>
          <w:lang w:val="en-AU" w:eastAsia="en-US"/>
        </w:rPr>
        <w:t>Significant</w:t>
      </w:r>
      <w:r w:rsidR="00531654">
        <w:rPr>
          <w:lang w:val="en-AU" w:eastAsia="en-US"/>
        </w:rPr>
        <w:t xml:space="preserve"> </w:t>
      </w:r>
      <w:r w:rsidR="00531654" w:rsidRPr="007B3FE5">
        <w:rPr>
          <w:lang w:val="en-AU" w:eastAsia="en-US"/>
        </w:rPr>
        <w:t xml:space="preserve">recommendations are </w:t>
      </w:r>
      <w:r w:rsidR="00531654">
        <w:rPr>
          <w:lang w:val="en-AU" w:eastAsia="en-US"/>
        </w:rPr>
        <w:t xml:space="preserve">summarised below. </w:t>
      </w:r>
    </w:p>
    <w:p w14:paraId="1468FC25" w14:textId="77777777" w:rsidR="00F1123F" w:rsidRDefault="00531654" w:rsidP="00531654">
      <w:pPr>
        <w:pStyle w:val="01squarebullet"/>
        <w:rPr>
          <w:b/>
        </w:rPr>
      </w:pPr>
      <w:r w:rsidRPr="00531654">
        <w:rPr>
          <w:b/>
        </w:rPr>
        <w:t>Blood group and blood group antibody i</w:t>
      </w:r>
      <w:r w:rsidR="007D2D4E">
        <w:rPr>
          <w:b/>
        </w:rPr>
        <w:t>tem</w:t>
      </w:r>
    </w:p>
    <w:p w14:paraId="1A9DC274" w14:textId="77777777" w:rsidR="00531654" w:rsidRPr="00531654" w:rsidRDefault="00531654" w:rsidP="00F1123F">
      <w:pPr>
        <w:pStyle w:val="01squarebullet"/>
        <w:numPr>
          <w:ilvl w:val="0"/>
          <w:numId w:val="0"/>
        </w:numPr>
        <w:ind w:left="360"/>
        <w:rPr>
          <w:b/>
        </w:rPr>
      </w:pPr>
      <w:r>
        <w:rPr>
          <w:b/>
        </w:rPr>
        <w:t xml:space="preserve"> </w:t>
      </w:r>
      <w:r>
        <w:t>Split the current item 65096 into two items—an initial test that includes screening for antibodies</w:t>
      </w:r>
      <w:r w:rsidR="00A4291E">
        <w:t>;</w:t>
      </w:r>
      <w:r>
        <w:t xml:space="preserve"> and a second item that includes the identification and measurement only if antibodies are detected.</w:t>
      </w:r>
    </w:p>
    <w:p w14:paraId="313999A8" w14:textId="77777777" w:rsidR="00F1123F" w:rsidRPr="00F1123F" w:rsidRDefault="00F1123F" w:rsidP="004C5164">
      <w:pPr>
        <w:pStyle w:val="01squarebullet"/>
        <w:rPr>
          <w:b/>
          <w:lang w:val="en-GB"/>
        </w:rPr>
      </w:pPr>
      <w:r>
        <w:rPr>
          <w:b/>
        </w:rPr>
        <w:t>Compatibility testing items</w:t>
      </w:r>
    </w:p>
    <w:p w14:paraId="09C8A0BF" w14:textId="77777777" w:rsidR="00531654" w:rsidRPr="004C5164" w:rsidRDefault="007D2D4E" w:rsidP="00F1123F">
      <w:pPr>
        <w:pStyle w:val="01squarebullet"/>
        <w:numPr>
          <w:ilvl w:val="0"/>
          <w:numId w:val="0"/>
        </w:numPr>
        <w:ind w:left="360"/>
        <w:rPr>
          <w:b/>
          <w:lang w:val="en-GB"/>
        </w:rPr>
      </w:pPr>
      <w:r w:rsidRPr="00C710AB">
        <w:rPr>
          <w:lang w:val="en-GB"/>
        </w:rPr>
        <w:t>Combine the existing four items 65</w:t>
      </w:r>
      <w:r w:rsidR="00C710AB" w:rsidRPr="00C710AB">
        <w:rPr>
          <w:lang w:val="en-GB"/>
        </w:rPr>
        <w:t>099, 65102, 65105 and 65108</w:t>
      </w:r>
      <w:r w:rsidRPr="00C710AB">
        <w:rPr>
          <w:lang w:val="en-GB"/>
        </w:rPr>
        <w:t xml:space="preserve"> into two items, based on </w:t>
      </w:r>
      <w:r w:rsidR="00FA78B4">
        <w:rPr>
          <w:lang w:val="en-GB"/>
        </w:rPr>
        <w:t>the detection of antibodies</w:t>
      </w:r>
      <w:r w:rsidRPr="00C710AB">
        <w:rPr>
          <w:lang w:val="en-GB"/>
        </w:rPr>
        <w:t xml:space="preserve">. One item will be for the screening and </w:t>
      </w:r>
      <w:r w:rsidR="00FA78B4">
        <w:rPr>
          <w:lang w:val="en-GB"/>
        </w:rPr>
        <w:t>release of blood if no antibodies are detected</w:t>
      </w:r>
      <w:r w:rsidR="00A4291E">
        <w:rPr>
          <w:lang w:val="en-GB"/>
        </w:rPr>
        <w:t>;</w:t>
      </w:r>
      <w:r w:rsidRPr="00C710AB">
        <w:rPr>
          <w:lang w:val="en-GB"/>
        </w:rPr>
        <w:t xml:space="preserve"> and the other for further testing and release of </w:t>
      </w:r>
      <w:r w:rsidR="00FA78B4">
        <w:rPr>
          <w:lang w:val="en-GB"/>
        </w:rPr>
        <w:t>blood</w:t>
      </w:r>
      <w:r w:rsidR="001D50B4">
        <w:rPr>
          <w:lang w:val="en-GB"/>
        </w:rPr>
        <w:t xml:space="preserve"> when antibodies are detected</w:t>
      </w:r>
      <w:r w:rsidR="00FA78B4">
        <w:rPr>
          <w:lang w:val="en-GB"/>
        </w:rPr>
        <w:t>.</w:t>
      </w:r>
    </w:p>
    <w:p w14:paraId="70CB6346" w14:textId="77777777" w:rsidR="00F1123F" w:rsidRDefault="007D2D4E" w:rsidP="00531654">
      <w:pPr>
        <w:pStyle w:val="01squarebullet"/>
        <w:rPr>
          <w:b/>
        </w:rPr>
      </w:pPr>
      <w:r>
        <w:rPr>
          <w:b/>
        </w:rPr>
        <w:t>Coagulation test items</w:t>
      </w:r>
      <w:r w:rsidR="00A4291E">
        <w:rPr>
          <w:b/>
        </w:rPr>
        <w:t xml:space="preserve"> (65120, 65123, 65126 and 6512</w:t>
      </w:r>
      <w:r w:rsidR="005163BC">
        <w:rPr>
          <w:b/>
        </w:rPr>
        <w:t>9</w:t>
      </w:r>
      <w:r w:rsidR="00A4291E">
        <w:rPr>
          <w:b/>
        </w:rPr>
        <w:t>)</w:t>
      </w:r>
    </w:p>
    <w:p w14:paraId="45AC74DB" w14:textId="77777777" w:rsidR="007D2D4E" w:rsidRDefault="00C710AB" w:rsidP="00F1123F">
      <w:pPr>
        <w:pStyle w:val="01squarebullet"/>
        <w:numPr>
          <w:ilvl w:val="0"/>
          <w:numId w:val="0"/>
        </w:numPr>
        <w:ind w:left="360"/>
        <w:rPr>
          <w:b/>
        </w:rPr>
      </w:pPr>
      <w:r>
        <w:rPr>
          <w:lang w:val="en-AU"/>
        </w:rPr>
        <w:t>Limit the number of tests funded through the MBS to a maximum of three different types of tests rather than four tests.</w:t>
      </w:r>
    </w:p>
    <w:p w14:paraId="040BDC4A" w14:textId="77777777" w:rsidR="00AB166C" w:rsidRDefault="007D2D4E" w:rsidP="00531654">
      <w:pPr>
        <w:pStyle w:val="01squarebullet"/>
        <w:rPr>
          <w:b/>
        </w:rPr>
      </w:pPr>
      <w:r>
        <w:rPr>
          <w:b/>
        </w:rPr>
        <w:t>D-dimer test</w:t>
      </w:r>
    </w:p>
    <w:p w14:paraId="560EB77B" w14:textId="77777777" w:rsidR="007D2D4E" w:rsidRDefault="00C710AB" w:rsidP="00AB166C">
      <w:pPr>
        <w:pStyle w:val="01squarebullet"/>
        <w:numPr>
          <w:ilvl w:val="0"/>
          <w:numId w:val="0"/>
        </w:numPr>
        <w:ind w:left="360"/>
        <w:rPr>
          <w:b/>
        </w:rPr>
      </w:pPr>
      <w:r>
        <w:rPr>
          <w:b/>
        </w:rPr>
        <w:lastRenderedPageBreak/>
        <w:t xml:space="preserve"> </w:t>
      </w:r>
      <w:r>
        <w:rPr>
          <w:lang w:val="en-AU"/>
        </w:rPr>
        <w:t>Split D-dimer from item 65120 into a separate item with clinical restrictors to ensure its appropriate use.</w:t>
      </w:r>
    </w:p>
    <w:p w14:paraId="0DA1D728" w14:textId="77777777" w:rsidR="00AB166C" w:rsidRDefault="007D2D4E" w:rsidP="00531654">
      <w:pPr>
        <w:pStyle w:val="01squarebullet"/>
        <w:rPr>
          <w:b/>
        </w:rPr>
      </w:pPr>
      <w:r>
        <w:rPr>
          <w:b/>
        </w:rPr>
        <w:t>Platelet function tests</w:t>
      </w:r>
    </w:p>
    <w:p w14:paraId="14C7DB79" w14:textId="77777777" w:rsidR="007D2D4E" w:rsidRDefault="00C710AB" w:rsidP="00AB166C">
      <w:pPr>
        <w:pStyle w:val="01squarebullet"/>
        <w:numPr>
          <w:ilvl w:val="0"/>
          <w:numId w:val="0"/>
        </w:numPr>
        <w:ind w:left="360"/>
        <w:rPr>
          <w:b/>
        </w:rPr>
      </w:pPr>
      <w:r>
        <w:rPr>
          <w:lang w:val="en-AU"/>
        </w:rPr>
        <w:t>Split the existing item 65144 into two separate items—initial platelet function tests involving a limited panel of tests, and</w:t>
      </w:r>
      <w:r w:rsidR="000E049D">
        <w:rPr>
          <w:lang w:val="en-AU"/>
        </w:rPr>
        <w:t xml:space="preserve"> </w:t>
      </w:r>
      <w:r>
        <w:rPr>
          <w:lang w:val="en-AU"/>
        </w:rPr>
        <w:t xml:space="preserve">platelet aggregation tests involving an expanded panel of tests. The second item should only be </w:t>
      </w:r>
      <w:r w:rsidR="00A4291E">
        <w:rPr>
          <w:lang w:val="en-AU"/>
        </w:rPr>
        <w:t xml:space="preserve">requested </w:t>
      </w:r>
      <w:r>
        <w:rPr>
          <w:lang w:val="en-AU"/>
        </w:rPr>
        <w:t>by</w:t>
      </w:r>
      <w:r w:rsidR="000E049D">
        <w:rPr>
          <w:lang w:val="en-AU"/>
        </w:rPr>
        <w:t>,</w:t>
      </w:r>
      <w:r>
        <w:rPr>
          <w:lang w:val="en-AU"/>
        </w:rPr>
        <w:t xml:space="preserve"> or in c</w:t>
      </w:r>
      <w:r w:rsidR="00BD61B1">
        <w:rPr>
          <w:lang w:val="en-AU"/>
        </w:rPr>
        <w:t xml:space="preserve">ommunication </w:t>
      </w:r>
      <w:r>
        <w:rPr>
          <w:lang w:val="en-AU"/>
        </w:rPr>
        <w:t>with</w:t>
      </w:r>
      <w:r w:rsidR="000E049D">
        <w:rPr>
          <w:lang w:val="en-AU"/>
        </w:rPr>
        <w:t>,</w:t>
      </w:r>
      <w:r>
        <w:rPr>
          <w:lang w:val="en-AU"/>
        </w:rPr>
        <w:t xml:space="preserve"> a specialist to ensure its appropriate use.</w:t>
      </w:r>
    </w:p>
    <w:p w14:paraId="523B5E70" w14:textId="77777777" w:rsidR="00AB166C" w:rsidRDefault="007D2D4E" w:rsidP="0099553D">
      <w:pPr>
        <w:pStyle w:val="01squarebullet"/>
        <w:rPr>
          <w:b/>
        </w:rPr>
      </w:pPr>
      <w:r>
        <w:rPr>
          <w:b/>
        </w:rPr>
        <w:t xml:space="preserve">Assessment of </w:t>
      </w:r>
      <w:proofErr w:type="spellStart"/>
      <w:r>
        <w:rPr>
          <w:b/>
        </w:rPr>
        <w:t>h</w:t>
      </w:r>
      <w:r w:rsidR="000E049D">
        <w:rPr>
          <w:b/>
        </w:rPr>
        <w:t>a</w:t>
      </w:r>
      <w:r>
        <w:rPr>
          <w:b/>
        </w:rPr>
        <w:t>emolysis</w:t>
      </w:r>
      <w:proofErr w:type="spellEnd"/>
      <w:r>
        <w:rPr>
          <w:b/>
        </w:rPr>
        <w:t xml:space="preserve"> or metabolic enzymes</w:t>
      </w:r>
    </w:p>
    <w:p w14:paraId="4AA2D258" w14:textId="77777777" w:rsidR="00531654" w:rsidRPr="004C5164" w:rsidRDefault="00C710AB" w:rsidP="00AB166C">
      <w:pPr>
        <w:pStyle w:val="01squarebullet"/>
        <w:numPr>
          <w:ilvl w:val="0"/>
          <w:numId w:val="0"/>
        </w:numPr>
        <w:ind w:left="360"/>
        <w:rPr>
          <w:b/>
        </w:rPr>
      </w:pPr>
      <w:r>
        <w:t xml:space="preserve">Remove several obsolete tests no </w:t>
      </w:r>
      <w:r w:rsidR="004C5164">
        <w:t xml:space="preserve">longer used from </w:t>
      </w:r>
      <w:r w:rsidR="004C5164" w:rsidRPr="004C5164">
        <w:t xml:space="preserve">item </w:t>
      </w:r>
      <w:proofErr w:type="gramStart"/>
      <w:r w:rsidR="004C5164" w:rsidRPr="004C5164">
        <w:t>65075</w:t>
      </w:r>
      <w:r w:rsidR="004C5164">
        <w:t>, and</w:t>
      </w:r>
      <w:proofErr w:type="gramEnd"/>
      <w:r w:rsidR="004C5164">
        <w:t xml:space="preserve"> include a new test—</w:t>
      </w:r>
      <w:r w:rsidR="004C5164">
        <w:rPr>
          <w:lang w:val="en-GB"/>
        </w:rPr>
        <w:t>e</w:t>
      </w:r>
      <w:r w:rsidR="004C5164" w:rsidRPr="00B42B60">
        <w:rPr>
          <w:lang w:val="en-GB"/>
        </w:rPr>
        <w:t xml:space="preserve">osin-5-maleimide </w:t>
      </w:r>
      <w:r w:rsidR="004C5164">
        <w:rPr>
          <w:lang w:val="en-GB"/>
        </w:rPr>
        <w:t>(E5M) by flow cytometry</w:t>
      </w:r>
      <w:r w:rsidR="004C5164">
        <w:t xml:space="preserve">, </w:t>
      </w:r>
      <w:r>
        <w:t xml:space="preserve">which is </w:t>
      </w:r>
      <w:r w:rsidR="004C5164">
        <w:t xml:space="preserve">now </w:t>
      </w:r>
      <w:r>
        <w:t xml:space="preserve">the gold standard for diagnosing a common cause of </w:t>
      </w:r>
      <w:proofErr w:type="spellStart"/>
      <w:r>
        <w:t>haemolysis</w:t>
      </w:r>
      <w:proofErr w:type="spellEnd"/>
      <w:r>
        <w:t>.</w:t>
      </w:r>
      <w:r w:rsidR="006038B5">
        <w:t xml:space="preserve"> </w:t>
      </w:r>
    </w:p>
    <w:p w14:paraId="636C43C5" w14:textId="77777777" w:rsidR="000208B5" w:rsidRPr="00713B0C" w:rsidRDefault="00D1731A" w:rsidP="00B420DD">
      <w:pPr>
        <w:pStyle w:val="Heading3"/>
      </w:pPr>
      <w:bookmarkStart w:id="7" w:name="_Toc495403377"/>
      <w:r w:rsidRPr="00713B0C">
        <w:t>R</w:t>
      </w:r>
      <w:r w:rsidR="000208B5" w:rsidRPr="00713B0C">
        <w:t xml:space="preserve">ecommendations for referral to other </w:t>
      </w:r>
      <w:r w:rsidR="0046198B" w:rsidRPr="00713B0C">
        <w:t>c</w:t>
      </w:r>
      <w:r w:rsidR="000208B5" w:rsidRPr="00713B0C">
        <w:t>ommittees</w:t>
      </w:r>
      <w:bookmarkEnd w:id="7"/>
    </w:p>
    <w:p w14:paraId="4B70D98C" w14:textId="77777777" w:rsidR="0099553D" w:rsidRPr="001D50B4" w:rsidRDefault="009469F4" w:rsidP="0099553D">
      <w:pPr>
        <w:rPr>
          <w:lang w:val="en-AU"/>
        </w:rPr>
      </w:pPr>
      <w:r w:rsidRPr="00FC1976">
        <w:rPr>
          <w:lang w:val="en-AU"/>
        </w:rPr>
        <w:t xml:space="preserve">The Committee’s recommendations </w:t>
      </w:r>
      <w:r w:rsidR="009B42A3">
        <w:rPr>
          <w:lang w:val="en-AU"/>
        </w:rPr>
        <w:t>to be referred</w:t>
      </w:r>
      <w:r w:rsidR="00DA237D">
        <w:rPr>
          <w:lang w:val="en-AU"/>
        </w:rPr>
        <w:t xml:space="preserve"> to</w:t>
      </w:r>
      <w:r w:rsidR="0075372F" w:rsidRPr="00FC1976">
        <w:rPr>
          <w:lang w:val="en-AU"/>
        </w:rPr>
        <w:t xml:space="preserve"> </w:t>
      </w:r>
      <w:r w:rsidR="00E1748E">
        <w:rPr>
          <w:lang w:val="en-AU"/>
        </w:rPr>
        <w:t>MSAC for their consideration:</w:t>
      </w:r>
    </w:p>
    <w:p w14:paraId="4356A8CD" w14:textId="77777777" w:rsidR="00AB166C" w:rsidRPr="00AB166C" w:rsidRDefault="007D2D4E" w:rsidP="004C5164">
      <w:pPr>
        <w:pStyle w:val="01squarebullet"/>
      </w:pPr>
      <w:r>
        <w:rPr>
          <w:b/>
        </w:rPr>
        <w:t>Release of immunoglobulin</w:t>
      </w:r>
      <w:r w:rsidR="00220071">
        <w:rPr>
          <w:b/>
        </w:rPr>
        <w:t xml:space="preserve"> – new </w:t>
      </w:r>
      <w:r w:rsidR="00A4291E">
        <w:rPr>
          <w:b/>
        </w:rPr>
        <w:t>service</w:t>
      </w:r>
    </w:p>
    <w:p w14:paraId="6E968B40" w14:textId="77777777" w:rsidR="004C5164" w:rsidRPr="004C5164" w:rsidRDefault="00DA237D" w:rsidP="00AB166C">
      <w:pPr>
        <w:pStyle w:val="01squarebullet"/>
        <w:numPr>
          <w:ilvl w:val="0"/>
          <w:numId w:val="0"/>
        </w:numPr>
        <w:ind w:left="360"/>
      </w:pPr>
      <w:r>
        <w:t xml:space="preserve">The Committee recommends </w:t>
      </w:r>
      <w:r w:rsidR="004C5164">
        <w:t>the introduction</w:t>
      </w:r>
      <w:r w:rsidR="004C5164" w:rsidRPr="004C5164">
        <w:t xml:space="preserve"> a new MBS item for the release of immunoglobulin</w:t>
      </w:r>
      <w:r w:rsidR="009B42A3">
        <w:t xml:space="preserve"> </w:t>
      </w:r>
      <w:r w:rsidR="004C5164" w:rsidRPr="004C5164">
        <w:t>to reimburse laboratories for the work involved in managing</w:t>
      </w:r>
      <w:r w:rsidR="00745C7F">
        <w:t xml:space="preserve"> the increasing demand and administrative requirements</w:t>
      </w:r>
      <w:r w:rsidR="004C5164" w:rsidRPr="004C5164">
        <w:t xml:space="preserve"> </w:t>
      </w:r>
      <w:r w:rsidR="00745C7F">
        <w:t xml:space="preserve">associated with </w:t>
      </w:r>
      <w:r w:rsidR="004C5164" w:rsidRPr="004C5164">
        <w:t>immunoglobulin.</w:t>
      </w:r>
    </w:p>
    <w:p w14:paraId="2068FABB" w14:textId="77777777" w:rsidR="007D2D4E" w:rsidRDefault="007D2D4E" w:rsidP="00745C7F">
      <w:pPr>
        <w:pStyle w:val="01squarebullet"/>
        <w:rPr>
          <w:b/>
        </w:rPr>
      </w:pPr>
      <w:r>
        <w:rPr>
          <w:b/>
        </w:rPr>
        <w:t xml:space="preserve">Alpha </w:t>
      </w:r>
      <w:proofErr w:type="spellStart"/>
      <w:r w:rsidR="00193FB6">
        <w:rPr>
          <w:b/>
        </w:rPr>
        <w:t>t</w:t>
      </w:r>
      <w:r>
        <w:rPr>
          <w:b/>
        </w:rPr>
        <w:t>halass</w:t>
      </w:r>
      <w:r w:rsidR="00E956EB">
        <w:rPr>
          <w:b/>
        </w:rPr>
        <w:t>a</w:t>
      </w:r>
      <w:r>
        <w:rPr>
          <w:b/>
        </w:rPr>
        <w:t>emia</w:t>
      </w:r>
      <w:proofErr w:type="spellEnd"/>
      <w:r>
        <w:rPr>
          <w:b/>
        </w:rPr>
        <w:t xml:space="preserve"> genetic testing</w:t>
      </w:r>
      <w:r w:rsidR="00220071">
        <w:rPr>
          <w:b/>
        </w:rPr>
        <w:t xml:space="preserve"> – new </w:t>
      </w:r>
      <w:r w:rsidR="00A4291E">
        <w:rPr>
          <w:b/>
        </w:rPr>
        <w:t>service</w:t>
      </w:r>
      <w:r w:rsidR="00AB166C">
        <w:rPr>
          <w:b/>
        </w:rPr>
        <w:br/>
      </w:r>
      <w:r w:rsidR="00DA237D">
        <w:t>The Committee r</w:t>
      </w:r>
      <w:r w:rsidR="00745C7F" w:rsidRPr="00745C7F">
        <w:t>ecommend</w:t>
      </w:r>
      <w:r w:rsidR="00DA237D">
        <w:t>s</w:t>
      </w:r>
      <w:r w:rsidR="00745C7F" w:rsidRPr="00745C7F">
        <w:t xml:space="preserve"> </w:t>
      </w:r>
      <w:r w:rsidR="00745C7F">
        <w:t>the introduction</w:t>
      </w:r>
      <w:r w:rsidR="00745C7F" w:rsidRPr="00745C7F">
        <w:t xml:space="preserve"> a new MBS item for </w:t>
      </w:r>
      <w:r w:rsidR="00745C7F">
        <w:t xml:space="preserve">the genetic testing of </w:t>
      </w:r>
      <w:r w:rsidR="00745C7F" w:rsidRPr="00745C7F">
        <w:t xml:space="preserve">alpha </w:t>
      </w:r>
      <w:proofErr w:type="spellStart"/>
      <w:r w:rsidR="00193FB6">
        <w:t>t</w:t>
      </w:r>
      <w:r w:rsidR="002223AC" w:rsidRPr="00745C7F">
        <w:t>halass</w:t>
      </w:r>
      <w:r w:rsidR="002223AC">
        <w:t>a</w:t>
      </w:r>
      <w:r w:rsidR="002223AC" w:rsidRPr="00745C7F">
        <w:t>emia</w:t>
      </w:r>
      <w:proofErr w:type="spellEnd"/>
      <w:r w:rsidR="00745C7F">
        <w:t>. This test would enable</w:t>
      </w:r>
      <w:r w:rsidR="00745C7F" w:rsidRPr="00745C7F">
        <w:t xml:space="preserve"> </w:t>
      </w:r>
      <w:r w:rsidR="00745C7F">
        <w:t>at</w:t>
      </w:r>
      <w:r w:rsidR="00E956EB">
        <w:t>-</w:t>
      </w:r>
      <w:r w:rsidR="00745C7F">
        <w:t>risk populations</w:t>
      </w:r>
      <w:r w:rsidR="00745C7F" w:rsidRPr="00745C7F">
        <w:t xml:space="preserve"> to have this test </w:t>
      </w:r>
      <w:r w:rsidR="00745C7F">
        <w:t>funded by Medicare</w:t>
      </w:r>
      <w:r w:rsidR="00745C7F" w:rsidRPr="00745C7F">
        <w:t>.</w:t>
      </w:r>
    </w:p>
    <w:p w14:paraId="7667A1BC" w14:textId="77777777" w:rsidR="00AB166C" w:rsidRPr="00AB166C" w:rsidRDefault="007D2D4E" w:rsidP="005A6D12">
      <w:pPr>
        <w:pStyle w:val="01squarebullet"/>
      </w:pPr>
      <w:r>
        <w:rPr>
          <w:b/>
        </w:rPr>
        <w:t>Warfarin care programs</w:t>
      </w:r>
      <w:r w:rsidR="00220071">
        <w:rPr>
          <w:b/>
        </w:rPr>
        <w:t xml:space="preserve"> – new </w:t>
      </w:r>
      <w:r w:rsidR="00A4291E">
        <w:rPr>
          <w:b/>
        </w:rPr>
        <w:t>service</w:t>
      </w:r>
    </w:p>
    <w:p w14:paraId="00B4A648" w14:textId="77777777" w:rsidR="005A6D12" w:rsidRDefault="009B42A3" w:rsidP="00AB166C">
      <w:pPr>
        <w:pStyle w:val="01squarebullet"/>
        <w:numPr>
          <w:ilvl w:val="0"/>
          <w:numId w:val="0"/>
        </w:numPr>
        <w:ind w:left="360"/>
      </w:pPr>
      <w:r w:rsidRPr="00C74583">
        <w:t>The Committee recommends the introduction of a new MBS item for the management of patients on warfarin, which was r</w:t>
      </w:r>
      <w:r w:rsidR="00745C7F" w:rsidRPr="00C74583">
        <w:t>ecommend</w:t>
      </w:r>
      <w:r w:rsidRPr="00C74583">
        <w:t>ed</w:t>
      </w:r>
      <w:r w:rsidR="00745C7F" w:rsidRPr="00745C7F">
        <w:t xml:space="preserve"> </w:t>
      </w:r>
      <w:r>
        <w:t>in</w:t>
      </w:r>
      <w:r w:rsidR="002223AC">
        <w:t xml:space="preserve"> </w:t>
      </w:r>
      <w:r w:rsidR="00745C7F" w:rsidRPr="00745C7F">
        <w:t xml:space="preserve">the </w:t>
      </w:r>
      <w:r>
        <w:t xml:space="preserve">2012 </w:t>
      </w:r>
      <w:r w:rsidR="00745C7F" w:rsidRPr="001D50B4">
        <w:rPr>
          <w:i/>
        </w:rPr>
        <w:t>Sansom Review of Anticoagulation Therapies in Atrial Fibrillation</w:t>
      </w:r>
      <w:r w:rsidR="002223AC">
        <w:rPr>
          <w:i/>
        </w:rPr>
        <w:t xml:space="preserve">. </w:t>
      </w:r>
      <w:r>
        <w:t xml:space="preserve">This </w:t>
      </w:r>
      <w:proofErr w:type="gramStart"/>
      <w:r>
        <w:t>would to</w:t>
      </w:r>
      <w:proofErr w:type="gramEnd"/>
      <w:r>
        <w:t xml:space="preserve"> allow</w:t>
      </w:r>
      <w:r w:rsidR="002223AC">
        <w:t xml:space="preserve"> </w:t>
      </w:r>
      <w:r w:rsidR="00F80B5A">
        <w:t>p</w:t>
      </w:r>
      <w:r w:rsidR="00745C7F" w:rsidRPr="00745C7F">
        <w:t xml:space="preserve">atients on warfarin </w:t>
      </w:r>
      <w:r>
        <w:t>to</w:t>
      </w:r>
      <w:r w:rsidRPr="00745C7F">
        <w:t xml:space="preserve"> </w:t>
      </w:r>
      <w:r w:rsidR="00745C7F" w:rsidRPr="00745C7F">
        <w:t>have the option of having their warfarin therapy managed through a formal program offered by pathology laboratories.</w:t>
      </w:r>
    </w:p>
    <w:p w14:paraId="2D5BCABC" w14:textId="77777777" w:rsidR="00DA237D" w:rsidRPr="00745C7F" w:rsidRDefault="00DA237D" w:rsidP="00C74583">
      <w:pPr>
        <w:pStyle w:val="01squarebullet"/>
        <w:numPr>
          <w:ilvl w:val="0"/>
          <w:numId w:val="0"/>
        </w:numPr>
      </w:pPr>
      <w:r w:rsidRPr="00DA237D">
        <w:t xml:space="preserve">The Committee’s </w:t>
      </w:r>
      <w:r w:rsidR="005A6D12">
        <w:t>recommendation</w:t>
      </w:r>
      <w:r w:rsidRPr="00DA237D">
        <w:t xml:space="preserve"> for referral to </w:t>
      </w:r>
      <w:r w:rsidRPr="00C74583">
        <w:t xml:space="preserve">the </w:t>
      </w:r>
      <w:r w:rsidRPr="00DA237D">
        <w:t>General Practice Primary Care Clinical Committee (GPPCCC) and the Diagnostic Medicine Clinical Committee (DMCC)</w:t>
      </w:r>
      <w:r>
        <w:t>:</w:t>
      </w:r>
    </w:p>
    <w:p w14:paraId="357D5914" w14:textId="77777777" w:rsidR="00AB166C" w:rsidRDefault="00F80B5A" w:rsidP="009B42A3">
      <w:pPr>
        <w:pStyle w:val="01squarebullet"/>
        <w:rPr>
          <w:b/>
        </w:rPr>
      </w:pPr>
      <w:r w:rsidRPr="00F80B5A">
        <w:rPr>
          <w:b/>
        </w:rPr>
        <w:t>Opportunities for practice im</w:t>
      </w:r>
      <w:r w:rsidR="00AB166C">
        <w:rPr>
          <w:b/>
        </w:rPr>
        <w:t>provement around ordering tests</w:t>
      </w:r>
    </w:p>
    <w:p w14:paraId="24CF1DE2" w14:textId="77777777" w:rsidR="007D2D4E" w:rsidRPr="00F80B5A" w:rsidRDefault="005A6D12" w:rsidP="00AB166C">
      <w:pPr>
        <w:pStyle w:val="01squarebullet"/>
        <w:numPr>
          <w:ilvl w:val="0"/>
          <w:numId w:val="0"/>
        </w:numPr>
        <w:ind w:left="360"/>
        <w:rPr>
          <w:b/>
        </w:rPr>
      </w:pPr>
      <w:r>
        <w:t xml:space="preserve">The Committee recommends </w:t>
      </w:r>
      <w:r w:rsidR="00F80B5A" w:rsidRPr="00F80B5A">
        <w:t xml:space="preserve">ensuring that guidelines are up to date, education </w:t>
      </w:r>
      <w:r w:rsidR="00F80B5A">
        <w:t xml:space="preserve">is </w:t>
      </w:r>
      <w:r w:rsidR="00F80B5A" w:rsidRPr="00F80B5A">
        <w:t>provided, MBS item descriptors</w:t>
      </w:r>
      <w:r w:rsidR="00F80B5A">
        <w:t xml:space="preserve"> are</w:t>
      </w:r>
      <w:r w:rsidR="00F80B5A" w:rsidRPr="00F80B5A">
        <w:t xml:space="preserve"> integrated into </w:t>
      </w:r>
      <w:r w:rsidR="006117E6">
        <w:t xml:space="preserve">clinical </w:t>
      </w:r>
      <w:r w:rsidR="00F80B5A" w:rsidRPr="00F80B5A">
        <w:t xml:space="preserve">practice software and </w:t>
      </w:r>
      <w:r w:rsidR="009B42A3" w:rsidRPr="009B42A3">
        <w:t>decision support tools are developed</w:t>
      </w:r>
      <w:r w:rsidR="009B42A3">
        <w:t xml:space="preserve"> </w:t>
      </w:r>
      <w:r w:rsidR="00F80B5A" w:rsidRPr="00F80B5A">
        <w:t>for</w:t>
      </w:r>
      <w:r w:rsidR="00F80B5A">
        <w:t xml:space="preserve"> the</w:t>
      </w:r>
      <w:r w:rsidR="00F80B5A" w:rsidRPr="00F80B5A">
        <w:t xml:space="preserve"> high priority areas</w:t>
      </w:r>
      <w:r w:rsidR="009B42A3">
        <w:t>.</w:t>
      </w:r>
    </w:p>
    <w:p w14:paraId="38BA3F85" w14:textId="77777777" w:rsidR="000D6922" w:rsidRDefault="000D39E2" w:rsidP="000D6922">
      <w:pPr>
        <w:pStyle w:val="Heading2"/>
        <w:spacing w:before="280" w:after="120"/>
        <w:rPr>
          <w:rFonts w:eastAsia="Times New Roman"/>
        </w:rPr>
      </w:pPr>
      <w:r>
        <w:t xml:space="preserve"> </w:t>
      </w:r>
      <w:bookmarkStart w:id="8" w:name="_Toc498516939"/>
      <w:r w:rsidR="000D6922">
        <w:rPr>
          <w:rFonts w:eastAsia="Times New Roman"/>
        </w:rPr>
        <w:t>Consumer engagement and impact</w:t>
      </w:r>
      <w:bookmarkEnd w:id="8"/>
    </w:p>
    <w:p w14:paraId="5C2391AE" w14:textId="77777777" w:rsidR="000D6922" w:rsidRPr="000D6922" w:rsidRDefault="000D6922" w:rsidP="000D6922">
      <w:pPr>
        <w:rPr>
          <w:lang w:val="en-AU" w:eastAsia="en-US"/>
        </w:rPr>
      </w:pPr>
      <w:r w:rsidRPr="000D6922">
        <w:rPr>
          <w:lang w:val="en-AU" w:eastAsia="en-US"/>
        </w:rPr>
        <w:t xml:space="preserve">The Committee includes experienced and committed health practitioners and consumer representatives. This section summarises the report’s key recommendations from a consumer perspective. It aims to make it easier for health consumers and members of the general public to understand the report’s recommendations. </w:t>
      </w:r>
    </w:p>
    <w:p w14:paraId="5B989B2C" w14:textId="77777777" w:rsidR="000D6922" w:rsidRPr="000D6922" w:rsidRDefault="000D6922" w:rsidP="000D6922">
      <w:pPr>
        <w:rPr>
          <w:lang w:val="en-AU" w:eastAsia="en-US"/>
        </w:rPr>
      </w:pPr>
      <w:r w:rsidRPr="000D6922">
        <w:rPr>
          <w:lang w:val="en-AU" w:eastAsia="en-US"/>
        </w:rPr>
        <w:t>A complete list of the recommenda</w:t>
      </w:r>
      <w:r>
        <w:rPr>
          <w:lang w:val="en-AU" w:eastAsia="en-US"/>
        </w:rPr>
        <w:t>tions can be found in Appendix C</w:t>
      </w:r>
      <w:r w:rsidRPr="000D6922">
        <w:rPr>
          <w:lang w:val="en-AU" w:eastAsia="en-US"/>
        </w:rPr>
        <w:t xml:space="preserve">, including a description in plain English of the medical service and the Committee’s recommendation, as well as an explanation of why the recommendation has been made. </w:t>
      </w:r>
    </w:p>
    <w:p w14:paraId="0885D475" w14:textId="77777777" w:rsidR="000D6922" w:rsidRPr="000D6922" w:rsidRDefault="000D6922" w:rsidP="000D6922">
      <w:pPr>
        <w:rPr>
          <w:lang w:val="en-AU" w:eastAsia="en-US"/>
        </w:rPr>
      </w:pPr>
      <w:r w:rsidRPr="000D6922">
        <w:rPr>
          <w:lang w:val="en-AU" w:eastAsia="en-US"/>
        </w:rPr>
        <w:lastRenderedPageBreak/>
        <w:t xml:space="preserve">Consumers rarely engage with MBS item numbers unless they are following up on out-of-pocket expenses. Nevertheless, item descriptions and restrictions are an important part of healthcare accountability. The Committee’s recommendations encourage agreed best practice and reflect current clinical evidence. </w:t>
      </w:r>
    </w:p>
    <w:p w14:paraId="11344E72" w14:textId="77777777" w:rsidR="000D6922" w:rsidRPr="000D6922" w:rsidRDefault="000D6922" w:rsidP="000D6922">
      <w:pPr>
        <w:rPr>
          <w:lang w:val="en-AU" w:eastAsia="en-US"/>
        </w:rPr>
      </w:pPr>
      <w:r w:rsidRPr="000D6922">
        <w:rPr>
          <w:lang w:val="en-AU" w:eastAsia="en-US"/>
        </w:rPr>
        <w:t xml:space="preserve">Both consumers and clinicians are expected to benefit from these recommendations because they address concerns regarding consumer safety and quality of </w:t>
      </w:r>
      <w:proofErr w:type="gramStart"/>
      <w:r w:rsidRPr="000D6922">
        <w:rPr>
          <w:lang w:val="en-AU" w:eastAsia="en-US"/>
        </w:rPr>
        <w:t>care, and</w:t>
      </w:r>
      <w:proofErr w:type="gramEnd"/>
      <w:r w:rsidRPr="000D6922">
        <w:rPr>
          <w:lang w:val="en-AU" w:eastAsia="en-US"/>
        </w:rPr>
        <w:t xml:space="preserve"> take steps to simplify the MBS and make it easier to use and understand. Consumer access to services was considered for each recommendation. The Committee also considered the impact of each recommendation on requestor and provider groups to ensure that changes were reasonable and fair. However, if the Committee identified evidence of potential item misuse or safety concerns, recommendations were made to encourage best practice, in line with the overarching purpose of the MBS Review. </w:t>
      </w:r>
    </w:p>
    <w:p w14:paraId="1EB218E6" w14:textId="77777777" w:rsidR="000D6922" w:rsidRPr="000D6922" w:rsidRDefault="000D6922" w:rsidP="000D6922">
      <w:pPr>
        <w:rPr>
          <w:lang w:val="en-AU" w:eastAsia="en-US"/>
        </w:rPr>
      </w:pPr>
      <w:r w:rsidRPr="000D6922">
        <w:rPr>
          <w:lang w:val="en-AU" w:eastAsia="en-US"/>
        </w:rPr>
        <w:t xml:space="preserve">The Committee expects these recommendations to support better requesting, with the aim of ensuring that patients are provided with clinically indicated, high-quality care that reflects modern best practice. </w:t>
      </w:r>
    </w:p>
    <w:p w14:paraId="3171ECD9" w14:textId="77777777" w:rsidR="000D6922" w:rsidRPr="000D6922" w:rsidRDefault="000D6922" w:rsidP="000D6922">
      <w:pPr>
        <w:rPr>
          <w:lang w:val="en-AU" w:eastAsia="en-US"/>
        </w:rPr>
      </w:pPr>
      <w:r w:rsidRPr="000D6922">
        <w:rPr>
          <w:lang w:val="en-AU" w:eastAsia="en-US"/>
        </w:rPr>
        <w:t>The consumer representatives used the following framework to assess recommendations:</w:t>
      </w:r>
    </w:p>
    <w:p w14:paraId="7A980AA2" w14:textId="77777777" w:rsidR="000D6922" w:rsidRDefault="000D6922" w:rsidP="000D6922">
      <w:pPr>
        <w:pStyle w:val="02dash"/>
        <w:numPr>
          <w:ilvl w:val="0"/>
          <w:numId w:val="0"/>
        </w:numPr>
        <w:tabs>
          <w:tab w:val="left" w:pos="720"/>
        </w:tabs>
        <w:ind w:left="567"/>
      </w:pPr>
      <w:r>
        <w:rPr>
          <w:b/>
          <w:bCs/>
        </w:rPr>
        <w:t>Safety</w:t>
      </w:r>
      <w:r>
        <w:t>: None of the recommendations negatively affects the safety of pathology services.</w:t>
      </w:r>
    </w:p>
    <w:p w14:paraId="35DCE5D5" w14:textId="77777777" w:rsidR="000D6922" w:rsidRDefault="000D6922" w:rsidP="000D6922">
      <w:pPr>
        <w:pStyle w:val="02dash"/>
        <w:numPr>
          <w:ilvl w:val="0"/>
          <w:numId w:val="0"/>
        </w:numPr>
        <w:tabs>
          <w:tab w:val="left" w:pos="720"/>
        </w:tabs>
        <w:ind w:left="567"/>
      </w:pPr>
      <w:r>
        <w:rPr>
          <w:b/>
          <w:bCs/>
        </w:rPr>
        <w:t>Quality</w:t>
      </w:r>
      <w:r>
        <w:t xml:space="preserve">: Many of the recommended changes are intended to improve quality, primarily by aligning the reimbursement system with evidence-based practice. </w:t>
      </w:r>
    </w:p>
    <w:p w14:paraId="7669F551" w14:textId="77777777" w:rsidR="000D6922" w:rsidRDefault="000D6922" w:rsidP="000D6922">
      <w:pPr>
        <w:pStyle w:val="02dash"/>
        <w:numPr>
          <w:ilvl w:val="0"/>
          <w:numId w:val="0"/>
        </w:numPr>
        <w:tabs>
          <w:tab w:val="left" w:pos="720"/>
        </w:tabs>
        <w:ind w:left="567"/>
      </w:pPr>
      <w:r>
        <w:rPr>
          <w:b/>
          <w:bCs/>
        </w:rPr>
        <w:t>Access</w:t>
      </w:r>
      <w:r>
        <w:t>: The recommendations do not negatively affect appropriate access. However, some patient groups have been receiving services they do not need, which can result in either negative health impacts or unnecessary cost. Inappropriate access was restricted where possible.</w:t>
      </w:r>
    </w:p>
    <w:p w14:paraId="59F51591" w14:textId="77777777" w:rsidR="000D6922" w:rsidRDefault="000D6922" w:rsidP="000D6922">
      <w:pPr>
        <w:pStyle w:val="02dash"/>
        <w:numPr>
          <w:ilvl w:val="0"/>
          <w:numId w:val="0"/>
        </w:numPr>
        <w:tabs>
          <w:tab w:val="left" w:pos="720"/>
        </w:tabs>
        <w:ind w:left="567"/>
      </w:pPr>
      <w:r>
        <w:rPr>
          <w:b/>
          <w:bCs/>
        </w:rPr>
        <w:t>Effectiveness</w:t>
      </w:r>
      <w:r>
        <w:t xml:space="preserve">: None of the recommendations reduces the effectiveness of pathology services. </w:t>
      </w:r>
    </w:p>
    <w:p w14:paraId="2A49404E" w14:textId="77777777" w:rsidR="000D6922" w:rsidRDefault="000D6922" w:rsidP="000D6922">
      <w:pPr>
        <w:pStyle w:val="02dash"/>
        <w:numPr>
          <w:ilvl w:val="0"/>
          <w:numId w:val="0"/>
        </w:numPr>
        <w:tabs>
          <w:tab w:val="left" w:pos="720"/>
        </w:tabs>
        <w:ind w:left="567"/>
      </w:pPr>
      <w:r>
        <w:rPr>
          <w:b/>
          <w:bCs/>
        </w:rPr>
        <w:t>Cost-effectiveness</w:t>
      </w:r>
      <w:r>
        <w:t xml:space="preserve">: The recommendations will have a positive effect on cost-effectiveness because they make it easier to determine which patient groups should have access to specific tests and treatments. </w:t>
      </w:r>
    </w:p>
    <w:p w14:paraId="5734C800" w14:textId="77777777" w:rsidR="000D6922" w:rsidRDefault="000D6922" w:rsidP="000D6922">
      <w:pPr>
        <w:pStyle w:val="02dash"/>
        <w:numPr>
          <w:ilvl w:val="0"/>
          <w:numId w:val="0"/>
        </w:numPr>
        <w:tabs>
          <w:tab w:val="left" w:pos="720"/>
        </w:tabs>
        <w:ind w:left="567"/>
      </w:pPr>
      <w:r>
        <w:rPr>
          <w:b/>
          <w:bCs/>
        </w:rPr>
        <w:t>Accountability</w:t>
      </w:r>
      <w:r>
        <w:t>: Many of the changes include wording that facilitates future auditing for quality purposes.</w:t>
      </w:r>
    </w:p>
    <w:p w14:paraId="1EE995C6" w14:textId="77777777" w:rsidR="000D6922" w:rsidRDefault="000D6922" w:rsidP="000D6922">
      <w:pPr>
        <w:pStyle w:val="02dash"/>
        <w:numPr>
          <w:ilvl w:val="0"/>
          <w:numId w:val="0"/>
        </w:numPr>
        <w:tabs>
          <w:tab w:val="left" w:pos="720"/>
        </w:tabs>
        <w:ind w:left="567"/>
      </w:pPr>
      <w:r>
        <w:rPr>
          <w:b/>
          <w:bCs/>
        </w:rPr>
        <w:t>Data collection</w:t>
      </w:r>
      <w:r>
        <w:t>: Data collection for research, monitoring and auditing presents a huge opportunity for a revised MBS, and the recommendations should improve the opportunities to use this data for targeted research in the future.</w:t>
      </w:r>
    </w:p>
    <w:p w14:paraId="02238461" w14:textId="77777777" w:rsidR="00632263" w:rsidRPr="00FC1976" w:rsidRDefault="00632263" w:rsidP="000D6922">
      <w:pPr>
        <w:pStyle w:val="Heading2"/>
        <w:rPr>
          <w:lang w:val="en-AU"/>
        </w:rPr>
      </w:pPr>
      <w:r w:rsidRPr="00FC1976">
        <w:rPr>
          <w:lang w:val="en-AU"/>
        </w:rPr>
        <w:br w:type="page"/>
      </w:r>
    </w:p>
    <w:p w14:paraId="279A409A" w14:textId="77777777" w:rsidR="009F0E90" w:rsidRPr="00B0157E" w:rsidRDefault="009F0E90" w:rsidP="009F0E90">
      <w:pPr>
        <w:pStyle w:val="Heading1"/>
        <w:rPr>
          <w:lang w:val="en-AU"/>
        </w:rPr>
      </w:pPr>
      <w:bookmarkStart w:id="9" w:name="_Toc457411123"/>
      <w:bookmarkStart w:id="10" w:name="_Toc458774409"/>
      <w:bookmarkStart w:id="11" w:name="_Toc459973078"/>
      <w:bookmarkStart w:id="12" w:name="_Toc460228386"/>
      <w:bookmarkStart w:id="13" w:name="_Toc495403379"/>
      <w:bookmarkStart w:id="14" w:name="_Toc456045424"/>
      <w:bookmarkStart w:id="15" w:name="_Toc459996804"/>
      <w:bookmarkStart w:id="16" w:name="_Toc458166992"/>
      <w:r w:rsidRPr="00B0157E">
        <w:rPr>
          <w:lang w:val="en-AU"/>
        </w:rPr>
        <w:lastRenderedPageBreak/>
        <w:t>About the Medicare Benefits Schedule (MBS) Review</w:t>
      </w:r>
      <w:bookmarkEnd w:id="9"/>
      <w:bookmarkEnd w:id="10"/>
      <w:bookmarkEnd w:id="11"/>
      <w:bookmarkEnd w:id="12"/>
      <w:bookmarkEnd w:id="13"/>
    </w:p>
    <w:p w14:paraId="63AD12BC" w14:textId="77777777" w:rsidR="003B30E4" w:rsidRPr="00FC1976" w:rsidRDefault="003B30E4" w:rsidP="005076E4">
      <w:pPr>
        <w:pStyle w:val="Heading2"/>
        <w:rPr>
          <w:lang w:val="en-AU"/>
        </w:rPr>
      </w:pPr>
      <w:bookmarkStart w:id="17" w:name="_Toc456045425"/>
      <w:bookmarkStart w:id="18" w:name="_Toc457463614"/>
      <w:bookmarkStart w:id="19" w:name="_Toc459996805"/>
      <w:bookmarkStart w:id="20" w:name="_Toc458166993"/>
      <w:bookmarkStart w:id="21" w:name="_Toc495403380"/>
      <w:bookmarkStart w:id="22" w:name="_Toc456045427"/>
      <w:bookmarkEnd w:id="14"/>
      <w:bookmarkEnd w:id="15"/>
      <w:bookmarkEnd w:id="16"/>
      <w:r w:rsidRPr="00FC1976">
        <w:rPr>
          <w:lang w:val="en-AU"/>
        </w:rPr>
        <w:t>Medicare and the MBS</w:t>
      </w:r>
      <w:bookmarkEnd w:id="17"/>
      <w:bookmarkEnd w:id="18"/>
      <w:bookmarkEnd w:id="19"/>
      <w:bookmarkEnd w:id="20"/>
      <w:bookmarkEnd w:id="21"/>
    </w:p>
    <w:p w14:paraId="01B4AF63" w14:textId="77777777" w:rsidR="003B30E4" w:rsidRPr="00FC1976" w:rsidRDefault="003B30E4" w:rsidP="00E664BF">
      <w:pPr>
        <w:pStyle w:val="AppendixStyle2"/>
      </w:pPr>
      <w:r w:rsidRPr="00FC1976">
        <w:t>What is Medicare?</w:t>
      </w:r>
    </w:p>
    <w:p w14:paraId="0BB90A76" w14:textId="77777777" w:rsidR="00E664BF" w:rsidRDefault="003B30E4" w:rsidP="00082595">
      <w:pPr>
        <w:rPr>
          <w:lang w:val="en-AU" w:eastAsia="en-US"/>
        </w:rPr>
      </w:pPr>
      <w:r w:rsidRPr="00FC1976">
        <w:rPr>
          <w:lang w:val="en-AU" w:eastAsia="en-US"/>
        </w:rPr>
        <w:t>Medicare is Australia’s universal health scheme, which enables all Australian residents (and some overseas visitors) to have access to a wide range of health services and medicines at little or no cost.</w:t>
      </w:r>
    </w:p>
    <w:p w14:paraId="54D30BC3" w14:textId="77777777" w:rsidR="00E664BF" w:rsidRDefault="003B30E4" w:rsidP="00082595">
      <w:pPr>
        <w:rPr>
          <w:lang w:val="en-AU"/>
        </w:rPr>
      </w:pPr>
      <w:r w:rsidRPr="00FC1976">
        <w:rPr>
          <w:lang w:val="en-AU"/>
        </w:rPr>
        <w:t xml:space="preserve">Introduced in 1984, Medicare has three components: </w:t>
      </w:r>
    </w:p>
    <w:p w14:paraId="3F771FD5" w14:textId="77777777" w:rsidR="00E664BF" w:rsidRDefault="003B30E4" w:rsidP="00E664BF">
      <w:pPr>
        <w:pStyle w:val="NormalBulleted"/>
        <w:rPr>
          <w:lang w:val="en-AU"/>
        </w:rPr>
      </w:pPr>
      <w:r w:rsidRPr="00FC1976">
        <w:rPr>
          <w:lang w:val="en-AU"/>
        </w:rPr>
        <w:t xml:space="preserve">free public hospital services for public </w:t>
      </w:r>
      <w:proofErr w:type="gramStart"/>
      <w:r w:rsidRPr="00FC1976">
        <w:rPr>
          <w:lang w:val="en-AU"/>
        </w:rPr>
        <w:t>patients;</w:t>
      </w:r>
      <w:proofErr w:type="gramEnd"/>
      <w:r w:rsidRPr="00FC1976">
        <w:rPr>
          <w:lang w:val="en-AU"/>
        </w:rPr>
        <w:t xml:space="preserve"> </w:t>
      </w:r>
    </w:p>
    <w:p w14:paraId="580CFD6D" w14:textId="77777777" w:rsidR="00E664BF" w:rsidRDefault="003B30E4" w:rsidP="00082595">
      <w:pPr>
        <w:pStyle w:val="NormalBulleted"/>
        <w:rPr>
          <w:lang w:val="en-AU"/>
        </w:rPr>
      </w:pPr>
      <w:r w:rsidRPr="00FC1976">
        <w:rPr>
          <w:lang w:val="en-AU"/>
        </w:rPr>
        <w:t>subsidised drugs covered by the Pharm</w:t>
      </w:r>
      <w:r w:rsidR="00E664BF">
        <w:rPr>
          <w:lang w:val="en-AU"/>
        </w:rPr>
        <w:t>aceutical Benefits Scheme (PBS</w:t>
      </w:r>
      <w:proofErr w:type="gramStart"/>
      <w:r w:rsidR="00E664BF">
        <w:rPr>
          <w:lang w:val="en-AU"/>
        </w:rPr>
        <w:t>)</w:t>
      </w:r>
      <w:r w:rsidR="000D39E2">
        <w:rPr>
          <w:lang w:val="en-AU"/>
        </w:rPr>
        <w:t>;</w:t>
      </w:r>
      <w:proofErr w:type="gramEnd"/>
      <w:r w:rsidRPr="00FC1976">
        <w:rPr>
          <w:lang w:val="en-AU"/>
        </w:rPr>
        <w:t xml:space="preserve"> </w:t>
      </w:r>
    </w:p>
    <w:p w14:paraId="056330A4" w14:textId="77777777" w:rsidR="003B30E4" w:rsidRPr="00E664BF" w:rsidRDefault="003B30E4" w:rsidP="00082595">
      <w:pPr>
        <w:pStyle w:val="NormalBulleted"/>
        <w:rPr>
          <w:lang w:val="en-AU"/>
        </w:rPr>
      </w:pPr>
      <w:r w:rsidRPr="00E664BF">
        <w:rPr>
          <w:lang w:val="en-AU"/>
        </w:rPr>
        <w:t>subsidised health professional services listed on the Medicare Benefits Schedule (MBS).</w:t>
      </w:r>
    </w:p>
    <w:p w14:paraId="494DC896" w14:textId="77777777" w:rsidR="003B30E4" w:rsidRPr="00FC1976" w:rsidRDefault="003B30E4" w:rsidP="00E664BF">
      <w:pPr>
        <w:pStyle w:val="AppendixStyle2"/>
      </w:pPr>
      <w:r w:rsidRPr="00FC1976">
        <w:t>What is the</w:t>
      </w:r>
      <w:r w:rsidR="00E664BF">
        <w:t xml:space="preserve"> Medicare Benefits Schedule</w:t>
      </w:r>
      <w:r w:rsidRPr="00FC1976">
        <w:t xml:space="preserve"> </w:t>
      </w:r>
      <w:r w:rsidR="00E664BF">
        <w:t>(</w:t>
      </w:r>
      <w:r w:rsidRPr="00FC1976">
        <w:t>MBS</w:t>
      </w:r>
      <w:r w:rsidR="00E664BF">
        <w:t>)</w:t>
      </w:r>
      <w:r w:rsidRPr="00FC1976">
        <w:t>?</w:t>
      </w:r>
    </w:p>
    <w:p w14:paraId="4815077F" w14:textId="77777777" w:rsidR="003B30E4" w:rsidRPr="00FC1976" w:rsidRDefault="003B30E4" w:rsidP="00082595">
      <w:pPr>
        <w:rPr>
          <w:lang w:val="en-AU" w:eastAsia="en-US"/>
        </w:rPr>
      </w:pPr>
      <w:r w:rsidRPr="00FC1976">
        <w:rPr>
          <w:lang w:val="en-AU" w:eastAsia="en-US"/>
        </w:rPr>
        <w:t xml:space="preserve">The </w:t>
      </w:r>
      <w:r w:rsidR="00E664BF">
        <w:rPr>
          <w:lang w:val="en-AU" w:eastAsia="en-US"/>
        </w:rPr>
        <w:t>Medicare Benefits Schedule (</w:t>
      </w:r>
      <w:r w:rsidRPr="00FC1976">
        <w:rPr>
          <w:lang w:val="en-AU" w:eastAsia="en-US"/>
        </w:rPr>
        <w:t>MBS</w:t>
      </w:r>
      <w:r w:rsidR="00E664BF">
        <w:rPr>
          <w:lang w:val="en-AU" w:eastAsia="en-US"/>
        </w:rPr>
        <w:t>)</w:t>
      </w:r>
      <w:r w:rsidRPr="00FC1976">
        <w:rPr>
          <w:lang w:val="en-AU" w:eastAsia="en-US"/>
        </w:rPr>
        <w:t xml:space="preserve"> is a listing of the health professional services subsidised by the Australian Government. There are </w:t>
      </w:r>
      <w:r w:rsidR="00A6784C">
        <w:rPr>
          <w:lang w:val="en-AU" w:eastAsia="en-US"/>
        </w:rPr>
        <w:t>more than</w:t>
      </w:r>
      <w:r w:rsidR="00A6784C" w:rsidRPr="00FC1976">
        <w:rPr>
          <w:lang w:val="en-AU" w:eastAsia="en-US"/>
        </w:rPr>
        <w:t xml:space="preserve"> </w:t>
      </w:r>
      <w:r w:rsidRPr="00FC1976">
        <w:rPr>
          <w:lang w:val="en-AU" w:eastAsia="en-US"/>
        </w:rPr>
        <w:t>5</w:t>
      </w:r>
      <w:r w:rsidR="00E664BF">
        <w:rPr>
          <w:lang w:val="en-AU" w:eastAsia="en-US"/>
        </w:rPr>
        <w:t>,</w:t>
      </w:r>
      <w:r w:rsidRPr="00FC1976">
        <w:rPr>
          <w:lang w:val="en-AU" w:eastAsia="en-US"/>
        </w:rPr>
        <w:t xml:space="preserve">700 MBS items, which provide benefits to patients for a comprehensive range of services including consultations, diagnostic tests and operations. </w:t>
      </w:r>
    </w:p>
    <w:p w14:paraId="69CD6747" w14:textId="77777777" w:rsidR="003B30E4" w:rsidRPr="00FC1976" w:rsidRDefault="008F4FAA" w:rsidP="005076E4">
      <w:pPr>
        <w:pStyle w:val="Heading2"/>
        <w:rPr>
          <w:lang w:val="en-AU"/>
        </w:rPr>
      </w:pPr>
      <w:bookmarkStart w:id="23" w:name="_Toc456045426"/>
      <w:bookmarkStart w:id="24" w:name="_Toc457463615"/>
      <w:bookmarkStart w:id="25" w:name="_Toc459996806"/>
      <w:bookmarkStart w:id="26" w:name="_Toc458166994"/>
      <w:bookmarkStart w:id="27" w:name="_Toc495403381"/>
      <w:r>
        <w:rPr>
          <w:lang w:val="en-AU"/>
        </w:rPr>
        <w:t>What is t</w:t>
      </w:r>
      <w:r w:rsidR="003B30E4" w:rsidRPr="00FC1976">
        <w:rPr>
          <w:lang w:val="en-AU"/>
        </w:rPr>
        <w:t>he MBS Review Taskforce</w:t>
      </w:r>
      <w:bookmarkEnd w:id="23"/>
      <w:bookmarkEnd w:id="24"/>
      <w:bookmarkEnd w:id="25"/>
      <w:bookmarkEnd w:id="26"/>
      <w:r>
        <w:rPr>
          <w:lang w:val="en-AU"/>
        </w:rPr>
        <w:t>?</w:t>
      </w:r>
      <w:bookmarkEnd w:id="27"/>
    </w:p>
    <w:p w14:paraId="08000E53" w14:textId="77777777" w:rsidR="003B30E4" w:rsidRPr="00FC1976" w:rsidRDefault="008F4FAA" w:rsidP="00082595">
      <w:pPr>
        <w:rPr>
          <w:lang w:val="en-AU"/>
        </w:rPr>
      </w:pPr>
      <w:r>
        <w:rPr>
          <w:lang w:val="en-AU" w:eastAsia="en-US"/>
        </w:rPr>
        <w:t>The Government established the</w:t>
      </w:r>
      <w:r w:rsidR="004333AA">
        <w:rPr>
          <w:lang w:val="en-AU" w:eastAsia="en-US"/>
        </w:rPr>
        <w:t xml:space="preserve"> </w:t>
      </w:r>
      <w:r w:rsidR="003B30E4" w:rsidRPr="00FC1976">
        <w:rPr>
          <w:lang w:val="en-AU" w:eastAsia="en-US"/>
        </w:rPr>
        <w:t xml:space="preserve">MBS Review Taskforce (the Taskforce) </w:t>
      </w:r>
      <w:r>
        <w:rPr>
          <w:lang w:val="en-AU" w:eastAsia="en-US"/>
        </w:rPr>
        <w:t xml:space="preserve">as an advisory body </w:t>
      </w:r>
      <w:r w:rsidR="003B30E4" w:rsidRPr="00FC1976">
        <w:rPr>
          <w:lang w:val="en-AU" w:eastAsia="en-US"/>
        </w:rPr>
        <w:t>to review all 5</w:t>
      </w:r>
      <w:r>
        <w:rPr>
          <w:lang w:val="en-AU" w:eastAsia="en-US"/>
        </w:rPr>
        <w:t>,</w:t>
      </w:r>
      <w:r w:rsidR="003B30E4" w:rsidRPr="00FC1976">
        <w:rPr>
          <w:lang w:val="en-AU" w:eastAsia="en-US"/>
        </w:rPr>
        <w:t xml:space="preserve">700 MBS items to ensure </w:t>
      </w:r>
      <w:r w:rsidR="007716D6">
        <w:rPr>
          <w:lang w:val="en-AU" w:eastAsia="en-US"/>
        </w:rPr>
        <w:t xml:space="preserve">that </w:t>
      </w:r>
      <w:r w:rsidR="003B30E4" w:rsidRPr="00FC1976">
        <w:rPr>
          <w:lang w:val="en-AU" w:eastAsia="en-US"/>
        </w:rPr>
        <w:t>they align with contemporary clinical</w:t>
      </w:r>
      <w:r>
        <w:rPr>
          <w:lang w:val="en-AU" w:eastAsia="en-US"/>
        </w:rPr>
        <w:t xml:space="preserve"> evidence and </w:t>
      </w:r>
      <w:proofErr w:type="gramStart"/>
      <w:r>
        <w:rPr>
          <w:lang w:val="en-AU" w:eastAsia="en-US"/>
        </w:rPr>
        <w:t>practice, and</w:t>
      </w:r>
      <w:proofErr w:type="gramEnd"/>
      <w:r w:rsidR="003B30E4" w:rsidRPr="00FC1976">
        <w:rPr>
          <w:lang w:val="en-AU" w:eastAsia="en-US"/>
        </w:rPr>
        <w:t xml:space="preserve"> improve health outcomes for patients.</w:t>
      </w:r>
      <w:r>
        <w:rPr>
          <w:lang w:val="en-AU" w:eastAsia="en-US"/>
        </w:rPr>
        <w:t xml:space="preserve"> The Taskforce will also modernise the MBS by identifying any services that may be unnecessary, outdated or potentially unsafe.</w:t>
      </w:r>
      <w:r w:rsidR="003B30E4" w:rsidRPr="00FC1976">
        <w:rPr>
          <w:lang w:val="en-AU"/>
        </w:rPr>
        <w:t xml:space="preserve"> </w:t>
      </w:r>
    </w:p>
    <w:p w14:paraId="05323F7A" w14:textId="77777777" w:rsidR="003B30E4" w:rsidRPr="00FC1976" w:rsidRDefault="003B30E4" w:rsidP="008F4FAA">
      <w:pPr>
        <w:pStyle w:val="AppendixStyle2"/>
      </w:pPr>
      <w:r w:rsidRPr="00FC1976">
        <w:t>What are the goals of the Taskforce?</w:t>
      </w:r>
    </w:p>
    <w:p w14:paraId="73B9DD12" w14:textId="77777777" w:rsidR="003B30E4" w:rsidRPr="00FC1976" w:rsidRDefault="003B30E4" w:rsidP="00082595">
      <w:pPr>
        <w:rPr>
          <w:lang w:val="en-AU"/>
        </w:rPr>
      </w:pPr>
      <w:r w:rsidRPr="00FC1976">
        <w:rPr>
          <w:lang w:val="en-AU"/>
        </w:rPr>
        <w:t xml:space="preserve">The Taskforce is committed to providing recommendations to the </w:t>
      </w:r>
      <w:r w:rsidR="007D479F">
        <w:rPr>
          <w:lang w:val="en-AU"/>
        </w:rPr>
        <w:t xml:space="preserve">Minister for Health </w:t>
      </w:r>
      <w:r w:rsidRPr="00FC1976">
        <w:rPr>
          <w:lang w:val="en-AU"/>
        </w:rPr>
        <w:t>that will allow the MBS to deliver on each of these four goals:</w:t>
      </w:r>
    </w:p>
    <w:p w14:paraId="3C62ECC2" w14:textId="77777777" w:rsidR="003B30E4" w:rsidRPr="00FC1976" w:rsidRDefault="003B30E4" w:rsidP="00E15A50">
      <w:pPr>
        <w:pStyle w:val="01squarebullet"/>
        <w:rPr>
          <w:lang w:val="en-AU"/>
        </w:rPr>
      </w:pPr>
      <w:r w:rsidRPr="00FC1976">
        <w:rPr>
          <w:b/>
          <w:lang w:val="en-AU"/>
        </w:rPr>
        <w:t xml:space="preserve">Affordable and universal </w:t>
      </w:r>
      <w:r w:rsidR="000819B5">
        <w:rPr>
          <w:b/>
          <w:lang w:val="en-AU"/>
        </w:rPr>
        <w:t xml:space="preserve">access </w:t>
      </w:r>
      <w:r w:rsidR="000819B5" w:rsidRPr="000819B5">
        <w:rPr>
          <w:lang w:val="en-AU"/>
        </w:rPr>
        <w:t>–</w:t>
      </w:r>
      <w:r w:rsidR="000819B5">
        <w:rPr>
          <w:lang w:val="en-AU"/>
        </w:rPr>
        <w:t xml:space="preserve"> t</w:t>
      </w:r>
      <w:r w:rsidR="000819B5" w:rsidRPr="000819B5">
        <w:rPr>
          <w:lang w:val="en-AU"/>
        </w:rPr>
        <w:t>h</w:t>
      </w:r>
      <w:r w:rsidRPr="000819B5">
        <w:rPr>
          <w:lang w:val="en-AU"/>
        </w:rPr>
        <w:t xml:space="preserve">e </w:t>
      </w:r>
      <w:r w:rsidRPr="00FC1976">
        <w:rPr>
          <w:lang w:val="en-AU"/>
        </w:rPr>
        <w:t xml:space="preserve">evidence demonstrates that the MBS supports very good access to primary care services for most Australians, particularly in urban Australia. However, despite increases in the specialist workforce over the last decade, access to many specialist </w:t>
      </w:r>
      <w:r w:rsidR="000819B5">
        <w:rPr>
          <w:lang w:val="en-AU"/>
        </w:rPr>
        <w:t>services remains problematic</w:t>
      </w:r>
      <w:r w:rsidRPr="00FC1976">
        <w:rPr>
          <w:lang w:val="en-AU"/>
        </w:rPr>
        <w:t xml:space="preserve"> with some rural patients particularly under-serviced.</w:t>
      </w:r>
    </w:p>
    <w:p w14:paraId="3A2193A3" w14:textId="77777777" w:rsidR="003B30E4" w:rsidRPr="00FC1976" w:rsidRDefault="000819B5" w:rsidP="00E15A50">
      <w:pPr>
        <w:pStyle w:val="01squarebullet"/>
        <w:rPr>
          <w:lang w:val="en-AU"/>
        </w:rPr>
      </w:pPr>
      <w:r>
        <w:rPr>
          <w:b/>
          <w:lang w:val="en-AU"/>
        </w:rPr>
        <w:t xml:space="preserve">Best-practice health services </w:t>
      </w:r>
      <w:r w:rsidRPr="000819B5">
        <w:rPr>
          <w:lang w:val="en-AU"/>
        </w:rPr>
        <w:t>–</w:t>
      </w:r>
      <w:r>
        <w:rPr>
          <w:lang w:val="en-AU"/>
        </w:rPr>
        <w:t xml:space="preserve"> o</w:t>
      </w:r>
      <w:r w:rsidR="003B30E4" w:rsidRPr="00FC1976">
        <w:rPr>
          <w:lang w:val="en-AU"/>
        </w:rPr>
        <w:t xml:space="preserve">ne of the core objectives of the </w:t>
      </w:r>
      <w:r w:rsidR="00E54055">
        <w:rPr>
          <w:lang w:val="en-AU"/>
        </w:rPr>
        <w:t>Review</w:t>
      </w:r>
      <w:r w:rsidR="003B30E4" w:rsidRPr="00FC1976">
        <w:rPr>
          <w:lang w:val="en-AU"/>
        </w:rPr>
        <w:t xml:space="preserve"> is to modernise the MBS, ensuring that individual items and their descriptors are consistent with contemporary best practice and the evidence base, where possible. Although the MSAC plays a crucial role in thoroughly evaluating new services, the vast majority of existing MBS items pre-date this process and have never been reviewed.</w:t>
      </w:r>
    </w:p>
    <w:p w14:paraId="3529A0CB" w14:textId="77777777" w:rsidR="003B30E4" w:rsidRPr="00FC1976" w:rsidRDefault="003B30E4" w:rsidP="00E15A50">
      <w:pPr>
        <w:pStyle w:val="01squarebullet"/>
        <w:rPr>
          <w:lang w:val="en-AU"/>
        </w:rPr>
      </w:pPr>
      <w:r w:rsidRPr="00FC1976">
        <w:rPr>
          <w:b/>
          <w:lang w:val="en-AU"/>
        </w:rPr>
        <w:t>Va</w:t>
      </w:r>
      <w:r w:rsidR="000819B5">
        <w:rPr>
          <w:b/>
          <w:lang w:val="en-AU"/>
        </w:rPr>
        <w:t xml:space="preserve">lue for the individual patient </w:t>
      </w:r>
      <w:r w:rsidR="000819B5" w:rsidRPr="000819B5">
        <w:rPr>
          <w:lang w:val="en-AU"/>
        </w:rPr>
        <w:t>–</w:t>
      </w:r>
      <w:r w:rsidR="000819B5">
        <w:rPr>
          <w:lang w:val="en-AU"/>
        </w:rPr>
        <w:t xml:space="preserve"> a</w:t>
      </w:r>
      <w:r w:rsidRPr="000819B5">
        <w:rPr>
          <w:lang w:val="en-AU"/>
        </w:rPr>
        <w:t>nother</w:t>
      </w:r>
      <w:r w:rsidRPr="00FC1976">
        <w:rPr>
          <w:lang w:val="en-AU"/>
        </w:rPr>
        <w:t xml:space="preserve"> core objective of the </w:t>
      </w:r>
      <w:r w:rsidR="00E54055">
        <w:rPr>
          <w:lang w:val="en-AU"/>
        </w:rPr>
        <w:t>Review</w:t>
      </w:r>
      <w:r w:rsidRPr="00FC1976">
        <w:rPr>
          <w:lang w:val="en-AU"/>
        </w:rPr>
        <w:t xml:space="preserve"> is to maintain an MBS that supports the delivery of services that are appropriate to the patient’s needs, provide real clinical value and do not expose the patient to unnecessary risk or expense.</w:t>
      </w:r>
    </w:p>
    <w:p w14:paraId="190A57A7" w14:textId="77777777" w:rsidR="003B30E4" w:rsidRPr="00FC1976" w:rsidRDefault="000819B5" w:rsidP="00E15A50">
      <w:pPr>
        <w:pStyle w:val="01squarebullet"/>
        <w:rPr>
          <w:lang w:val="en-AU"/>
        </w:rPr>
      </w:pPr>
      <w:r>
        <w:rPr>
          <w:b/>
          <w:lang w:val="en-AU"/>
        </w:rPr>
        <w:t xml:space="preserve">Value for the health system </w:t>
      </w:r>
      <w:r w:rsidRPr="000819B5">
        <w:rPr>
          <w:lang w:val="en-AU"/>
        </w:rPr>
        <w:t>– a</w:t>
      </w:r>
      <w:r w:rsidR="003B30E4" w:rsidRPr="000819B5">
        <w:rPr>
          <w:lang w:val="en-AU"/>
        </w:rPr>
        <w:t>chieving</w:t>
      </w:r>
      <w:r w:rsidR="003B30E4" w:rsidRPr="00FC1976">
        <w:rPr>
          <w:lang w:val="en-AU"/>
        </w:rPr>
        <w:t xml:space="preserve"> the above elements will go a long way towards achieving improved value for the health system overall. Reducing the volume of services that provide little or no clinical benefit will enable resources to be redirected to new and existing </w:t>
      </w:r>
      <w:r w:rsidR="003B30E4" w:rsidRPr="00FC1976">
        <w:rPr>
          <w:lang w:val="en-AU"/>
        </w:rPr>
        <w:lastRenderedPageBreak/>
        <w:t xml:space="preserve">services that have proven benefits but are underused, particularly for patients who cannot readily access </w:t>
      </w:r>
      <w:r w:rsidR="007D7083">
        <w:rPr>
          <w:lang w:val="en-AU"/>
        </w:rPr>
        <w:t>these</w:t>
      </w:r>
      <w:r w:rsidR="007D7083" w:rsidRPr="00FC1976">
        <w:rPr>
          <w:lang w:val="en-AU"/>
        </w:rPr>
        <w:t xml:space="preserve"> </w:t>
      </w:r>
      <w:r w:rsidR="003B30E4" w:rsidRPr="00FC1976">
        <w:rPr>
          <w:lang w:val="en-AU"/>
        </w:rPr>
        <w:t>services.</w:t>
      </w:r>
    </w:p>
    <w:p w14:paraId="3CD15538" w14:textId="77777777" w:rsidR="003B30E4" w:rsidRPr="00FC1976" w:rsidRDefault="003B30E4" w:rsidP="005076E4">
      <w:pPr>
        <w:pStyle w:val="Heading2"/>
        <w:rPr>
          <w:lang w:val="en-AU"/>
        </w:rPr>
      </w:pPr>
      <w:bookmarkStart w:id="28" w:name="_Toc457463616"/>
      <w:bookmarkStart w:id="29" w:name="_Toc459996807"/>
      <w:bookmarkStart w:id="30" w:name="_Toc458166995"/>
      <w:bookmarkStart w:id="31" w:name="_Toc495403382"/>
      <w:bookmarkStart w:id="32" w:name="_Toc456045428"/>
      <w:bookmarkEnd w:id="22"/>
      <w:r w:rsidRPr="00FC1976">
        <w:rPr>
          <w:lang w:val="en-AU"/>
        </w:rPr>
        <w:t>The Taskforce’s approach</w:t>
      </w:r>
      <w:bookmarkEnd w:id="28"/>
      <w:bookmarkEnd w:id="29"/>
      <w:bookmarkEnd w:id="30"/>
      <w:bookmarkEnd w:id="31"/>
    </w:p>
    <w:p w14:paraId="45BF1DFC" w14:textId="77777777" w:rsidR="00643561" w:rsidRDefault="003B30E4" w:rsidP="00082595">
      <w:pPr>
        <w:rPr>
          <w:lang w:val="en-AU"/>
        </w:rPr>
      </w:pPr>
      <w:r w:rsidRPr="00FC1976">
        <w:rPr>
          <w:lang w:val="en-AU"/>
        </w:rPr>
        <w:t xml:space="preserve">The Taskforce is reviewing existing MBS items, with a primary focus on ensuring that individual items and usage meet the definition of best practice. Within the Taskforce’s brief, there is considerable scope to review and </w:t>
      </w:r>
      <w:r w:rsidR="00D03EBD" w:rsidRPr="00FC1976">
        <w:rPr>
          <w:lang w:val="en-AU"/>
        </w:rPr>
        <w:t xml:space="preserve">provide </w:t>
      </w:r>
      <w:r w:rsidRPr="00FC1976">
        <w:rPr>
          <w:lang w:val="en-AU"/>
        </w:rPr>
        <w:t>advi</w:t>
      </w:r>
      <w:r w:rsidR="00D03EBD" w:rsidRPr="00FC1976">
        <w:rPr>
          <w:lang w:val="en-AU"/>
        </w:rPr>
        <w:t>c</w:t>
      </w:r>
      <w:r w:rsidRPr="00FC1976">
        <w:rPr>
          <w:lang w:val="en-AU"/>
        </w:rPr>
        <w:t xml:space="preserve">e on all aspects that would contribute to a modern, transparent and responsive system. This includes not only making recommendations about adding new items or services to the MBS, but also about an MBS structure that could better accommodate changing health service models. </w:t>
      </w:r>
    </w:p>
    <w:p w14:paraId="4FEE21D1" w14:textId="77777777" w:rsidR="00643561" w:rsidRDefault="003B30E4" w:rsidP="00082595">
      <w:pPr>
        <w:rPr>
          <w:lang w:val="en-AU"/>
        </w:rPr>
      </w:pPr>
      <w:r w:rsidRPr="00FC1976">
        <w:rPr>
          <w:lang w:val="en-AU"/>
        </w:rPr>
        <w:t xml:space="preserve">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w:t>
      </w:r>
    </w:p>
    <w:p w14:paraId="7D941D86" w14:textId="77777777" w:rsidR="003B30E4" w:rsidRPr="00FC1976" w:rsidRDefault="003B30E4" w:rsidP="00082595">
      <w:pPr>
        <w:rPr>
          <w:lang w:val="en-AU"/>
        </w:rPr>
      </w:pPr>
      <w:r w:rsidRPr="00FC1976">
        <w:rPr>
          <w:lang w:val="en-AU"/>
        </w:rPr>
        <w:t xml:space="preserve">The Taskforce will also develop a mechanism for an ongoing review of the MBS once the current </w:t>
      </w:r>
      <w:r w:rsidR="00E54055">
        <w:rPr>
          <w:lang w:val="en-AU"/>
        </w:rPr>
        <w:t>Review</w:t>
      </w:r>
      <w:r w:rsidRPr="00FC1976">
        <w:rPr>
          <w:lang w:val="en-AU"/>
        </w:rPr>
        <w:t xml:space="preserve"> has concluded.</w:t>
      </w:r>
    </w:p>
    <w:p w14:paraId="363D8C46" w14:textId="77777777" w:rsidR="003B30E4" w:rsidRPr="00FC1976" w:rsidRDefault="003B30E4" w:rsidP="00082595">
      <w:pPr>
        <w:rPr>
          <w:lang w:val="en-AU"/>
        </w:rPr>
      </w:pPr>
      <w:r w:rsidRPr="00FC1976">
        <w:rPr>
          <w:lang w:val="en-AU"/>
        </w:rPr>
        <w:t xml:space="preserve">As the MBS Review is to be clinician-led, the Taskforce decided that </w:t>
      </w:r>
      <w:r w:rsidR="000819B5">
        <w:rPr>
          <w:lang w:val="en-AU"/>
        </w:rPr>
        <w:t>clinical c</w:t>
      </w:r>
      <w:r w:rsidR="007D479F">
        <w:rPr>
          <w:lang w:val="en-AU"/>
        </w:rPr>
        <w:t>ommittee</w:t>
      </w:r>
      <w:r w:rsidR="00680028">
        <w:rPr>
          <w:lang w:val="en-AU"/>
        </w:rPr>
        <w:t xml:space="preserve">s should conduct </w:t>
      </w:r>
      <w:r w:rsidRPr="00FC1976">
        <w:rPr>
          <w:lang w:val="en-AU"/>
        </w:rPr>
        <w:t xml:space="preserve">the detailed review of MBS items. The committees are broad-based in their membership, and members have been appointed in </w:t>
      </w:r>
      <w:r w:rsidR="00122F79">
        <w:rPr>
          <w:lang w:val="en-AU"/>
        </w:rPr>
        <w:t>an</w:t>
      </w:r>
      <w:r w:rsidR="00122F79" w:rsidRPr="00FC1976">
        <w:rPr>
          <w:lang w:val="en-AU"/>
        </w:rPr>
        <w:t xml:space="preserve"> </w:t>
      </w:r>
      <w:r w:rsidRPr="00FC1976">
        <w:rPr>
          <w:lang w:val="en-AU"/>
        </w:rPr>
        <w:t xml:space="preserve">individual capacity, rather than as representatives of any organisation. </w:t>
      </w:r>
    </w:p>
    <w:p w14:paraId="723B372A" w14:textId="77777777" w:rsidR="003B30E4" w:rsidRPr="00FC1976" w:rsidRDefault="003B30E4" w:rsidP="00082595">
      <w:pPr>
        <w:rPr>
          <w:lang w:val="en-AU"/>
        </w:rPr>
      </w:pPr>
      <w:r w:rsidRPr="00FC1976">
        <w:rPr>
          <w:lang w:val="en-AU"/>
        </w:rPr>
        <w:t xml:space="preserve">The Taskforce asked all committees to review MBS items using a framework based on </w:t>
      </w:r>
      <w:r w:rsidR="00E54055">
        <w:rPr>
          <w:lang w:val="en-AU"/>
        </w:rPr>
        <w:t>A</w:t>
      </w:r>
      <w:r w:rsidRPr="00FC1976">
        <w:rPr>
          <w:lang w:val="en-AU"/>
        </w:rPr>
        <w:t xml:space="preserve">ppropriate </w:t>
      </w:r>
      <w:r w:rsidR="00E54055">
        <w:rPr>
          <w:lang w:val="en-AU"/>
        </w:rPr>
        <w:t>U</w:t>
      </w:r>
      <w:r w:rsidRPr="00FC1976">
        <w:rPr>
          <w:lang w:val="en-AU"/>
        </w:rPr>
        <w:t xml:space="preserve">se </w:t>
      </w:r>
      <w:r w:rsidR="00E54055">
        <w:rPr>
          <w:lang w:val="en-AU"/>
        </w:rPr>
        <w:t>C</w:t>
      </w:r>
      <w:r w:rsidRPr="00FC1976">
        <w:rPr>
          <w:lang w:val="en-AU"/>
        </w:rPr>
        <w:t>riteria</w:t>
      </w:r>
      <w:r w:rsidR="00784E75">
        <w:rPr>
          <w:lang w:val="en-AU"/>
        </w:rPr>
        <w:t xml:space="preserve"> </w:t>
      </w:r>
      <w:r w:rsidR="00E54055">
        <w:rPr>
          <w:lang w:val="en-AU"/>
        </w:rPr>
        <w:t>accepted by the Taskforce</w:t>
      </w:r>
      <w:r w:rsidR="005C52F6">
        <w:rPr>
          <w:lang w:val="en-AU"/>
        </w:rPr>
        <w:t>.</w:t>
      </w:r>
      <w:r w:rsidRPr="00FC1976">
        <w:rPr>
          <w:lang w:val="en-AU"/>
        </w:rPr>
        <w:t xml:space="preserve"> </w:t>
      </w:r>
      <w:r w:rsidR="00627A0B">
        <w:rPr>
          <w:lang w:val="en-AU"/>
        </w:rPr>
        <w:fldChar w:fldCharType="begin"/>
      </w:r>
      <w:r w:rsidR="00627A0B">
        <w:rPr>
          <w:lang w:val="en-AU"/>
        </w:rPr>
        <w:instrText xml:space="preserve"> REF  ref1 \h \r </w:instrText>
      </w:r>
      <w:r w:rsidR="00627A0B">
        <w:rPr>
          <w:lang w:val="en-AU"/>
        </w:rPr>
      </w:r>
      <w:r w:rsidR="00627A0B">
        <w:rPr>
          <w:lang w:val="en-AU"/>
        </w:rPr>
        <w:fldChar w:fldCharType="separate"/>
      </w:r>
      <w:r w:rsidR="00627A0B">
        <w:rPr>
          <w:lang w:val="en-AU"/>
        </w:rPr>
        <w:t>[1]</w:t>
      </w:r>
      <w:r w:rsidR="00627A0B">
        <w:rPr>
          <w:lang w:val="en-AU"/>
        </w:rPr>
        <w:fldChar w:fldCharType="end"/>
      </w:r>
      <w:r w:rsidR="00B83872">
        <w:rPr>
          <w:lang w:val="en-AU"/>
        </w:rPr>
        <w:t xml:space="preserve"> </w:t>
      </w:r>
      <w:r w:rsidRPr="00FC1976">
        <w:rPr>
          <w:lang w:val="en-AU"/>
        </w:rPr>
        <w:t>The framework consists of seven steps:</w:t>
      </w:r>
    </w:p>
    <w:p w14:paraId="64C02903" w14:textId="77777777" w:rsidR="003B30E4" w:rsidRPr="00FC1976" w:rsidRDefault="003B30E4" w:rsidP="00DB15BF">
      <w:pPr>
        <w:pStyle w:val="01squarebullet"/>
        <w:numPr>
          <w:ilvl w:val="0"/>
          <w:numId w:val="13"/>
        </w:numPr>
        <w:rPr>
          <w:lang w:val="en-AU"/>
        </w:rPr>
      </w:pPr>
      <w:r w:rsidRPr="00FC1976">
        <w:rPr>
          <w:lang w:val="en-AU"/>
        </w:rPr>
        <w:t xml:space="preserve">Develop an initial fact base for all items under consideration, drawing on the relevant data and literature. </w:t>
      </w:r>
    </w:p>
    <w:p w14:paraId="3AF24184" w14:textId="77777777" w:rsidR="003B30E4" w:rsidRPr="00FC1976" w:rsidRDefault="003B30E4" w:rsidP="00DB15BF">
      <w:pPr>
        <w:pStyle w:val="01squarebullet"/>
        <w:numPr>
          <w:ilvl w:val="0"/>
          <w:numId w:val="13"/>
        </w:numPr>
        <w:rPr>
          <w:lang w:val="en-AU"/>
        </w:rPr>
      </w:pPr>
      <w:r w:rsidRPr="00FC1976">
        <w:rPr>
          <w:lang w:val="en-AU"/>
        </w:rPr>
        <w:t>Identify items that are obsolete, are of questionable clinical value</w:t>
      </w:r>
      <w:r w:rsidR="002025F9">
        <w:rPr>
          <w:rStyle w:val="FootnoteReference"/>
          <w:lang w:val="en-AU"/>
        </w:rPr>
        <w:footnoteReference w:id="5"/>
      </w:r>
      <w:r w:rsidRPr="00FC1976">
        <w:rPr>
          <w:lang w:val="en-AU"/>
        </w:rPr>
        <w:t>, are misused</w:t>
      </w:r>
      <w:r w:rsidR="002025F9">
        <w:rPr>
          <w:rStyle w:val="FootnoteReference"/>
          <w:lang w:val="en-AU"/>
        </w:rPr>
        <w:footnoteReference w:id="6"/>
      </w:r>
      <w:r w:rsidRPr="00FC1976">
        <w:rPr>
          <w:lang w:val="en-AU"/>
        </w:rPr>
        <w:t xml:space="preserve"> and/or pose a risk to patient safety. This step includes prioritising items as </w:t>
      </w:r>
      <w:r w:rsidR="005C51F7">
        <w:rPr>
          <w:lang w:val="en-AU"/>
        </w:rPr>
        <w:t>“</w:t>
      </w:r>
      <w:r w:rsidRPr="00FC1976">
        <w:rPr>
          <w:lang w:val="en-AU"/>
        </w:rPr>
        <w:t>priority 1</w:t>
      </w:r>
      <w:r w:rsidR="00784E75">
        <w:rPr>
          <w:lang w:val="en-AU"/>
        </w:rPr>
        <w:t>,</w:t>
      </w:r>
      <w:r w:rsidR="005C51F7">
        <w:rPr>
          <w:lang w:val="en-AU"/>
        </w:rPr>
        <w:t>”</w:t>
      </w:r>
      <w:r w:rsidRPr="00FC1976">
        <w:rPr>
          <w:lang w:val="en-AU"/>
        </w:rPr>
        <w:t xml:space="preserve"> </w:t>
      </w:r>
      <w:r w:rsidR="005C51F7">
        <w:rPr>
          <w:lang w:val="en-AU"/>
        </w:rPr>
        <w:t>“</w:t>
      </w:r>
      <w:r w:rsidRPr="00FC1976">
        <w:rPr>
          <w:lang w:val="en-AU"/>
        </w:rPr>
        <w:t>priority 2</w:t>
      </w:r>
      <w:r w:rsidR="005C51F7">
        <w:rPr>
          <w:lang w:val="en-AU"/>
        </w:rPr>
        <w:t>”</w:t>
      </w:r>
      <w:r w:rsidRPr="00FC1976">
        <w:rPr>
          <w:lang w:val="en-AU"/>
        </w:rPr>
        <w:t xml:space="preserve"> or</w:t>
      </w:r>
      <w:r w:rsidR="005C51F7">
        <w:rPr>
          <w:lang w:val="en-AU"/>
        </w:rPr>
        <w:t>’ “</w:t>
      </w:r>
      <w:r w:rsidRPr="00FC1976">
        <w:rPr>
          <w:lang w:val="en-AU"/>
        </w:rPr>
        <w:t>priority 3,</w:t>
      </w:r>
      <w:r w:rsidR="005C51F7">
        <w:rPr>
          <w:lang w:val="en-AU"/>
        </w:rPr>
        <w:t>”</w:t>
      </w:r>
      <w:r w:rsidRPr="00FC1976">
        <w:rPr>
          <w:lang w:val="en-AU"/>
        </w:rPr>
        <w:t xml:space="preserve"> using a prioritisation methodology (described in more detail below).</w:t>
      </w:r>
    </w:p>
    <w:p w14:paraId="7AC82E3B" w14:textId="77777777" w:rsidR="003B30E4" w:rsidRPr="00FC1976" w:rsidRDefault="003B30E4" w:rsidP="00DB15BF">
      <w:pPr>
        <w:pStyle w:val="01squarebullet"/>
        <w:numPr>
          <w:ilvl w:val="0"/>
          <w:numId w:val="13"/>
        </w:numPr>
        <w:rPr>
          <w:lang w:val="en-AU"/>
        </w:rPr>
      </w:pPr>
      <w:r w:rsidRPr="00FC1976">
        <w:rPr>
          <w:lang w:val="en-AU"/>
        </w:rPr>
        <w:t xml:space="preserve">Identify any issues, develop hypotheses for recommendations and create a work plan (including establishing </w:t>
      </w:r>
      <w:r w:rsidR="000D39E2">
        <w:rPr>
          <w:lang w:val="en-AU"/>
        </w:rPr>
        <w:t>w</w:t>
      </w:r>
      <w:r w:rsidR="007D479F">
        <w:rPr>
          <w:lang w:val="en-AU"/>
        </w:rPr>
        <w:t xml:space="preserve">orking </w:t>
      </w:r>
      <w:r w:rsidR="000D39E2">
        <w:rPr>
          <w:lang w:val="en-AU"/>
        </w:rPr>
        <w:t>g</w:t>
      </w:r>
      <w:r w:rsidR="007D479F">
        <w:rPr>
          <w:lang w:val="en-AU"/>
        </w:rPr>
        <w:t>roup</w:t>
      </w:r>
      <w:r w:rsidRPr="00FC1976">
        <w:rPr>
          <w:lang w:val="en-AU"/>
        </w:rPr>
        <w:t>s, when required) to arrive at recommendations for each item.</w:t>
      </w:r>
    </w:p>
    <w:p w14:paraId="6CA27FFF" w14:textId="77777777" w:rsidR="003B30E4" w:rsidRPr="00FC1976" w:rsidRDefault="003B30E4" w:rsidP="00DB15BF">
      <w:pPr>
        <w:pStyle w:val="01squarebullet"/>
        <w:numPr>
          <w:ilvl w:val="0"/>
          <w:numId w:val="13"/>
        </w:numPr>
        <w:rPr>
          <w:lang w:val="en-AU"/>
        </w:rPr>
      </w:pPr>
      <w:r w:rsidRPr="00FC1976">
        <w:rPr>
          <w:lang w:val="en-AU"/>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 This step also involves consultation with relevant stakeholders within the Committee, </w:t>
      </w:r>
      <w:r w:rsidR="002025F9">
        <w:rPr>
          <w:lang w:val="en-AU"/>
        </w:rPr>
        <w:t>working g</w:t>
      </w:r>
      <w:r w:rsidR="007D479F">
        <w:rPr>
          <w:lang w:val="en-AU"/>
        </w:rPr>
        <w:t>roup</w:t>
      </w:r>
      <w:r w:rsidRPr="00FC1976">
        <w:rPr>
          <w:lang w:val="en-AU"/>
        </w:rPr>
        <w:t>s, and relevant colleagues or colleges. For complex cases, full appropriate use criteria were developed for the item’s explanatory notes.</w:t>
      </w:r>
    </w:p>
    <w:p w14:paraId="31154F80" w14:textId="77777777" w:rsidR="003B30E4" w:rsidRPr="00FC1976" w:rsidRDefault="003B30E4" w:rsidP="00DB15BF">
      <w:pPr>
        <w:pStyle w:val="01squarebullet"/>
        <w:numPr>
          <w:ilvl w:val="0"/>
          <w:numId w:val="13"/>
        </w:numPr>
        <w:rPr>
          <w:lang w:val="en-AU"/>
        </w:rPr>
      </w:pPr>
      <w:r w:rsidRPr="00FC1976">
        <w:rPr>
          <w:lang w:val="en-AU"/>
        </w:rPr>
        <w:t xml:space="preserve">Review </w:t>
      </w:r>
      <w:r w:rsidR="000205C1">
        <w:rPr>
          <w:lang w:val="en-AU"/>
        </w:rPr>
        <w:t xml:space="preserve">the </w:t>
      </w:r>
      <w:r w:rsidRPr="00FC1976">
        <w:rPr>
          <w:lang w:val="en-AU"/>
        </w:rPr>
        <w:t>provisional recommendations and the accompanying rationales, and gather further evidence as required.</w:t>
      </w:r>
    </w:p>
    <w:p w14:paraId="1997B0B4" w14:textId="77777777" w:rsidR="003B30E4" w:rsidRPr="00FC1976" w:rsidRDefault="003B30E4" w:rsidP="00DB15BF">
      <w:pPr>
        <w:pStyle w:val="01squarebullet"/>
        <w:numPr>
          <w:ilvl w:val="0"/>
          <w:numId w:val="13"/>
        </w:numPr>
        <w:rPr>
          <w:lang w:val="en-AU"/>
        </w:rPr>
      </w:pPr>
      <w:r w:rsidRPr="00FC1976">
        <w:rPr>
          <w:lang w:val="en-AU"/>
        </w:rPr>
        <w:t xml:space="preserve">Finalise </w:t>
      </w:r>
      <w:r w:rsidR="0060245F">
        <w:rPr>
          <w:lang w:val="en-AU"/>
        </w:rPr>
        <w:t xml:space="preserve">the </w:t>
      </w:r>
      <w:r w:rsidRPr="00FC1976">
        <w:rPr>
          <w:lang w:val="en-AU"/>
        </w:rPr>
        <w:t>recommendations in preparation for broader stakeholder consultation.</w:t>
      </w:r>
    </w:p>
    <w:p w14:paraId="6B629CA4" w14:textId="77777777" w:rsidR="003B30E4" w:rsidRPr="00FC1976" w:rsidRDefault="003B30E4" w:rsidP="00DB15BF">
      <w:pPr>
        <w:pStyle w:val="01squarebullet"/>
        <w:numPr>
          <w:ilvl w:val="0"/>
          <w:numId w:val="13"/>
        </w:numPr>
        <w:rPr>
          <w:lang w:val="en-AU"/>
        </w:rPr>
      </w:pPr>
      <w:r w:rsidRPr="00FC1976">
        <w:rPr>
          <w:lang w:val="en-AU"/>
        </w:rPr>
        <w:lastRenderedPageBreak/>
        <w:t xml:space="preserve">Incorporate feedback gathered during stakeholder consultation and finalise the </w:t>
      </w:r>
      <w:r w:rsidR="00E54055">
        <w:rPr>
          <w:lang w:val="en-AU"/>
        </w:rPr>
        <w:t>Review</w:t>
      </w:r>
      <w:r w:rsidRPr="00FC1976">
        <w:rPr>
          <w:lang w:val="en-AU"/>
        </w:rPr>
        <w:t xml:space="preserve"> report, which provides recommendations for the Taskforce. </w:t>
      </w:r>
    </w:p>
    <w:p w14:paraId="412022B5" w14:textId="77777777" w:rsidR="003B30E4" w:rsidRPr="00FC1976" w:rsidRDefault="003B30E4" w:rsidP="00082595">
      <w:pPr>
        <w:rPr>
          <w:lang w:val="en-AU"/>
        </w:rPr>
      </w:pPr>
      <w:r w:rsidRPr="00FC1976">
        <w:rPr>
          <w:lang w:val="en-AU"/>
        </w:rPr>
        <w:t xml:space="preserve">All MBS items </w:t>
      </w:r>
      <w:r w:rsidR="005E7CE3" w:rsidRPr="00FC1976">
        <w:rPr>
          <w:rFonts w:cs="Arial"/>
          <w:lang w:val="en-AU"/>
        </w:rPr>
        <w:t>will be</w:t>
      </w:r>
      <w:r w:rsidRPr="00FC1976">
        <w:rPr>
          <w:lang w:val="en-AU"/>
        </w:rPr>
        <w:t xml:space="preserve"> reviewed </w:t>
      </w:r>
      <w:proofErr w:type="gramStart"/>
      <w:r w:rsidRPr="00FC1976">
        <w:rPr>
          <w:lang w:val="en-AU"/>
        </w:rPr>
        <w:t>during the course of</w:t>
      </w:r>
      <w:proofErr w:type="gramEnd"/>
      <w:r w:rsidRPr="00FC1976">
        <w:rPr>
          <w:lang w:val="en-AU"/>
        </w:rPr>
        <w:t xml:space="preserve"> the MBS Review. However, given the breadth of and timeframe for the </w:t>
      </w:r>
      <w:r w:rsidR="00E54055">
        <w:rPr>
          <w:lang w:val="en-AU"/>
        </w:rPr>
        <w:t>Review</w:t>
      </w:r>
      <w:r w:rsidRPr="00FC1976">
        <w:rPr>
          <w:lang w:val="en-AU"/>
        </w:rPr>
        <w:t xml:space="preserve">, each </w:t>
      </w:r>
      <w:r w:rsidR="002025F9">
        <w:rPr>
          <w:lang w:val="en-AU"/>
        </w:rPr>
        <w:t>clinical c</w:t>
      </w:r>
      <w:r w:rsidR="007D479F">
        <w:rPr>
          <w:lang w:val="en-AU"/>
        </w:rPr>
        <w:t>ommittee</w:t>
      </w:r>
      <w:r w:rsidRPr="00FC1976">
        <w:rPr>
          <w:lang w:val="en-AU"/>
        </w:rPr>
        <w:t xml:space="preserve"> had to develop a work plan and assign priorities, keeping in mind the objectives of the </w:t>
      </w:r>
      <w:r w:rsidR="00E54055">
        <w:rPr>
          <w:lang w:val="en-AU"/>
        </w:rPr>
        <w:t>Review</w:t>
      </w:r>
      <w:r w:rsidRPr="00FC1976">
        <w:rPr>
          <w:lang w:val="en-AU"/>
        </w:rPr>
        <w:t xml:space="preserve">. Committees used a robust prioritisation methodology to focus their attention and resources on the most important items requiring review. This was determined based on a combination of two standard metrics, derived from the appropriate use </w:t>
      </w:r>
      <w:r w:rsidR="00A6784C" w:rsidRPr="00FC1976">
        <w:rPr>
          <w:lang w:val="en-AU"/>
        </w:rPr>
        <w:t>criteria</w:t>
      </w:r>
      <w:r w:rsidR="00134B24">
        <w:rPr>
          <w:lang w:val="en-AU"/>
        </w:rPr>
        <w:t>:</w:t>
      </w:r>
      <w:r w:rsidR="00B83872">
        <w:rPr>
          <w:lang w:val="en-AU"/>
        </w:rPr>
        <w:t xml:space="preserve"> </w:t>
      </w:r>
      <w:r w:rsidR="00627A0B">
        <w:rPr>
          <w:lang w:val="en-AU"/>
        </w:rPr>
        <w:fldChar w:fldCharType="begin"/>
      </w:r>
      <w:r w:rsidR="00627A0B">
        <w:rPr>
          <w:lang w:val="en-AU"/>
        </w:rPr>
        <w:instrText xml:space="preserve"> REF  ref1 \h \r </w:instrText>
      </w:r>
      <w:r w:rsidR="00627A0B">
        <w:rPr>
          <w:lang w:val="en-AU"/>
        </w:rPr>
      </w:r>
      <w:r w:rsidR="00627A0B">
        <w:rPr>
          <w:lang w:val="en-AU"/>
        </w:rPr>
        <w:fldChar w:fldCharType="separate"/>
      </w:r>
      <w:r w:rsidR="00627A0B">
        <w:rPr>
          <w:lang w:val="en-AU"/>
        </w:rPr>
        <w:t>[1]</w:t>
      </w:r>
      <w:r w:rsidR="00627A0B">
        <w:rPr>
          <w:lang w:val="en-AU"/>
        </w:rPr>
        <w:fldChar w:fldCharType="end"/>
      </w:r>
    </w:p>
    <w:p w14:paraId="08E05F96" w14:textId="77777777" w:rsidR="003B30E4" w:rsidRPr="00FC1976" w:rsidRDefault="003B30E4" w:rsidP="005076E4">
      <w:pPr>
        <w:pStyle w:val="NormalBulleted"/>
        <w:rPr>
          <w:lang w:val="en-AU"/>
        </w:rPr>
      </w:pPr>
      <w:r w:rsidRPr="00FC1976">
        <w:rPr>
          <w:lang w:val="en-AU"/>
        </w:rPr>
        <w:t>Service volume</w:t>
      </w:r>
      <w:r w:rsidR="007B5034">
        <w:rPr>
          <w:lang w:val="en-AU"/>
        </w:rPr>
        <w:t>.</w:t>
      </w:r>
    </w:p>
    <w:p w14:paraId="22BFAB33" w14:textId="77777777" w:rsidR="003B30E4" w:rsidRPr="00EF500C" w:rsidRDefault="003B30E4" w:rsidP="00223C1A">
      <w:pPr>
        <w:pStyle w:val="NormalBulleted"/>
        <w:spacing w:line="240" w:lineRule="auto"/>
        <w:rPr>
          <w:lang w:val="en-AU"/>
        </w:rPr>
      </w:pPr>
      <w:r w:rsidRPr="00EF500C">
        <w:rPr>
          <w:lang w:val="en-AU"/>
        </w:rPr>
        <w:t>The likelihood that the item need</w:t>
      </w:r>
      <w:r w:rsidR="007D245F" w:rsidRPr="00EF500C">
        <w:rPr>
          <w:lang w:val="en-AU"/>
        </w:rPr>
        <w:t>ed</w:t>
      </w:r>
      <w:r w:rsidRPr="00EF500C">
        <w:rPr>
          <w:lang w:val="en-AU"/>
        </w:rPr>
        <w:t xml:space="preserve"> to be revised, determined by indicators such as identified safety concerns, geographic or temporal variation, delivery irregularity, the potential misuse of indications or other concerns raised by the Committee (such as inappropriate co-claiming).</w:t>
      </w:r>
    </w:p>
    <w:p w14:paraId="2E1795BA" w14:textId="77777777" w:rsidR="003B30E4" w:rsidRPr="00FC1976" w:rsidRDefault="003B30E4" w:rsidP="00082595">
      <w:pPr>
        <w:rPr>
          <w:lang w:val="en-AU"/>
        </w:rPr>
      </w:pPr>
      <w:r w:rsidRPr="00FC1976">
        <w:rPr>
          <w:lang w:val="en-AU"/>
        </w:rPr>
        <w:t xml:space="preserve">For each item, these two metrics were ranked high, medium or low. These rankings were then combined to generate a priority ranking ranging from </w:t>
      </w:r>
      <w:r w:rsidR="00D8542D">
        <w:rPr>
          <w:lang w:val="en-AU"/>
        </w:rPr>
        <w:t>1</w:t>
      </w:r>
      <w:r w:rsidR="00D8542D" w:rsidRPr="00FC1976">
        <w:rPr>
          <w:lang w:val="en-AU"/>
        </w:rPr>
        <w:t xml:space="preserve"> </w:t>
      </w:r>
      <w:r w:rsidRPr="00FC1976">
        <w:rPr>
          <w:lang w:val="en-AU"/>
        </w:rPr>
        <w:t xml:space="preserve">to </w:t>
      </w:r>
      <w:r w:rsidR="00D8542D">
        <w:rPr>
          <w:lang w:val="en-AU"/>
        </w:rPr>
        <w:t>3</w:t>
      </w:r>
      <w:r w:rsidR="00D8542D" w:rsidRPr="00FC1976">
        <w:rPr>
          <w:lang w:val="en-AU"/>
        </w:rPr>
        <w:t xml:space="preserve"> </w:t>
      </w:r>
      <w:r w:rsidRPr="00FC1976">
        <w:rPr>
          <w:lang w:val="en-AU"/>
        </w:rPr>
        <w:t>(where priority 1 items are the highest priority and priority 3 items are the lowest priority for review), using a prioritisation matrix (</w:t>
      </w:r>
      <w:r w:rsidR="004D68DE" w:rsidRPr="00FC1976">
        <w:rPr>
          <w:rFonts w:cs="Arial"/>
          <w:lang w:val="en-AU"/>
        </w:rPr>
        <w:fldChar w:fldCharType="begin"/>
      </w:r>
      <w:r w:rsidR="004D68DE" w:rsidRPr="00FC1976">
        <w:rPr>
          <w:lang w:val="en-AU"/>
        </w:rPr>
        <w:instrText xml:space="preserve"> REF _Ref459985112 \h </w:instrText>
      </w:r>
      <w:r w:rsidR="004D68DE" w:rsidRPr="00FC1976">
        <w:rPr>
          <w:rFonts w:cs="Arial"/>
          <w:lang w:val="en-AU"/>
        </w:rPr>
      </w:r>
      <w:r w:rsidR="004D68DE" w:rsidRPr="00FC1976">
        <w:rPr>
          <w:rFonts w:cs="Arial"/>
          <w:lang w:val="en-AU"/>
        </w:rPr>
        <w:fldChar w:fldCharType="separate"/>
      </w:r>
      <w:r w:rsidR="005C3364" w:rsidRPr="0050434D">
        <w:t xml:space="preserve">Figure </w:t>
      </w:r>
      <w:r w:rsidR="004D68DE" w:rsidRPr="00FC1976">
        <w:rPr>
          <w:rFonts w:cs="Arial"/>
          <w:lang w:val="en-AU"/>
        </w:rPr>
        <w:fldChar w:fldCharType="end"/>
      </w:r>
      <w:r w:rsidR="00627A0B">
        <w:rPr>
          <w:rFonts w:cs="Arial"/>
          <w:lang w:val="en-AU"/>
        </w:rPr>
        <w:t>1.</w:t>
      </w:r>
      <w:r w:rsidRPr="00FC1976">
        <w:rPr>
          <w:rFonts w:cs="Arial"/>
          <w:lang w:val="en-AU"/>
        </w:rPr>
        <w:t>).</w:t>
      </w:r>
      <w:r w:rsidRPr="00FC1976">
        <w:rPr>
          <w:lang w:val="en-AU"/>
        </w:rPr>
        <w:t xml:space="preserve"> The Committee used this priority ranking to organise its review of item numbers and apportion the amount of time spent on each item. </w:t>
      </w:r>
    </w:p>
    <w:p w14:paraId="59D7BE03" w14:textId="77777777" w:rsidR="003B30E4" w:rsidRPr="0050434D" w:rsidRDefault="00836B2A" w:rsidP="0050434D">
      <w:pPr>
        <w:pStyle w:val="FigureCaption"/>
      </w:pPr>
      <w:bookmarkStart w:id="33" w:name="_Toc459891304"/>
      <w:bookmarkStart w:id="34" w:name="_Toc458167034"/>
      <w:bookmarkStart w:id="35" w:name="_Ref459985112"/>
      <w:bookmarkStart w:id="36" w:name="_Toc459996843"/>
      <w:bookmarkStart w:id="37" w:name="_Toc459985370"/>
      <w:bookmarkStart w:id="38" w:name="_Toc477785343"/>
      <w:bookmarkStart w:id="39" w:name="_Toc481140373"/>
      <w:r w:rsidRPr="0050434D">
        <w:t xml:space="preserve">Figure </w:t>
      </w:r>
      <w:bookmarkEnd w:id="33"/>
      <w:bookmarkEnd w:id="34"/>
      <w:bookmarkEnd w:id="35"/>
      <w:r w:rsidR="00805A52">
        <w:t>1</w:t>
      </w:r>
      <w:r w:rsidR="005C51F7">
        <w:t>:</w:t>
      </w:r>
      <w:r w:rsidR="004D68DE" w:rsidRPr="0050434D">
        <w:t xml:space="preserve"> Prioritisation matrix</w:t>
      </w:r>
      <w:bookmarkEnd w:id="36"/>
      <w:bookmarkEnd w:id="37"/>
      <w:bookmarkEnd w:id="38"/>
      <w:bookmarkEnd w:id="39"/>
    </w:p>
    <w:p w14:paraId="44A150D5" w14:textId="77777777" w:rsidR="00CD792C" w:rsidRDefault="00D0416D" w:rsidP="00CD792C">
      <w:bookmarkStart w:id="40" w:name="_Toc477786657"/>
      <w:bookmarkStart w:id="41" w:name="_Toc478249927"/>
      <w:r w:rsidRPr="00337817">
        <w:rPr>
          <w:noProof/>
          <w:lang w:val="en-AU"/>
        </w:rPr>
        <w:drawing>
          <wp:inline distT="0" distB="0" distL="0" distR="0" wp14:anchorId="497C1848" wp14:editId="38BC5793">
            <wp:extent cx="4475480" cy="3368675"/>
            <wp:effectExtent l="0" t="0" r="1270" b="3175"/>
            <wp:docPr id="8" name="Picture 8" descr="Figure 1 shows the prioritisation matrix ranking item priority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1: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bookmarkEnd w:id="40"/>
      <w:bookmarkEnd w:id="41"/>
      <w:r w:rsidR="00CD792C">
        <w:br w:type="page"/>
      </w:r>
    </w:p>
    <w:p w14:paraId="7BA6C9C0" w14:textId="77777777" w:rsidR="003B30E4" w:rsidRPr="00FC1976" w:rsidRDefault="003B30E4" w:rsidP="008855E4">
      <w:pPr>
        <w:pStyle w:val="Heading1"/>
        <w:rPr>
          <w:lang w:val="en-AU"/>
        </w:rPr>
      </w:pPr>
      <w:bookmarkStart w:id="42" w:name="_Toc457463617"/>
      <w:bookmarkStart w:id="43" w:name="_Toc459996808"/>
      <w:bookmarkStart w:id="44" w:name="_Toc458166996"/>
      <w:bookmarkStart w:id="45" w:name="_Toc495403383"/>
      <w:bookmarkStart w:id="46" w:name="_Toc456045429"/>
      <w:bookmarkEnd w:id="32"/>
      <w:r w:rsidRPr="00FC1976">
        <w:rPr>
          <w:lang w:val="en-AU"/>
        </w:rPr>
        <w:lastRenderedPageBreak/>
        <w:t xml:space="preserve">About the </w:t>
      </w:r>
      <w:r w:rsidR="0099553D">
        <w:rPr>
          <w:lang w:val="en-AU"/>
        </w:rPr>
        <w:t>Pathology</w:t>
      </w:r>
      <w:r w:rsidR="002301EA">
        <w:rPr>
          <w:lang w:val="en-AU"/>
        </w:rPr>
        <w:t xml:space="preserve"> Clinical </w:t>
      </w:r>
      <w:r w:rsidRPr="00FC1976">
        <w:rPr>
          <w:lang w:val="en-AU"/>
        </w:rPr>
        <w:t>Committee</w:t>
      </w:r>
      <w:bookmarkEnd w:id="42"/>
      <w:bookmarkEnd w:id="43"/>
      <w:bookmarkEnd w:id="44"/>
      <w:bookmarkEnd w:id="45"/>
    </w:p>
    <w:p w14:paraId="4896CACD" w14:textId="77777777" w:rsidR="003B30E4" w:rsidRPr="00FC1976" w:rsidRDefault="003B30E4" w:rsidP="00082595">
      <w:pPr>
        <w:rPr>
          <w:lang w:val="en-AU"/>
        </w:rPr>
      </w:pPr>
      <w:r w:rsidRPr="00FC1976">
        <w:rPr>
          <w:lang w:val="en-AU"/>
        </w:rPr>
        <w:t xml:space="preserve">The </w:t>
      </w:r>
      <w:r w:rsidR="0099553D">
        <w:rPr>
          <w:lang w:val="en-AU"/>
        </w:rPr>
        <w:t>Pathology</w:t>
      </w:r>
      <w:r w:rsidRPr="00FC1976">
        <w:rPr>
          <w:lang w:val="en-AU"/>
        </w:rPr>
        <w:t xml:space="preserve"> Clinical Committee (the Committee) was established in April 2016 to make recommendations to the Taskforce on MBS items within its remit, based on rapid evidence review and clinical expertise. The Taskforce asked the Committee to review </w:t>
      </w:r>
      <w:r w:rsidR="00795693">
        <w:rPr>
          <w:lang w:val="en-AU"/>
        </w:rPr>
        <w:t>haematology</w:t>
      </w:r>
      <w:r w:rsidRPr="00FC1976">
        <w:rPr>
          <w:lang w:val="en-AU"/>
        </w:rPr>
        <w:t xml:space="preserve">-related MBS items. </w:t>
      </w:r>
    </w:p>
    <w:p w14:paraId="5BEF04A5" w14:textId="77777777" w:rsidR="00026792" w:rsidRPr="00FC1976" w:rsidRDefault="00384C79" w:rsidP="005076E4">
      <w:pPr>
        <w:pStyle w:val="Heading2"/>
        <w:rPr>
          <w:lang w:val="en-AU"/>
        </w:rPr>
      </w:pPr>
      <w:bookmarkStart w:id="47" w:name="_Toc459996809"/>
      <w:bookmarkStart w:id="48" w:name="_Toc458166997"/>
      <w:bookmarkStart w:id="49" w:name="_Ref466964262"/>
      <w:bookmarkStart w:id="50" w:name="_Ref466964264"/>
      <w:bookmarkStart w:id="51" w:name="_Toc495403384"/>
      <w:r>
        <w:rPr>
          <w:lang w:val="en-AU"/>
        </w:rPr>
        <w:t xml:space="preserve">Pathology Clinical </w:t>
      </w:r>
      <w:r w:rsidR="00026792" w:rsidRPr="00FC1976">
        <w:rPr>
          <w:lang w:val="en-AU"/>
        </w:rPr>
        <w:t xml:space="preserve">Committee </w:t>
      </w:r>
      <w:r w:rsidR="00DC1A87" w:rsidRPr="00FC1976">
        <w:rPr>
          <w:lang w:val="en-AU"/>
        </w:rPr>
        <w:t>m</w:t>
      </w:r>
      <w:r w:rsidR="00026792" w:rsidRPr="00FC1976">
        <w:rPr>
          <w:lang w:val="en-AU"/>
        </w:rPr>
        <w:t>embers</w:t>
      </w:r>
      <w:bookmarkEnd w:id="46"/>
      <w:bookmarkEnd w:id="47"/>
      <w:bookmarkEnd w:id="48"/>
      <w:bookmarkEnd w:id="49"/>
      <w:bookmarkEnd w:id="50"/>
      <w:bookmarkEnd w:id="51"/>
    </w:p>
    <w:p w14:paraId="7B92168A" w14:textId="77777777" w:rsidR="00805A52" w:rsidRPr="00FC1976" w:rsidRDefault="00805A52" w:rsidP="00805A52">
      <w:pPr>
        <w:rPr>
          <w:lang w:val="en-AU"/>
        </w:rPr>
      </w:pPr>
      <w:bookmarkStart w:id="52" w:name="_Toc458167025"/>
      <w:bookmarkStart w:id="53" w:name="_Toc459971207"/>
      <w:bookmarkStart w:id="54" w:name="_Toc459996834"/>
      <w:bookmarkStart w:id="55" w:name="_Toc459891295"/>
      <w:bookmarkStart w:id="56" w:name="_Toc477785174"/>
      <w:bookmarkStart w:id="57" w:name="_Toc481493768"/>
      <w:r w:rsidRPr="00FC1976">
        <w:rPr>
          <w:lang w:val="en-AU"/>
        </w:rPr>
        <w:t xml:space="preserve">The Committee consists of </w:t>
      </w:r>
      <w:r>
        <w:rPr>
          <w:lang w:val="en-AU"/>
        </w:rPr>
        <w:t>19</w:t>
      </w:r>
      <w:r w:rsidRPr="00FC1976">
        <w:rPr>
          <w:lang w:val="en-AU"/>
        </w:rPr>
        <w:t xml:space="preserve"> members, whose names, positions/organisations </w:t>
      </w:r>
      <w:r>
        <w:rPr>
          <w:lang w:val="en-AU"/>
        </w:rPr>
        <w:t xml:space="preserve">and </w:t>
      </w:r>
      <w:r w:rsidRPr="00FC1976">
        <w:rPr>
          <w:lang w:val="en-AU"/>
        </w:rPr>
        <w:t xml:space="preserve">declared conflicts of interest are listed in Section </w:t>
      </w:r>
      <w:r>
        <w:rPr>
          <w:lang w:val="en-AU"/>
        </w:rPr>
        <w:fldChar w:fldCharType="begin"/>
      </w:r>
      <w:r>
        <w:rPr>
          <w:lang w:val="en-AU"/>
        </w:rPr>
        <w:instrText xml:space="preserve"> REF _Ref466964262 \r \h </w:instrText>
      </w:r>
      <w:r>
        <w:rPr>
          <w:lang w:val="en-AU"/>
        </w:rPr>
      </w:r>
      <w:r>
        <w:rPr>
          <w:lang w:val="en-AU"/>
        </w:rPr>
        <w:fldChar w:fldCharType="separate"/>
      </w:r>
      <w:r w:rsidR="005C3364">
        <w:rPr>
          <w:lang w:val="en-AU"/>
        </w:rPr>
        <w:t>3.1</w:t>
      </w:r>
      <w:r>
        <w:rPr>
          <w:lang w:val="en-AU"/>
        </w:rPr>
        <w:fldChar w:fldCharType="end"/>
      </w:r>
      <w:r w:rsidRPr="00FC1976">
        <w:rPr>
          <w:lang w:val="en-AU"/>
        </w:rPr>
        <w:t xml:space="preserve">. All members of the Taskforce, </w:t>
      </w:r>
      <w:r>
        <w:rPr>
          <w:lang w:val="en-AU"/>
        </w:rPr>
        <w:t>clinical committee</w:t>
      </w:r>
      <w:r w:rsidRPr="00FC1976">
        <w:rPr>
          <w:lang w:val="en-AU"/>
        </w:rPr>
        <w:t xml:space="preserve">s and </w:t>
      </w:r>
      <w:r>
        <w:rPr>
          <w:lang w:val="en-AU"/>
        </w:rPr>
        <w:t>working group</w:t>
      </w:r>
      <w:r w:rsidRPr="00FC1976">
        <w:rPr>
          <w:lang w:val="en-AU"/>
        </w:rPr>
        <w:t xml:space="preserve">s </w:t>
      </w:r>
      <w:r>
        <w:rPr>
          <w:lang w:val="en-AU"/>
        </w:rPr>
        <w:t>were</w:t>
      </w:r>
      <w:r w:rsidRPr="00FC1976">
        <w:rPr>
          <w:lang w:val="en-AU"/>
        </w:rPr>
        <w:t xml:space="preserve"> asked to declare any conflicts of interest at the start of their involvement and</w:t>
      </w:r>
      <w:r>
        <w:rPr>
          <w:lang w:val="en-AU"/>
        </w:rPr>
        <w:t xml:space="preserve"> are</w:t>
      </w:r>
      <w:r w:rsidRPr="00FC1976">
        <w:rPr>
          <w:lang w:val="en-AU"/>
        </w:rPr>
        <w:t xml:space="preserve"> reminded to update their declarations periodically.</w:t>
      </w:r>
    </w:p>
    <w:p w14:paraId="2E779BDA" w14:textId="77777777" w:rsidR="006F6F5B" w:rsidRPr="00C702A9" w:rsidRDefault="006F6F5B" w:rsidP="00C702A9">
      <w:pPr>
        <w:pStyle w:val="Caption"/>
      </w:pPr>
      <w:r w:rsidRPr="00C702A9">
        <w:t xml:space="preserve">Table </w:t>
      </w:r>
      <w:r w:rsidR="002A3C45" w:rsidRPr="00C702A9">
        <w:fldChar w:fldCharType="begin"/>
      </w:r>
      <w:r w:rsidR="002A3C45" w:rsidRPr="004D7CE1">
        <w:instrText xml:space="preserve"> SEQ Table \* ARABIC </w:instrText>
      </w:r>
      <w:r w:rsidR="002A3C45" w:rsidRPr="00C702A9">
        <w:fldChar w:fldCharType="separate"/>
      </w:r>
      <w:r w:rsidR="005C3364">
        <w:rPr>
          <w:noProof/>
        </w:rPr>
        <w:t>1</w:t>
      </w:r>
      <w:r w:rsidR="002A3C45" w:rsidRPr="00C702A9">
        <w:fldChar w:fldCharType="end"/>
      </w:r>
      <w:r w:rsidR="0070244F" w:rsidRPr="00C702A9">
        <w:t xml:space="preserve">: </w:t>
      </w:r>
      <w:r w:rsidR="00F46EA4" w:rsidRPr="00C702A9">
        <w:t xml:space="preserve">Pathology Clinical </w:t>
      </w:r>
      <w:r w:rsidR="0088028F" w:rsidRPr="00C702A9">
        <w:t>Committee members</w:t>
      </w:r>
      <w:bookmarkEnd w:id="52"/>
      <w:bookmarkEnd w:id="53"/>
      <w:bookmarkEnd w:id="54"/>
      <w:bookmarkEnd w:id="55"/>
      <w:bookmarkEnd w:id="56"/>
      <w:bookmarkEnd w:id="5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 Committee members"/>
        <w:tblDescription w:val="Table 1 lists the committee members for the Pathology Clinical Committee. The table shows that members have no declared conflicts of interest."/>
      </w:tblPr>
      <w:tblGrid>
        <w:gridCol w:w="2263"/>
        <w:gridCol w:w="4111"/>
        <w:gridCol w:w="2642"/>
      </w:tblGrid>
      <w:tr w:rsidR="00C15476" w:rsidRPr="00FC1976" w14:paraId="4D31D5EF" w14:textId="77777777" w:rsidTr="001576E8">
        <w:trPr>
          <w:tblHeader/>
        </w:trPr>
        <w:tc>
          <w:tcPr>
            <w:tcW w:w="1255" w:type="pct"/>
            <w:shd w:val="clear" w:color="auto" w:fill="F2F2F2" w:themeFill="background1" w:themeFillShade="F2"/>
            <w:vAlign w:val="bottom"/>
          </w:tcPr>
          <w:p w14:paraId="3DA2CD71" w14:textId="77777777" w:rsidR="00C15476" w:rsidRPr="00FC1976" w:rsidRDefault="00C15476" w:rsidP="005E1809">
            <w:pPr>
              <w:pStyle w:val="01Tableheaderrow"/>
              <w:rPr>
                <w:lang w:val="en-AU"/>
              </w:rPr>
            </w:pPr>
            <w:r w:rsidRPr="00FC1976">
              <w:rPr>
                <w:lang w:val="en-AU"/>
              </w:rPr>
              <w:t>Name</w:t>
            </w:r>
          </w:p>
        </w:tc>
        <w:tc>
          <w:tcPr>
            <w:tcW w:w="2280" w:type="pct"/>
            <w:shd w:val="clear" w:color="auto" w:fill="F2F2F2" w:themeFill="background1" w:themeFillShade="F2"/>
            <w:vAlign w:val="bottom"/>
          </w:tcPr>
          <w:p w14:paraId="29B03A53" w14:textId="77777777" w:rsidR="00C15476" w:rsidRPr="00FC1976" w:rsidRDefault="00C15476" w:rsidP="005E1809">
            <w:pPr>
              <w:pStyle w:val="01Tableheaderrow"/>
              <w:rPr>
                <w:lang w:val="en-AU"/>
              </w:rPr>
            </w:pPr>
            <w:r w:rsidRPr="00FC1976">
              <w:rPr>
                <w:lang w:val="en-AU"/>
              </w:rPr>
              <w:t>Position/</w:t>
            </w:r>
            <w:r w:rsidR="00A6784C">
              <w:rPr>
                <w:lang w:val="en-AU"/>
              </w:rPr>
              <w:t>o</w:t>
            </w:r>
            <w:r w:rsidRPr="00FC1976">
              <w:rPr>
                <w:lang w:val="en-AU"/>
              </w:rPr>
              <w:t>rganisation</w:t>
            </w:r>
          </w:p>
        </w:tc>
        <w:tc>
          <w:tcPr>
            <w:tcW w:w="1465" w:type="pct"/>
            <w:shd w:val="clear" w:color="auto" w:fill="F2F2F2" w:themeFill="background1" w:themeFillShade="F2"/>
            <w:vAlign w:val="bottom"/>
          </w:tcPr>
          <w:p w14:paraId="68BA468F" w14:textId="77777777" w:rsidR="00C15476" w:rsidRPr="00FC1976" w:rsidRDefault="00C15476" w:rsidP="005E1809">
            <w:pPr>
              <w:pStyle w:val="01Tableheaderrow"/>
              <w:rPr>
                <w:lang w:val="en-AU"/>
              </w:rPr>
            </w:pPr>
            <w:r w:rsidRPr="00FC1976">
              <w:rPr>
                <w:lang w:val="en-AU"/>
              </w:rPr>
              <w:t>Declared conflict of interest</w:t>
            </w:r>
          </w:p>
        </w:tc>
      </w:tr>
      <w:tr w:rsidR="001576E8" w:rsidRPr="00FC1976" w14:paraId="4FD6E7E9" w14:textId="77777777" w:rsidTr="005A2B78">
        <w:tc>
          <w:tcPr>
            <w:tcW w:w="1255" w:type="pct"/>
          </w:tcPr>
          <w:p w14:paraId="0BE90094" w14:textId="77777777" w:rsidR="001576E8" w:rsidRPr="00FC1976" w:rsidRDefault="001576E8">
            <w:pPr>
              <w:pStyle w:val="02Tabletext"/>
              <w:rPr>
                <w:lang w:val="en-AU"/>
              </w:rPr>
            </w:pPr>
            <w:r>
              <w:rPr>
                <w:bCs/>
                <w:color w:val="000000"/>
              </w:rPr>
              <w:t xml:space="preserve">Associate Professor </w:t>
            </w:r>
            <w:r w:rsidR="00F46EA4">
              <w:rPr>
                <w:bCs/>
                <w:color w:val="000000"/>
              </w:rPr>
              <w:t>Peter </w:t>
            </w:r>
            <w:r>
              <w:rPr>
                <w:bCs/>
                <w:color w:val="000000"/>
              </w:rPr>
              <w:t>Stewart</w:t>
            </w:r>
          </w:p>
        </w:tc>
        <w:tc>
          <w:tcPr>
            <w:tcW w:w="2280" w:type="pct"/>
          </w:tcPr>
          <w:p w14:paraId="04C7DD93" w14:textId="77777777" w:rsidR="001576E8" w:rsidRPr="00FC1976" w:rsidRDefault="001576E8" w:rsidP="001576E8">
            <w:pPr>
              <w:pStyle w:val="02Tabletext"/>
              <w:rPr>
                <w:lang w:val="en-AU"/>
              </w:rPr>
            </w:pPr>
            <w:r w:rsidRPr="00CB798C">
              <w:t>Royal Prince Alfred Hospital (Public)</w:t>
            </w:r>
          </w:p>
        </w:tc>
        <w:tc>
          <w:tcPr>
            <w:tcW w:w="1465" w:type="pct"/>
            <w:shd w:val="clear" w:color="auto" w:fill="auto"/>
          </w:tcPr>
          <w:p w14:paraId="028BFF89" w14:textId="77777777" w:rsidR="001576E8" w:rsidRPr="00FC1976" w:rsidRDefault="001576E8" w:rsidP="001576E8">
            <w:pPr>
              <w:pStyle w:val="02Tabletext"/>
              <w:rPr>
                <w:lang w:val="en-AU"/>
              </w:rPr>
            </w:pPr>
            <w:r>
              <w:t>None</w:t>
            </w:r>
          </w:p>
        </w:tc>
      </w:tr>
      <w:tr w:rsidR="001576E8" w:rsidRPr="00FC1976" w14:paraId="2708B32C" w14:textId="77777777" w:rsidTr="005A2B78">
        <w:tc>
          <w:tcPr>
            <w:tcW w:w="1255" w:type="pct"/>
          </w:tcPr>
          <w:p w14:paraId="028BB7E2" w14:textId="77777777" w:rsidR="001576E8" w:rsidRPr="00FC1976" w:rsidRDefault="001576E8" w:rsidP="001576E8">
            <w:pPr>
              <w:pStyle w:val="02Tabletext"/>
              <w:rPr>
                <w:lang w:val="en-AU"/>
              </w:rPr>
            </w:pPr>
            <w:r>
              <w:rPr>
                <w:bCs/>
                <w:color w:val="000000"/>
              </w:rPr>
              <w:t xml:space="preserve">Professor Rita Horvath </w:t>
            </w:r>
          </w:p>
        </w:tc>
        <w:tc>
          <w:tcPr>
            <w:tcW w:w="2280" w:type="pct"/>
          </w:tcPr>
          <w:p w14:paraId="451A023D" w14:textId="77777777" w:rsidR="001576E8" w:rsidRPr="00FC1976" w:rsidRDefault="001576E8" w:rsidP="001576E8">
            <w:pPr>
              <w:pStyle w:val="02Tabletext"/>
              <w:rPr>
                <w:lang w:val="en-AU"/>
              </w:rPr>
            </w:pPr>
            <w:r w:rsidRPr="00CB798C">
              <w:t>South Eastern Area Laboratory Services (Public)</w:t>
            </w:r>
          </w:p>
        </w:tc>
        <w:tc>
          <w:tcPr>
            <w:tcW w:w="1465" w:type="pct"/>
            <w:shd w:val="clear" w:color="auto" w:fill="auto"/>
          </w:tcPr>
          <w:p w14:paraId="11D4AD4A" w14:textId="77777777" w:rsidR="001576E8" w:rsidRPr="00FC1976" w:rsidRDefault="001576E8" w:rsidP="001576E8">
            <w:pPr>
              <w:pStyle w:val="02Tabletext"/>
              <w:rPr>
                <w:lang w:val="en-AU"/>
              </w:rPr>
            </w:pPr>
            <w:r w:rsidRPr="00FE583F">
              <w:t>None</w:t>
            </w:r>
          </w:p>
        </w:tc>
      </w:tr>
      <w:tr w:rsidR="001576E8" w:rsidRPr="00FC1976" w14:paraId="282D33BE" w14:textId="77777777" w:rsidTr="005A2B78">
        <w:tc>
          <w:tcPr>
            <w:tcW w:w="1255" w:type="pct"/>
          </w:tcPr>
          <w:p w14:paraId="13CE56CF" w14:textId="77777777" w:rsidR="001576E8" w:rsidRPr="006F7C28" w:rsidRDefault="001576E8" w:rsidP="001576E8">
            <w:pPr>
              <w:pStyle w:val="02Tabletext"/>
              <w:rPr>
                <w:lang w:val="fr-CA"/>
              </w:rPr>
            </w:pPr>
            <w:r>
              <w:rPr>
                <w:bCs/>
                <w:color w:val="000000"/>
              </w:rPr>
              <w:t xml:space="preserve">Dr Debra Norris </w:t>
            </w:r>
          </w:p>
        </w:tc>
        <w:tc>
          <w:tcPr>
            <w:tcW w:w="2280" w:type="pct"/>
          </w:tcPr>
          <w:p w14:paraId="6DE50309" w14:textId="77777777" w:rsidR="001576E8" w:rsidRPr="00FC1976" w:rsidRDefault="001576E8" w:rsidP="001576E8">
            <w:pPr>
              <w:pStyle w:val="02Tabletext"/>
              <w:rPr>
                <w:lang w:val="en-AU"/>
              </w:rPr>
            </w:pPr>
            <w:r w:rsidRPr="00CB798C">
              <w:t>QML Pathology (Primary)</w:t>
            </w:r>
          </w:p>
        </w:tc>
        <w:tc>
          <w:tcPr>
            <w:tcW w:w="1465" w:type="pct"/>
            <w:shd w:val="clear" w:color="auto" w:fill="auto"/>
          </w:tcPr>
          <w:p w14:paraId="05B2672F" w14:textId="77777777" w:rsidR="001576E8" w:rsidRPr="00FC1976" w:rsidRDefault="001576E8" w:rsidP="001576E8">
            <w:pPr>
              <w:pStyle w:val="02Tabletext"/>
              <w:rPr>
                <w:lang w:val="en-AU"/>
              </w:rPr>
            </w:pPr>
            <w:r w:rsidRPr="00FE583F">
              <w:t>None</w:t>
            </w:r>
          </w:p>
        </w:tc>
      </w:tr>
      <w:tr w:rsidR="001576E8" w:rsidRPr="00FC1976" w14:paraId="4E7D5FFE" w14:textId="77777777" w:rsidTr="005A2B78">
        <w:tc>
          <w:tcPr>
            <w:tcW w:w="1255" w:type="pct"/>
          </w:tcPr>
          <w:p w14:paraId="6926C64E" w14:textId="77777777" w:rsidR="001576E8" w:rsidRDefault="001576E8" w:rsidP="001576E8">
            <w:pPr>
              <w:pStyle w:val="02Tabletext"/>
              <w:rPr>
                <w:bCs/>
                <w:color w:val="000000"/>
              </w:rPr>
            </w:pPr>
            <w:r>
              <w:rPr>
                <w:bCs/>
                <w:color w:val="000000"/>
              </w:rPr>
              <w:t xml:space="preserve">Dr Michael Harrison </w:t>
            </w:r>
          </w:p>
        </w:tc>
        <w:tc>
          <w:tcPr>
            <w:tcW w:w="2280" w:type="pct"/>
          </w:tcPr>
          <w:p w14:paraId="0F9286B7" w14:textId="77777777" w:rsidR="001576E8" w:rsidRPr="00AA0871" w:rsidRDefault="001576E8" w:rsidP="001576E8">
            <w:pPr>
              <w:pStyle w:val="02Tabletext"/>
            </w:pPr>
            <w:r w:rsidRPr="00CB798C">
              <w:t>Sullivan Nicolaides Pathology (Sonic)</w:t>
            </w:r>
          </w:p>
        </w:tc>
        <w:tc>
          <w:tcPr>
            <w:tcW w:w="1465" w:type="pct"/>
            <w:shd w:val="clear" w:color="auto" w:fill="auto"/>
          </w:tcPr>
          <w:p w14:paraId="0346CEEF" w14:textId="77777777" w:rsidR="001576E8" w:rsidRPr="00FC1976" w:rsidRDefault="001576E8" w:rsidP="001576E8">
            <w:pPr>
              <w:pStyle w:val="02Tabletext"/>
              <w:rPr>
                <w:lang w:val="en-AU"/>
              </w:rPr>
            </w:pPr>
            <w:r w:rsidRPr="00FE583F">
              <w:t>None</w:t>
            </w:r>
          </w:p>
        </w:tc>
      </w:tr>
      <w:tr w:rsidR="001576E8" w:rsidRPr="00FC1976" w14:paraId="0250EF0B" w14:textId="77777777" w:rsidTr="005A2B78">
        <w:tc>
          <w:tcPr>
            <w:tcW w:w="1255" w:type="pct"/>
          </w:tcPr>
          <w:p w14:paraId="3AD883D2" w14:textId="77777777" w:rsidR="001576E8" w:rsidRDefault="001576E8" w:rsidP="001576E8">
            <w:pPr>
              <w:pStyle w:val="02Tabletext"/>
              <w:rPr>
                <w:bCs/>
                <w:color w:val="000000"/>
              </w:rPr>
            </w:pPr>
            <w:r>
              <w:rPr>
                <w:bCs/>
                <w:color w:val="000000"/>
              </w:rPr>
              <w:t>Associate Professor Ken </w:t>
            </w:r>
            <w:proofErr w:type="spellStart"/>
            <w:r>
              <w:rPr>
                <w:bCs/>
                <w:color w:val="000000"/>
              </w:rPr>
              <w:t>Sikaris</w:t>
            </w:r>
            <w:proofErr w:type="spellEnd"/>
            <w:r>
              <w:rPr>
                <w:bCs/>
                <w:color w:val="000000"/>
              </w:rPr>
              <w:t xml:space="preserve"> </w:t>
            </w:r>
          </w:p>
        </w:tc>
        <w:tc>
          <w:tcPr>
            <w:tcW w:w="2280" w:type="pct"/>
          </w:tcPr>
          <w:p w14:paraId="1F45D307" w14:textId="77777777" w:rsidR="001576E8" w:rsidRPr="00AA0871" w:rsidRDefault="001576E8" w:rsidP="001576E8">
            <w:pPr>
              <w:pStyle w:val="02Tabletext"/>
            </w:pPr>
            <w:r w:rsidRPr="00CB798C">
              <w:t>Melbourne Pathology (Sonic)</w:t>
            </w:r>
          </w:p>
        </w:tc>
        <w:tc>
          <w:tcPr>
            <w:tcW w:w="1465" w:type="pct"/>
            <w:shd w:val="clear" w:color="auto" w:fill="auto"/>
          </w:tcPr>
          <w:p w14:paraId="54BD6ECF" w14:textId="77777777" w:rsidR="001576E8" w:rsidRPr="00FC1976" w:rsidRDefault="001576E8" w:rsidP="001576E8">
            <w:pPr>
              <w:pStyle w:val="02Tabletext"/>
              <w:rPr>
                <w:lang w:val="en-AU"/>
              </w:rPr>
            </w:pPr>
            <w:r w:rsidRPr="00FE583F">
              <w:t>None</w:t>
            </w:r>
          </w:p>
        </w:tc>
      </w:tr>
      <w:tr w:rsidR="001576E8" w:rsidRPr="00FC1976" w14:paraId="1FC28726" w14:textId="77777777" w:rsidTr="005A2B78">
        <w:tc>
          <w:tcPr>
            <w:tcW w:w="1255" w:type="pct"/>
          </w:tcPr>
          <w:p w14:paraId="75EF256D" w14:textId="77777777" w:rsidR="001576E8" w:rsidRDefault="001576E8" w:rsidP="001576E8">
            <w:pPr>
              <w:pStyle w:val="02Tabletext"/>
              <w:rPr>
                <w:bCs/>
                <w:color w:val="000000"/>
              </w:rPr>
            </w:pPr>
            <w:r>
              <w:rPr>
                <w:bCs/>
                <w:color w:val="000000"/>
              </w:rPr>
              <w:t xml:space="preserve">Dr Melody </w:t>
            </w:r>
            <w:proofErr w:type="spellStart"/>
            <w:r>
              <w:rPr>
                <w:bCs/>
                <w:color w:val="000000"/>
              </w:rPr>
              <w:t>Caramins</w:t>
            </w:r>
            <w:proofErr w:type="spellEnd"/>
            <w:r>
              <w:rPr>
                <w:bCs/>
                <w:color w:val="000000"/>
              </w:rPr>
              <w:t xml:space="preserve"> </w:t>
            </w:r>
          </w:p>
        </w:tc>
        <w:tc>
          <w:tcPr>
            <w:tcW w:w="2280" w:type="pct"/>
          </w:tcPr>
          <w:p w14:paraId="727BBBC9" w14:textId="77777777" w:rsidR="001576E8" w:rsidRPr="00AA0871" w:rsidRDefault="001576E8" w:rsidP="001576E8">
            <w:pPr>
              <w:pStyle w:val="02Tabletext"/>
            </w:pPr>
            <w:r w:rsidRPr="00CB798C">
              <w:t>Specialist Diagnostic Services (Primary)</w:t>
            </w:r>
          </w:p>
        </w:tc>
        <w:tc>
          <w:tcPr>
            <w:tcW w:w="1465" w:type="pct"/>
            <w:shd w:val="clear" w:color="auto" w:fill="auto"/>
          </w:tcPr>
          <w:p w14:paraId="0FE0023D" w14:textId="77777777" w:rsidR="001576E8" w:rsidRPr="00FC1976" w:rsidRDefault="001576E8" w:rsidP="001576E8">
            <w:pPr>
              <w:pStyle w:val="02Tabletext"/>
              <w:rPr>
                <w:lang w:val="en-AU"/>
              </w:rPr>
            </w:pPr>
            <w:r w:rsidRPr="00FE583F">
              <w:t>None</w:t>
            </w:r>
          </w:p>
        </w:tc>
      </w:tr>
      <w:tr w:rsidR="001576E8" w:rsidRPr="00FC1976" w14:paraId="04B0021E" w14:textId="77777777" w:rsidTr="005A2B78">
        <w:tc>
          <w:tcPr>
            <w:tcW w:w="1255" w:type="pct"/>
          </w:tcPr>
          <w:p w14:paraId="04C77DFF" w14:textId="77777777" w:rsidR="001576E8" w:rsidRDefault="001576E8" w:rsidP="001576E8">
            <w:pPr>
              <w:pStyle w:val="02Tabletext"/>
              <w:rPr>
                <w:bCs/>
                <w:color w:val="000000"/>
              </w:rPr>
            </w:pPr>
            <w:r>
              <w:rPr>
                <w:bCs/>
                <w:color w:val="000000"/>
              </w:rPr>
              <w:t xml:space="preserve">Dr John Rowell </w:t>
            </w:r>
          </w:p>
        </w:tc>
        <w:tc>
          <w:tcPr>
            <w:tcW w:w="2280" w:type="pct"/>
          </w:tcPr>
          <w:p w14:paraId="74395429" w14:textId="77777777" w:rsidR="001576E8" w:rsidRPr="00AA0871" w:rsidRDefault="00AF1ED5" w:rsidP="001576E8">
            <w:pPr>
              <w:pStyle w:val="02Tabletext"/>
            </w:pPr>
            <w:r>
              <w:t>Pathology Queensland</w:t>
            </w:r>
          </w:p>
        </w:tc>
        <w:tc>
          <w:tcPr>
            <w:tcW w:w="1465" w:type="pct"/>
            <w:shd w:val="clear" w:color="auto" w:fill="auto"/>
          </w:tcPr>
          <w:p w14:paraId="565E8F65" w14:textId="77777777" w:rsidR="001576E8" w:rsidRPr="00FC1976" w:rsidRDefault="001576E8" w:rsidP="001576E8">
            <w:pPr>
              <w:pStyle w:val="02Tabletext"/>
              <w:rPr>
                <w:lang w:val="en-AU"/>
              </w:rPr>
            </w:pPr>
            <w:r w:rsidRPr="00FE583F">
              <w:t>None</w:t>
            </w:r>
          </w:p>
        </w:tc>
      </w:tr>
      <w:tr w:rsidR="001576E8" w:rsidRPr="00FC1976" w14:paraId="1E2A181D" w14:textId="77777777" w:rsidTr="005A2B78">
        <w:tc>
          <w:tcPr>
            <w:tcW w:w="1255" w:type="pct"/>
          </w:tcPr>
          <w:p w14:paraId="6F4DE601" w14:textId="77777777" w:rsidR="001576E8" w:rsidRDefault="001576E8" w:rsidP="001576E8">
            <w:pPr>
              <w:pStyle w:val="02Tabletext"/>
              <w:rPr>
                <w:bCs/>
                <w:color w:val="000000"/>
              </w:rPr>
            </w:pPr>
            <w:r>
              <w:rPr>
                <w:bCs/>
                <w:color w:val="000000"/>
              </w:rPr>
              <w:t>Professor Dominic Mallon</w:t>
            </w:r>
          </w:p>
        </w:tc>
        <w:tc>
          <w:tcPr>
            <w:tcW w:w="2280" w:type="pct"/>
          </w:tcPr>
          <w:p w14:paraId="1A7D9B8B" w14:textId="77777777" w:rsidR="001576E8" w:rsidRPr="00AA0871" w:rsidRDefault="001576E8" w:rsidP="001576E8">
            <w:pPr>
              <w:pStyle w:val="02Tabletext"/>
            </w:pPr>
            <w:proofErr w:type="spellStart"/>
            <w:r w:rsidRPr="00CB798C">
              <w:t>PathWest</w:t>
            </w:r>
            <w:proofErr w:type="spellEnd"/>
          </w:p>
        </w:tc>
        <w:tc>
          <w:tcPr>
            <w:tcW w:w="1465" w:type="pct"/>
            <w:shd w:val="clear" w:color="auto" w:fill="auto"/>
          </w:tcPr>
          <w:p w14:paraId="5FC4DB9E" w14:textId="77777777" w:rsidR="001576E8" w:rsidRPr="00FC1976" w:rsidRDefault="001576E8" w:rsidP="001576E8">
            <w:pPr>
              <w:pStyle w:val="02Tabletext"/>
              <w:rPr>
                <w:lang w:val="en-AU"/>
              </w:rPr>
            </w:pPr>
            <w:r w:rsidRPr="00FE583F">
              <w:t>None</w:t>
            </w:r>
          </w:p>
        </w:tc>
      </w:tr>
      <w:tr w:rsidR="001576E8" w:rsidRPr="00FC1976" w14:paraId="737809B8" w14:textId="77777777" w:rsidTr="005A2B78">
        <w:tc>
          <w:tcPr>
            <w:tcW w:w="1255" w:type="pct"/>
          </w:tcPr>
          <w:p w14:paraId="4FEBD099" w14:textId="77777777" w:rsidR="001576E8" w:rsidRDefault="001576E8" w:rsidP="001576E8">
            <w:pPr>
              <w:pStyle w:val="02Tabletext"/>
              <w:rPr>
                <w:bCs/>
                <w:color w:val="000000"/>
              </w:rPr>
            </w:pPr>
            <w:r>
              <w:rPr>
                <w:bCs/>
                <w:color w:val="000000"/>
              </w:rPr>
              <w:t>Dr Peter Roberts</w:t>
            </w:r>
          </w:p>
        </w:tc>
        <w:tc>
          <w:tcPr>
            <w:tcW w:w="2280" w:type="pct"/>
          </w:tcPr>
          <w:p w14:paraId="24AE6309" w14:textId="77777777" w:rsidR="001576E8" w:rsidRPr="00AA0871" w:rsidRDefault="001576E8" w:rsidP="001576E8">
            <w:pPr>
              <w:pStyle w:val="02Tabletext"/>
            </w:pPr>
            <w:r w:rsidRPr="00CB798C">
              <w:t>Ryde Hospital (AESM)</w:t>
            </w:r>
          </w:p>
        </w:tc>
        <w:tc>
          <w:tcPr>
            <w:tcW w:w="1465" w:type="pct"/>
            <w:shd w:val="clear" w:color="auto" w:fill="auto"/>
          </w:tcPr>
          <w:p w14:paraId="511A27DC" w14:textId="77777777" w:rsidR="001576E8" w:rsidRPr="00FC1976" w:rsidRDefault="001576E8" w:rsidP="001576E8">
            <w:pPr>
              <w:pStyle w:val="02Tabletext"/>
              <w:rPr>
                <w:lang w:val="en-AU"/>
              </w:rPr>
            </w:pPr>
            <w:r w:rsidRPr="00FE583F">
              <w:t>None</w:t>
            </w:r>
          </w:p>
        </w:tc>
      </w:tr>
      <w:tr w:rsidR="001576E8" w:rsidRPr="00FC1976" w14:paraId="56D413C6" w14:textId="77777777" w:rsidTr="005A2B78">
        <w:tc>
          <w:tcPr>
            <w:tcW w:w="1255" w:type="pct"/>
          </w:tcPr>
          <w:p w14:paraId="5F19E023" w14:textId="77777777" w:rsidR="001576E8" w:rsidRDefault="001576E8" w:rsidP="001576E8">
            <w:pPr>
              <w:pStyle w:val="02Tabletext"/>
              <w:rPr>
                <w:bCs/>
                <w:color w:val="000000"/>
              </w:rPr>
            </w:pPr>
            <w:r>
              <w:rPr>
                <w:bCs/>
                <w:color w:val="000000"/>
              </w:rPr>
              <w:t>Associate Professor Anthony Landgren</w:t>
            </w:r>
          </w:p>
        </w:tc>
        <w:tc>
          <w:tcPr>
            <w:tcW w:w="2280" w:type="pct"/>
          </w:tcPr>
          <w:p w14:paraId="7EB88823" w14:textId="77777777" w:rsidR="001576E8" w:rsidRPr="00AA0871" w:rsidRDefault="001576E8" w:rsidP="001576E8">
            <w:pPr>
              <w:pStyle w:val="02Tabletext"/>
            </w:pPr>
            <w:r w:rsidRPr="00CB798C">
              <w:t>Australian Clinical Labs</w:t>
            </w:r>
          </w:p>
        </w:tc>
        <w:tc>
          <w:tcPr>
            <w:tcW w:w="1465" w:type="pct"/>
            <w:shd w:val="clear" w:color="auto" w:fill="auto"/>
          </w:tcPr>
          <w:p w14:paraId="084B965D" w14:textId="77777777" w:rsidR="001576E8" w:rsidRPr="00FC1976" w:rsidRDefault="001576E8" w:rsidP="001576E8">
            <w:pPr>
              <w:pStyle w:val="02Tabletext"/>
              <w:rPr>
                <w:lang w:val="en-AU"/>
              </w:rPr>
            </w:pPr>
            <w:r w:rsidRPr="00FE583F">
              <w:t>None</w:t>
            </w:r>
          </w:p>
        </w:tc>
      </w:tr>
      <w:tr w:rsidR="001576E8" w:rsidRPr="00FC1976" w14:paraId="45ADFCFA" w14:textId="77777777" w:rsidTr="005A2B78">
        <w:tc>
          <w:tcPr>
            <w:tcW w:w="1255" w:type="pct"/>
          </w:tcPr>
          <w:p w14:paraId="2107704B" w14:textId="77777777" w:rsidR="001576E8" w:rsidRDefault="001576E8" w:rsidP="001576E8">
            <w:pPr>
              <w:pStyle w:val="02Tabletext"/>
              <w:rPr>
                <w:bCs/>
                <w:color w:val="000000"/>
              </w:rPr>
            </w:pPr>
            <w:r>
              <w:rPr>
                <w:bCs/>
                <w:color w:val="000000"/>
              </w:rPr>
              <w:t xml:space="preserve">Associate Professor </w:t>
            </w:r>
            <w:r w:rsidR="00F46EA4">
              <w:rPr>
                <w:bCs/>
                <w:color w:val="000000"/>
              </w:rPr>
              <w:br/>
            </w:r>
            <w:r>
              <w:rPr>
                <w:bCs/>
                <w:color w:val="000000"/>
              </w:rPr>
              <w:t xml:space="preserve">Mary-Jo Waters </w:t>
            </w:r>
          </w:p>
        </w:tc>
        <w:tc>
          <w:tcPr>
            <w:tcW w:w="2280" w:type="pct"/>
          </w:tcPr>
          <w:p w14:paraId="356BAD29" w14:textId="77777777" w:rsidR="001576E8" w:rsidRPr="00AA0871" w:rsidRDefault="001576E8" w:rsidP="001576E8">
            <w:pPr>
              <w:pStyle w:val="02Tabletext"/>
            </w:pPr>
            <w:r w:rsidRPr="007962E8">
              <w:t>St Vincent's Pathology (CHA)</w:t>
            </w:r>
          </w:p>
        </w:tc>
        <w:tc>
          <w:tcPr>
            <w:tcW w:w="1465" w:type="pct"/>
            <w:shd w:val="clear" w:color="auto" w:fill="auto"/>
          </w:tcPr>
          <w:p w14:paraId="7EDED568" w14:textId="77777777" w:rsidR="001576E8" w:rsidRPr="00FC1976" w:rsidRDefault="001576E8" w:rsidP="001576E8">
            <w:pPr>
              <w:pStyle w:val="02Tabletext"/>
              <w:rPr>
                <w:lang w:val="en-AU"/>
              </w:rPr>
            </w:pPr>
            <w:r w:rsidRPr="00FE583F">
              <w:t>None</w:t>
            </w:r>
          </w:p>
        </w:tc>
      </w:tr>
      <w:tr w:rsidR="001576E8" w:rsidRPr="00FC1976" w14:paraId="14C9F428" w14:textId="77777777" w:rsidTr="005A2B78">
        <w:tc>
          <w:tcPr>
            <w:tcW w:w="1255" w:type="pct"/>
          </w:tcPr>
          <w:p w14:paraId="3ECEE8F3" w14:textId="77777777" w:rsidR="001576E8" w:rsidRDefault="001576E8" w:rsidP="001576E8">
            <w:pPr>
              <w:pStyle w:val="02Tabletext"/>
              <w:rPr>
                <w:bCs/>
                <w:color w:val="000000"/>
              </w:rPr>
            </w:pPr>
            <w:r>
              <w:rPr>
                <w:bCs/>
                <w:color w:val="000000"/>
              </w:rPr>
              <w:t>Professor Richard </w:t>
            </w:r>
            <w:proofErr w:type="spellStart"/>
            <w:r>
              <w:rPr>
                <w:bCs/>
                <w:color w:val="000000"/>
              </w:rPr>
              <w:t>Maclsaac</w:t>
            </w:r>
            <w:proofErr w:type="spellEnd"/>
          </w:p>
        </w:tc>
        <w:tc>
          <w:tcPr>
            <w:tcW w:w="2280" w:type="pct"/>
          </w:tcPr>
          <w:p w14:paraId="22CB7BDC" w14:textId="77777777" w:rsidR="001576E8" w:rsidRPr="00AA0871" w:rsidRDefault="001576E8" w:rsidP="001576E8">
            <w:pPr>
              <w:pStyle w:val="02Tabletext"/>
            </w:pPr>
            <w:r w:rsidRPr="007962E8">
              <w:t>St Vincent's Hospital</w:t>
            </w:r>
          </w:p>
        </w:tc>
        <w:tc>
          <w:tcPr>
            <w:tcW w:w="1465" w:type="pct"/>
            <w:shd w:val="clear" w:color="auto" w:fill="auto"/>
          </w:tcPr>
          <w:p w14:paraId="735B68A2" w14:textId="77777777" w:rsidR="001576E8" w:rsidRPr="00FC1976" w:rsidRDefault="001576E8" w:rsidP="001576E8">
            <w:pPr>
              <w:pStyle w:val="02Tabletext"/>
              <w:rPr>
                <w:lang w:val="en-AU"/>
              </w:rPr>
            </w:pPr>
            <w:r w:rsidRPr="00FE583F">
              <w:t>None</w:t>
            </w:r>
          </w:p>
        </w:tc>
      </w:tr>
      <w:tr w:rsidR="001576E8" w:rsidRPr="00FC1976" w14:paraId="528B35A8" w14:textId="77777777" w:rsidTr="005A2B78">
        <w:tc>
          <w:tcPr>
            <w:tcW w:w="1255" w:type="pct"/>
          </w:tcPr>
          <w:p w14:paraId="22A86C30" w14:textId="77777777" w:rsidR="001576E8" w:rsidRDefault="001576E8" w:rsidP="001576E8">
            <w:pPr>
              <w:pStyle w:val="02Tabletext"/>
              <w:rPr>
                <w:bCs/>
                <w:color w:val="000000"/>
              </w:rPr>
            </w:pPr>
            <w:r>
              <w:rPr>
                <w:bCs/>
                <w:color w:val="000000"/>
              </w:rPr>
              <w:t xml:space="preserve">Dr Emil </w:t>
            </w:r>
            <w:proofErr w:type="spellStart"/>
            <w:r>
              <w:rPr>
                <w:bCs/>
                <w:color w:val="000000"/>
              </w:rPr>
              <w:t>Djakic</w:t>
            </w:r>
            <w:proofErr w:type="spellEnd"/>
          </w:p>
        </w:tc>
        <w:tc>
          <w:tcPr>
            <w:tcW w:w="2280" w:type="pct"/>
          </w:tcPr>
          <w:p w14:paraId="324B361E" w14:textId="77777777" w:rsidR="001576E8" w:rsidRPr="00AA0871" w:rsidRDefault="001576E8" w:rsidP="001576E8">
            <w:pPr>
              <w:pStyle w:val="02Tabletext"/>
            </w:pPr>
            <w:r w:rsidRPr="007962E8">
              <w:t xml:space="preserve">General </w:t>
            </w:r>
            <w:r>
              <w:t>p</w:t>
            </w:r>
            <w:r w:rsidRPr="007962E8">
              <w:t>ractitioner</w:t>
            </w:r>
          </w:p>
        </w:tc>
        <w:tc>
          <w:tcPr>
            <w:tcW w:w="1465" w:type="pct"/>
            <w:shd w:val="clear" w:color="auto" w:fill="auto"/>
          </w:tcPr>
          <w:p w14:paraId="0A67FE16" w14:textId="77777777" w:rsidR="001576E8" w:rsidRPr="00FC1976" w:rsidRDefault="001576E8" w:rsidP="001576E8">
            <w:pPr>
              <w:pStyle w:val="02Tabletext"/>
              <w:rPr>
                <w:lang w:val="en-AU"/>
              </w:rPr>
            </w:pPr>
            <w:r w:rsidRPr="00FE583F">
              <w:t>None</w:t>
            </w:r>
          </w:p>
        </w:tc>
      </w:tr>
      <w:tr w:rsidR="001576E8" w:rsidRPr="00FC1976" w14:paraId="4169CACF" w14:textId="77777777" w:rsidTr="005A2B78">
        <w:tc>
          <w:tcPr>
            <w:tcW w:w="1255" w:type="pct"/>
          </w:tcPr>
          <w:p w14:paraId="4196598E" w14:textId="77777777" w:rsidR="001576E8" w:rsidRDefault="001576E8" w:rsidP="001576E8">
            <w:pPr>
              <w:pStyle w:val="02Tabletext"/>
              <w:rPr>
                <w:bCs/>
                <w:color w:val="000000"/>
              </w:rPr>
            </w:pPr>
            <w:r>
              <w:rPr>
                <w:bCs/>
                <w:color w:val="000000"/>
              </w:rPr>
              <w:t xml:space="preserve">Dr Bev </w:t>
            </w:r>
            <w:proofErr w:type="spellStart"/>
            <w:r>
              <w:rPr>
                <w:bCs/>
                <w:color w:val="000000"/>
              </w:rPr>
              <w:t>Rowbotham</w:t>
            </w:r>
            <w:proofErr w:type="spellEnd"/>
          </w:p>
        </w:tc>
        <w:tc>
          <w:tcPr>
            <w:tcW w:w="2280" w:type="pct"/>
          </w:tcPr>
          <w:p w14:paraId="3FF6692A" w14:textId="77777777" w:rsidR="001576E8" w:rsidRPr="00AA0871" w:rsidRDefault="001576E8" w:rsidP="001576E8">
            <w:pPr>
              <w:pStyle w:val="02Tabletext"/>
            </w:pPr>
            <w:r>
              <w:t>MBS Taskforce</w:t>
            </w:r>
          </w:p>
        </w:tc>
        <w:tc>
          <w:tcPr>
            <w:tcW w:w="1465" w:type="pct"/>
            <w:shd w:val="clear" w:color="auto" w:fill="auto"/>
          </w:tcPr>
          <w:p w14:paraId="6B2D3C28" w14:textId="77777777" w:rsidR="001576E8" w:rsidRPr="00FC1976" w:rsidRDefault="001576E8" w:rsidP="001576E8">
            <w:pPr>
              <w:pStyle w:val="02Tabletext"/>
              <w:rPr>
                <w:lang w:val="en-AU"/>
              </w:rPr>
            </w:pPr>
            <w:r w:rsidRPr="00FE583F">
              <w:t>None</w:t>
            </w:r>
          </w:p>
        </w:tc>
      </w:tr>
      <w:tr w:rsidR="001576E8" w:rsidRPr="00FC1976" w14:paraId="74654D8C" w14:textId="77777777" w:rsidTr="005A2B78">
        <w:tc>
          <w:tcPr>
            <w:tcW w:w="1255" w:type="pct"/>
          </w:tcPr>
          <w:p w14:paraId="12963FD8" w14:textId="77777777" w:rsidR="001576E8" w:rsidRDefault="001576E8" w:rsidP="001576E8">
            <w:pPr>
              <w:pStyle w:val="02Tabletext"/>
              <w:rPr>
                <w:bCs/>
                <w:color w:val="000000"/>
              </w:rPr>
            </w:pPr>
            <w:r>
              <w:rPr>
                <w:bCs/>
                <w:color w:val="000000"/>
              </w:rPr>
              <w:t xml:space="preserve">Dr Jill </w:t>
            </w:r>
            <w:proofErr w:type="spellStart"/>
            <w:r>
              <w:rPr>
                <w:bCs/>
                <w:color w:val="000000"/>
              </w:rPr>
              <w:t>Thistlethwaite</w:t>
            </w:r>
            <w:proofErr w:type="spellEnd"/>
          </w:p>
        </w:tc>
        <w:tc>
          <w:tcPr>
            <w:tcW w:w="2280" w:type="pct"/>
          </w:tcPr>
          <w:p w14:paraId="291BF060" w14:textId="77777777" w:rsidR="001576E8" w:rsidRPr="00AA0871" w:rsidRDefault="001576E8" w:rsidP="001576E8">
            <w:pPr>
              <w:pStyle w:val="02Tabletext"/>
            </w:pPr>
            <w:r>
              <w:t>General practitioner</w:t>
            </w:r>
          </w:p>
        </w:tc>
        <w:tc>
          <w:tcPr>
            <w:tcW w:w="1465" w:type="pct"/>
            <w:shd w:val="clear" w:color="auto" w:fill="auto"/>
          </w:tcPr>
          <w:p w14:paraId="2FE1617A" w14:textId="77777777" w:rsidR="001576E8" w:rsidRPr="00FC1976" w:rsidRDefault="001576E8" w:rsidP="001576E8">
            <w:pPr>
              <w:pStyle w:val="02Tabletext"/>
              <w:rPr>
                <w:lang w:val="en-AU"/>
              </w:rPr>
            </w:pPr>
            <w:r w:rsidRPr="00FE583F">
              <w:t>None</w:t>
            </w:r>
          </w:p>
        </w:tc>
      </w:tr>
      <w:tr w:rsidR="001576E8" w:rsidRPr="00FC1976" w14:paraId="1AA41438" w14:textId="77777777" w:rsidTr="005A2B78">
        <w:tc>
          <w:tcPr>
            <w:tcW w:w="1255" w:type="pct"/>
          </w:tcPr>
          <w:p w14:paraId="6D5CF7F5" w14:textId="77777777" w:rsidR="001576E8" w:rsidRDefault="001576E8" w:rsidP="001576E8">
            <w:pPr>
              <w:pStyle w:val="02Tabletext"/>
              <w:rPr>
                <w:bCs/>
                <w:color w:val="000000"/>
              </w:rPr>
            </w:pPr>
            <w:r>
              <w:rPr>
                <w:bCs/>
                <w:color w:val="000000"/>
              </w:rPr>
              <w:t>Ms Valerie Hanrahan</w:t>
            </w:r>
          </w:p>
        </w:tc>
        <w:tc>
          <w:tcPr>
            <w:tcW w:w="2280" w:type="pct"/>
          </w:tcPr>
          <w:p w14:paraId="22A154D6" w14:textId="77777777" w:rsidR="001576E8" w:rsidRPr="00AA0871" w:rsidRDefault="001576E8" w:rsidP="001576E8">
            <w:pPr>
              <w:pStyle w:val="02Tabletext"/>
            </w:pPr>
            <w:r w:rsidRPr="00AA0871">
              <w:t>Consumers Health Forum</w:t>
            </w:r>
          </w:p>
        </w:tc>
        <w:tc>
          <w:tcPr>
            <w:tcW w:w="1465" w:type="pct"/>
            <w:shd w:val="clear" w:color="auto" w:fill="auto"/>
          </w:tcPr>
          <w:p w14:paraId="22405FB3" w14:textId="77777777" w:rsidR="001576E8" w:rsidRPr="00FC1976" w:rsidRDefault="001576E8" w:rsidP="001576E8">
            <w:pPr>
              <w:pStyle w:val="02Tabletext"/>
              <w:rPr>
                <w:lang w:val="en-AU"/>
              </w:rPr>
            </w:pPr>
            <w:r w:rsidRPr="00E315F6">
              <w:t>None</w:t>
            </w:r>
          </w:p>
        </w:tc>
      </w:tr>
      <w:tr w:rsidR="001576E8" w:rsidRPr="00FC1976" w14:paraId="1C8B45C8" w14:textId="77777777" w:rsidTr="005A2B78">
        <w:tc>
          <w:tcPr>
            <w:tcW w:w="1255" w:type="pct"/>
          </w:tcPr>
          <w:p w14:paraId="23A8790B" w14:textId="77777777" w:rsidR="001576E8" w:rsidRDefault="001576E8" w:rsidP="001576E8">
            <w:pPr>
              <w:pStyle w:val="02Tabletext"/>
              <w:rPr>
                <w:bCs/>
                <w:color w:val="000000"/>
              </w:rPr>
            </w:pPr>
            <w:r>
              <w:rPr>
                <w:bCs/>
                <w:color w:val="000000"/>
              </w:rPr>
              <w:t>Dr Robyn Lind</w:t>
            </w:r>
            <w:r w:rsidR="005A2B78">
              <w:rPr>
                <w:bCs/>
                <w:color w:val="000000"/>
              </w:rPr>
              <w:t>n</w:t>
            </w:r>
            <w:r>
              <w:rPr>
                <w:bCs/>
                <w:color w:val="000000"/>
              </w:rPr>
              <w:t>er</w:t>
            </w:r>
          </w:p>
        </w:tc>
        <w:tc>
          <w:tcPr>
            <w:tcW w:w="2280" w:type="pct"/>
          </w:tcPr>
          <w:p w14:paraId="11386687" w14:textId="77777777" w:rsidR="001576E8" w:rsidRPr="00AA0871" w:rsidRDefault="001576E8" w:rsidP="001576E8">
            <w:pPr>
              <w:pStyle w:val="02Tabletext"/>
            </w:pPr>
            <w:r w:rsidRPr="00AA0871">
              <w:t>National Prescribing Service</w:t>
            </w:r>
          </w:p>
        </w:tc>
        <w:tc>
          <w:tcPr>
            <w:tcW w:w="1465" w:type="pct"/>
            <w:shd w:val="clear" w:color="auto" w:fill="auto"/>
          </w:tcPr>
          <w:p w14:paraId="3BC2001E" w14:textId="77777777" w:rsidR="001576E8" w:rsidRPr="00FC1976" w:rsidRDefault="001576E8" w:rsidP="001576E8">
            <w:pPr>
              <w:pStyle w:val="02Tabletext"/>
              <w:rPr>
                <w:lang w:val="en-AU"/>
              </w:rPr>
            </w:pPr>
            <w:r w:rsidRPr="00E315F6">
              <w:t>None</w:t>
            </w:r>
          </w:p>
        </w:tc>
      </w:tr>
      <w:tr w:rsidR="00860EFD" w:rsidRPr="00FC1976" w14:paraId="1FF6F3A5" w14:textId="77777777" w:rsidTr="005A2B78">
        <w:tc>
          <w:tcPr>
            <w:tcW w:w="1255" w:type="pct"/>
          </w:tcPr>
          <w:p w14:paraId="2600DD0E" w14:textId="77777777" w:rsidR="00860EFD" w:rsidRDefault="00860EFD" w:rsidP="00860EFD">
            <w:pPr>
              <w:pStyle w:val="02Tabletext"/>
              <w:rPr>
                <w:bCs/>
                <w:color w:val="000000"/>
              </w:rPr>
            </w:pPr>
            <w:r w:rsidRPr="00FB18F0">
              <w:t>Professor Hans Schneider</w:t>
            </w:r>
          </w:p>
        </w:tc>
        <w:tc>
          <w:tcPr>
            <w:tcW w:w="2280" w:type="pct"/>
          </w:tcPr>
          <w:p w14:paraId="0A2D1BEF" w14:textId="77777777" w:rsidR="00860EFD" w:rsidRPr="00AA0871" w:rsidRDefault="00860EFD" w:rsidP="00860EFD">
            <w:pPr>
              <w:pStyle w:val="02Tabletext"/>
            </w:pPr>
            <w:r w:rsidRPr="00FB18F0">
              <w:t>Alfre</w:t>
            </w:r>
            <w:r>
              <w:t>d Pathology Service (Melbourne)</w:t>
            </w:r>
          </w:p>
        </w:tc>
        <w:tc>
          <w:tcPr>
            <w:tcW w:w="1465" w:type="pct"/>
            <w:shd w:val="clear" w:color="auto" w:fill="auto"/>
          </w:tcPr>
          <w:p w14:paraId="7F955BFD" w14:textId="77777777" w:rsidR="00860EFD" w:rsidRPr="00E315F6" w:rsidRDefault="00860EFD" w:rsidP="00860EFD">
            <w:pPr>
              <w:pStyle w:val="02Tabletext"/>
            </w:pPr>
            <w:r>
              <w:t>None</w:t>
            </w:r>
          </w:p>
        </w:tc>
      </w:tr>
      <w:tr w:rsidR="00860EFD" w:rsidRPr="00FC1976" w14:paraId="240B90D8" w14:textId="77777777" w:rsidTr="005A2B78">
        <w:tc>
          <w:tcPr>
            <w:tcW w:w="1255" w:type="pct"/>
          </w:tcPr>
          <w:p w14:paraId="5FEDC8CC" w14:textId="77777777" w:rsidR="00860EFD" w:rsidRDefault="00860EFD" w:rsidP="00860EFD">
            <w:pPr>
              <w:pStyle w:val="02Tabletext"/>
              <w:rPr>
                <w:bCs/>
                <w:color w:val="000000"/>
              </w:rPr>
            </w:pPr>
            <w:r w:rsidRPr="00FB18F0">
              <w:t>Associate Professor Adrienne Morey</w:t>
            </w:r>
          </w:p>
        </w:tc>
        <w:tc>
          <w:tcPr>
            <w:tcW w:w="2280" w:type="pct"/>
          </w:tcPr>
          <w:p w14:paraId="403D1B5E" w14:textId="77777777" w:rsidR="00860EFD" w:rsidRPr="00AA0871" w:rsidRDefault="00860EFD" w:rsidP="00860EFD">
            <w:pPr>
              <w:pStyle w:val="02Tabletext"/>
            </w:pPr>
            <w:r w:rsidRPr="00FB18F0">
              <w:t>ACT Pathology</w:t>
            </w:r>
          </w:p>
        </w:tc>
        <w:tc>
          <w:tcPr>
            <w:tcW w:w="1465" w:type="pct"/>
            <w:shd w:val="clear" w:color="auto" w:fill="auto"/>
          </w:tcPr>
          <w:p w14:paraId="034FB626" w14:textId="77777777" w:rsidR="00860EFD" w:rsidRPr="00E315F6" w:rsidRDefault="00860EFD" w:rsidP="00860EFD">
            <w:pPr>
              <w:pStyle w:val="02Tabletext"/>
            </w:pPr>
            <w:r>
              <w:t>None</w:t>
            </w:r>
          </w:p>
        </w:tc>
      </w:tr>
    </w:tbl>
    <w:p w14:paraId="6AC07B6C" w14:textId="77777777" w:rsidR="00EE16AD" w:rsidRDefault="00EE16AD" w:rsidP="000C1841">
      <w:pPr>
        <w:rPr>
          <w:lang w:val="en-AU"/>
        </w:rPr>
      </w:pPr>
      <w:bookmarkStart w:id="58" w:name="_Toc457463620"/>
      <w:bookmarkStart w:id="59" w:name="_Toc458166998"/>
      <w:r w:rsidRPr="00FC1976">
        <w:rPr>
          <w:lang w:val="en-AU"/>
        </w:rPr>
        <w:t xml:space="preserve">It is noted that </w:t>
      </w:r>
      <w:r w:rsidR="00A6784C">
        <w:rPr>
          <w:lang w:val="en-AU"/>
        </w:rPr>
        <w:t xml:space="preserve">most </w:t>
      </w:r>
      <w:r w:rsidR="00805A52">
        <w:rPr>
          <w:lang w:val="en-AU"/>
        </w:rPr>
        <w:t>c</w:t>
      </w:r>
      <w:r w:rsidR="00805A52" w:rsidRPr="00FC1976">
        <w:rPr>
          <w:lang w:val="en-AU"/>
        </w:rPr>
        <w:t xml:space="preserve">ommittee </w:t>
      </w:r>
      <w:r w:rsidR="005A2B78">
        <w:rPr>
          <w:lang w:val="en-AU"/>
        </w:rPr>
        <w:t xml:space="preserve">and </w:t>
      </w:r>
      <w:r w:rsidR="00805A52">
        <w:rPr>
          <w:lang w:val="en-AU"/>
        </w:rPr>
        <w:t xml:space="preserve">working group </w:t>
      </w:r>
      <w:r w:rsidRPr="00FC1976">
        <w:rPr>
          <w:lang w:val="en-AU"/>
        </w:rPr>
        <w:t xml:space="preserve">members share a common conflict </w:t>
      </w:r>
      <w:r w:rsidR="007128EB">
        <w:rPr>
          <w:lang w:val="en-AU"/>
        </w:rPr>
        <w:t xml:space="preserve">of interest </w:t>
      </w:r>
      <w:r w:rsidRPr="00FC1976">
        <w:rPr>
          <w:lang w:val="en-AU"/>
        </w:rPr>
        <w:t xml:space="preserve">in reviewing items </w:t>
      </w:r>
      <w:r w:rsidR="00E85092">
        <w:rPr>
          <w:lang w:val="en-AU"/>
        </w:rPr>
        <w:t>that</w:t>
      </w:r>
      <w:r w:rsidR="00E85092" w:rsidRPr="00FC1976">
        <w:rPr>
          <w:lang w:val="en-AU"/>
        </w:rPr>
        <w:t xml:space="preserve"> </w:t>
      </w:r>
      <w:r w:rsidRPr="00FC1976">
        <w:rPr>
          <w:lang w:val="en-AU"/>
        </w:rPr>
        <w:t>are a source of revenue</w:t>
      </w:r>
      <w:r w:rsidR="00FD6586">
        <w:rPr>
          <w:lang w:val="en-AU"/>
        </w:rPr>
        <w:t xml:space="preserve"> for them</w:t>
      </w:r>
      <w:r w:rsidRPr="00FC1976">
        <w:rPr>
          <w:lang w:val="en-AU"/>
        </w:rPr>
        <w:t xml:space="preserve"> (i.e. </w:t>
      </w:r>
      <w:r w:rsidR="00805A52">
        <w:rPr>
          <w:lang w:val="en-AU"/>
        </w:rPr>
        <w:t>c</w:t>
      </w:r>
      <w:r w:rsidR="00805A52" w:rsidRPr="00FC1976">
        <w:rPr>
          <w:lang w:val="en-AU"/>
        </w:rPr>
        <w:t xml:space="preserve">ommittee </w:t>
      </w:r>
      <w:r w:rsidRPr="00FC1976">
        <w:rPr>
          <w:lang w:val="en-AU"/>
        </w:rPr>
        <w:t xml:space="preserve">members </w:t>
      </w:r>
      <w:r w:rsidR="000C50DE">
        <w:rPr>
          <w:lang w:val="en-AU"/>
        </w:rPr>
        <w:t xml:space="preserve">provide the services </w:t>
      </w:r>
      <w:r w:rsidR="004457B5">
        <w:rPr>
          <w:lang w:val="en-AU"/>
        </w:rPr>
        <w:t>under review</w:t>
      </w:r>
      <w:r w:rsidRPr="00FC1976">
        <w:rPr>
          <w:lang w:val="en-AU"/>
        </w:rPr>
        <w:t xml:space="preserve">). This conflict </w:t>
      </w:r>
      <w:r w:rsidR="00B078C6" w:rsidRPr="00FC1976">
        <w:rPr>
          <w:lang w:val="en-AU"/>
        </w:rPr>
        <w:t>is inherent in a clinician</w:t>
      </w:r>
      <w:r w:rsidR="00287649">
        <w:rPr>
          <w:lang w:val="en-AU"/>
        </w:rPr>
        <w:t>-</w:t>
      </w:r>
      <w:r w:rsidR="00B078C6" w:rsidRPr="00FC1976">
        <w:rPr>
          <w:lang w:val="en-AU"/>
        </w:rPr>
        <w:t xml:space="preserve">led </w:t>
      </w:r>
      <w:proofErr w:type="gramStart"/>
      <w:r w:rsidR="00B078C6" w:rsidRPr="00FC1976">
        <w:rPr>
          <w:lang w:val="en-AU"/>
        </w:rPr>
        <w:t>process</w:t>
      </w:r>
      <w:r w:rsidR="00205F91">
        <w:rPr>
          <w:lang w:val="en-AU"/>
        </w:rPr>
        <w:t>,</w:t>
      </w:r>
      <w:r w:rsidR="00B078C6" w:rsidRPr="00FC1976">
        <w:rPr>
          <w:lang w:val="en-AU"/>
        </w:rPr>
        <w:t xml:space="preserve"> and</w:t>
      </w:r>
      <w:proofErr w:type="gramEnd"/>
      <w:r w:rsidR="00B078C6" w:rsidRPr="00FC1976">
        <w:rPr>
          <w:lang w:val="en-AU"/>
        </w:rPr>
        <w:t xml:space="preserve"> having been acknowledged by the Committee and the Taskforce, </w:t>
      </w:r>
      <w:r w:rsidR="003F1F10" w:rsidRPr="00FC1976">
        <w:rPr>
          <w:lang w:val="en-AU"/>
        </w:rPr>
        <w:t xml:space="preserve">it </w:t>
      </w:r>
      <w:r w:rsidR="00B078C6" w:rsidRPr="00FC1976">
        <w:rPr>
          <w:lang w:val="en-AU"/>
        </w:rPr>
        <w:t xml:space="preserve">was </w:t>
      </w:r>
      <w:r w:rsidR="003F1F10" w:rsidRPr="00FC1976">
        <w:rPr>
          <w:lang w:val="en-AU"/>
        </w:rPr>
        <w:t xml:space="preserve">agreed that this should </w:t>
      </w:r>
      <w:r w:rsidRPr="00FC1976">
        <w:rPr>
          <w:lang w:val="en-AU"/>
        </w:rPr>
        <w:t xml:space="preserve">not prevent a clinician from participating </w:t>
      </w:r>
      <w:r w:rsidR="00E2785E">
        <w:rPr>
          <w:lang w:val="en-AU"/>
        </w:rPr>
        <w:t xml:space="preserve">in </w:t>
      </w:r>
      <w:r w:rsidR="003F1F10" w:rsidRPr="00FC1976">
        <w:rPr>
          <w:lang w:val="en-AU"/>
        </w:rPr>
        <w:t xml:space="preserve">the </w:t>
      </w:r>
      <w:r w:rsidR="00E54055">
        <w:rPr>
          <w:lang w:val="en-AU"/>
        </w:rPr>
        <w:t>Review</w:t>
      </w:r>
      <w:r w:rsidR="00384C79">
        <w:rPr>
          <w:lang w:val="en-AU"/>
        </w:rPr>
        <w:t xml:space="preserve"> and is not noted in the table above.</w:t>
      </w:r>
    </w:p>
    <w:p w14:paraId="754BBD9D" w14:textId="77777777" w:rsidR="00E43FC0" w:rsidRDefault="00E43FC0" w:rsidP="00E43FC0">
      <w:pPr>
        <w:pStyle w:val="Heading2"/>
      </w:pPr>
      <w:bookmarkStart w:id="60" w:name="_Toc495403385"/>
      <w:proofErr w:type="spellStart"/>
      <w:r>
        <w:lastRenderedPageBreak/>
        <w:t>Haematology</w:t>
      </w:r>
      <w:proofErr w:type="spellEnd"/>
      <w:r>
        <w:t xml:space="preserve"> Working Group</w:t>
      </w:r>
      <w:bookmarkEnd w:id="60"/>
    </w:p>
    <w:p w14:paraId="75B63900" w14:textId="77777777" w:rsidR="003C2193" w:rsidRDefault="00E43FC0" w:rsidP="00E43FC0">
      <w:r>
        <w:t>The Haematology Working Group is one of six clinical working groups support</w:t>
      </w:r>
      <w:r w:rsidR="00805A52">
        <w:t>ing</w:t>
      </w:r>
      <w:r>
        <w:t xml:space="preserve"> the work of the Pathology Clinical Committee. It was established to review haematology </w:t>
      </w:r>
      <w:r w:rsidR="009240D1">
        <w:t>pathology items</w:t>
      </w:r>
      <w:r>
        <w:t xml:space="preserve"> and make recommendations to the Pathology Clinical Committee based on rapid evidence review and clinical expertise. </w:t>
      </w:r>
      <w:r w:rsidR="00384C79">
        <w:t xml:space="preserve">Their recommendations were endorsed by the Pathology Clinical Committee to go out for </w:t>
      </w:r>
      <w:r w:rsidR="0024059F">
        <w:t>targeted consultation</w:t>
      </w:r>
      <w:r w:rsidR="00384C79">
        <w:t xml:space="preserve"> before MBS Taskforce consideration.</w:t>
      </w:r>
    </w:p>
    <w:p w14:paraId="6AB5B6B3" w14:textId="77777777" w:rsidR="00E43FC0" w:rsidRDefault="00E43FC0" w:rsidP="00E43FC0">
      <w:r>
        <w:t xml:space="preserve">The Haematology Working Group </w:t>
      </w:r>
      <w:r w:rsidR="009764E6">
        <w:t xml:space="preserve">consists of </w:t>
      </w:r>
      <w:r w:rsidR="00384C79">
        <w:t>8</w:t>
      </w:r>
      <w:r w:rsidR="00A6784C">
        <w:t xml:space="preserve"> </w:t>
      </w:r>
      <w:r>
        <w:t>members, whose names, positions/organisations and declared conflicts of intere</w:t>
      </w:r>
      <w:r w:rsidR="00E40B54">
        <w:t>st are listed in Table 2 below.</w:t>
      </w:r>
    </w:p>
    <w:p w14:paraId="582EDB0D" w14:textId="77777777" w:rsidR="00E43FC0" w:rsidRDefault="00FE79D0" w:rsidP="00C702A9">
      <w:pPr>
        <w:pStyle w:val="Caption"/>
      </w:pPr>
      <w:bookmarkStart w:id="61" w:name="_Toc481493769"/>
      <w:r>
        <w:t>Table 2: Haematology Working Group m</w:t>
      </w:r>
      <w:r w:rsidR="00E43FC0">
        <w:t>embers</w:t>
      </w:r>
      <w:bookmarkEnd w:id="6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 Working Group Members"/>
        <w:tblDescription w:val="Table 2 lists the working group members for the Haematology Working Group. The table shows that members have no declared conflicts of interest."/>
      </w:tblPr>
      <w:tblGrid>
        <w:gridCol w:w="2547"/>
        <w:gridCol w:w="3827"/>
        <w:gridCol w:w="2642"/>
      </w:tblGrid>
      <w:tr w:rsidR="00E43FC0" w:rsidRPr="00FC1976" w14:paraId="249CF7A5" w14:textId="77777777" w:rsidTr="005A2B78">
        <w:trPr>
          <w:tblHeader/>
        </w:trPr>
        <w:tc>
          <w:tcPr>
            <w:tcW w:w="1412" w:type="pct"/>
            <w:shd w:val="clear" w:color="auto" w:fill="F2F2F2" w:themeFill="background1" w:themeFillShade="F2"/>
            <w:vAlign w:val="bottom"/>
          </w:tcPr>
          <w:p w14:paraId="18965C63" w14:textId="77777777" w:rsidR="00E43FC0" w:rsidRPr="00FC1976" w:rsidRDefault="00E43FC0" w:rsidP="00244799">
            <w:pPr>
              <w:pStyle w:val="01Tableheaderrow"/>
              <w:rPr>
                <w:lang w:val="en-AU"/>
              </w:rPr>
            </w:pPr>
            <w:r w:rsidRPr="00FC1976">
              <w:rPr>
                <w:lang w:val="en-AU"/>
              </w:rPr>
              <w:t>Name</w:t>
            </w:r>
          </w:p>
        </w:tc>
        <w:tc>
          <w:tcPr>
            <w:tcW w:w="2122" w:type="pct"/>
            <w:shd w:val="clear" w:color="auto" w:fill="F2F2F2" w:themeFill="background1" w:themeFillShade="F2"/>
            <w:vAlign w:val="bottom"/>
          </w:tcPr>
          <w:p w14:paraId="5B63138F" w14:textId="77777777" w:rsidR="00E43FC0" w:rsidRPr="00FC1976" w:rsidRDefault="00E43FC0" w:rsidP="00244799">
            <w:pPr>
              <w:pStyle w:val="01Tableheaderrow"/>
              <w:rPr>
                <w:lang w:val="en-AU"/>
              </w:rPr>
            </w:pPr>
            <w:r w:rsidRPr="00FC1976">
              <w:rPr>
                <w:lang w:val="en-AU"/>
              </w:rPr>
              <w:t>Position/Organisation</w:t>
            </w:r>
          </w:p>
        </w:tc>
        <w:tc>
          <w:tcPr>
            <w:tcW w:w="1465" w:type="pct"/>
            <w:shd w:val="clear" w:color="auto" w:fill="F2F2F2" w:themeFill="background1" w:themeFillShade="F2"/>
            <w:vAlign w:val="bottom"/>
          </w:tcPr>
          <w:p w14:paraId="02F24DBD" w14:textId="77777777" w:rsidR="00E43FC0" w:rsidRPr="00FC1976" w:rsidRDefault="00E43FC0" w:rsidP="00244799">
            <w:pPr>
              <w:pStyle w:val="01Tableheaderrow"/>
              <w:rPr>
                <w:lang w:val="en-AU"/>
              </w:rPr>
            </w:pPr>
            <w:r w:rsidRPr="00FC1976">
              <w:rPr>
                <w:lang w:val="en-AU"/>
              </w:rPr>
              <w:t>Declared conflict of interest</w:t>
            </w:r>
          </w:p>
        </w:tc>
      </w:tr>
      <w:tr w:rsidR="00E43FC0" w:rsidRPr="00FC1976" w14:paraId="14A48AE2" w14:textId="77777777" w:rsidTr="005A2B78">
        <w:tc>
          <w:tcPr>
            <w:tcW w:w="1412" w:type="pct"/>
          </w:tcPr>
          <w:p w14:paraId="34D54053" w14:textId="77777777" w:rsidR="00E43FC0" w:rsidRPr="00FC1976" w:rsidRDefault="009764E6" w:rsidP="00244799">
            <w:pPr>
              <w:pStyle w:val="02Tabletext"/>
              <w:rPr>
                <w:lang w:val="en-AU"/>
              </w:rPr>
            </w:pPr>
            <w:r>
              <w:rPr>
                <w:lang w:val="en-AU"/>
              </w:rPr>
              <w:t>Dr John Rowell (Chair)</w:t>
            </w:r>
          </w:p>
        </w:tc>
        <w:tc>
          <w:tcPr>
            <w:tcW w:w="2122" w:type="pct"/>
          </w:tcPr>
          <w:p w14:paraId="7411704A" w14:textId="77777777" w:rsidR="00E43FC0" w:rsidRPr="00FC1976" w:rsidRDefault="00777A0C" w:rsidP="00244799">
            <w:pPr>
              <w:pStyle w:val="02Tabletext"/>
              <w:rPr>
                <w:lang w:val="en-AU"/>
              </w:rPr>
            </w:pPr>
            <w:r>
              <w:rPr>
                <w:lang w:val="en-AU"/>
              </w:rPr>
              <w:t>Pathology Queensland</w:t>
            </w:r>
          </w:p>
        </w:tc>
        <w:tc>
          <w:tcPr>
            <w:tcW w:w="1465" w:type="pct"/>
          </w:tcPr>
          <w:p w14:paraId="5C0DB34D" w14:textId="77777777" w:rsidR="00E43FC0" w:rsidRPr="00FC1976" w:rsidRDefault="005A2B78" w:rsidP="00244799">
            <w:pPr>
              <w:pStyle w:val="02Tabletext"/>
              <w:rPr>
                <w:lang w:val="en-AU"/>
              </w:rPr>
            </w:pPr>
            <w:r>
              <w:rPr>
                <w:lang w:val="en-AU"/>
              </w:rPr>
              <w:t>None</w:t>
            </w:r>
          </w:p>
        </w:tc>
      </w:tr>
      <w:tr w:rsidR="00E43FC0" w:rsidRPr="00FC1976" w14:paraId="78714470" w14:textId="77777777" w:rsidTr="005A2B78">
        <w:tc>
          <w:tcPr>
            <w:tcW w:w="1412" w:type="pct"/>
          </w:tcPr>
          <w:p w14:paraId="0770C7E3" w14:textId="77777777" w:rsidR="00E43FC0" w:rsidRPr="00FC1976" w:rsidRDefault="009764E6" w:rsidP="00244799">
            <w:pPr>
              <w:pStyle w:val="02Tabletext"/>
              <w:rPr>
                <w:lang w:val="en-AU"/>
              </w:rPr>
            </w:pPr>
            <w:r>
              <w:rPr>
                <w:lang w:val="en-AU"/>
              </w:rPr>
              <w:t>Dr James Daly</w:t>
            </w:r>
          </w:p>
        </w:tc>
        <w:tc>
          <w:tcPr>
            <w:tcW w:w="2122" w:type="pct"/>
          </w:tcPr>
          <w:p w14:paraId="0CB10365" w14:textId="77777777" w:rsidR="00E43FC0" w:rsidRPr="00FC1976" w:rsidRDefault="00F736E3" w:rsidP="00244799">
            <w:pPr>
              <w:pStyle w:val="02Tabletext"/>
              <w:rPr>
                <w:lang w:val="en-AU"/>
              </w:rPr>
            </w:pPr>
            <w:r>
              <w:rPr>
                <w:lang w:val="en-AU"/>
              </w:rPr>
              <w:t>QML</w:t>
            </w:r>
            <w:r w:rsidR="00E10732">
              <w:rPr>
                <w:lang w:val="en-AU"/>
              </w:rPr>
              <w:t xml:space="preserve"> Pathology (Primary)</w:t>
            </w:r>
          </w:p>
        </w:tc>
        <w:tc>
          <w:tcPr>
            <w:tcW w:w="1465" w:type="pct"/>
          </w:tcPr>
          <w:p w14:paraId="7DDBE871" w14:textId="77777777" w:rsidR="00E43FC0" w:rsidRPr="00FC1976" w:rsidRDefault="005A2B78" w:rsidP="00244799">
            <w:pPr>
              <w:pStyle w:val="02Tabletext"/>
              <w:rPr>
                <w:lang w:val="en-AU"/>
              </w:rPr>
            </w:pPr>
            <w:r>
              <w:rPr>
                <w:lang w:val="en-AU"/>
              </w:rPr>
              <w:t>None</w:t>
            </w:r>
          </w:p>
        </w:tc>
      </w:tr>
      <w:tr w:rsidR="00E43FC0" w:rsidRPr="00FC1976" w14:paraId="22C45CCE" w14:textId="77777777" w:rsidTr="005A2B78">
        <w:tc>
          <w:tcPr>
            <w:tcW w:w="1412" w:type="pct"/>
          </w:tcPr>
          <w:p w14:paraId="2C5B739A" w14:textId="77777777" w:rsidR="00E43FC0" w:rsidRPr="00FC1976" w:rsidRDefault="00FB024B" w:rsidP="00244799">
            <w:pPr>
              <w:pStyle w:val="02Tabletext"/>
              <w:rPr>
                <w:lang w:val="en-AU"/>
              </w:rPr>
            </w:pPr>
            <w:r>
              <w:rPr>
                <w:lang w:val="en-AU"/>
              </w:rPr>
              <w:t>Professor Mark Hertzberg</w:t>
            </w:r>
          </w:p>
        </w:tc>
        <w:tc>
          <w:tcPr>
            <w:tcW w:w="2122" w:type="pct"/>
          </w:tcPr>
          <w:p w14:paraId="4B6E989C" w14:textId="77777777" w:rsidR="00E43FC0" w:rsidRPr="00FC1976" w:rsidRDefault="00175BE3" w:rsidP="00244799">
            <w:pPr>
              <w:pStyle w:val="02Tabletext"/>
              <w:rPr>
                <w:lang w:val="en-AU"/>
              </w:rPr>
            </w:pPr>
            <w:r>
              <w:rPr>
                <w:lang w:val="en-AU"/>
              </w:rPr>
              <w:t xml:space="preserve">Prince of Wales </w:t>
            </w:r>
            <w:r w:rsidR="00E10732">
              <w:rPr>
                <w:lang w:val="en-AU"/>
              </w:rPr>
              <w:t>Hospital</w:t>
            </w:r>
          </w:p>
        </w:tc>
        <w:tc>
          <w:tcPr>
            <w:tcW w:w="1465" w:type="pct"/>
          </w:tcPr>
          <w:p w14:paraId="6CE18551" w14:textId="77777777" w:rsidR="00E43FC0" w:rsidRPr="00FC1976" w:rsidRDefault="005A2B78" w:rsidP="00244799">
            <w:pPr>
              <w:pStyle w:val="02Tabletext"/>
              <w:rPr>
                <w:lang w:val="en-AU"/>
              </w:rPr>
            </w:pPr>
            <w:r>
              <w:rPr>
                <w:lang w:val="en-AU"/>
              </w:rPr>
              <w:t>None</w:t>
            </w:r>
          </w:p>
        </w:tc>
      </w:tr>
      <w:tr w:rsidR="00E43FC0" w:rsidRPr="00FC1976" w14:paraId="51C51600" w14:textId="77777777" w:rsidTr="005A2B78">
        <w:tc>
          <w:tcPr>
            <w:tcW w:w="1412" w:type="pct"/>
          </w:tcPr>
          <w:p w14:paraId="6228FF5C" w14:textId="77777777" w:rsidR="00E43FC0" w:rsidRPr="00FC1976" w:rsidRDefault="00FB024B" w:rsidP="00244799">
            <w:pPr>
              <w:pStyle w:val="02Tabletext"/>
              <w:rPr>
                <w:lang w:val="en-AU"/>
              </w:rPr>
            </w:pPr>
            <w:r>
              <w:rPr>
                <w:lang w:val="en-AU"/>
              </w:rPr>
              <w:t xml:space="preserve">Professor Parker </w:t>
            </w:r>
            <w:proofErr w:type="spellStart"/>
            <w:r>
              <w:rPr>
                <w:lang w:val="en-AU"/>
              </w:rPr>
              <w:t>Magin</w:t>
            </w:r>
            <w:proofErr w:type="spellEnd"/>
          </w:p>
        </w:tc>
        <w:tc>
          <w:tcPr>
            <w:tcW w:w="2122" w:type="pct"/>
          </w:tcPr>
          <w:p w14:paraId="59D952EC" w14:textId="77777777" w:rsidR="00E43FC0" w:rsidRPr="00FC1976" w:rsidRDefault="00E10732" w:rsidP="00244799">
            <w:pPr>
              <w:pStyle w:val="02Tabletext"/>
              <w:rPr>
                <w:lang w:val="en-AU"/>
              </w:rPr>
            </w:pPr>
            <w:r>
              <w:rPr>
                <w:lang w:val="en-AU"/>
              </w:rPr>
              <w:t>University of Newcastle</w:t>
            </w:r>
          </w:p>
        </w:tc>
        <w:tc>
          <w:tcPr>
            <w:tcW w:w="1465" w:type="pct"/>
          </w:tcPr>
          <w:p w14:paraId="014F1429" w14:textId="77777777" w:rsidR="00E43FC0" w:rsidRPr="00FC1976" w:rsidRDefault="005A2B78" w:rsidP="00244799">
            <w:pPr>
              <w:pStyle w:val="02Tabletext"/>
              <w:rPr>
                <w:lang w:val="en-AU"/>
              </w:rPr>
            </w:pPr>
            <w:r>
              <w:rPr>
                <w:lang w:val="en-AU"/>
              </w:rPr>
              <w:t>None</w:t>
            </w:r>
          </w:p>
        </w:tc>
      </w:tr>
      <w:tr w:rsidR="00E43FC0" w:rsidRPr="00FC1976" w14:paraId="08B8782B" w14:textId="77777777" w:rsidTr="005A2B78">
        <w:tc>
          <w:tcPr>
            <w:tcW w:w="1412" w:type="pct"/>
          </w:tcPr>
          <w:p w14:paraId="10E9E52E" w14:textId="77777777" w:rsidR="00E43FC0" w:rsidRPr="00FC1976" w:rsidRDefault="00FB024B" w:rsidP="00244799">
            <w:pPr>
              <w:pStyle w:val="02Tabletext"/>
              <w:rPr>
                <w:lang w:val="en-AU"/>
              </w:rPr>
            </w:pPr>
            <w:r>
              <w:rPr>
                <w:lang w:val="en-AU"/>
              </w:rPr>
              <w:t>Dr Ellen Maxwell</w:t>
            </w:r>
          </w:p>
        </w:tc>
        <w:tc>
          <w:tcPr>
            <w:tcW w:w="2122" w:type="pct"/>
          </w:tcPr>
          <w:p w14:paraId="7809D938" w14:textId="77777777" w:rsidR="00E43FC0" w:rsidRPr="00FC1976" w:rsidRDefault="00E10732" w:rsidP="00244799">
            <w:pPr>
              <w:pStyle w:val="02Tabletext"/>
              <w:rPr>
                <w:lang w:val="en-AU"/>
              </w:rPr>
            </w:pPr>
            <w:r>
              <w:rPr>
                <w:lang w:val="en-AU"/>
              </w:rPr>
              <w:t>Melbourne Pathology (Sonic Healthcare)</w:t>
            </w:r>
          </w:p>
        </w:tc>
        <w:tc>
          <w:tcPr>
            <w:tcW w:w="1465" w:type="pct"/>
          </w:tcPr>
          <w:p w14:paraId="2CDF2C6F" w14:textId="77777777" w:rsidR="00E43FC0" w:rsidRPr="00FC1976" w:rsidRDefault="005A2B78" w:rsidP="00244799">
            <w:pPr>
              <w:pStyle w:val="02Tabletext"/>
              <w:rPr>
                <w:lang w:val="en-AU"/>
              </w:rPr>
            </w:pPr>
            <w:r>
              <w:rPr>
                <w:lang w:val="en-AU"/>
              </w:rPr>
              <w:t>None</w:t>
            </w:r>
          </w:p>
        </w:tc>
      </w:tr>
      <w:tr w:rsidR="00E43FC0" w:rsidRPr="00FC1976" w14:paraId="01874EFE" w14:textId="77777777" w:rsidTr="005A2B78">
        <w:tc>
          <w:tcPr>
            <w:tcW w:w="1412" w:type="pct"/>
          </w:tcPr>
          <w:p w14:paraId="27E6B4EE" w14:textId="77777777" w:rsidR="00E43FC0" w:rsidRPr="00FC1976" w:rsidRDefault="00FB024B" w:rsidP="00244799">
            <w:pPr>
              <w:pStyle w:val="02Tabletext"/>
              <w:rPr>
                <w:lang w:val="en-AU"/>
              </w:rPr>
            </w:pPr>
            <w:r>
              <w:rPr>
                <w:lang w:val="en-AU"/>
              </w:rPr>
              <w:t xml:space="preserve">Ms Ingrid </w:t>
            </w:r>
            <w:proofErr w:type="spellStart"/>
            <w:r>
              <w:rPr>
                <w:lang w:val="en-AU"/>
              </w:rPr>
              <w:t>Ozols</w:t>
            </w:r>
            <w:proofErr w:type="spellEnd"/>
          </w:p>
        </w:tc>
        <w:tc>
          <w:tcPr>
            <w:tcW w:w="2122" w:type="pct"/>
          </w:tcPr>
          <w:p w14:paraId="58B7E7D9" w14:textId="77777777" w:rsidR="00E43FC0" w:rsidRPr="00FC1976" w:rsidRDefault="00E10732" w:rsidP="00244799">
            <w:pPr>
              <w:pStyle w:val="02Tabletext"/>
              <w:rPr>
                <w:lang w:val="en-AU"/>
              </w:rPr>
            </w:pPr>
            <w:r>
              <w:rPr>
                <w:lang w:val="en-AU"/>
              </w:rPr>
              <w:t>Consumer</w:t>
            </w:r>
          </w:p>
        </w:tc>
        <w:tc>
          <w:tcPr>
            <w:tcW w:w="1465" w:type="pct"/>
          </w:tcPr>
          <w:p w14:paraId="2246646C" w14:textId="77777777" w:rsidR="00E43FC0" w:rsidRPr="00FC1976" w:rsidRDefault="005A2B78" w:rsidP="00244799">
            <w:pPr>
              <w:pStyle w:val="02Tabletext"/>
              <w:rPr>
                <w:lang w:val="en-AU"/>
              </w:rPr>
            </w:pPr>
            <w:r>
              <w:rPr>
                <w:lang w:val="en-AU"/>
              </w:rPr>
              <w:t>None</w:t>
            </w:r>
          </w:p>
        </w:tc>
      </w:tr>
      <w:tr w:rsidR="00E43FC0" w:rsidRPr="00FC1976" w14:paraId="6DC3930D" w14:textId="77777777" w:rsidTr="005A2B78">
        <w:tc>
          <w:tcPr>
            <w:tcW w:w="1412" w:type="pct"/>
          </w:tcPr>
          <w:p w14:paraId="3EEE0BE3" w14:textId="77777777" w:rsidR="00E43FC0" w:rsidRPr="00FC1976" w:rsidRDefault="00FB024B" w:rsidP="00244799">
            <w:pPr>
              <w:pStyle w:val="02Tabletext"/>
              <w:rPr>
                <w:lang w:val="en-AU"/>
              </w:rPr>
            </w:pPr>
            <w:r>
              <w:rPr>
                <w:lang w:val="en-AU"/>
              </w:rPr>
              <w:t xml:space="preserve">Dr Lesley </w:t>
            </w:r>
            <w:proofErr w:type="spellStart"/>
            <w:r>
              <w:rPr>
                <w:lang w:val="en-AU"/>
              </w:rPr>
              <w:t>Survela</w:t>
            </w:r>
            <w:proofErr w:type="spellEnd"/>
          </w:p>
        </w:tc>
        <w:tc>
          <w:tcPr>
            <w:tcW w:w="2122" w:type="pct"/>
          </w:tcPr>
          <w:p w14:paraId="4D4AE459" w14:textId="77777777" w:rsidR="00E43FC0" w:rsidRPr="00FC1976" w:rsidRDefault="00E10732" w:rsidP="00244799">
            <w:pPr>
              <w:pStyle w:val="02Tabletext"/>
              <w:rPr>
                <w:lang w:val="en-AU"/>
              </w:rPr>
            </w:pPr>
            <w:r>
              <w:rPr>
                <w:lang w:val="en-AU"/>
              </w:rPr>
              <w:t>Pathology North – Northern Sydney</w:t>
            </w:r>
          </w:p>
        </w:tc>
        <w:tc>
          <w:tcPr>
            <w:tcW w:w="1465" w:type="pct"/>
          </w:tcPr>
          <w:p w14:paraId="4D270A51" w14:textId="77777777" w:rsidR="00E43FC0" w:rsidRPr="00FC1976" w:rsidRDefault="005A2B78" w:rsidP="00244799">
            <w:pPr>
              <w:pStyle w:val="02Tabletext"/>
              <w:rPr>
                <w:lang w:val="en-AU"/>
              </w:rPr>
            </w:pPr>
            <w:r>
              <w:rPr>
                <w:lang w:val="en-AU"/>
              </w:rPr>
              <w:t>None</w:t>
            </w:r>
          </w:p>
        </w:tc>
      </w:tr>
      <w:tr w:rsidR="00E43FC0" w:rsidRPr="00FC1976" w14:paraId="127B10F7" w14:textId="77777777" w:rsidTr="005A2B78">
        <w:tc>
          <w:tcPr>
            <w:tcW w:w="1412" w:type="pct"/>
          </w:tcPr>
          <w:p w14:paraId="02ED3A76" w14:textId="77777777" w:rsidR="00E43FC0" w:rsidRPr="00FC1976" w:rsidRDefault="00FB024B" w:rsidP="00244799">
            <w:pPr>
              <w:pStyle w:val="02Tabletext"/>
              <w:rPr>
                <w:lang w:val="en-AU"/>
              </w:rPr>
            </w:pPr>
            <w:r>
              <w:rPr>
                <w:lang w:val="en-AU"/>
              </w:rPr>
              <w:t xml:space="preserve">Dr Jeannie </w:t>
            </w:r>
            <w:proofErr w:type="spellStart"/>
            <w:r>
              <w:rPr>
                <w:lang w:val="en-AU"/>
              </w:rPr>
              <w:t>Yoo</w:t>
            </w:r>
            <w:proofErr w:type="spellEnd"/>
          </w:p>
        </w:tc>
        <w:tc>
          <w:tcPr>
            <w:tcW w:w="2122" w:type="pct"/>
          </w:tcPr>
          <w:p w14:paraId="61E86129" w14:textId="77777777" w:rsidR="00E43FC0" w:rsidRPr="00FC1976" w:rsidRDefault="00E10732" w:rsidP="00244799">
            <w:pPr>
              <w:pStyle w:val="02Tabletext"/>
              <w:rPr>
                <w:lang w:val="en-AU"/>
              </w:rPr>
            </w:pPr>
            <w:r>
              <w:rPr>
                <w:lang w:val="en-AU"/>
              </w:rPr>
              <w:t>NPS MedicineWise</w:t>
            </w:r>
          </w:p>
        </w:tc>
        <w:tc>
          <w:tcPr>
            <w:tcW w:w="1465" w:type="pct"/>
          </w:tcPr>
          <w:p w14:paraId="2AE446C1" w14:textId="77777777" w:rsidR="00E43FC0" w:rsidRPr="00FC1976" w:rsidRDefault="005A2B78" w:rsidP="00244799">
            <w:pPr>
              <w:pStyle w:val="02Tabletext"/>
              <w:rPr>
                <w:lang w:val="en-AU"/>
              </w:rPr>
            </w:pPr>
            <w:r>
              <w:rPr>
                <w:lang w:val="en-AU"/>
              </w:rPr>
              <w:t>None</w:t>
            </w:r>
          </w:p>
        </w:tc>
      </w:tr>
    </w:tbl>
    <w:p w14:paraId="164685B6" w14:textId="77777777" w:rsidR="00347C4F" w:rsidRPr="00FC1976" w:rsidRDefault="00347C4F" w:rsidP="00FB024B">
      <w:pPr>
        <w:pStyle w:val="Heading2"/>
        <w:rPr>
          <w:lang w:val="en-AU"/>
        </w:rPr>
      </w:pPr>
      <w:bookmarkStart w:id="62" w:name="_Toc459996810"/>
      <w:bookmarkStart w:id="63" w:name="_Toc495403386"/>
      <w:r w:rsidRPr="00FC1976">
        <w:rPr>
          <w:lang w:val="en-AU"/>
        </w:rPr>
        <w:t>Areas of responsibility of the Committee</w:t>
      </w:r>
      <w:bookmarkEnd w:id="58"/>
      <w:bookmarkEnd w:id="59"/>
      <w:bookmarkEnd w:id="62"/>
      <w:bookmarkEnd w:id="63"/>
    </w:p>
    <w:p w14:paraId="2A845084" w14:textId="77777777" w:rsidR="00D0416D" w:rsidRPr="00FC1976" w:rsidRDefault="0077348D" w:rsidP="00FB024B">
      <w:pPr>
        <w:rPr>
          <w:lang w:val="en-AU"/>
        </w:rPr>
      </w:pPr>
      <w:r w:rsidRPr="00FC1976">
        <w:rPr>
          <w:lang w:val="en-AU"/>
        </w:rPr>
        <w:t xml:space="preserve">The Committee was assigned </w:t>
      </w:r>
      <w:r w:rsidR="00FB024B">
        <w:rPr>
          <w:lang w:val="en-AU"/>
        </w:rPr>
        <w:t>48</w:t>
      </w:r>
      <w:r w:rsidRPr="00FC1976">
        <w:rPr>
          <w:lang w:val="en-AU"/>
        </w:rPr>
        <w:t xml:space="preserve"> MBS </w:t>
      </w:r>
      <w:r w:rsidR="00FB024B">
        <w:rPr>
          <w:lang w:val="en-AU"/>
        </w:rPr>
        <w:t xml:space="preserve">haematology </w:t>
      </w:r>
      <w:r w:rsidRPr="00FC1976">
        <w:rPr>
          <w:lang w:val="en-AU"/>
        </w:rPr>
        <w:t>items</w:t>
      </w:r>
      <w:r w:rsidR="00EF6435">
        <w:rPr>
          <w:lang w:val="en-AU"/>
        </w:rPr>
        <w:t xml:space="preserve"> and three referred items</w:t>
      </w:r>
      <w:r w:rsidRPr="00FC1976">
        <w:rPr>
          <w:lang w:val="en-AU"/>
        </w:rPr>
        <w:t xml:space="preserve"> to review</w:t>
      </w:r>
      <w:r w:rsidR="00432EEE" w:rsidRPr="00FC1976">
        <w:rPr>
          <w:lang w:val="en-AU"/>
        </w:rPr>
        <w:t xml:space="preserve">. </w:t>
      </w:r>
      <w:r w:rsidR="00B83872">
        <w:rPr>
          <w:lang w:val="en-AU"/>
        </w:rPr>
        <w:fldChar w:fldCharType="begin"/>
      </w:r>
      <w:r w:rsidR="00B83872">
        <w:rPr>
          <w:lang w:val="en-AU"/>
        </w:rPr>
        <w:instrText xml:space="preserve"> REF _Ref488758275 \r \h </w:instrText>
      </w:r>
      <w:r w:rsidR="00B83872">
        <w:rPr>
          <w:lang w:val="en-AU"/>
        </w:rPr>
      </w:r>
      <w:r w:rsidR="00B83872">
        <w:rPr>
          <w:lang w:val="en-AU"/>
        </w:rPr>
        <w:fldChar w:fldCharType="separate"/>
      </w:r>
      <w:r w:rsidR="005C3364">
        <w:rPr>
          <w:lang w:val="en-AU"/>
        </w:rPr>
        <w:t>[2]</w:t>
      </w:r>
      <w:r w:rsidR="00B83872">
        <w:rPr>
          <w:lang w:val="en-AU"/>
        </w:rPr>
        <w:fldChar w:fldCharType="end"/>
      </w:r>
      <w:r w:rsidR="00992C17">
        <w:rPr>
          <w:lang w:val="en-AU"/>
        </w:rPr>
        <w:t xml:space="preserve"> </w:t>
      </w:r>
      <w:r w:rsidR="00A66A86" w:rsidRPr="00FC1976">
        <w:rPr>
          <w:lang w:val="en-AU"/>
        </w:rPr>
        <w:t>A</w:t>
      </w:r>
      <w:r w:rsidR="00B83872">
        <w:rPr>
          <w:lang w:val="en-AU"/>
        </w:rPr>
        <w:t> </w:t>
      </w:r>
      <w:r w:rsidR="00A66A86" w:rsidRPr="00FC1976">
        <w:rPr>
          <w:lang w:val="en-AU"/>
        </w:rPr>
        <w:t>complete list of thes</w:t>
      </w:r>
      <w:r w:rsidR="001D5A0B" w:rsidRPr="00FC1976">
        <w:rPr>
          <w:lang w:val="en-AU"/>
        </w:rPr>
        <w:t xml:space="preserve">e </w:t>
      </w:r>
      <w:r w:rsidR="00541D72" w:rsidRPr="00FC1976">
        <w:rPr>
          <w:lang w:val="en-AU"/>
        </w:rPr>
        <w:t xml:space="preserve">items can be found in </w:t>
      </w:r>
      <w:hyperlink w:anchor="_Appendix_A_—Assigned" w:history="1">
        <w:r w:rsidR="00541D72" w:rsidRPr="00805A52">
          <w:rPr>
            <w:rStyle w:val="Hyperlink"/>
            <w:lang w:val="en-AU"/>
          </w:rPr>
          <w:t xml:space="preserve">Appendix </w:t>
        </w:r>
        <w:r w:rsidR="001D5A0B" w:rsidRPr="00805A52">
          <w:rPr>
            <w:rStyle w:val="Hyperlink"/>
            <w:lang w:val="en-AU"/>
          </w:rPr>
          <w:t>A</w:t>
        </w:r>
      </w:hyperlink>
      <w:r w:rsidR="00A66A86" w:rsidRPr="00FC1976">
        <w:rPr>
          <w:lang w:val="en-AU"/>
        </w:rPr>
        <w:t xml:space="preserve">. </w:t>
      </w:r>
    </w:p>
    <w:p w14:paraId="311190AD" w14:textId="77777777" w:rsidR="00752830" w:rsidRPr="00FC1976" w:rsidRDefault="00752830" w:rsidP="005076E4">
      <w:pPr>
        <w:pStyle w:val="Heading2"/>
        <w:rPr>
          <w:lang w:val="en-AU"/>
        </w:rPr>
      </w:pPr>
      <w:bookmarkStart w:id="64" w:name="_Toc457463621"/>
      <w:bookmarkStart w:id="65" w:name="_Toc459996811"/>
      <w:bookmarkStart w:id="66" w:name="_Toc458166999"/>
      <w:bookmarkStart w:id="67" w:name="_Toc495403387"/>
      <w:bookmarkStart w:id="68" w:name="_Toc456045432"/>
      <w:r w:rsidRPr="00FC1976">
        <w:rPr>
          <w:lang w:val="en-AU"/>
        </w:rPr>
        <w:t>S</w:t>
      </w:r>
      <w:r w:rsidR="0099553D">
        <w:rPr>
          <w:lang w:val="en-AU"/>
        </w:rPr>
        <w:t>ummary of the Com</w:t>
      </w:r>
      <w:r w:rsidRPr="00FC1976">
        <w:rPr>
          <w:lang w:val="en-AU"/>
        </w:rPr>
        <w:t>mittee’s review approach</w:t>
      </w:r>
      <w:bookmarkEnd w:id="64"/>
      <w:bookmarkEnd w:id="65"/>
      <w:bookmarkEnd w:id="66"/>
      <w:bookmarkEnd w:id="67"/>
    </w:p>
    <w:p w14:paraId="09E80395" w14:textId="77777777" w:rsidR="00752830" w:rsidRPr="00FC1976" w:rsidRDefault="00752830" w:rsidP="00082595">
      <w:pPr>
        <w:rPr>
          <w:lang w:val="en-AU"/>
        </w:rPr>
      </w:pPr>
      <w:r w:rsidRPr="00FC1976">
        <w:rPr>
          <w:lang w:val="en-AU"/>
        </w:rPr>
        <w:t>The Com</w:t>
      </w:r>
      <w:r w:rsidR="009764E6">
        <w:rPr>
          <w:lang w:val="en-AU"/>
        </w:rPr>
        <w:t>mittee completed a review of</w:t>
      </w:r>
      <w:r w:rsidRPr="00FC1976">
        <w:rPr>
          <w:lang w:val="en-AU"/>
        </w:rPr>
        <w:t xml:space="preserve"> </w:t>
      </w:r>
      <w:r w:rsidR="009764E6">
        <w:rPr>
          <w:lang w:val="en-AU"/>
        </w:rPr>
        <w:t>48</w:t>
      </w:r>
      <w:r w:rsidRPr="00FC1976">
        <w:rPr>
          <w:lang w:val="en-AU"/>
        </w:rPr>
        <w:t xml:space="preserve"> </w:t>
      </w:r>
      <w:r w:rsidR="009764E6">
        <w:rPr>
          <w:lang w:val="en-AU"/>
        </w:rPr>
        <w:t xml:space="preserve">haematology </w:t>
      </w:r>
      <w:r w:rsidRPr="00FC1976">
        <w:rPr>
          <w:lang w:val="en-AU"/>
        </w:rPr>
        <w:t>items</w:t>
      </w:r>
      <w:r w:rsidR="00946D63">
        <w:rPr>
          <w:lang w:val="en-AU"/>
        </w:rPr>
        <w:t xml:space="preserve"> and three referred items</w:t>
      </w:r>
      <w:r w:rsidRPr="00FC1976">
        <w:rPr>
          <w:lang w:val="en-AU"/>
        </w:rPr>
        <w:t xml:space="preserve"> across </w:t>
      </w:r>
      <w:r w:rsidR="00E10732">
        <w:rPr>
          <w:lang w:val="en-AU"/>
        </w:rPr>
        <w:t>eight</w:t>
      </w:r>
      <w:r w:rsidRPr="00FC1976">
        <w:rPr>
          <w:lang w:val="en-AU"/>
        </w:rPr>
        <w:t xml:space="preserve"> meetings, during which it developed the recommendations and rationales outlined in </w:t>
      </w:r>
      <w:hyperlink w:anchor="_Recommendations_for_consultation" w:history="1">
        <w:r w:rsidRPr="00805A52">
          <w:rPr>
            <w:rStyle w:val="Hyperlink"/>
            <w:lang w:val="en-AU"/>
          </w:rPr>
          <w:t xml:space="preserve">Section </w:t>
        </w:r>
        <w:r w:rsidR="007E4981" w:rsidRPr="00805A52">
          <w:rPr>
            <w:rStyle w:val="Hyperlink"/>
            <w:lang w:val="en-AU"/>
          </w:rPr>
          <w:t>4</w:t>
        </w:r>
      </w:hyperlink>
      <w:r w:rsidRPr="00FC1976">
        <w:rPr>
          <w:lang w:val="en-AU"/>
        </w:rPr>
        <w:t>. Recommendations were also developed for referral to other committees.</w:t>
      </w:r>
      <w:r w:rsidR="00E74A90" w:rsidRPr="00FC1976">
        <w:rPr>
          <w:lang w:val="en-AU"/>
        </w:rPr>
        <w:t xml:space="preserve"> These are outlined in </w:t>
      </w:r>
      <w:hyperlink w:anchor="_Recommendations_to_other" w:history="1">
        <w:r w:rsidR="00E74A90" w:rsidRPr="00805A52">
          <w:rPr>
            <w:rStyle w:val="Hyperlink"/>
            <w:lang w:val="en-AU"/>
          </w:rPr>
          <w:t xml:space="preserve">Section </w:t>
        </w:r>
        <w:r w:rsidR="007E4981" w:rsidRPr="00805A52">
          <w:rPr>
            <w:rStyle w:val="Hyperlink"/>
            <w:lang w:val="en-AU"/>
          </w:rPr>
          <w:t>5</w:t>
        </w:r>
      </w:hyperlink>
      <w:r w:rsidR="00E74A90" w:rsidRPr="00FC1976">
        <w:rPr>
          <w:lang w:val="en-AU"/>
        </w:rPr>
        <w:t>.</w:t>
      </w:r>
      <w:r w:rsidR="00E10732">
        <w:rPr>
          <w:lang w:val="en-AU"/>
        </w:rPr>
        <w:t xml:space="preserve"> </w:t>
      </w:r>
    </w:p>
    <w:p w14:paraId="24DE3097" w14:textId="77777777" w:rsidR="00292272" w:rsidRDefault="00752830" w:rsidP="00082595">
      <w:pPr>
        <w:rPr>
          <w:lang w:val="en-AU"/>
        </w:rPr>
      </w:pPr>
      <w:r w:rsidRPr="00FC1976">
        <w:rPr>
          <w:lang w:val="en-AU"/>
        </w:rPr>
        <w:t xml:space="preserve">The </w:t>
      </w:r>
      <w:r w:rsidR="00805A52">
        <w:rPr>
          <w:lang w:val="en-AU"/>
        </w:rPr>
        <w:t>r</w:t>
      </w:r>
      <w:r w:rsidR="00E54055">
        <w:rPr>
          <w:lang w:val="en-AU"/>
        </w:rPr>
        <w:t>eview</w:t>
      </w:r>
      <w:r w:rsidRPr="00FC1976">
        <w:rPr>
          <w:lang w:val="en-AU"/>
        </w:rPr>
        <w:t xml:space="preserve"> drew on various types of MBS data, including data on</w:t>
      </w:r>
      <w:r w:rsidR="00292272">
        <w:rPr>
          <w:lang w:val="en-AU"/>
        </w:rPr>
        <w:t>:</w:t>
      </w:r>
      <w:r w:rsidRPr="00FC1976">
        <w:rPr>
          <w:lang w:val="en-AU"/>
        </w:rPr>
        <w:t xml:space="preserve"> </w:t>
      </w:r>
    </w:p>
    <w:p w14:paraId="7AFAD2F0" w14:textId="77777777" w:rsidR="00292272" w:rsidRDefault="00752830" w:rsidP="005A2B78">
      <w:pPr>
        <w:pStyle w:val="NormalBulleted"/>
        <w:spacing w:line="240" w:lineRule="auto"/>
        <w:rPr>
          <w:lang w:val="en-AU"/>
        </w:rPr>
      </w:pPr>
      <w:r w:rsidRPr="00FC1976">
        <w:rPr>
          <w:lang w:val="en-AU"/>
        </w:rPr>
        <w:t>utilisation of items (services, benefits, patients, providers and growth rates)</w:t>
      </w:r>
    </w:p>
    <w:p w14:paraId="037B4956" w14:textId="77777777" w:rsidR="00292272" w:rsidRDefault="00752830" w:rsidP="005A2B78">
      <w:pPr>
        <w:pStyle w:val="NormalBulleted"/>
        <w:spacing w:line="240" w:lineRule="auto"/>
        <w:rPr>
          <w:lang w:val="en-AU"/>
        </w:rPr>
      </w:pPr>
      <w:r w:rsidRPr="00FC1976">
        <w:rPr>
          <w:lang w:val="en-AU"/>
        </w:rPr>
        <w:t>service provision (type of provider, geography of service provision)</w:t>
      </w:r>
    </w:p>
    <w:p w14:paraId="2BB91D5E" w14:textId="77777777" w:rsidR="00292272" w:rsidRDefault="00752830" w:rsidP="005A2B78">
      <w:pPr>
        <w:pStyle w:val="NormalBulleted"/>
        <w:spacing w:line="240" w:lineRule="auto"/>
        <w:rPr>
          <w:lang w:val="en-AU"/>
        </w:rPr>
      </w:pPr>
      <w:r w:rsidRPr="00FC1976">
        <w:rPr>
          <w:lang w:val="en-AU"/>
        </w:rPr>
        <w:t>patients (demographics and services per patient)</w:t>
      </w:r>
    </w:p>
    <w:p w14:paraId="77A870AB" w14:textId="77777777" w:rsidR="00292272" w:rsidRDefault="00752830" w:rsidP="005A2B78">
      <w:pPr>
        <w:pStyle w:val="NormalBulleted"/>
        <w:spacing w:line="240" w:lineRule="auto"/>
        <w:rPr>
          <w:lang w:val="en-AU"/>
        </w:rPr>
      </w:pPr>
      <w:r w:rsidRPr="00FC1976">
        <w:rPr>
          <w:lang w:val="en-AU"/>
        </w:rPr>
        <w:t>co-claiming or episodes of services (</w:t>
      </w:r>
      <w:proofErr w:type="gramStart"/>
      <w:r w:rsidRPr="00FC1976">
        <w:rPr>
          <w:lang w:val="en-AU"/>
        </w:rPr>
        <w:t>same-day</w:t>
      </w:r>
      <w:proofErr w:type="gramEnd"/>
      <w:r w:rsidRPr="00FC1976">
        <w:rPr>
          <w:lang w:val="en-AU"/>
        </w:rPr>
        <w:t xml:space="preserve"> claiming and claiming with specific items over time)</w:t>
      </w:r>
      <w:r w:rsidR="0034130F">
        <w:rPr>
          <w:lang w:val="en-AU"/>
        </w:rPr>
        <w:t>; and</w:t>
      </w:r>
    </w:p>
    <w:p w14:paraId="13F741F1" w14:textId="77777777" w:rsidR="00292272" w:rsidRDefault="00752830" w:rsidP="005A2B78">
      <w:pPr>
        <w:pStyle w:val="NormalBulleted"/>
        <w:spacing w:line="240" w:lineRule="auto"/>
        <w:rPr>
          <w:lang w:val="en-AU"/>
        </w:rPr>
      </w:pPr>
      <w:r w:rsidRPr="00FC1976">
        <w:rPr>
          <w:lang w:val="en-AU"/>
        </w:rPr>
        <w:t>additional provider and patient-level data, when required.</w:t>
      </w:r>
    </w:p>
    <w:p w14:paraId="0FA96ABC" w14:textId="77777777" w:rsidR="00752830" w:rsidRPr="00FC1976" w:rsidRDefault="00752830" w:rsidP="00082595">
      <w:pPr>
        <w:rPr>
          <w:lang w:val="en-AU"/>
        </w:rPr>
      </w:pPr>
      <w:r w:rsidRPr="00FC1976">
        <w:rPr>
          <w:lang w:val="en-AU"/>
        </w:rPr>
        <w:t xml:space="preserve">The </w:t>
      </w:r>
      <w:r w:rsidR="0034130F">
        <w:rPr>
          <w:lang w:val="en-AU"/>
        </w:rPr>
        <w:t>R</w:t>
      </w:r>
      <w:r w:rsidRPr="00FC1976">
        <w:rPr>
          <w:lang w:val="en-AU"/>
        </w:rPr>
        <w:t xml:space="preserve">eview also drew on data presented in the relevant literature and clinical guidelines, all of which are referenced in the report. </w:t>
      </w:r>
    </w:p>
    <w:p w14:paraId="717059E7" w14:textId="77777777" w:rsidR="00752830" w:rsidRPr="00FC1976" w:rsidRDefault="00805A52" w:rsidP="00082595">
      <w:pPr>
        <w:rPr>
          <w:lang w:val="en-AU"/>
        </w:rPr>
      </w:pPr>
      <w:r>
        <w:rPr>
          <w:lang w:val="en-AU"/>
        </w:rPr>
        <w:t xml:space="preserve">The report will be released for public consultation, giving all Australians, including health professionals, an opportunity to have their say on the draft recommendations. </w:t>
      </w:r>
      <w:r w:rsidR="00752830" w:rsidRPr="00FC1976">
        <w:rPr>
          <w:lang w:val="en-AU"/>
        </w:rPr>
        <w:t xml:space="preserve">Following this period of consultation, </w:t>
      </w:r>
      <w:r w:rsidR="00DD1E85">
        <w:rPr>
          <w:lang w:val="en-AU"/>
        </w:rPr>
        <w:t xml:space="preserve">the Committee will consider </w:t>
      </w:r>
      <w:r w:rsidR="00752830" w:rsidRPr="00FC1976">
        <w:rPr>
          <w:lang w:val="en-AU"/>
        </w:rPr>
        <w:t xml:space="preserve">stakeholder feedback </w:t>
      </w:r>
      <w:r w:rsidR="00B22A26">
        <w:rPr>
          <w:lang w:val="en-AU"/>
        </w:rPr>
        <w:t>before finalising</w:t>
      </w:r>
      <w:r w:rsidR="00752830" w:rsidRPr="00FC1976">
        <w:rPr>
          <w:lang w:val="en-AU"/>
        </w:rPr>
        <w:t xml:space="preserve"> the recommendations and present</w:t>
      </w:r>
      <w:r w:rsidR="00B22A26">
        <w:rPr>
          <w:lang w:val="en-AU"/>
        </w:rPr>
        <w:t>ing</w:t>
      </w:r>
      <w:r w:rsidR="00752830" w:rsidRPr="00FC1976">
        <w:rPr>
          <w:lang w:val="en-AU"/>
        </w:rPr>
        <w:t xml:space="preserve"> </w:t>
      </w:r>
      <w:r w:rsidR="00B22A26">
        <w:rPr>
          <w:lang w:val="en-AU"/>
        </w:rPr>
        <w:t xml:space="preserve">them </w:t>
      </w:r>
      <w:r w:rsidR="00752830" w:rsidRPr="00FC1976">
        <w:rPr>
          <w:lang w:val="en-AU"/>
        </w:rPr>
        <w:t xml:space="preserve">to the Taskforce. The Taskforce will consider the report and stakeholder feedback before making recommendations to the </w:t>
      </w:r>
      <w:r w:rsidR="007D479F">
        <w:rPr>
          <w:lang w:val="en-AU"/>
        </w:rPr>
        <w:t xml:space="preserve">Minister for Health </w:t>
      </w:r>
      <w:r w:rsidR="00752830" w:rsidRPr="00FC1976">
        <w:rPr>
          <w:lang w:val="en-AU"/>
        </w:rPr>
        <w:t xml:space="preserve">for consideration by the Government. </w:t>
      </w:r>
    </w:p>
    <w:p w14:paraId="7E35E82D" w14:textId="77777777" w:rsidR="00632263" w:rsidRPr="00FC1976" w:rsidRDefault="00632263" w:rsidP="00082595">
      <w:pPr>
        <w:rPr>
          <w:rFonts w:eastAsiaTheme="minorHAnsi" w:cs="Arial"/>
          <w:kern w:val="32"/>
          <w:sz w:val="32"/>
          <w:szCs w:val="28"/>
          <w:lang w:val="en-AU" w:eastAsia="en-US"/>
        </w:rPr>
      </w:pPr>
      <w:bookmarkStart w:id="69" w:name="_Toc456045433"/>
      <w:bookmarkEnd w:id="68"/>
    </w:p>
    <w:p w14:paraId="751910E3" w14:textId="77777777" w:rsidR="00C172DC" w:rsidRPr="00FC1976" w:rsidRDefault="00E93610" w:rsidP="008855E4">
      <w:pPr>
        <w:pStyle w:val="Heading1"/>
        <w:rPr>
          <w:lang w:val="en-AU"/>
        </w:rPr>
      </w:pPr>
      <w:bookmarkStart w:id="70" w:name="_Recommendations_for_consultation"/>
      <w:bookmarkStart w:id="71" w:name="_Toc459996812"/>
      <w:bookmarkStart w:id="72" w:name="_Toc458167000"/>
      <w:bookmarkStart w:id="73" w:name="_Toc495403388"/>
      <w:bookmarkEnd w:id="70"/>
      <w:r w:rsidRPr="00FC1976">
        <w:rPr>
          <w:lang w:val="en-AU"/>
        </w:rPr>
        <w:t xml:space="preserve">Recommendations </w:t>
      </w:r>
      <w:bookmarkEnd w:id="69"/>
      <w:r w:rsidR="00752830" w:rsidRPr="00FC1976">
        <w:rPr>
          <w:lang w:val="en-AU"/>
        </w:rPr>
        <w:t>for c</w:t>
      </w:r>
      <w:r w:rsidR="006D1E01" w:rsidRPr="00FC1976">
        <w:rPr>
          <w:lang w:val="en-AU"/>
        </w:rPr>
        <w:t>onsultation</w:t>
      </w:r>
      <w:bookmarkEnd w:id="71"/>
      <w:bookmarkEnd w:id="72"/>
      <w:bookmarkEnd w:id="73"/>
    </w:p>
    <w:p w14:paraId="5DA9CF1F" w14:textId="77777777" w:rsidR="00512F2C" w:rsidRPr="00FC1976" w:rsidRDefault="002F43B8" w:rsidP="00082595">
      <w:pPr>
        <w:pStyle w:val="Boldhdg"/>
        <w:rPr>
          <w:lang w:val="en-AU"/>
        </w:rPr>
      </w:pPr>
      <w:r w:rsidRPr="00FC1976">
        <w:rPr>
          <w:lang w:val="en-AU"/>
        </w:rPr>
        <w:t>Introduction</w:t>
      </w:r>
    </w:p>
    <w:p w14:paraId="567BBF70" w14:textId="77777777" w:rsidR="000B30DE" w:rsidRDefault="00071EB7" w:rsidP="0033420E">
      <w:pPr>
        <w:rPr>
          <w:lang w:val="en-AU"/>
        </w:rPr>
      </w:pPr>
      <w:r w:rsidRPr="00FC1976">
        <w:rPr>
          <w:lang w:val="en-AU" w:eastAsia="en-US"/>
        </w:rPr>
        <w:t xml:space="preserve">The Committee </w:t>
      </w:r>
      <w:r w:rsidR="00EF2140" w:rsidRPr="00FC1976">
        <w:rPr>
          <w:lang w:val="en-AU" w:eastAsia="en-US"/>
        </w:rPr>
        <w:t xml:space="preserve">reviewed </w:t>
      </w:r>
      <w:r w:rsidR="00946D63">
        <w:rPr>
          <w:lang w:val="en-AU" w:eastAsia="en-US"/>
        </w:rPr>
        <w:t>48</w:t>
      </w:r>
      <w:r w:rsidR="00724174" w:rsidRPr="00FC1976">
        <w:rPr>
          <w:lang w:val="en-AU" w:eastAsia="en-US"/>
        </w:rPr>
        <w:t xml:space="preserve"> </w:t>
      </w:r>
      <w:r w:rsidR="0033420E">
        <w:rPr>
          <w:lang w:val="en-AU" w:eastAsia="en-US"/>
        </w:rPr>
        <w:t>haematology</w:t>
      </w:r>
      <w:r w:rsidRPr="00FC1976">
        <w:rPr>
          <w:lang w:val="en-AU" w:eastAsia="en-US"/>
        </w:rPr>
        <w:t xml:space="preserve"> item</w:t>
      </w:r>
      <w:r w:rsidR="00752830" w:rsidRPr="00FC1976">
        <w:rPr>
          <w:lang w:val="en-AU" w:eastAsia="en-US"/>
        </w:rPr>
        <w:t>s</w:t>
      </w:r>
      <w:r w:rsidRPr="00FC1976">
        <w:rPr>
          <w:lang w:val="en-AU" w:eastAsia="en-US"/>
        </w:rPr>
        <w:t xml:space="preserve"> </w:t>
      </w:r>
      <w:r w:rsidR="00946D63">
        <w:rPr>
          <w:lang w:val="en-AU" w:eastAsia="en-US"/>
        </w:rPr>
        <w:t xml:space="preserve">and three referred items </w:t>
      </w:r>
      <w:r w:rsidR="00EF2140" w:rsidRPr="00FC1976">
        <w:rPr>
          <w:lang w:val="en-AU" w:eastAsia="en-US"/>
        </w:rPr>
        <w:t>and made</w:t>
      </w:r>
      <w:r w:rsidRPr="00FC1976">
        <w:rPr>
          <w:lang w:val="en-AU" w:eastAsia="en-US"/>
        </w:rPr>
        <w:t xml:space="preserve"> </w:t>
      </w:r>
      <w:r w:rsidR="005C14C4" w:rsidRPr="00FC1976">
        <w:rPr>
          <w:lang w:val="en-AU" w:eastAsia="en-US"/>
        </w:rPr>
        <w:t>recommendations</w:t>
      </w:r>
      <w:r w:rsidRPr="00FC1976">
        <w:rPr>
          <w:lang w:val="en-AU" w:eastAsia="en-US"/>
        </w:rPr>
        <w:t xml:space="preserve"> based on evidence</w:t>
      </w:r>
      <w:r w:rsidR="00F01000" w:rsidRPr="00FC1976">
        <w:rPr>
          <w:lang w:val="en-AU" w:eastAsia="en-US"/>
        </w:rPr>
        <w:t xml:space="preserve"> and</w:t>
      </w:r>
      <w:r w:rsidRPr="00FC1976">
        <w:rPr>
          <w:lang w:val="en-AU" w:eastAsia="en-US"/>
        </w:rPr>
        <w:t xml:space="preserve"> clinical expertise</w:t>
      </w:r>
      <w:r w:rsidR="00F01000" w:rsidRPr="00FC1976">
        <w:rPr>
          <w:lang w:val="en-AU" w:eastAsia="en-US"/>
        </w:rPr>
        <w:t>,</w:t>
      </w:r>
      <w:r w:rsidRPr="00FC1976">
        <w:rPr>
          <w:lang w:val="en-AU" w:eastAsia="en-US"/>
        </w:rPr>
        <w:t xml:space="preserve"> </w:t>
      </w:r>
      <w:r w:rsidR="00F01000" w:rsidRPr="00FC1976">
        <w:rPr>
          <w:lang w:val="en-AU" w:eastAsia="en-US"/>
        </w:rPr>
        <w:t xml:space="preserve">in </w:t>
      </w:r>
      <w:r w:rsidRPr="00FC1976">
        <w:rPr>
          <w:lang w:val="en-AU" w:eastAsia="en-US"/>
        </w:rPr>
        <w:t>consultation with relevant stakeholders</w:t>
      </w:r>
      <w:r w:rsidR="0049272D" w:rsidRPr="00FC1976">
        <w:rPr>
          <w:lang w:val="en-AU" w:eastAsia="en-US"/>
        </w:rPr>
        <w:t xml:space="preserve">. </w:t>
      </w:r>
      <w:r w:rsidR="00E47C97">
        <w:rPr>
          <w:lang w:val="en-AU"/>
        </w:rPr>
        <w:t>The item-level recommendations are described below. A summary list of recommendations can be found in Appendi</w:t>
      </w:r>
      <w:r w:rsidR="00201084">
        <w:rPr>
          <w:lang w:val="en-AU"/>
        </w:rPr>
        <w:t xml:space="preserve">ces </w:t>
      </w:r>
      <w:hyperlink w:anchor="_Appendix_A_—Assigned" w:history="1">
        <w:r w:rsidR="00E47C97" w:rsidRPr="00805A52">
          <w:rPr>
            <w:rStyle w:val="Hyperlink"/>
            <w:lang w:val="en-AU"/>
          </w:rPr>
          <w:t>A</w:t>
        </w:r>
      </w:hyperlink>
      <w:r w:rsidR="00E47C97">
        <w:rPr>
          <w:lang w:val="en-AU"/>
        </w:rPr>
        <w:t xml:space="preserve"> and</w:t>
      </w:r>
      <w:r w:rsidR="00201084">
        <w:rPr>
          <w:lang w:val="en-AU"/>
        </w:rPr>
        <w:t xml:space="preserve"> </w:t>
      </w:r>
      <w:hyperlink w:anchor="_Appendix_B_—New" w:history="1">
        <w:r w:rsidR="00201084" w:rsidRPr="00805A52">
          <w:rPr>
            <w:rStyle w:val="Hyperlink"/>
            <w:lang w:val="en-AU"/>
          </w:rPr>
          <w:t>B</w:t>
        </w:r>
      </w:hyperlink>
      <w:r w:rsidR="00201084">
        <w:rPr>
          <w:lang w:val="en-AU"/>
        </w:rPr>
        <w:t>,</w:t>
      </w:r>
      <w:r w:rsidR="00E47C97">
        <w:rPr>
          <w:lang w:val="en-AU"/>
        </w:rPr>
        <w:t xml:space="preserve"> </w:t>
      </w:r>
      <w:r w:rsidR="00176FAA">
        <w:rPr>
          <w:lang w:val="en-AU"/>
        </w:rPr>
        <w:t xml:space="preserve">and in </w:t>
      </w:r>
      <w:r w:rsidR="00E47C97">
        <w:rPr>
          <w:lang w:val="en-AU"/>
        </w:rPr>
        <w:t xml:space="preserve">the consumer summary table in </w:t>
      </w:r>
      <w:hyperlink w:anchor="_Appendix_C_—Summary" w:history="1">
        <w:r w:rsidR="00E47C97" w:rsidRPr="00805A52">
          <w:rPr>
            <w:rStyle w:val="Hyperlink"/>
            <w:lang w:val="en-AU"/>
          </w:rPr>
          <w:t xml:space="preserve">Appendix </w:t>
        </w:r>
        <w:r w:rsidR="008B09CF" w:rsidRPr="00805A52">
          <w:rPr>
            <w:rStyle w:val="Hyperlink"/>
            <w:lang w:val="en-AU"/>
          </w:rPr>
          <w:t>C</w:t>
        </w:r>
      </w:hyperlink>
      <w:r w:rsidR="00201084">
        <w:rPr>
          <w:lang w:val="en-AU"/>
        </w:rPr>
        <w:t>.</w:t>
      </w:r>
    </w:p>
    <w:p w14:paraId="646C0A18" w14:textId="77777777" w:rsidR="00F240A0" w:rsidRDefault="00E47C97" w:rsidP="007C74D2">
      <w:pPr>
        <w:rPr>
          <w:lang w:val="en-AU"/>
        </w:rPr>
      </w:pPr>
      <w:r>
        <w:rPr>
          <w:lang w:val="en-AU"/>
        </w:rPr>
        <w:t>The Committee</w:t>
      </w:r>
      <w:r w:rsidR="002F18DD">
        <w:rPr>
          <w:lang w:val="en-AU"/>
        </w:rPr>
        <w:t>’</w:t>
      </w:r>
      <w:r>
        <w:rPr>
          <w:lang w:val="en-AU"/>
        </w:rPr>
        <w:t>s recommendations for public consultation</w:t>
      </w:r>
      <w:r w:rsidR="007C74D2">
        <w:rPr>
          <w:lang w:val="en-AU"/>
        </w:rPr>
        <w:t xml:space="preserve"> are that </w:t>
      </w:r>
      <w:r w:rsidR="00AF1ED5">
        <w:rPr>
          <w:lang w:val="en-AU"/>
        </w:rPr>
        <w:t>five</w:t>
      </w:r>
      <w:r w:rsidR="007C74D2">
        <w:rPr>
          <w:lang w:val="en-AU"/>
        </w:rPr>
        <w:t xml:space="preserve"> items should be deleted (and their services no longer </w:t>
      </w:r>
      <w:r w:rsidR="008B09CF">
        <w:rPr>
          <w:lang w:val="en-AU"/>
        </w:rPr>
        <w:t xml:space="preserve">be </w:t>
      </w:r>
      <w:r w:rsidR="007C74D2">
        <w:rPr>
          <w:lang w:val="en-AU"/>
        </w:rPr>
        <w:t>provided under the MBS</w:t>
      </w:r>
      <w:r w:rsidR="00292272">
        <w:rPr>
          <w:lang w:val="en-AU"/>
        </w:rPr>
        <w:t xml:space="preserve">), </w:t>
      </w:r>
      <w:r w:rsidR="00AF1ED5">
        <w:rPr>
          <w:lang w:val="en-AU"/>
        </w:rPr>
        <w:t>12</w:t>
      </w:r>
      <w:r>
        <w:rPr>
          <w:lang w:val="en-AU"/>
        </w:rPr>
        <w:t xml:space="preserve"> items should be changed</w:t>
      </w:r>
      <w:r w:rsidR="00292272">
        <w:rPr>
          <w:lang w:val="en-AU"/>
        </w:rPr>
        <w:t xml:space="preserve">, </w:t>
      </w:r>
      <w:r>
        <w:rPr>
          <w:lang w:val="en-AU"/>
        </w:rPr>
        <w:t xml:space="preserve">and </w:t>
      </w:r>
      <w:r w:rsidR="00AF1ED5">
        <w:rPr>
          <w:lang w:val="en-AU"/>
        </w:rPr>
        <w:t>34</w:t>
      </w:r>
      <w:r>
        <w:rPr>
          <w:lang w:val="en-AU"/>
        </w:rPr>
        <w:t xml:space="preserve"> items should remain unchanged. </w:t>
      </w:r>
      <w:r w:rsidR="002077AE">
        <w:rPr>
          <w:lang w:val="en-AU"/>
        </w:rPr>
        <w:t xml:space="preserve">The Committee has proposed </w:t>
      </w:r>
      <w:r w:rsidR="00AF1ED5">
        <w:rPr>
          <w:lang w:val="en-AU"/>
        </w:rPr>
        <w:t>seven</w:t>
      </w:r>
      <w:r w:rsidR="002077AE">
        <w:rPr>
          <w:lang w:val="en-AU"/>
        </w:rPr>
        <w:t xml:space="preserve"> new items and referred </w:t>
      </w:r>
      <w:r w:rsidR="00AF1ED5">
        <w:rPr>
          <w:lang w:val="en-AU"/>
        </w:rPr>
        <w:t>three of these</w:t>
      </w:r>
      <w:r w:rsidR="002077AE">
        <w:rPr>
          <w:lang w:val="en-AU"/>
        </w:rPr>
        <w:t xml:space="preserve"> to other </w:t>
      </w:r>
      <w:r w:rsidR="00805A52">
        <w:rPr>
          <w:lang w:val="en-AU"/>
        </w:rPr>
        <w:t>committees</w:t>
      </w:r>
      <w:r w:rsidR="002077AE">
        <w:rPr>
          <w:lang w:val="en-AU"/>
        </w:rPr>
        <w:t xml:space="preserve">. </w:t>
      </w:r>
    </w:p>
    <w:p w14:paraId="1FCC35D4" w14:textId="77777777" w:rsidR="00E47C97" w:rsidRDefault="007C74D2" w:rsidP="007C74D2">
      <w:pPr>
        <w:rPr>
          <w:lang w:val="en-AU"/>
        </w:rPr>
      </w:pPr>
      <w:r>
        <w:rPr>
          <w:lang w:val="en-AU"/>
        </w:rPr>
        <w:t>The changes focus on encouraging best practice, modernising the MBS to reflect contemporary practice, and ensuring that MBS services provide value for the patient and the healthcare system. Some of this can be achieved by:</w:t>
      </w:r>
    </w:p>
    <w:p w14:paraId="7839CA33" w14:textId="77777777" w:rsidR="007C74D2" w:rsidRDefault="00292272" w:rsidP="007C74D2">
      <w:pPr>
        <w:pStyle w:val="NormalBulleted"/>
        <w:rPr>
          <w:lang w:val="en-AU"/>
        </w:rPr>
      </w:pPr>
      <w:r>
        <w:rPr>
          <w:lang w:val="en-AU"/>
        </w:rPr>
        <w:t xml:space="preserve">deleting </w:t>
      </w:r>
      <w:r w:rsidR="007C74D2">
        <w:rPr>
          <w:lang w:val="en-AU"/>
        </w:rPr>
        <w:t xml:space="preserve">items that </w:t>
      </w:r>
      <w:r w:rsidR="00805A52" w:rsidRPr="00720661">
        <w:rPr>
          <w:lang w:val="en-AU"/>
        </w:rPr>
        <w:t xml:space="preserve">that are not supported by evidence </w:t>
      </w:r>
      <w:r w:rsidR="00805A52">
        <w:rPr>
          <w:lang w:val="en-AU"/>
        </w:rPr>
        <w:t xml:space="preserve">or </w:t>
      </w:r>
      <w:r w:rsidR="007C74D2">
        <w:rPr>
          <w:lang w:val="en-AU"/>
        </w:rPr>
        <w:t>are obsolete</w:t>
      </w:r>
    </w:p>
    <w:p w14:paraId="5C0EEB9B" w14:textId="77777777" w:rsidR="007C74D2" w:rsidRDefault="00292272" w:rsidP="007C74D2">
      <w:pPr>
        <w:pStyle w:val="NormalBulleted"/>
        <w:rPr>
          <w:lang w:val="en-AU"/>
        </w:rPr>
      </w:pPr>
      <w:r>
        <w:rPr>
          <w:lang w:val="en-AU"/>
        </w:rPr>
        <w:t xml:space="preserve">consolidating </w:t>
      </w:r>
      <w:r w:rsidR="007C74D2">
        <w:rPr>
          <w:lang w:val="en-AU"/>
        </w:rPr>
        <w:t>or splitting items to reflect contemporary practice</w:t>
      </w:r>
    </w:p>
    <w:p w14:paraId="4371747F" w14:textId="77777777" w:rsidR="007C74D2" w:rsidRDefault="00292272" w:rsidP="007C74D2">
      <w:pPr>
        <w:pStyle w:val="NormalBulleted"/>
        <w:rPr>
          <w:lang w:val="en-AU"/>
        </w:rPr>
      </w:pPr>
      <w:r>
        <w:rPr>
          <w:lang w:val="en-AU"/>
        </w:rPr>
        <w:t xml:space="preserve">modernising </w:t>
      </w:r>
      <w:r w:rsidR="007C74D2">
        <w:rPr>
          <w:lang w:val="en-AU"/>
        </w:rPr>
        <w:t>item descriptors to reflect best practice</w:t>
      </w:r>
    </w:p>
    <w:p w14:paraId="728F0825" w14:textId="77777777" w:rsidR="007C74D2" w:rsidRPr="007C74D2" w:rsidRDefault="00292272" w:rsidP="007C74D2">
      <w:pPr>
        <w:pStyle w:val="NormalBulleted"/>
        <w:rPr>
          <w:lang w:val="en-AU"/>
        </w:rPr>
      </w:pPr>
      <w:r>
        <w:rPr>
          <w:lang w:val="en-AU"/>
        </w:rPr>
        <w:t xml:space="preserve">providing </w:t>
      </w:r>
      <w:r w:rsidR="007C74D2">
        <w:rPr>
          <w:lang w:val="en-AU"/>
        </w:rPr>
        <w:t>clinical guidance for appropriate use through explanatory notes.</w:t>
      </w:r>
    </w:p>
    <w:p w14:paraId="743875BD" w14:textId="77777777" w:rsidR="0049272D" w:rsidRPr="00647657" w:rsidRDefault="0049272D" w:rsidP="00082595">
      <w:pPr>
        <w:rPr>
          <w:lang w:val="en-AU" w:eastAsia="en-US"/>
        </w:rPr>
      </w:pPr>
      <w:r w:rsidRPr="007B3FE5">
        <w:rPr>
          <w:lang w:val="en-AU" w:eastAsia="en-US"/>
        </w:rPr>
        <w:t xml:space="preserve">The recommendations are </w:t>
      </w:r>
      <w:r w:rsidR="007C74D2">
        <w:rPr>
          <w:lang w:val="en-AU" w:eastAsia="en-US"/>
        </w:rPr>
        <w:t>presented</w:t>
      </w:r>
      <w:r w:rsidR="00581812" w:rsidRPr="007B3FE5">
        <w:rPr>
          <w:lang w:val="en-AU" w:eastAsia="en-US"/>
        </w:rPr>
        <w:t xml:space="preserve"> </w:t>
      </w:r>
      <w:r w:rsidR="00C85D1A">
        <w:rPr>
          <w:lang w:val="en-AU" w:eastAsia="en-US"/>
        </w:rPr>
        <w:t>in item groups below</w:t>
      </w:r>
      <w:r w:rsidRPr="007B3FE5">
        <w:rPr>
          <w:lang w:val="en-AU" w:eastAsia="en-US"/>
        </w:rPr>
        <w:t>, with higher priority groups</w:t>
      </w:r>
      <w:r w:rsidR="0033420E">
        <w:rPr>
          <w:lang w:val="en-AU" w:eastAsia="en-US"/>
        </w:rPr>
        <w:t xml:space="preserve"> presented first.</w:t>
      </w:r>
      <w:r w:rsidR="00A31D32">
        <w:rPr>
          <w:lang w:val="en-AU" w:eastAsia="en-US"/>
        </w:rPr>
        <w:br/>
      </w:r>
      <w:r w:rsidR="008B09CF">
        <w:rPr>
          <w:lang w:val="en-AU" w:eastAsia="en-US"/>
        </w:rPr>
        <w:t xml:space="preserve">When </w:t>
      </w:r>
      <w:r w:rsidR="00647657">
        <w:rPr>
          <w:lang w:val="en-AU" w:eastAsia="en-US"/>
        </w:rPr>
        <w:t xml:space="preserve">the Committee would have preferred to recommend a change but for various reasons </w:t>
      </w:r>
      <w:r w:rsidR="008B09CF">
        <w:rPr>
          <w:lang w:val="en-AU" w:eastAsia="en-US"/>
        </w:rPr>
        <w:t xml:space="preserve">has </w:t>
      </w:r>
      <w:r w:rsidR="00647657">
        <w:rPr>
          <w:lang w:val="en-AU" w:eastAsia="en-US"/>
        </w:rPr>
        <w:t>elected not to, the full discussion has been included for the record.</w:t>
      </w:r>
    </w:p>
    <w:p w14:paraId="3509CF11" w14:textId="77777777" w:rsidR="0033420E" w:rsidRDefault="0033420E" w:rsidP="00B420DD">
      <w:pPr>
        <w:pStyle w:val="Heading2"/>
        <w:rPr>
          <w:lang w:val="en-AU"/>
        </w:rPr>
      </w:pPr>
      <w:bookmarkStart w:id="74" w:name="_Toc495403389"/>
      <w:r>
        <w:rPr>
          <w:lang w:val="en-AU"/>
        </w:rPr>
        <w:t>Blood grouping and blood group antibodies</w:t>
      </w:r>
      <w:r w:rsidR="00813794">
        <w:rPr>
          <w:lang w:val="en-AU"/>
        </w:rPr>
        <w:t>:</w:t>
      </w:r>
      <w:r w:rsidR="00C77285">
        <w:rPr>
          <w:lang w:val="en-AU"/>
        </w:rPr>
        <w:t xml:space="preserve"> </w:t>
      </w:r>
      <w:r w:rsidR="008B09CF">
        <w:rPr>
          <w:lang w:val="en-AU"/>
        </w:rPr>
        <w:t>i</w:t>
      </w:r>
      <w:r w:rsidR="00813794">
        <w:rPr>
          <w:lang w:val="en-AU"/>
        </w:rPr>
        <w:t xml:space="preserve">tems </w:t>
      </w:r>
      <w:r w:rsidR="00813794" w:rsidRPr="00813794">
        <w:rPr>
          <w:lang w:val="en-GB"/>
        </w:rPr>
        <w:t>65090, 65093, 65096 and 65111</w:t>
      </w:r>
      <w:bookmarkEnd w:id="74"/>
    </w:p>
    <w:p w14:paraId="54599F4F" w14:textId="77777777" w:rsidR="0033420E" w:rsidRPr="00FE79D0" w:rsidRDefault="008F7F21" w:rsidP="00FE79D0">
      <w:pPr>
        <w:pStyle w:val="Caption"/>
      </w:pPr>
      <w:bookmarkStart w:id="75" w:name="_Toc481493770"/>
      <w:r w:rsidRPr="00FE79D0">
        <w:t>Table 3</w:t>
      </w:r>
      <w:r w:rsidR="00E50BD5" w:rsidRPr="00FE79D0">
        <w:t xml:space="preserve">: </w:t>
      </w:r>
      <w:r w:rsidR="0033420E" w:rsidRPr="00FE79D0">
        <w:t xml:space="preserve">Item introduction table for items </w:t>
      </w:r>
      <w:r w:rsidR="00A31D32" w:rsidRPr="00FE79D0">
        <w:t>65090, 65093, 65096 and 65111</w:t>
      </w:r>
      <w:bookmarkEnd w:id="75"/>
    </w:p>
    <w:tbl>
      <w:tblPr>
        <w:tblStyle w:val="TableGrid1"/>
        <w:tblW w:w="9016" w:type="dxa"/>
        <w:tblLook w:val="04A0" w:firstRow="1" w:lastRow="0" w:firstColumn="1" w:lastColumn="0" w:noHBand="0" w:noVBand="1"/>
        <w:tblCaption w:val="Item introduction table for items 65090, 65093, 65096 and 65111."/>
        <w:tblDescription w:val="This table shows selected MBS Schedule information for items 65090, 65093, 65096 and 65111. There are 7 columns – column 1: item number, column 2: long item descriptor, column 3: schedule fee, column 4: services for the 2014–15 financial year, column 5: total benefits for the 2014–15 financial year, column 6: total patient count for the 2014–15 financial year, and column 7: 5-year compound annual growth rate of the service."/>
      </w:tblPr>
      <w:tblGrid>
        <w:gridCol w:w="762"/>
        <w:gridCol w:w="2715"/>
        <w:gridCol w:w="1017"/>
        <w:gridCol w:w="1214"/>
        <w:gridCol w:w="1314"/>
        <w:gridCol w:w="951"/>
        <w:gridCol w:w="1043"/>
      </w:tblGrid>
      <w:tr w:rsidR="0033420E" w:rsidRPr="00B24C47" w14:paraId="405EC6F5" w14:textId="77777777" w:rsidTr="00B420DD">
        <w:trPr>
          <w:trHeight w:val="729"/>
          <w:tblHeader/>
        </w:trPr>
        <w:tc>
          <w:tcPr>
            <w:tcW w:w="762" w:type="dxa"/>
            <w:shd w:val="clear" w:color="auto" w:fill="F2F2F2" w:themeFill="background1" w:themeFillShade="F2"/>
            <w:vAlign w:val="bottom"/>
            <w:hideMark/>
          </w:tcPr>
          <w:p w14:paraId="0D417544" w14:textId="77777777" w:rsidR="0033420E" w:rsidRPr="00B24C47" w:rsidRDefault="0033420E" w:rsidP="00795693">
            <w:pPr>
              <w:rPr>
                <w:rFonts w:ascii="Arial" w:hAnsi="Arial" w:cs="Arial"/>
                <w:b/>
                <w:color w:val="000000"/>
                <w:sz w:val="18"/>
                <w:szCs w:val="18"/>
              </w:rPr>
            </w:pPr>
            <w:r w:rsidRPr="00B24C47">
              <w:rPr>
                <w:rFonts w:ascii="Arial" w:hAnsi="Arial" w:cs="Arial"/>
                <w:b/>
                <w:color w:val="000000"/>
                <w:sz w:val="18"/>
                <w:szCs w:val="18"/>
              </w:rPr>
              <w:t>Item</w:t>
            </w:r>
          </w:p>
        </w:tc>
        <w:tc>
          <w:tcPr>
            <w:tcW w:w="2715" w:type="dxa"/>
            <w:shd w:val="clear" w:color="auto" w:fill="F2F2F2" w:themeFill="background1" w:themeFillShade="F2"/>
            <w:vAlign w:val="bottom"/>
            <w:hideMark/>
          </w:tcPr>
          <w:p w14:paraId="233C63D5" w14:textId="77777777" w:rsidR="0033420E" w:rsidRPr="00B24C47" w:rsidRDefault="0033420E" w:rsidP="00795693">
            <w:pPr>
              <w:rPr>
                <w:rFonts w:ascii="Arial" w:hAnsi="Arial" w:cs="Arial"/>
                <w:b/>
                <w:color w:val="000000"/>
                <w:sz w:val="18"/>
                <w:szCs w:val="18"/>
              </w:rPr>
            </w:pPr>
            <w:r w:rsidRPr="00B24C47">
              <w:rPr>
                <w:rFonts w:ascii="Arial" w:hAnsi="Arial" w:cs="Arial"/>
                <w:b/>
                <w:color w:val="000000"/>
                <w:sz w:val="18"/>
                <w:szCs w:val="18"/>
              </w:rPr>
              <w:t>Long item descriptor</w:t>
            </w:r>
          </w:p>
        </w:tc>
        <w:tc>
          <w:tcPr>
            <w:tcW w:w="1017" w:type="dxa"/>
            <w:shd w:val="clear" w:color="auto" w:fill="F2F2F2" w:themeFill="background1" w:themeFillShade="F2"/>
            <w:vAlign w:val="bottom"/>
            <w:hideMark/>
          </w:tcPr>
          <w:p w14:paraId="5ECEA9B6" w14:textId="77777777" w:rsidR="0033420E" w:rsidRPr="00B24C47" w:rsidRDefault="0033420E">
            <w:pPr>
              <w:rPr>
                <w:rFonts w:ascii="Arial" w:hAnsi="Arial" w:cs="Arial"/>
                <w:b/>
                <w:color w:val="000000"/>
                <w:sz w:val="18"/>
                <w:szCs w:val="18"/>
              </w:rPr>
            </w:pPr>
            <w:r w:rsidRPr="00B24C47">
              <w:rPr>
                <w:rFonts w:ascii="Arial" w:hAnsi="Arial" w:cs="Arial"/>
                <w:b/>
                <w:color w:val="000000"/>
                <w:sz w:val="18"/>
                <w:szCs w:val="18"/>
              </w:rPr>
              <w:t>Schedule</w:t>
            </w:r>
            <w:r w:rsidR="00E50BD5">
              <w:rPr>
                <w:rFonts w:ascii="Arial" w:hAnsi="Arial" w:cs="Arial"/>
                <w:b/>
                <w:color w:val="000000"/>
                <w:sz w:val="18"/>
                <w:szCs w:val="18"/>
              </w:rPr>
              <w:br/>
            </w:r>
            <w:r w:rsidRPr="00B24C47">
              <w:rPr>
                <w:rFonts w:ascii="Arial" w:hAnsi="Arial" w:cs="Arial"/>
                <w:b/>
                <w:color w:val="000000"/>
                <w:sz w:val="18"/>
                <w:szCs w:val="18"/>
              </w:rPr>
              <w:t>fee</w:t>
            </w:r>
          </w:p>
        </w:tc>
        <w:tc>
          <w:tcPr>
            <w:tcW w:w="1214" w:type="dxa"/>
            <w:shd w:val="clear" w:color="auto" w:fill="F2F2F2" w:themeFill="background1" w:themeFillShade="F2"/>
            <w:vAlign w:val="bottom"/>
          </w:tcPr>
          <w:p w14:paraId="395181F6" w14:textId="77777777" w:rsidR="0033420E" w:rsidRPr="00B24C47" w:rsidRDefault="0033420E">
            <w:pPr>
              <w:rPr>
                <w:rFonts w:ascii="Arial" w:hAnsi="Arial" w:cs="Arial"/>
                <w:b/>
                <w:color w:val="000000"/>
                <w:sz w:val="18"/>
                <w:szCs w:val="18"/>
              </w:rPr>
            </w:pPr>
            <w:r w:rsidRPr="00B24C47">
              <w:rPr>
                <w:rFonts w:ascii="Arial" w:hAnsi="Arial" w:cs="Arial"/>
                <w:b/>
                <w:color w:val="000000"/>
                <w:sz w:val="18"/>
                <w:szCs w:val="18"/>
              </w:rPr>
              <w:t>Services FY</w:t>
            </w:r>
            <w:r w:rsidR="00E50BD5">
              <w:rPr>
                <w:rFonts w:ascii="Arial" w:hAnsi="Arial" w:cs="Arial"/>
                <w:b/>
                <w:color w:val="000000"/>
                <w:sz w:val="18"/>
                <w:szCs w:val="18"/>
              </w:rPr>
              <w:t xml:space="preserve"> </w:t>
            </w:r>
            <w:r w:rsidRPr="00B24C47">
              <w:rPr>
                <w:rFonts w:ascii="Arial" w:hAnsi="Arial" w:cs="Arial"/>
                <w:b/>
                <w:color w:val="000000"/>
                <w:sz w:val="18"/>
                <w:szCs w:val="18"/>
              </w:rPr>
              <w:t>2014</w:t>
            </w:r>
            <w:r w:rsidR="00E50BD5">
              <w:rPr>
                <w:rFonts w:ascii="Arial" w:hAnsi="Arial" w:cs="Arial"/>
                <w:b/>
                <w:color w:val="000000"/>
                <w:sz w:val="18"/>
                <w:szCs w:val="18"/>
              </w:rPr>
              <w:t>–</w:t>
            </w:r>
            <w:r w:rsidRPr="00B24C47">
              <w:rPr>
                <w:rFonts w:ascii="Arial" w:hAnsi="Arial" w:cs="Arial"/>
                <w:b/>
                <w:color w:val="000000"/>
                <w:sz w:val="18"/>
                <w:szCs w:val="18"/>
              </w:rPr>
              <w:t>15</w:t>
            </w:r>
          </w:p>
        </w:tc>
        <w:tc>
          <w:tcPr>
            <w:tcW w:w="1314" w:type="dxa"/>
            <w:shd w:val="clear" w:color="auto" w:fill="F2F2F2" w:themeFill="background1" w:themeFillShade="F2"/>
            <w:vAlign w:val="bottom"/>
          </w:tcPr>
          <w:p w14:paraId="06F381DA" w14:textId="77777777" w:rsidR="0033420E" w:rsidRPr="00B24C47" w:rsidRDefault="0033420E">
            <w:pPr>
              <w:rPr>
                <w:rFonts w:ascii="Arial" w:hAnsi="Arial" w:cs="Arial"/>
                <w:b/>
                <w:color w:val="000000"/>
                <w:sz w:val="18"/>
                <w:szCs w:val="18"/>
              </w:rPr>
            </w:pPr>
            <w:r w:rsidRPr="00B24C47">
              <w:rPr>
                <w:rFonts w:ascii="Arial" w:hAnsi="Arial" w:cs="Arial"/>
                <w:b/>
                <w:color w:val="000000"/>
                <w:sz w:val="18"/>
                <w:szCs w:val="18"/>
              </w:rPr>
              <w:t xml:space="preserve">Benefits </w:t>
            </w:r>
            <w:r w:rsidR="00E50BD5">
              <w:rPr>
                <w:rFonts w:ascii="Arial" w:hAnsi="Arial" w:cs="Arial"/>
                <w:b/>
                <w:color w:val="000000"/>
                <w:sz w:val="18"/>
                <w:szCs w:val="18"/>
              </w:rPr>
              <w:br/>
            </w:r>
            <w:r w:rsidRPr="00B24C47">
              <w:rPr>
                <w:rFonts w:ascii="Arial" w:hAnsi="Arial" w:cs="Arial"/>
                <w:b/>
                <w:color w:val="000000"/>
                <w:sz w:val="18"/>
                <w:szCs w:val="18"/>
              </w:rPr>
              <w:t>FY</w:t>
            </w:r>
            <w:r w:rsidR="00E50BD5">
              <w:rPr>
                <w:rFonts w:ascii="Arial" w:hAnsi="Arial" w:cs="Arial"/>
                <w:b/>
                <w:color w:val="000000"/>
                <w:sz w:val="18"/>
                <w:szCs w:val="18"/>
              </w:rPr>
              <w:t xml:space="preserve"> </w:t>
            </w:r>
            <w:r w:rsidRPr="00B24C47">
              <w:rPr>
                <w:rFonts w:ascii="Arial" w:hAnsi="Arial" w:cs="Arial"/>
                <w:b/>
                <w:color w:val="000000"/>
                <w:sz w:val="18"/>
                <w:szCs w:val="18"/>
              </w:rPr>
              <w:t>2014</w:t>
            </w:r>
            <w:r w:rsidR="00E50BD5">
              <w:rPr>
                <w:rFonts w:ascii="Arial" w:hAnsi="Arial" w:cs="Arial"/>
                <w:b/>
                <w:color w:val="000000"/>
                <w:sz w:val="18"/>
                <w:szCs w:val="18"/>
              </w:rPr>
              <w:t>–</w:t>
            </w:r>
            <w:r w:rsidRPr="00B24C47">
              <w:rPr>
                <w:rFonts w:ascii="Arial" w:hAnsi="Arial" w:cs="Arial"/>
                <w:b/>
                <w:color w:val="000000"/>
                <w:sz w:val="18"/>
                <w:szCs w:val="18"/>
              </w:rPr>
              <w:t>15</w:t>
            </w:r>
          </w:p>
        </w:tc>
        <w:tc>
          <w:tcPr>
            <w:tcW w:w="951" w:type="dxa"/>
            <w:shd w:val="clear" w:color="auto" w:fill="F2F2F2" w:themeFill="background1" w:themeFillShade="F2"/>
            <w:vAlign w:val="bottom"/>
            <w:hideMark/>
          </w:tcPr>
          <w:p w14:paraId="46C9469C" w14:textId="77777777" w:rsidR="0033420E" w:rsidRPr="00B24C47" w:rsidRDefault="0033420E">
            <w:pPr>
              <w:rPr>
                <w:rFonts w:ascii="Arial" w:hAnsi="Arial" w:cs="Arial"/>
                <w:b/>
                <w:color w:val="000000"/>
                <w:sz w:val="18"/>
                <w:szCs w:val="18"/>
              </w:rPr>
            </w:pPr>
            <w:r w:rsidRPr="00B24C47">
              <w:rPr>
                <w:rFonts w:ascii="Arial" w:hAnsi="Arial" w:cs="Arial"/>
                <w:b/>
                <w:color w:val="000000"/>
                <w:sz w:val="18"/>
                <w:szCs w:val="18"/>
              </w:rPr>
              <w:t>Patient count 2014</w:t>
            </w:r>
            <w:r w:rsidR="00E50BD5">
              <w:rPr>
                <w:rFonts w:ascii="Arial" w:hAnsi="Arial" w:cs="Arial"/>
                <w:b/>
                <w:color w:val="000000"/>
                <w:sz w:val="18"/>
                <w:szCs w:val="18"/>
              </w:rPr>
              <w:t>–</w:t>
            </w:r>
            <w:r w:rsidRPr="00B24C47">
              <w:rPr>
                <w:rFonts w:ascii="Arial" w:hAnsi="Arial" w:cs="Arial"/>
                <w:b/>
                <w:color w:val="000000"/>
                <w:sz w:val="18"/>
                <w:szCs w:val="18"/>
              </w:rPr>
              <w:t>15</w:t>
            </w:r>
          </w:p>
        </w:tc>
        <w:tc>
          <w:tcPr>
            <w:tcW w:w="1043" w:type="dxa"/>
            <w:shd w:val="clear" w:color="auto" w:fill="F2F2F2" w:themeFill="background1" w:themeFillShade="F2"/>
            <w:vAlign w:val="bottom"/>
            <w:hideMark/>
          </w:tcPr>
          <w:p w14:paraId="32A6B447" w14:textId="77777777" w:rsidR="0033420E" w:rsidRPr="00B24C47" w:rsidRDefault="0033420E" w:rsidP="00795693">
            <w:pPr>
              <w:rPr>
                <w:rFonts w:ascii="Arial" w:hAnsi="Arial" w:cs="Arial"/>
                <w:b/>
                <w:color w:val="000000"/>
                <w:sz w:val="18"/>
                <w:szCs w:val="18"/>
              </w:rPr>
            </w:pPr>
            <w:r w:rsidRPr="00B24C47">
              <w:rPr>
                <w:rFonts w:ascii="Arial" w:hAnsi="Arial" w:cs="Arial"/>
                <w:b/>
                <w:color w:val="000000"/>
                <w:sz w:val="18"/>
                <w:szCs w:val="18"/>
              </w:rPr>
              <w:t>5</w:t>
            </w:r>
            <w:r w:rsidR="00E50BD5">
              <w:rPr>
                <w:rFonts w:ascii="Arial" w:hAnsi="Arial" w:cs="Arial"/>
                <w:b/>
                <w:color w:val="000000"/>
                <w:sz w:val="18"/>
                <w:szCs w:val="18"/>
              </w:rPr>
              <w:t>-</w:t>
            </w:r>
            <w:r w:rsidRPr="00B24C47">
              <w:rPr>
                <w:rFonts w:ascii="Arial" w:hAnsi="Arial" w:cs="Arial"/>
                <w:b/>
                <w:color w:val="000000"/>
                <w:sz w:val="18"/>
                <w:szCs w:val="18"/>
              </w:rPr>
              <w:t>year service change (CAGR)</w:t>
            </w:r>
          </w:p>
        </w:tc>
      </w:tr>
      <w:tr w:rsidR="0033420E" w:rsidRPr="00B24C47" w14:paraId="263CAB27" w14:textId="77777777" w:rsidTr="00E40B54">
        <w:trPr>
          <w:trHeight w:val="300"/>
        </w:trPr>
        <w:tc>
          <w:tcPr>
            <w:tcW w:w="762" w:type="dxa"/>
            <w:noWrap/>
            <w:hideMark/>
          </w:tcPr>
          <w:p w14:paraId="0F038391" w14:textId="77777777" w:rsidR="0033420E" w:rsidRPr="00B24C47" w:rsidRDefault="0033420E" w:rsidP="00795693">
            <w:pPr>
              <w:rPr>
                <w:rFonts w:ascii="Arial" w:hAnsi="Arial" w:cs="Arial"/>
                <w:color w:val="000000"/>
                <w:sz w:val="18"/>
                <w:szCs w:val="18"/>
              </w:rPr>
            </w:pPr>
            <w:r w:rsidRPr="00B24C47">
              <w:rPr>
                <w:rFonts w:ascii="Arial" w:hAnsi="Arial" w:cs="Arial"/>
                <w:color w:val="000000"/>
                <w:sz w:val="18"/>
                <w:szCs w:val="18"/>
              </w:rPr>
              <w:t>65090</w:t>
            </w:r>
          </w:p>
        </w:tc>
        <w:tc>
          <w:tcPr>
            <w:tcW w:w="2715" w:type="dxa"/>
            <w:noWrap/>
            <w:hideMark/>
          </w:tcPr>
          <w:p w14:paraId="14DB0DFF" w14:textId="77777777" w:rsidR="0033420E" w:rsidRPr="00B24C47" w:rsidRDefault="0033420E" w:rsidP="00795693">
            <w:pPr>
              <w:rPr>
                <w:rFonts w:ascii="Arial" w:hAnsi="Arial" w:cs="Arial"/>
                <w:color w:val="000000"/>
                <w:sz w:val="18"/>
                <w:szCs w:val="18"/>
              </w:rPr>
            </w:pPr>
            <w:r w:rsidRPr="00B24C47">
              <w:rPr>
                <w:rFonts w:ascii="Arial" w:hAnsi="Arial" w:cs="Arial"/>
                <w:color w:val="000000"/>
                <w:sz w:val="18"/>
                <w:szCs w:val="18"/>
              </w:rPr>
              <w:t>Blood grouping (including back-grouping if performed) - ABO and Rh (D antigen)</w:t>
            </w:r>
          </w:p>
        </w:tc>
        <w:tc>
          <w:tcPr>
            <w:tcW w:w="1017" w:type="dxa"/>
            <w:noWrap/>
            <w:hideMark/>
          </w:tcPr>
          <w:p w14:paraId="32B4AB95"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$11.15</w:t>
            </w:r>
          </w:p>
        </w:tc>
        <w:tc>
          <w:tcPr>
            <w:tcW w:w="1214" w:type="dxa"/>
            <w:noWrap/>
            <w:hideMark/>
          </w:tcPr>
          <w:p w14:paraId="58273298"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83,316</w:t>
            </w:r>
          </w:p>
        </w:tc>
        <w:tc>
          <w:tcPr>
            <w:tcW w:w="1314" w:type="dxa"/>
          </w:tcPr>
          <w:p w14:paraId="72CCC549"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$808,468</w:t>
            </w:r>
          </w:p>
        </w:tc>
        <w:tc>
          <w:tcPr>
            <w:tcW w:w="951" w:type="dxa"/>
            <w:noWrap/>
            <w:hideMark/>
          </w:tcPr>
          <w:p w14:paraId="34B97A15"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78,721</w:t>
            </w:r>
          </w:p>
        </w:tc>
        <w:tc>
          <w:tcPr>
            <w:tcW w:w="1043" w:type="dxa"/>
            <w:noWrap/>
            <w:hideMark/>
          </w:tcPr>
          <w:p w14:paraId="4A8D3525" w14:textId="77777777" w:rsidR="0033420E" w:rsidRPr="00B24C47" w:rsidRDefault="00E50BD5" w:rsidP="00EB6F41">
            <w:pPr>
              <w:rPr>
                <w:rFonts w:ascii="Arial" w:hAnsi="Arial" w:cs="Arial"/>
                <w:color w:val="000000"/>
                <w:sz w:val="18"/>
                <w:szCs w:val="18"/>
              </w:rPr>
            </w:pPr>
            <w:r>
              <w:rPr>
                <w:rFonts w:ascii="Arial" w:hAnsi="Arial" w:cs="Arial"/>
                <w:color w:val="000000"/>
                <w:sz w:val="18"/>
                <w:szCs w:val="18"/>
              </w:rPr>
              <w:t>–</w:t>
            </w:r>
            <w:r w:rsidR="0033420E" w:rsidRPr="00B24C47">
              <w:rPr>
                <w:rFonts w:ascii="Arial" w:hAnsi="Arial" w:cs="Arial"/>
                <w:color w:val="000000"/>
                <w:sz w:val="18"/>
                <w:szCs w:val="18"/>
              </w:rPr>
              <w:t>5.1</w:t>
            </w:r>
            <w:r w:rsidR="00EB6F41">
              <w:rPr>
                <w:rFonts w:ascii="Arial" w:hAnsi="Arial" w:cs="Arial"/>
                <w:color w:val="000000"/>
                <w:sz w:val="18"/>
                <w:szCs w:val="18"/>
              </w:rPr>
              <w:t>%</w:t>
            </w:r>
          </w:p>
        </w:tc>
      </w:tr>
      <w:tr w:rsidR="0033420E" w:rsidRPr="00B24C47" w14:paraId="14E84B7A" w14:textId="77777777" w:rsidTr="00E40B54">
        <w:trPr>
          <w:trHeight w:val="300"/>
        </w:trPr>
        <w:tc>
          <w:tcPr>
            <w:tcW w:w="762" w:type="dxa"/>
            <w:noWrap/>
            <w:hideMark/>
          </w:tcPr>
          <w:p w14:paraId="007EC16D" w14:textId="77777777" w:rsidR="0033420E" w:rsidRPr="00B24C47" w:rsidRDefault="0033420E" w:rsidP="00795693">
            <w:pPr>
              <w:rPr>
                <w:rFonts w:ascii="Arial" w:hAnsi="Arial" w:cs="Arial"/>
                <w:color w:val="000000"/>
                <w:sz w:val="18"/>
                <w:szCs w:val="18"/>
              </w:rPr>
            </w:pPr>
            <w:r w:rsidRPr="00B24C47">
              <w:rPr>
                <w:rFonts w:ascii="Arial" w:hAnsi="Arial" w:cs="Arial"/>
                <w:color w:val="000000"/>
                <w:sz w:val="18"/>
                <w:szCs w:val="18"/>
              </w:rPr>
              <w:t>65093</w:t>
            </w:r>
          </w:p>
        </w:tc>
        <w:tc>
          <w:tcPr>
            <w:tcW w:w="2715" w:type="dxa"/>
            <w:noWrap/>
            <w:hideMark/>
          </w:tcPr>
          <w:p w14:paraId="19CF264D" w14:textId="77777777" w:rsidR="0033420E" w:rsidRPr="00B24C47" w:rsidRDefault="0033420E" w:rsidP="00795693">
            <w:pPr>
              <w:rPr>
                <w:rFonts w:ascii="Arial" w:hAnsi="Arial" w:cs="Arial"/>
                <w:color w:val="000000"/>
                <w:sz w:val="18"/>
                <w:szCs w:val="18"/>
              </w:rPr>
            </w:pPr>
            <w:r w:rsidRPr="00B24C47">
              <w:rPr>
                <w:rFonts w:ascii="Arial" w:hAnsi="Arial" w:cs="Arial"/>
                <w:color w:val="000000"/>
                <w:sz w:val="18"/>
                <w:szCs w:val="18"/>
              </w:rPr>
              <w:t>Blood grouping - Rh phenotypes, Kell system, Duffy system, M and N factors or any other blood group system - 1 or more systems, including item 65090 (if performed)</w:t>
            </w:r>
          </w:p>
        </w:tc>
        <w:tc>
          <w:tcPr>
            <w:tcW w:w="1017" w:type="dxa"/>
            <w:noWrap/>
            <w:hideMark/>
          </w:tcPr>
          <w:p w14:paraId="3AFD1830"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$22.00</w:t>
            </w:r>
          </w:p>
        </w:tc>
        <w:tc>
          <w:tcPr>
            <w:tcW w:w="1214" w:type="dxa"/>
            <w:noWrap/>
            <w:hideMark/>
          </w:tcPr>
          <w:p w14:paraId="1A95C1F8"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4,742</w:t>
            </w:r>
          </w:p>
        </w:tc>
        <w:tc>
          <w:tcPr>
            <w:tcW w:w="1314" w:type="dxa"/>
          </w:tcPr>
          <w:p w14:paraId="7E3EFEB0"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$85,611</w:t>
            </w:r>
          </w:p>
        </w:tc>
        <w:tc>
          <w:tcPr>
            <w:tcW w:w="951" w:type="dxa"/>
            <w:noWrap/>
            <w:hideMark/>
          </w:tcPr>
          <w:p w14:paraId="51BD9D99"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4,248</w:t>
            </w:r>
          </w:p>
        </w:tc>
        <w:tc>
          <w:tcPr>
            <w:tcW w:w="1043" w:type="dxa"/>
            <w:noWrap/>
            <w:hideMark/>
          </w:tcPr>
          <w:p w14:paraId="7253D391" w14:textId="77777777" w:rsidR="0033420E" w:rsidRPr="00B24C47" w:rsidRDefault="00E50BD5" w:rsidP="00EB6F41">
            <w:pPr>
              <w:rPr>
                <w:rFonts w:ascii="Arial" w:hAnsi="Arial" w:cs="Arial"/>
                <w:color w:val="000000"/>
                <w:sz w:val="18"/>
                <w:szCs w:val="18"/>
              </w:rPr>
            </w:pPr>
            <w:r>
              <w:rPr>
                <w:rFonts w:ascii="Arial" w:hAnsi="Arial" w:cs="Arial"/>
                <w:color w:val="000000"/>
                <w:sz w:val="18"/>
                <w:szCs w:val="18"/>
              </w:rPr>
              <w:t>–</w:t>
            </w:r>
            <w:r w:rsidR="0033420E" w:rsidRPr="00B24C47">
              <w:rPr>
                <w:rFonts w:ascii="Arial" w:hAnsi="Arial" w:cs="Arial"/>
                <w:color w:val="000000"/>
                <w:sz w:val="18"/>
                <w:szCs w:val="18"/>
              </w:rPr>
              <w:t>6.3</w:t>
            </w:r>
            <w:r w:rsidR="00EB6F41">
              <w:rPr>
                <w:rFonts w:ascii="Arial" w:hAnsi="Arial" w:cs="Arial"/>
                <w:color w:val="000000"/>
                <w:sz w:val="18"/>
                <w:szCs w:val="18"/>
              </w:rPr>
              <w:t>%</w:t>
            </w:r>
          </w:p>
        </w:tc>
      </w:tr>
      <w:tr w:rsidR="0033420E" w:rsidRPr="00B24C47" w14:paraId="7F227C9D" w14:textId="77777777" w:rsidTr="00E40B54">
        <w:trPr>
          <w:trHeight w:val="300"/>
        </w:trPr>
        <w:tc>
          <w:tcPr>
            <w:tcW w:w="762" w:type="dxa"/>
            <w:noWrap/>
            <w:hideMark/>
          </w:tcPr>
          <w:p w14:paraId="2EA44D14" w14:textId="77777777" w:rsidR="0033420E" w:rsidRPr="00B24C47" w:rsidRDefault="0033420E" w:rsidP="00795693">
            <w:pPr>
              <w:rPr>
                <w:rFonts w:ascii="Arial" w:hAnsi="Arial" w:cs="Arial"/>
                <w:color w:val="000000"/>
                <w:sz w:val="18"/>
                <w:szCs w:val="18"/>
              </w:rPr>
            </w:pPr>
            <w:r w:rsidRPr="00B24C47">
              <w:rPr>
                <w:rFonts w:ascii="Arial" w:hAnsi="Arial" w:cs="Arial"/>
                <w:color w:val="000000"/>
                <w:sz w:val="18"/>
                <w:szCs w:val="18"/>
              </w:rPr>
              <w:t>65096</w:t>
            </w:r>
          </w:p>
        </w:tc>
        <w:tc>
          <w:tcPr>
            <w:tcW w:w="2715" w:type="dxa"/>
            <w:noWrap/>
            <w:hideMark/>
          </w:tcPr>
          <w:p w14:paraId="702DD639" w14:textId="77777777" w:rsidR="0033420E" w:rsidRPr="00B24C47" w:rsidRDefault="0033420E" w:rsidP="00795693">
            <w:pPr>
              <w:rPr>
                <w:rFonts w:ascii="Arial" w:hAnsi="Arial" w:cs="Arial"/>
                <w:color w:val="000000"/>
                <w:sz w:val="18"/>
                <w:szCs w:val="18"/>
              </w:rPr>
            </w:pPr>
            <w:r w:rsidRPr="00B24C47">
              <w:rPr>
                <w:rFonts w:ascii="Arial" w:hAnsi="Arial" w:cs="Arial"/>
                <w:color w:val="000000"/>
                <w:sz w:val="18"/>
                <w:szCs w:val="18"/>
              </w:rPr>
              <w:t xml:space="preserve">Blood grouping (including back-grouping if performed), </w:t>
            </w:r>
            <w:r w:rsidRPr="00B24C47">
              <w:rPr>
                <w:rFonts w:ascii="Arial" w:hAnsi="Arial" w:cs="Arial"/>
                <w:color w:val="000000"/>
                <w:sz w:val="18"/>
                <w:szCs w:val="18"/>
              </w:rPr>
              <w:lastRenderedPageBreak/>
              <w:t>and examination of serum for Rh and other blood group antibodies, including: (a) identification and quantitation of any antibodies detected; and (b) (if performed) any test described in item 65060 or 65070</w:t>
            </w:r>
          </w:p>
        </w:tc>
        <w:tc>
          <w:tcPr>
            <w:tcW w:w="1017" w:type="dxa"/>
            <w:noWrap/>
            <w:hideMark/>
          </w:tcPr>
          <w:p w14:paraId="2980405F"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lastRenderedPageBreak/>
              <w:t>$41.00</w:t>
            </w:r>
          </w:p>
        </w:tc>
        <w:tc>
          <w:tcPr>
            <w:tcW w:w="1214" w:type="dxa"/>
            <w:noWrap/>
            <w:hideMark/>
          </w:tcPr>
          <w:p w14:paraId="38323323"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814,844</w:t>
            </w:r>
          </w:p>
        </w:tc>
        <w:tc>
          <w:tcPr>
            <w:tcW w:w="1314" w:type="dxa"/>
          </w:tcPr>
          <w:p w14:paraId="78E08926"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$27,973,826</w:t>
            </w:r>
          </w:p>
        </w:tc>
        <w:tc>
          <w:tcPr>
            <w:tcW w:w="951" w:type="dxa"/>
            <w:noWrap/>
            <w:hideMark/>
          </w:tcPr>
          <w:p w14:paraId="58FA62ED"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633,205</w:t>
            </w:r>
          </w:p>
        </w:tc>
        <w:tc>
          <w:tcPr>
            <w:tcW w:w="1043" w:type="dxa"/>
            <w:noWrap/>
            <w:hideMark/>
          </w:tcPr>
          <w:p w14:paraId="18B1FC23"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5.2</w:t>
            </w:r>
            <w:r w:rsidR="00EB6F41">
              <w:rPr>
                <w:rFonts w:ascii="Arial" w:hAnsi="Arial" w:cs="Arial"/>
                <w:color w:val="000000"/>
                <w:sz w:val="18"/>
                <w:szCs w:val="18"/>
              </w:rPr>
              <w:t>%</w:t>
            </w:r>
          </w:p>
        </w:tc>
      </w:tr>
      <w:tr w:rsidR="0033420E" w:rsidRPr="00B24C47" w14:paraId="46B45FA4" w14:textId="77777777" w:rsidTr="00E40B54">
        <w:trPr>
          <w:trHeight w:val="300"/>
        </w:trPr>
        <w:tc>
          <w:tcPr>
            <w:tcW w:w="762" w:type="dxa"/>
            <w:noWrap/>
            <w:hideMark/>
          </w:tcPr>
          <w:p w14:paraId="69139230" w14:textId="77777777" w:rsidR="0033420E" w:rsidRPr="00B24C47" w:rsidRDefault="0033420E" w:rsidP="00795693">
            <w:pPr>
              <w:rPr>
                <w:rFonts w:ascii="Arial" w:hAnsi="Arial" w:cs="Arial"/>
                <w:color w:val="000000"/>
                <w:sz w:val="18"/>
                <w:szCs w:val="18"/>
              </w:rPr>
            </w:pPr>
            <w:r w:rsidRPr="00B24C47">
              <w:rPr>
                <w:rFonts w:ascii="Arial" w:hAnsi="Arial" w:cs="Arial"/>
                <w:color w:val="000000"/>
                <w:sz w:val="18"/>
                <w:szCs w:val="18"/>
              </w:rPr>
              <w:t>65111</w:t>
            </w:r>
          </w:p>
        </w:tc>
        <w:tc>
          <w:tcPr>
            <w:tcW w:w="2715" w:type="dxa"/>
            <w:noWrap/>
            <w:hideMark/>
          </w:tcPr>
          <w:p w14:paraId="2EDC1EB8" w14:textId="77777777" w:rsidR="0033420E" w:rsidRPr="00B24C47" w:rsidRDefault="0033420E" w:rsidP="00795693">
            <w:pPr>
              <w:rPr>
                <w:rFonts w:ascii="Arial" w:hAnsi="Arial" w:cs="Arial"/>
                <w:color w:val="000000"/>
                <w:sz w:val="18"/>
                <w:szCs w:val="18"/>
              </w:rPr>
            </w:pPr>
            <w:r w:rsidRPr="00B24C47">
              <w:rPr>
                <w:rFonts w:ascii="Arial" w:hAnsi="Arial" w:cs="Arial"/>
                <w:color w:val="000000"/>
                <w:sz w:val="18"/>
                <w:szCs w:val="18"/>
              </w:rPr>
              <w:t>Examination of serum for blood group antibodies (including identification and, if necessary, quantitation of any antibodies detected)</w:t>
            </w:r>
          </w:p>
        </w:tc>
        <w:tc>
          <w:tcPr>
            <w:tcW w:w="1017" w:type="dxa"/>
            <w:noWrap/>
            <w:hideMark/>
          </w:tcPr>
          <w:p w14:paraId="4D93462B"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$23.20</w:t>
            </w:r>
          </w:p>
        </w:tc>
        <w:tc>
          <w:tcPr>
            <w:tcW w:w="1214" w:type="dxa"/>
            <w:noWrap/>
            <w:hideMark/>
          </w:tcPr>
          <w:p w14:paraId="25F7CAD8"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119,718</w:t>
            </w:r>
          </w:p>
        </w:tc>
        <w:tc>
          <w:tcPr>
            <w:tcW w:w="1314" w:type="dxa"/>
          </w:tcPr>
          <w:p w14:paraId="2E2D9789"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$2,377,048</w:t>
            </w:r>
          </w:p>
        </w:tc>
        <w:tc>
          <w:tcPr>
            <w:tcW w:w="951" w:type="dxa"/>
            <w:noWrap/>
            <w:hideMark/>
          </w:tcPr>
          <w:p w14:paraId="261B3F28" w14:textId="77777777" w:rsidR="0033420E" w:rsidRPr="00B24C47" w:rsidRDefault="0033420E" w:rsidP="00EB6F41">
            <w:pPr>
              <w:rPr>
                <w:rFonts w:ascii="Arial" w:hAnsi="Arial" w:cs="Arial"/>
                <w:color w:val="000000"/>
                <w:sz w:val="18"/>
                <w:szCs w:val="18"/>
              </w:rPr>
            </w:pPr>
            <w:r w:rsidRPr="00B24C47">
              <w:rPr>
                <w:rFonts w:ascii="Arial" w:hAnsi="Arial" w:cs="Arial"/>
                <w:color w:val="000000"/>
                <w:sz w:val="18"/>
                <w:szCs w:val="18"/>
              </w:rPr>
              <w:t>99,957</w:t>
            </w:r>
          </w:p>
        </w:tc>
        <w:tc>
          <w:tcPr>
            <w:tcW w:w="1043" w:type="dxa"/>
            <w:noWrap/>
            <w:hideMark/>
          </w:tcPr>
          <w:p w14:paraId="7E52B9F1" w14:textId="77777777" w:rsidR="0033420E" w:rsidRPr="00B24C47" w:rsidRDefault="00E50BD5" w:rsidP="00EB6F41">
            <w:pPr>
              <w:rPr>
                <w:rFonts w:ascii="Arial" w:hAnsi="Arial" w:cs="Arial"/>
                <w:color w:val="000000"/>
                <w:sz w:val="18"/>
                <w:szCs w:val="18"/>
              </w:rPr>
            </w:pPr>
            <w:r>
              <w:rPr>
                <w:rFonts w:ascii="Arial" w:hAnsi="Arial" w:cs="Arial"/>
                <w:color w:val="000000"/>
                <w:sz w:val="18"/>
                <w:szCs w:val="18"/>
              </w:rPr>
              <w:t>–</w:t>
            </w:r>
            <w:r w:rsidR="0033420E" w:rsidRPr="00B24C47">
              <w:rPr>
                <w:rFonts w:ascii="Arial" w:hAnsi="Arial" w:cs="Arial"/>
                <w:color w:val="000000"/>
                <w:sz w:val="18"/>
                <w:szCs w:val="18"/>
              </w:rPr>
              <w:t>0.4</w:t>
            </w:r>
            <w:r w:rsidR="00EB6F41">
              <w:rPr>
                <w:rFonts w:ascii="Arial" w:hAnsi="Arial" w:cs="Arial"/>
                <w:color w:val="000000"/>
                <w:sz w:val="18"/>
                <w:szCs w:val="18"/>
              </w:rPr>
              <w:t>%</w:t>
            </w:r>
          </w:p>
        </w:tc>
      </w:tr>
    </w:tbl>
    <w:p w14:paraId="10C5F19F" w14:textId="77777777" w:rsidR="007637AC" w:rsidRDefault="00AF1ED5" w:rsidP="00367716">
      <w:pPr>
        <w:pStyle w:val="Heading3"/>
      </w:pPr>
      <w:bookmarkStart w:id="76" w:name="_Toc495403390"/>
      <w:r>
        <w:t>Recommendation 1</w:t>
      </w:r>
      <w:bookmarkEnd w:id="76"/>
    </w:p>
    <w:p w14:paraId="14D3087A" w14:textId="77777777" w:rsidR="000C50DE" w:rsidRDefault="00074825" w:rsidP="00074825">
      <w:pPr>
        <w:pStyle w:val="01squarebullet"/>
      </w:pPr>
      <w:r>
        <w:t>Amend the item descriptor of</w:t>
      </w:r>
      <w:r w:rsidR="003D37E2">
        <w:t xml:space="preserve"> </w:t>
      </w:r>
      <w:r w:rsidR="00341852">
        <w:t>65096</w:t>
      </w:r>
      <w:r w:rsidR="00A448A8">
        <w:t xml:space="preserve"> </w:t>
      </w:r>
      <w:r w:rsidR="0033420E">
        <w:t>based on the detection of positive antibodies</w:t>
      </w:r>
      <w:r w:rsidR="000C50DE">
        <w:t>.</w:t>
      </w:r>
    </w:p>
    <w:p w14:paraId="7EF8EE22" w14:textId="77777777" w:rsidR="00637D94" w:rsidRDefault="000C50DE" w:rsidP="00BA64CC">
      <w:pPr>
        <w:pStyle w:val="01squarebullet"/>
      </w:pPr>
      <w:r>
        <w:t>C</w:t>
      </w:r>
      <w:r w:rsidR="00440D0E">
        <w:t>reate a new initial test item for blood group and antibody</w:t>
      </w:r>
      <w:r w:rsidR="00637D94">
        <w:t xml:space="preserve"> </w:t>
      </w:r>
      <w:r w:rsidR="0024074D">
        <w:t>screening</w:t>
      </w:r>
      <w:r w:rsidR="00440D0E">
        <w:t xml:space="preserve"> </w:t>
      </w:r>
      <w:r w:rsidR="00637D94">
        <w:t xml:space="preserve">as follows: </w:t>
      </w:r>
    </w:p>
    <w:p w14:paraId="2ED488F0" w14:textId="77777777" w:rsidR="000C50DE" w:rsidRDefault="000C50DE" w:rsidP="000C50DE">
      <w:pPr>
        <w:pStyle w:val="02dash"/>
      </w:pPr>
      <w:r>
        <w:t>revised item 65096:</w:t>
      </w:r>
      <w:r w:rsidRPr="00CC1107">
        <w:t xml:space="preserve"> blood group,</w:t>
      </w:r>
      <w:r w:rsidRPr="00BA64CC">
        <w:t xml:space="preserve"> examination of serum for Rh and other blood group antibodies</w:t>
      </w:r>
      <w:r w:rsidRPr="00CC1107">
        <w:t xml:space="preserve"> and antibody identification and quanti</w:t>
      </w:r>
      <w:r>
        <w:t>t</w:t>
      </w:r>
      <w:r w:rsidRPr="00CC1107">
        <w:t xml:space="preserve">ation </w:t>
      </w:r>
      <w:r>
        <w:t>of</w:t>
      </w:r>
      <w:r w:rsidRPr="00CC1107">
        <w:t xml:space="preserve"> positive antibodies</w:t>
      </w:r>
      <w:r>
        <w:t xml:space="preserve"> (including 65090, 650XX and 65111)</w:t>
      </w:r>
    </w:p>
    <w:p w14:paraId="2A9618F5" w14:textId="77777777" w:rsidR="00637D94" w:rsidRPr="00CC1107" w:rsidRDefault="009D64D5" w:rsidP="00BA64CC">
      <w:pPr>
        <w:pStyle w:val="02dash"/>
      </w:pPr>
      <w:r>
        <w:t>n</w:t>
      </w:r>
      <w:r w:rsidR="00CC7546">
        <w:t>ew</w:t>
      </w:r>
      <w:r w:rsidR="002077AE">
        <w:t xml:space="preserve"> item</w:t>
      </w:r>
      <w:r w:rsidR="00CC7546">
        <w:t xml:space="preserve"> 650XX</w:t>
      </w:r>
      <w:r w:rsidR="00637D94">
        <w:t>:</w:t>
      </w:r>
      <w:r w:rsidR="00637D94" w:rsidRPr="00CC1107">
        <w:t xml:space="preserve"> blood group and </w:t>
      </w:r>
      <w:r w:rsidR="00BA64CC" w:rsidRPr="00BA64CC">
        <w:t xml:space="preserve">examination of serum for Rh and other blood group antibodies </w:t>
      </w:r>
      <w:r w:rsidR="00637D94" w:rsidRPr="00CC1107">
        <w:t>using 2</w:t>
      </w:r>
      <w:r w:rsidR="00321F10">
        <w:t xml:space="preserve">- or </w:t>
      </w:r>
      <w:r w:rsidR="00637D94" w:rsidRPr="00CC1107">
        <w:t>3</w:t>
      </w:r>
      <w:r>
        <w:t>-</w:t>
      </w:r>
      <w:r w:rsidR="00637D94" w:rsidRPr="00CC1107">
        <w:t>cell panel (including 65090)</w:t>
      </w:r>
      <w:r w:rsidR="003C2193">
        <w:t>.</w:t>
      </w:r>
    </w:p>
    <w:p w14:paraId="5B484A91" w14:textId="77777777" w:rsidR="0033420E" w:rsidRDefault="0033420E" w:rsidP="0033420E">
      <w:pPr>
        <w:pStyle w:val="01squarebullet"/>
      </w:pPr>
      <w:r>
        <w:t xml:space="preserve">Redistribute the funding across these </w:t>
      </w:r>
      <w:r w:rsidR="00A448A8">
        <w:t xml:space="preserve">two </w:t>
      </w:r>
      <w:r>
        <w:t xml:space="preserve">items to reflect the greater complexity </w:t>
      </w:r>
      <w:r w:rsidR="00A448A8">
        <w:t>associated with</w:t>
      </w:r>
      <w:r>
        <w:t xml:space="preserve"> positive antibody testing and </w:t>
      </w:r>
      <w:r w:rsidR="00A448A8">
        <w:t xml:space="preserve">the </w:t>
      </w:r>
      <w:r>
        <w:t>technology</w:t>
      </w:r>
      <w:r w:rsidR="00F54123">
        <w:t>-</w:t>
      </w:r>
      <w:r>
        <w:t>driven efficiencies associated with negative antibody samples.</w:t>
      </w:r>
    </w:p>
    <w:p w14:paraId="7F61752A" w14:textId="77777777" w:rsidR="000C50DE" w:rsidRDefault="000C50DE" w:rsidP="003C2193">
      <w:pPr>
        <w:pStyle w:val="01squarebullet"/>
      </w:pPr>
      <w:r>
        <w:t>Add explanatory notes to 650XX, 65096 and 65111 to indicate when use of these items is appropriate.</w:t>
      </w:r>
    </w:p>
    <w:p w14:paraId="58D8B9F4" w14:textId="77777777" w:rsidR="000037EE" w:rsidRDefault="000037EE" w:rsidP="0033420E">
      <w:pPr>
        <w:pStyle w:val="01squarebullet"/>
      </w:pPr>
      <w:r>
        <w:t xml:space="preserve">No changes to items 65090 and </w:t>
      </w:r>
      <w:r w:rsidR="00814A0A">
        <w:t>65093</w:t>
      </w:r>
      <w:r w:rsidR="00F54123">
        <w:t>.</w:t>
      </w:r>
      <w:r w:rsidR="00814A0A">
        <w:t xml:space="preserve"> </w:t>
      </w:r>
    </w:p>
    <w:p w14:paraId="0D629C7C" w14:textId="77777777" w:rsidR="005C47CA" w:rsidRDefault="0033420E" w:rsidP="00BA64CC">
      <w:pPr>
        <w:pStyle w:val="01squarebullet"/>
      </w:pPr>
      <w:r>
        <w:t xml:space="preserve">The proposed changes to </w:t>
      </w:r>
      <w:r w:rsidR="002077AE">
        <w:t xml:space="preserve">the </w:t>
      </w:r>
      <w:r>
        <w:t>item descriptors are as follows:</w:t>
      </w:r>
    </w:p>
    <w:p w14:paraId="1B1A0888" w14:textId="77777777" w:rsidR="00814A0A" w:rsidRDefault="008F7F21" w:rsidP="00C702A9">
      <w:pPr>
        <w:pStyle w:val="Caption"/>
      </w:pPr>
      <w:bookmarkStart w:id="77" w:name="_Toc481493771"/>
      <w:r>
        <w:t>Table</w:t>
      </w:r>
      <w:r w:rsidR="00814A0A">
        <w:t xml:space="preserve"> </w:t>
      </w:r>
      <w:r w:rsidRPr="008F7F21">
        <w:t>4</w:t>
      </w:r>
      <w:r w:rsidR="00814A0A">
        <w:t>: Proposed changes to item 65096</w:t>
      </w:r>
      <w:bookmarkEnd w:id="77"/>
    </w:p>
    <w:tbl>
      <w:tblPr>
        <w:tblStyle w:val="TableGrid"/>
        <w:tblW w:w="0" w:type="auto"/>
        <w:tblLook w:val="04A0" w:firstRow="1" w:lastRow="0" w:firstColumn="1" w:lastColumn="0" w:noHBand="0" w:noVBand="1"/>
        <w:tblCaption w:val="Proposed changes to item 65096"/>
        <w:tblDescription w:val="This table shows proposed changes to item 65096 and how this will affect related items. There are 3 columns – column 1: item number, column 2: current descriptor, and column 3: proposed change to description."/>
      </w:tblPr>
      <w:tblGrid>
        <w:gridCol w:w="988"/>
        <w:gridCol w:w="3969"/>
        <w:gridCol w:w="4059"/>
      </w:tblGrid>
      <w:tr w:rsidR="00814A0A" w:rsidRPr="005C47CA" w14:paraId="7F67799D" w14:textId="77777777" w:rsidTr="00B420DD">
        <w:trPr>
          <w:tblHeader/>
        </w:trPr>
        <w:tc>
          <w:tcPr>
            <w:tcW w:w="988" w:type="dxa"/>
            <w:shd w:val="clear" w:color="auto" w:fill="F2F2F2" w:themeFill="background1" w:themeFillShade="F2"/>
            <w:vAlign w:val="bottom"/>
          </w:tcPr>
          <w:p w14:paraId="50C607D2" w14:textId="77777777" w:rsidR="00814A0A" w:rsidRPr="005C47CA" w:rsidRDefault="00814A0A" w:rsidP="00C702A9">
            <w:pPr>
              <w:rPr>
                <w:b/>
              </w:rPr>
            </w:pPr>
            <w:r w:rsidRPr="005C47CA">
              <w:rPr>
                <w:b/>
              </w:rPr>
              <w:t>Item</w:t>
            </w:r>
          </w:p>
        </w:tc>
        <w:tc>
          <w:tcPr>
            <w:tcW w:w="3969" w:type="dxa"/>
            <w:shd w:val="clear" w:color="auto" w:fill="F2F2F2" w:themeFill="background1" w:themeFillShade="F2"/>
            <w:vAlign w:val="bottom"/>
          </w:tcPr>
          <w:p w14:paraId="5826E8E4" w14:textId="77777777" w:rsidR="00814A0A" w:rsidRPr="005C47CA" w:rsidRDefault="00814A0A" w:rsidP="00C702A9">
            <w:pPr>
              <w:rPr>
                <w:b/>
              </w:rPr>
            </w:pPr>
            <w:r w:rsidRPr="005C47CA">
              <w:rPr>
                <w:b/>
              </w:rPr>
              <w:t>Current descriptor</w:t>
            </w:r>
          </w:p>
        </w:tc>
        <w:tc>
          <w:tcPr>
            <w:tcW w:w="4059" w:type="dxa"/>
            <w:shd w:val="clear" w:color="auto" w:fill="F2F2F2" w:themeFill="background1" w:themeFillShade="F2"/>
            <w:vAlign w:val="bottom"/>
          </w:tcPr>
          <w:p w14:paraId="67C1585B" w14:textId="77777777" w:rsidR="00814A0A" w:rsidRPr="005C47CA" w:rsidRDefault="00814A0A" w:rsidP="00C702A9">
            <w:pPr>
              <w:rPr>
                <w:b/>
              </w:rPr>
            </w:pPr>
            <w:r w:rsidRPr="005C47CA">
              <w:rPr>
                <w:b/>
              </w:rPr>
              <w:t>Proposed change to descriptor</w:t>
            </w:r>
          </w:p>
        </w:tc>
      </w:tr>
      <w:tr w:rsidR="00814A0A" w:rsidRPr="005C47CA" w14:paraId="736EB29B" w14:textId="77777777" w:rsidTr="00B420DD">
        <w:tc>
          <w:tcPr>
            <w:tcW w:w="988" w:type="dxa"/>
          </w:tcPr>
          <w:p w14:paraId="3FB18514" w14:textId="77777777" w:rsidR="00814A0A" w:rsidRPr="005C47CA" w:rsidRDefault="00814A0A" w:rsidP="00D77BF8">
            <w:pPr>
              <w:rPr>
                <w:rFonts w:ascii="Arial" w:hAnsi="Arial" w:cs="Arial"/>
                <w:sz w:val="18"/>
                <w:szCs w:val="18"/>
              </w:rPr>
            </w:pPr>
            <w:r w:rsidRPr="005C47CA">
              <w:rPr>
                <w:rFonts w:ascii="Arial" w:hAnsi="Arial" w:cs="Arial"/>
                <w:sz w:val="18"/>
                <w:szCs w:val="18"/>
              </w:rPr>
              <w:t>65090</w:t>
            </w:r>
          </w:p>
        </w:tc>
        <w:tc>
          <w:tcPr>
            <w:tcW w:w="3969" w:type="dxa"/>
          </w:tcPr>
          <w:p w14:paraId="184B32A6" w14:textId="77777777" w:rsidR="00814A0A" w:rsidRPr="005C47CA" w:rsidRDefault="00814A0A" w:rsidP="00D77BF8">
            <w:pPr>
              <w:rPr>
                <w:rFonts w:ascii="Arial" w:hAnsi="Arial" w:cs="Arial"/>
                <w:sz w:val="18"/>
                <w:szCs w:val="18"/>
              </w:rPr>
            </w:pPr>
            <w:r w:rsidRPr="005C47CA">
              <w:rPr>
                <w:rFonts w:ascii="Arial" w:hAnsi="Arial" w:cs="Arial"/>
                <w:sz w:val="18"/>
                <w:szCs w:val="18"/>
              </w:rPr>
              <w:t>Blood grouping (including back-grouping if performed) - ABO and Rh (D antigen)</w:t>
            </w:r>
          </w:p>
        </w:tc>
        <w:tc>
          <w:tcPr>
            <w:tcW w:w="4059" w:type="dxa"/>
          </w:tcPr>
          <w:p w14:paraId="17E2D0BD" w14:textId="77777777" w:rsidR="00814A0A" w:rsidRPr="005C47CA" w:rsidRDefault="00814A0A" w:rsidP="00D77BF8">
            <w:pPr>
              <w:rPr>
                <w:rFonts w:ascii="Arial" w:hAnsi="Arial" w:cs="Arial"/>
                <w:sz w:val="18"/>
                <w:szCs w:val="18"/>
              </w:rPr>
            </w:pPr>
            <w:r w:rsidRPr="005C47CA">
              <w:rPr>
                <w:rFonts w:ascii="Arial" w:hAnsi="Arial" w:cs="Arial"/>
                <w:sz w:val="18"/>
                <w:szCs w:val="18"/>
              </w:rPr>
              <w:t>No change</w:t>
            </w:r>
          </w:p>
        </w:tc>
      </w:tr>
      <w:tr w:rsidR="00814A0A" w:rsidRPr="005C47CA" w14:paraId="2D345A25" w14:textId="77777777" w:rsidTr="00B420DD">
        <w:tc>
          <w:tcPr>
            <w:tcW w:w="988" w:type="dxa"/>
          </w:tcPr>
          <w:p w14:paraId="78C6DD3D" w14:textId="77777777" w:rsidR="00814A0A" w:rsidRPr="005C47CA" w:rsidRDefault="00814A0A" w:rsidP="00D77BF8">
            <w:pPr>
              <w:rPr>
                <w:rFonts w:ascii="Arial" w:hAnsi="Arial" w:cs="Arial"/>
                <w:sz w:val="18"/>
                <w:szCs w:val="18"/>
              </w:rPr>
            </w:pPr>
            <w:r w:rsidRPr="005C47CA">
              <w:rPr>
                <w:rFonts w:ascii="Arial" w:hAnsi="Arial" w:cs="Arial"/>
                <w:sz w:val="18"/>
                <w:szCs w:val="18"/>
              </w:rPr>
              <w:t>65093</w:t>
            </w:r>
          </w:p>
        </w:tc>
        <w:tc>
          <w:tcPr>
            <w:tcW w:w="3969" w:type="dxa"/>
          </w:tcPr>
          <w:p w14:paraId="002273F6" w14:textId="77777777" w:rsidR="00814A0A" w:rsidRPr="005C47CA" w:rsidRDefault="00814A0A" w:rsidP="00D77BF8">
            <w:pPr>
              <w:rPr>
                <w:rFonts w:ascii="Arial" w:hAnsi="Arial" w:cs="Arial"/>
                <w:sz w:val="18"/>
                <w:szCs w:val="18"/>
              </w:rPr>
            </w:pPr>
            <w:r w:rsidRPr="005C47CA">
              <w:rPr>
                <w:rFonts w:ascii="Arial" w:hAnsi="Arial" w:cs="Arial"/>
                <w:sz w:val="18"/>
                <w:szCs w:val="18"/>
              </w:rPr>
              <w:t>Blood grouping - Rh phenotypes, Kell system, Duffy system, M and N factors or any other blood group system - 1 or more systems, including item 65090 (if performed)</w:t>
            </w:r>
          </w:p>
        </w:tc>
        <w:tc>
          <w:tcPr>
            <w:tcW w:w="4059" w:type="dxa"/>
          </w:tcPr>
          <w:p w14:paraId="44C74F27" w14:textId="77777777" w:rsidR="00814A0A" w:rsidRPr="005C47CA" w:rsidRDefault="00814A0A" w:rsidP="00D77BF8">
            <w:pPr>
              <w:rPr>
                <w:rFonts w:ascii="Arial" w:hAnsi="Arial" w:cs="Arial"/>
                <w:sz w:val="18"/>
                <w:szCs w:val="18"/>
              </w:rPr>
            </w:pPr>
            <w:r w:rsidRPr="005C47CA">
              <w:rPr>
                <w:rFonts w:ascii="Arial" w:hAnsi="Arial" w:cs="Arial"/>
                <w:sz w:val="18"/>
                <w:szCs w:val="18"/>
              </w:rPr>
              <w:t>No change</w:t>
            </w:r>
          </w:p>
        </w:tc>
      </w:tr>
      <w:tr w:rsidR="00814A0A" w:rsidRPr="005C47CA" w14:paraId="511F7124" w14:textId="77777777" w:rsidTr="00B420DD">
        <w:tc>
          <w:tcPr>
            <w:tcW w:w="988" w:type="dxa"/>
          </w:tcPr>
          <w:p w14:paraId="4C731089" w14:textId="77777777" w:rsidR="003F1431" w:rsidRPr="005C47CA" w:rsidRDefault="003F1431" w:rsidP="00D77BF8">
            <w:pPr>
              <w:rPr>
                <w:rFonts w:ascii="Arial" w:hAnsi="Arial" w:cs="Arial"/>
                <w:sz w:val="18"/>
                <w:szCs w:val="18"/>
              </w:rPr>
            </w:pPr>
            <w:r w:rsidRPr="005C47CA">
              <w:rPr>
                <w:rFonts w:ascii="Arial" w:hAnsi="Arial" w:cs="Arial"/>
                <w:sz w:val="18"/>
                <w:szCs w:val="18"/>
              </w:rPr>
              <w:t>New 650XX</w:t>
            </w:r>
          </w:p>
        </w:tc>
        <w:tc>
          <w:tcPr>
            <w:tcW w:w="3969" w:type="dxa"/>
          </w:tcPr>
          <w:p w14:paraId="754E4277" w14:textId="77777777" w:rsidR="00814A0A" w:rsidRPr="005C47CA" w:rsidRDefault="00814A0A" w:rsidP="00D77BF8">
            <w:pPr>
              <w:rPr>
                <w:rFonts w:ascii="Arial" w:hAnsi="Arial" w:cs="Arial"/>
                <w:sz w:val="18"/>
                <w:szCs w:val="18"/>
              </w:rPr>
            </w:pPr>
          </w:p>
        </w:tc>
        <w:tc>
          <w:tcPr>
            <w:tcW w:w="4059" w:type="dxa"/>
          </w:tcPr>
          <w:p w14:paraId="5658C23F" w14:textId="77777777" w:rsidR="00814A0A" w:rsidRDefault="00814A0A" w:rsidP="00D77BF8">
            <w:pPr>
              <w:rPr>
                <w:rFonts w:ascii="Arial" w:hAnsi="Arial" w:cs="Arial"/>
                <w:sz w:val="18"/>
                <w:szCs w:val="18"/>
              </w:rPr>
            </w:pPr>
            <w:r w:rsidRPr="005C47CA">
              <w:rPr>
                <w:rFonts w:ascii="Arial" w:hAnsi="Arial" w:cs="Arial"/>
                <w:sz w:val="18"/>
                <w:szCs w:val="18"/>
              </w:rPr>
              <w:t>Blood grouping (including back-grouping if performed), and examination of serum for Rh and other blood group antibodies using a 2</w:t>
            </w:r>
            <w:r w:rsidR="00DF63C1">
              <w:rPr>
                <w:rFonts w:ascii="Arial" w:hAnsi="Arial" w:cs="Arial"/>
                <w:sz w:val="18"/>
                <w:szCs w:val="18"/>
              </w:rPr>
              <w:t>-</w:t>
            </w:r>
            <w:r w:rsidRPr="005C47CA">
              <w:rPr>
                <w:rFonts w:ascii="Arial" w:hAnsi="Arial" w:cs="Arial"/>
                <w:sz w:val="18"/>
                <w:szCs w:val="18"/>
              </w:rPr>
              <w:t xml:space="preserve"> or 3</w:t>
            </w:r>
            <w:r w:rsidR="00DF63C1">
              <w:rPr>
                <w:rFonts w:ascii="Arial" w:hAnsi="Arial" w:cs="Arial"/>
                <w:sz w:val="18"/>
                <w:szCs w:val="18"/>
              </w:rPr>
              <w:t>-</w:t>
            </w:r>
            <w:r w:rsidRPr="005C47CA">
              <w:rPr>
                <w:rFonts w:ascii="Arial" w:hAnsi="Arial" w:cs="Arial"/>
                <w:sz w:val="18"/>
                <w:szCs w:val="18"/>
              </w:rPr>
              <w:t xml:space="preserve">cell panel, </w:t>
            </w:r>
            <w:r w:rsidR="003A34EB">
              <w:rPr>
                <w:rFonts w:ascii="Arial" w:hAnsi="Arial" w:cs="Arial"/>
                <w:sz w:val="18"/>
                <w:szCs w:val="18"/>
              </w:rPr>
              <w:t>including (if performed) item 65</w:t>
            </w:r>
            <w:r w:rsidRPr="005C47CA">
              <w:rPr>
                <w:rFonts w:ascii="Arial" w:hAnsi="Arial" w:cs="Arial"/>
                <w:sz w:val="18"/>
                <w:szCs w:val="18"/>
              </w:rPr>
              <w:t xml:space="preserve">090 </w:t>
            </w:r>
          </w:p>
          <w:p w14:paraId="2620BDD6" w14:textId="77777777" w:rsidR="00175BE3" w:rsidRPr="005C47CA" w:rsidRDefault="00175BE3" w:rsidP="00D77BF8">
            <w:pPr>
              <w:rPr>
                <w:rFonts w:ascii="Arial" w:hAnsi="Arial" w:cs="Arial"/>
                <w:sz w:val="18"/>
                <w:szCs w:val="18"/>
              </w:rPr>
            </w:pPr>
            <w:r>
              <w:rPr>
                <w:rFonts w:ascii="Arial" w:hAnsi="Arial" w:cs="Arial"/>
                <w:sz w:val="18"/>
                <w:szCs w:val="18"/>
              </w:rPr>
              <w:t>Explanatory note: applicable whe</w:t>
            </w:r>
            <w:r w:rsidR="00DF63C1">
              <w:rPr>
                <w:rFonts w:ascii="Arial" w:hAnsi="Arial" w:cs="Arial"/>
                <w:sz w:val="18"/>
                <w:szCs w:val="18"/>
              </w:rPr>
              <w:t>n</w:t>
            </w:r>
            <w:r>
              <w:rPr>
                <w:rFonts w:ascii="Arial" w:hAnsi="Arial" w:cs="Arial"/>
                <w:sz w:val="18"/>
                <w:szCs w:val="18"/>
              </w:rPr>
              <w:t xml:space="preserve"> examination for antibodies is negative</w:t>
            </w:r>
          </w:p>
        </w:tc>
      </w:tr>
      <w:tr w:rsidR="00814A0A" w:rsidRPr="005C47CA" w14:paraId="1477ABC9" w14:textId="77777777" w:rsidTr="00B420DD">
        <w:tc>
          <w:tcPr>
            <w:tcW w:w="988" w:type="dxa"/>
          </w:tcPr>
          <w:p w14:paraId="3E4446F9" w14:textId="77777777" w:rsidR="003F1431" w:rsidRPr="005C47CA" w:rsidRDefault="003F1431" w:rsidP="003F1431">
            <w:pPr>
              <w:rPr>
                <w:rFonts w:ascii="Arial" w:hAnsi="Arial" w:cs="Arial"/>
                <w:sz w:val="18"/>
                <w:szCs w:val="18"/>
              </w:rPr>
            </w:pPr>
            <w:r w:rsidRPr="005C47CA">
              <w:rPr>
                <w:rFonts w:ascii="Arial" w:hAnsi="Arial" w:cs="Arial"/>
                <w:sz w:val="18"/>
                <w:szCs w:val="18"/>
              </w:rPr>
              <w:lastRenderedPageBreak/>
              <w:t>65096</w:t>
            </w:r>
          </w:p>
          <w:p w14:paraId="5C639094" w14:textId="77777777" w:rsidR="00440D0E" w:rsidRPr="005C47CA" w:rsidRDefault="00440D0E" w:rsidP="003F1431">
            <w:pPr>
              <w:rPr>
                <w:rFonts w:ascii="Arial" w:hAnsi="Arial" w:cs="Arial"/>
                <w:sz w:val="18"/>
                <w:szCs w:val="18"/>
              </w:rPr>
            </w:pPr>
            <w:r w:rsidRPr="005C47CA">
              <w:rPr>
                <w:rFonts w:ascii="Arial" w:hAnsi="Arial" w:cs="Arial"/>
                <w:sz w:val="18"/>
                <w:szCs w:val="18"/>
              </w:rPr>
              <w:t>and</w:t>
            </w:r>
          </w:p>
          <w:p w14:paraId="72AE5A99" w14:textId="77777777" w:rsidR="00814A0A" w:rsidRPr="005C47CA" w:rsidRDefault="00AE4970" w:rsidP="00D77BF8">
            <w:pPr>
              <w:rPr>
                <w:rFonts w:ascii="Arial" w:hAnsi="Arial" w:cs="Arial"/>
                <w:sz w:val="18"/>
                <w:szCs w:val="18"/>
              </w:rPr>
            </w:pPr>
            <w:r>
              <w:rPr>
                <w:rFonts w:ascii="Arial" w:hAnsi="Arial" w:cs="Arial"/>
                <w:sz w:val="18"/>
                <w:szCs w:val="18"/>
              </w:rPr>
              <w:t>Revised 65096</w:t>
            </w:r>
          </w:p>
        </w:tc>
        <w:tc>
          <w:tcPr>
            <w:tcW w:w="3969" w:type="dxa"/>
          </w:tcPr>
          <w:p w14:paraId="25D6A1CF" w14:textId="77777777" w:rsidR="00814A0A" w:rsidRPr="005C47CA" w:rsidRDefault="003F1431" w:rsidP="00D77BF8">
            <w:pPr>
              <w:rPr>
                <w:rFonts w:ascii="Arial" w:hAnsi="Arial" w:cs="Arial"/>
                <w:sz w:val="18"/>
                <w:szCs w:val="18"/>
              </w:rPr>
            </w:pPr>
            <w:r w:rsidRPr="005C47CA">
              <w:rPr>
                <w:rFonts w:ascii="Arial" w:hAnsi="Arial" w:cs="Arial"/>
                <w:sz w:val="18"/>
                <w:szCs w:val="18"/>
              </w:rPr>
              <w:t>Blood grouping (including back-grouping if performed), and examination of serum for Rh and other blood group antibodies, including: (a) identification and quantitation of any antibodies detected; and (b) (if performed) any test described in item 65060 or 65070</w:t>
            </w:r>
          </w:p>
        </w:tc>
        <w:tc>
          <w:tcPr>
            <w:tcW w:w="4059" w:type="dxa"/>
          </w:tcPr>
          <w:p w14:paraId="360A505A" w14:textId="77777777" w:rsidR="00814A0A" w:rsidRDefault="00814A0A" w:rsidP="00D77BF8">
            <w:pPr>
              <w:rPr>
                <w:rFonts w:ascii="Arial" w:hAnsi="Arial" w:cs="Arial"/>
                <w:sz w:val="18"/>
                <w:szCs w:val="18"/>
              </w:rPr>
            </w:pPr>
            <w:r w:rsidRPr="005C47CA">
              <w:rPr>
                <w:rFonts w:ascii="Arial" w:hAnsi="Arial" w:cs="Arial"/>
                <w:sz w:val="18"/>
                <w:szCs w:val="18"/>
              </w:rPr>
              <w:t>Blood grouping (including back-grouping if performed), and examination of serum for Rh and other blood group antibodies using a 2</w:t>
            </w:r>
            <w:r w:rsidR="00DF63C1">
              <w:rPr>
                <w:rFonts w:ascii="Arial" w:hAnsi="Arial" w:cs="Arial"/>
                <w:sz w:val="18"/>
                <w:szCs w:val="18"/>
              </w:rPr>
              <w:t>-</w:t>
            </w:r>
            <w:r w:rsidRPr="005C47CA">
              <w:rPr>
                <w:rFonts w:ascii="Arial" w:hAnsi="Arial" w:cs="Arial"/>
                <w:sz w:val="18"/>
                <w:szCs w:val="18"/>
              </w:rPr>
              <w:t xml:space="preserve"> or 3</w:t>
            </w:r>
            <w:r w:rsidR="00DF63C1">
              <w:rPr>
                <w:rFonts w:ascii="Arial" w:hAnsi="Arial" w:cs="Arial"/>
                <w:sz w:val="18"/>
                <w:szCs w:val="18"/>
              </w:rPr>
              <w:t>-</w:t>
            </w:r>
            <w:r w:rsidRPr="005C47CA">
              <w:rPr>
                <w:rFonts w:ascii="Arial" w:hAnsi="Arial" w:cs="Arial"/>
                <w:sz w:val="18"/>
                <w:szCs w:val="18"/>
              </w:rPr>
              <w:t>cell panel, including: (a) identification and quantitation of any antibodies detected; and (b) (if performed) any test described in item</w:t>
            </w:r>
            <w:r w:rsidR="000037EE">
              <w:rPr>
                <w:rFonts w:ascii="Arial" w:hAnsi="Arial" w:cs="Arial"/>
                <w:sz w:val="18"/>
                <w:szCs w:val="18"/>
              </w:rPr>
              <w:t>s 65090,</w:t>
            </w:r>
            <w:r w:rsidRPr="005C47CA">
              <w:rPr>
                <w:rFonts w:ascii="Arial" w:hAnsi="Arial" w:cs="Arial"/>
                <w:sz w:val="18"/>
                <w:szCs w:val="18"/>
              </w:rPr>
              <w:t xml:space="preserve"> 650</w:t>
            </w:r>
            <w:r w:rsidR="003F1431" w:rsidRPr="005C47CA">
              <w:rPr>
                <w:rFonts w:ascii="Arial" w:hAnsi="Arial" w:cs="Arial"/>
                <w:sz w:val="18"/>
                <w:szCs w:val="18"/>
              </w:rPr>
              <w:t>XX</w:t>
            </w:r>
            <w:r w:rsidR="00AE4970">
              <w:rPr>
                <w:rFonts w:ascii="Arial" w:hAnsi="Arial" w:cs="Arial"/>
                <w:sz w:val="18"/>
                <w:szCs w:val="18"/>
              </w:rPr>
              <w:t xml:space="preserve"> and 65111</w:t>
            </w:r>
            <w:r w:rsidR="00076103">
              <w:rPr>
                <w:rFonts w:ascii="Arial" w:hAnsi="Arial" w:cs="Arial"/>
                <w:sz w:val="18"/>
                <w:szCs w:val="18"/>
              </w:rPr>
              <w:t>.</w:t>
            </w:r>
          </w:p>
          <w:p w14:paraId="44B9517B" w14:textId="77777777" w:rsidR="00175BE3" w:rsidRPr="005C47CA" w:rsidRDefault="00175BE3" w:rsidP="00D77BF8">
            <w:pPr>
              <w:rPr>
                <w:rFonts w:ascii="Arial" w:hAnsi="Arial" w:cs="Arial"/>
                <w:sz w:val="18"/>
                <w:szCs w:val="18"/>
              </w:rPr>
            </w:pPr>
            <w:r>
              <w:rPr>
                <w:rFonts w:ascii="Arial" w:hAnsi="Arial" w:cs="Arial"/>
                <w:sz w:val="18"/>
                <w:szCs w:val="18"/>
              </w:rPr>
              <w:t>Explanatory note: applicable whe</w:t>
            </w:r>
            <w:r w:rsidR="00DF63C1">
              <w:rPr>
                <w:rFonts w:ascii="Arial" w:hAnsi="Arial" w:cs="Arial"/>
                <w:sz w:val="18"/>
                <w:szCs w:val="18"/>
              </w:rPr>
              <w:t>n</w:t>
            </w:r>
            <w:r>
              <w:rPr>
                <w:rFonts w:ascii="Arial" w:hAnsi="Arial" w:cs="Arial"/>
                <w:sz w:val="18"/>
                <w:szCs w:val="18"/>
              </w:rPr>
              <w:t xml:space="preserve"> examination for antibodies is positive</w:t>
            </w:r>
          </w:p>
        </w:tc>
      </w:tr>
      <w:tr w:rsidR="00814A0A" w:rsidRPr="005C47CA" w14:paraId="5CA3704C" w14:textId="77777777" w:rsidTr="00B420DD">
        <w:tc>
          <w:tcPr>
            <w:tcW w:w="988" w:type="dxa"/>
          </w:tcPr>
          <w:p w14:paraId="4E05F82A" w14:textId="77777777" w:rsidR="00814A0A" w:rsidRPr="005C47CA" w:rsidRDefault="00814A0A" w:rsidP="00D77BF8">
            <w:pPr>
              <w:rPr>
                <w:rFonts w:ascii="Arial" w:hAnsi="Arial" w:cs="Arial"/>
                <w:sz w:val="18"/>
                <w:szCs w:val="18"/>
              </w:rPr>
            </w:pPr>
            <w:r w:rsidRPr="005C47CA">
              <w:rPr>
                <w:rFonts w:ascii="Arial" w:hAnsi="Arial" w:cs="Arial"/>
                <w:sz w:val="18"/>
                <w:szCs w:val="18"/>
              </w:rPr>
              <w:t>65111</w:t>
            </w:r>
          </w:p>
        </w:tc>
        <w:tc>
          <w:tcPr>
            <w:tcW w:w="3969" w:type="dxa"/>
          </w:tcPr>
          <w:p w14:paraId="560E3B4C" w14:textId="77777777" w:rsidR="00814A0A" w:rsidRPr="005C47CA" w:rsidRDefault="00814A0A" w:rsidP="00D77BF8">
            <w:pPr>
              <w:rPr>
                <w:rFonts w:ascii="Arial" w:hAnsi="Arial" w:cs="Arial"/>
                <w:sz w:val="18"/>
                <w:szCs w:val="18"/>
              </w:rPr>
            </w:pPr>
            <w:r w:rsidRPr="005C47CA">
              <w:rPr>
                <w:rFonts w:ascii="Arial" w:hAnsi="Arial" w:cs="Arial"/>
                <w:sz w:val="18"/>
                <w:szCs w:val="18"/>
              </w:rPr>
              <w:t>Examination of serum for blood group antibodies (including identification and, if necessary, quantitation of any antibodies detected)</w:t>
            </w:r>
          </w:p>
        </w:tc>
        <w:tc>
          <w:tcPr>
            <w:tcW w:w="4059" w:type="dxa"/>
          </w:tcPr>
          <w:p w14:paraId="7B05BCDB" w14:textId="77777777" w:rsidR="00E43A25" w:rsidRDefault="00E43A25" w:rsidP="00D77BF8">
            <w:pPr>
              <w:rPr>
                <w:rFonts w:ascii="Arial" w:hAnsi="Arial" w:cs="Arial"/>
                <w:sz w:val="18"/>
                <w:szCs w:val="18"/>
              </w:rPr>
            </w:pPr>
            <w:r w:rsidRPr="005C47CA">
              <w:rPr>
                <w:rFonts w:ascii="Arial" w:hAnsi="Arial" w:cs="Arial"/>
                <w:sz w:val="18"/>
                <w:szCs w:val="18"/>
              </w:rPr>
              <w:t>Examination of serum for blood group antibodies (including identification and, if necessary, quantitation of any antibodies detected)</w:t>
            </w:r>
          </w:p>
          <w:p w14:paraId="262B0D21" w14:textId="77777777" w:rsidR="00AE4970" w:rsidRPr="005C47CA" w:rsidRDefault="00AE4970" w:rsidP="00D77BF8">
            <w:pPr>
              <w:rPr>
                <w:rFonts w:ascii="Arial" w:hAnsi="Arial" w:cs="Arial"/>
                <w:sz w:val="18"/>
                <w:szCs w:val="18"/>
              </w:rPr>
            </w:pPr>
            <w:r w:rsidRPr="00AE4970">
              <w:rPr>
                <w:rFonts w:ascii="Arial" w:hAnsi="Arial" w:cs="Arial"/>
                <w:sz w:val="18"/>
                <w:szCs w:val="18"/>
              </w:rPr>
              <w:t xml:space="preserve">Explanatory note: </w:t>
            </w:r>
            <w:r w:rsidR="00175BE3">
              <w:rPr>
                <w:rFonts w:ascii="Arial" w:hAnsi="Arial" w:cs="Arial"/>
                <w:sz w:val="18"/>
                <w:szCs w:val="18"/>
              </w:rPr>
              <w:t xml:space="preserve">applicable </w:t>
            </w:r>
            <w:r w:rsidRPr="00AE4970">
              <w:rPr>
                <w:rFonts w:ascii="Arial" w:hAnsi="Arial" w:cs="Arial"/>
                <w:sz w:val="18"/>
                <w:szCs w:val="18"/>
              </w:rPr>
              <w:t>whe</w:t>
            </w:r>
            <w:r w:rsidR="00DF63C1">
              <w:rPr>
                <w:rFonts w:ascii="Arial" w:hAnsi="Arial" w:cs="Arial"/>
                <w:sz w:val="18"/>
                <w:szCs w:val="18"/>
              </w:rPr>
              <w:t>n</w:t>
            </w:r>
            <w:r w:rsidRPr="00AE4970">
              <w:rPr>
                <w:rFonts w:ascii="Arial" w:hAnsi="Arial" w:cs="Arial"/>
                <w:sz w:val="18"/>
                <w:szCs w:val="18"/>
              </w:rPr>
              <w:t xml:space="preserve"> repeat blood grouping is not required.</w:t>
            </w:r>
          </w:p>
        </w:tc>
      </w:tr>
    </w:tbl>
    <w:p w14:paraId="0517EE20" w14:textId="77777777" w:rsidR="0033420E" w:rsidRDefault="0033420E" w:rsidP="00367716">
      <w:pPr>
        <w:pStyle w:val="Heading3"/>
      </w:pPr>
      <w:bookmarkStart w:id="78" w:name="_Toc495403391"/>
      <w:r>
        <w:t>Rationale</w:t>
      </w:r>
      <w:r w:rsidR="00176FAA">
        <w:t xml:space="preserve"> 1</w:t>
      </w:r>
      <w:bookmarkEnd w:id="78"/>
    </w:p>
    <w:p w14:paraId="0217054A" w14:textId="77777777" w:rsidR="0033420E" w:rsidRDefault="0033420E" w:rsidP="0033420E">
      <w:r>
        <w:t>The recommendations focus on modernising the MBS and are based on the following observations</w:t>
      </w:r>
      <w:r w:rsidR="00B653DA">
        <w:t>:</w:t>
      </w:r>
    </w:p>
    <w:p w14:paraId="48329C2F" w14:textId="77777777" w:rsidR="000C50DE" w:rsidRDefault="000C50DE" w:rsidP="000C50DE">
      <w:pPr>
        <w:pStyle w:val="01squarebullet"/>
      </w:pPr>
      <w:r>
        <w:t>S</w:t>
      </w:r>
      <w:r w:rsidRPr="00E93EBE">
        <w:t>pli</w:t>
      </w:r>
      <w:r>
        <w:t xml:space="preserve">tting item 65096, </w:t>
      </w:r>
      <w:r w:rsidRPr="00E93EBE">
        <w:t>based on a positive antibody screen</w:t>
      </w:r>
      <w:r>
        <w:t>,</w:t>
      </w:r>
      <w:r w:rsidRPr="00E93EBE">
        <w:t xml:space="preserve"> better reflects the clinical workload and follows the logical sequence of laboratory processes. The split provides an opportunity to simplify this section of the schedule, review relevant costings and provide better MBS data to monitor practice chan</w:t>
      </w:r>
      <w:r>
        <w:t>ges and inform future reviews.</w:t>
      </w:r>
    </w:p>
    <w:p w14:paraId="589E88AC" w14:textId="77777777" w:rsidR="00154AE7" w:rsidRDefault="006223B3" w:rsidP="00154AE7">
      <w:pPr>
        <w:pStyle w:val="01squarebullet"/>
      </w:pPr>
      <w:r>
        <w:t>S</w:t>
      </w:r>
      <w:r w:rsidR="0033420E">
        <w:t xml:space="preserve">everal items </w:t>
      </w:r>
      <w:r w:rsidR="0033420E" w:rsidRPr="0041307B">
        <w:t>in the schedule cover blood group</w:t>
      </w:r>
      <w:r w:rsidR="0033420E">
        <w:t>ing,</w:t>
      </w:r>
      <w:r w:rsidR="0033420E" w:rsidRPr="0041307B">
        <w:t xml:space="preserve"> </w:t>
      </w:r>
      <w:r w:rsidR="0033420E">
        <w:t>screening for antibodies and</w:t>
      </w:r>
      <w:r w:rsidR="00DF63C1">
        <w:t>,</w:t>
      </w:r>
      <w:r w:rsidR="0033420E">
        <w:t xml:space="preserve"> if detected,</w:t>
      </w:r>
      <w:r w:rsidR="0033420E" w:rsidRPr="0041307B">
        <w:t xml:space="preserve"> </w:t>
      </w:r>
      <w:r w:rsidR="0033420E">
        <w:t xml:space="preserve">subsequent identification and </w:t>
      </w:r>
      <w:r w:rsidR="00DF63C1">
        <w:t xml:space="preserve">quantitation </w:t>
      </w:r>
      <w:r w:rsidR="0033420E">
        <w:t xml:space="preserve">of these antibodies (items 65090, 65093, 65096, 65111). The complexity of testing increases with the detection of positive antibodies and a series of additional steps </w:t>
      </w:r>
      <w:r w:rsidR="00DF63C1">
        <w:t xml:space="preserve">is </w:t>
      </w:r>
      <w:r w:rsidR="0033420E">
        <w:t xml:space="preserve">required to </w:t>
      </w:r>
      <w:r w:rsidR="00E40B54">
        <w:t>identify and quantitate t</w:t>
      </w:r>
      <w:r w:rsidR="0033420E">
        <w:t xml:space="preserve">he antibodies. </w:t>
      </w:r>
      <w:r w:rsidR="004326BA">
        <w:t xml:space="preserve">The Committee </w:t>
      </w:r>
      <w:r w:rsidR="00814A0A">
        <w:t>estimate</w:t>
      </w:r>
      <w:r w:rsidR="004326BA">
        <w:t>s</w:t>
      </w:r>
      <w:r w:rsidR="00637D94">
        <w:t xml:space="preserve"> that </w:t>
      </w:r>
      <w:r w:rsidR="008B09CF">
        <w:t xml:space="preserve">5 </w:t>
      </w:r>
      <w:r w:rsidR="0033420E">
        <w:t xml:space="preserve">per cent of antibody screens are positive. Currently the identification and </w:t>
      </w:r>
      <w:r w:rsidR="00DF63C1">
        <w:t xml:space="preserve">quantitation </w:t>
      </w:r>
      <w:r w:rsidR="0033420E">
        <w:t xml:space="preserve">component </w:t>
      </w:r>
      <w:proofErr w:type="gramStart"/>
      <w:r w:rsidR="0033420E">
        <w:t>is</w:t>
      </w:r>
      <w:proofErr w:type="gramEnd"/>
      <w:r w:rsidR="0033420E">
        <w:t xml:space="preserve"> embedded into the descriptors of </w:t>
      </w:r>
      <w:r>
        <w:t xml:space="preserve">items </w:t>
      </w:r>
      <w:r w:rsidR="0033420E">
        <w:t>65096 and 65111.</w:t>
      </w:r>
    </w:p>
    <w:p w14:paraId="54EE17E8" w14:textId="77777777" w:rsidR="000C50DE" w:rsidRDefault="000C50DE" w:rsidP="000C50DE">
      <w:pPr>
        <w:pStyle w:val="01squarebullet"/>
      </w:pPr>
      <w:r>
        <w:t xml:space="preserve">The recommendation relates to item 65096, which is used to identify and or quantify the antibodies detected. The key change is the separation of the blood group and antibody screening test into a new item that will be the initial test performed. In 95 per cent of cases no significant antibodies will be </w:t>
      </w:r>
      <w:proofErr w:type="gramStart"/>
      <w:r>
        <w:t>detected</w:t>
      </w:r>
      <w:proofErr w:type="gramEnd"/>
      <w:r>
        <w:t xml:space="preserve"> and no further testing will be required (see Figure 2). Positive antibodies will be detected in 5 per cent of cases and the test will then be upgraded to item 65096, which includes the additional steps to identify and quantify the antibodies detected.</w:t>
      </w:r>
    </w:p>
    <w:p w14:paraId="4D180EED" w14:textId="77777777" w:rsidR="003A34EB" w:rsidRPr="003A34EB" w:rsidRDefault="003A34EB" w:rsidP="00762C5B">
      <w:pPr>
        <w:pStyle w:val="01squarebullet"/>
      </w:pPr>
      <w:r>
        <w:t>Antibody identification and quanti</w:t>
      </w:r>
      <w:r w:rsidR="00DF63C1">
        <w:t>t</w:t>
      </w:r>
      <w:r>
        <w:t xml:space="preserve">ation </w:t>
      </w:r>
      <w:r w:rsidRPr="003A34EB">
        <w:t xml:space="preserve">involves </w:t>
      </w:r>
      <w:r w:rsidR="00321F10">
        <w:t>the</w:t>
      </w:r>
      <w:r w:rsidR="003F4A7A">
        <w:t xml:space="preserve"> use of </w:t>
      </w:r>
      <w:r w:rsidR="00321F10">
        <w:t xml:space="preserve">additional or </w:t>
      </w:r>
      <w:r w:rsidR="003F4A7A">
        <w:t xml:space="preserve">an </w:t>
      </w:r>
      <w:r w:rsidR="00E90757">
        <w:t>extended panel</w:t>
      </w:r>
      <w:r w:rsidRPr="003A34EB">
        <w:t xml:space="preserve"> of at least 11 cells, including </w:t>
      </w:r>
      <w:r w:rsidR="00662BE6" w:rsidRPr="003A34EB">
        <w:t>whe</w:t>
      </w:r>
      <w:r w:rsidR="00662BE6">
        <w:t>n</w:t>
      </w:r>
      <w:r w:rsidR="00662BE6" w:rsidRPr="003A34EB">
        <w:t xml:space="preserve"> </w:t>
      </w:r>
      <w:r w:rsidRPr="003A34EB">
        <w:t>indicated, paral</w:t>
      </w:r>
      <w:r w:rsidR="00762C5B">
        <w:t xml:space="preserve">lel testing of previous samples. It </w:t>
      </w:r>
      <w:r w:rsidR="003F4A7A">
        <w:t xml:space="preserve">may additionally </w:t>
      </w:r>
      <w:r w:rsidR="00762C5B">
        <w:t>i</w:t>
      </w:r>
      <w:r w:rsidR="003F4A7A">
        <w:t>nvolve</w:t>
      </w:r>
      <w:r w:rsidR="00762C5B">
        <w:t xml:space="preserve"> using specific techniques of adsorption and elution </w:t>
      </w:r>
      <w:r w:rsidR="000037EE">
        <w:t xml:space="preserve">to </w:t>
      </w:r>
      <w:r w:rsidR="00762C5B">
        <w:t>separate the antibodies. These tests require staff with</w:t>
      </w:r>
      <w:r w:rsidR="00762C5B" w:rsidRPr="00762C5B">
        <w:t xml:space="preserve"> higher expertise and </w:t>
      </w:r>
      <w:r w:rsidR="00762C5B">
        <w:t xml:space="preserve">experience. They are </w:t>
      </w:r>
      <w:r w:rsidR="00762C5B" w:rsidRPr="00762C5B">
        <w:t>time consuming and non-automated</w:t>
      </w:r>
      <w:r w:rsidR="00762C5B">
        <w:t xml:space="preserve">, </w:t>
      </w:r>
      <w:r w:rsidR="000037EE">
        <w:t xml:space="preserve">involving increased </w:t>
      </w:r>
      <w:proofErr w:type="spellStart"/>
      <w:r w:rsidR="00762C5B">
        <w:t>labour</w:t>
      </w:r>
      <w:proofErr w:type="spellEnd"/>
      <w:r w:rsidR="00762C5B">
        <w:t xml:space="preserve">, time and </w:t>
      </w:r>
      <w:r w:rsidR="00762C5B" w:rsidRPr="00762C5B">
        <w:t>reagent costs.</w:t>
      </w:r>
    </w:p>
    <w:p w14:paraId="2F01664D" w14:textId="77777777" w:rsidR="0033420E" w:rsidRDefault="00EA1A2D" w:rsidP="00721A61">
      <w:pPr>
        <w:pStyle w:val="01squarebullet"/>
      </w:pPr>
      <w:r>
        <w:t xml:space="preserve">The Committee recommends that the new item </w:t>
      </w:r>
      <w:r w:rsidR="00721A61">
        <w:t xml:space="preserve">for positive antibody testing </w:t>
      </w:r>
      <w:r>
        <w:t xml:space="preserve">be appropriately costed to </w:t>
      </w:r>
      <w:proofErr w:type="spellStart"/>
      <w:r>
        <w:t>recognise</w:t>
      </w:r>
      <w:proofErr w:type="spellEnd"/>
      <w:r>
        <w:t xml:space="preserve"> the additional time and materials required to perform this test and agreed that the change </w:t>
      </w:r>
      <w:r w:rsidR="00721A61">
        <w:t>across these items should be cost neutral.</w:t>
      </w:r>
    </w:p>
    <w:p w14:paraId="63BE6765" w14:textId="77777777" w:rsidR="00DF3997" w:rsidRDefault="00DF3997" w:rsidP="00721A61">
      <w:pPr>
        <w:pStyle w:val="01squarebullet"/>
      </w:pPr>
      <w:r>
        <w:t xml:space="preserve">The current descriptor for item 65096 includes the provision of any test described in item 65060 or 65070. The test common in these two items is for </w:t>
      </w:r>
      <w:proofErr w:type="spellStart"/>
      <w:r w:rsidR="00E51B36">
        <w:t>haemoglobin</w:t>
      </w:r>
      <w:proofErr w:type="spellEnd"/>
      <w:r>
        <w:t xml:space="preserve">. The Committee </w:t>
      </w:r>
      <w:r>
        <w:lastRenderedPageBreak/>
        <w:t>consider</w:t>
      </w:r>
      <w:r w:rsidR="00176FAA">
        <w:t xml:space="preserve"> that</w:t>
      </w:r>
      <w:r>
        <w:t xml:space="preserve"> this test is independent of the </w:t>
      </w:r>
      <w:r w:rsidR="00506BB4">
        <w:t xml:space="preserve">purpose of both the </w:t>
      </w:r>
      <w:r>
        <w:t xml:space="preserve">current and revised item 65096 and have </w:t>
      </w:r>
      <w:r w:rsidR="00176FAA">
        <w:t xml:space="preserve">therefore </w:t>
      </w:r>
      <w:r>
        <w:t>removed this from the revised descriptor.</w:t>
      </w:r>
    </w:p>
    <w:p w14:paraId="1A917C37" w14:textId="77777777" w:rsidR="004326BA" w:rsidRDefault="004326BA" w:rsidP="003C2193">
      <w:pPr>
        <w:pStyle w:val="01squarebullet"/>
      </w:pPr>
      <w:r>
        <w:t xml:space="preserve">The Committee recommends no change to items 65090 and 65093, as these blood grouping and phenotyping tests are still required and are appropriate. They also recommended no change to item 65111, which is used only to confirm the antibody status of blood where the blood group is already known and does not need to be </w:t>
      </w:r>
      <w:r w:rsidRPr="004E715F">
        <w:t>repeated.</w:t>
      </w:r>
    </w:p>
    <w:p w14:paraId="5A56FA62" w14:textId="77777777" w:rsidR="003C2193" w:rsidRDefault="003C2193" w:rsidP="003C2193">
      <w:pPr>
        <w:pStyle w:val="01squarebullet"/>
        <w:numPr>
          <w:ilvl w:val="0"/>
          <w:numId w:val="0"/>
        </w:numPr>
        <w:ind w:left="360"/>
      </w:pPr>
    </w:p>
    <w:p w14:paraId="55D0687A" w14:textId="77777777" w:rsidR="0033420E" w:rsidRDefault="0033420E" w:rsidP="007C4E41">
      <w:pPr>
        <w:pStyle w:val="FigureCaption"/>
      </w:pPr>
      <w:bookmarkStart w:id="79" w:name="_Toc481140374"/>
      <w:r w:rsidRPr="008F7F21">
        <w:t xml:space="preserve">Figure </w:t>
      </w:r>
      <w:r w:rsidR="00DD1AA9">
        <w:fldChar w:fldCharType="begin"/>
      </w:r>
      <w:r w:rsidR="00DD1AA9">
        <w:instrText xml:space="preserve"> AUTONUM  \* Arabic </w:instrText>
      </w:r>
      <w:r w:rsidR="00DD1AA9">
        <w:fldChar w:fldCharType="end"/>
      </w:r>
      <w:r w:rsidR="00076103">
        <w:t xml:space="preserve"> Sequence of the </w:t>
      </w:r>
      <w:r w:rsidR="00076103" w:rsidRPr="00C702A9">
        <w:t>p</w:t>
      </w:r>
      <w:r w:rsidR="00245EF4" w:rsidRPr="00C702A9">
        <w:t>roposed</w:t>
      </w:r>
      <w:r w:rsidR="00245EF4">
        <w:t xml:space="preserve"> changes to item 65096</w:t>
      </w:r>
      <w:r w:rsidR="00DD1AA9">
        <w:t>.</w:t>
      </w:r>
      <w:bookmarkEnd w:id="79"/>
    </w:p>
    <w:p w14:paraId="3744F939" w14:textId="77777777" w:rsidR="0033420E" w:rsidRDefault="00782156" w:rsidP="0033420E">
      <w:pPr>
        <w:pStyle w:val="01squarebullet"/>
        <w:numPr>
          <w:ilvl w:val="0"/>
          <w:numId w:val="0"/>
        </w:numPr>
      </w:pPr>
      <w:r>
        <w:rPr>
          <w:noProof/>
          <w:lang w:val="en-AU" w:eastAsia="en-AU"/>
        </w:rPr>
        <w:drawing>
          <wp:inline distT="0" distB="0" distL="0" distR="0" wp14:anchorId="2C787EF1" wp14:editId="25AAA38B">
            <wp:extent cx="4572000" cy="1590675"/>
            <wp:effectExtent l="0" t="0" r="0" b="9525"/>
            <wp:docPr id="3" name="Picture 3" descr="First box: The key change is separation of the blood group and antibody screening test into a new item that will be the initial test performed. The proposed description for the new item is: Blood grouping (including back-grouping if performed), and examination of serum for Rh and other blood group antibodies using a 2- or 3-cell panel, and (if performed) any test described in item 65090.&#10;Arrow leads from this box to second box.&#10;Second box: about 5% of these tests will have positive antibodies, requiring additional testing.&#10;Arrow leads from this box to third and final box.&#10;Third box: Proposed revised description for item 65096: Blood grouping (including back-grouping if performed), and examination of serum for Rh and other blood group antibodies using a 2- or 3-cell panel, including (a) identification and quantitation of any antibodies detected; and (b) (if performed) any test described in item 65090, in the new item, or item 65111)." title="Figure 1, Sequence of the proposed changes to item 65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1590675"/>
                    </a:xfrm>
                    <a:prstGeom prst="rect">
                      <a:avLst/>
                    </a:prstGeom>
                  </pic:spPr>
                </pic:pic>
              </a:graphicData>
            </a:graphic>
          </wp:inline>
        </w:drawing>
      </w:r>
    </w:p>
    <w:p w14:paraId="6C19BE92" w14:textId="77777777" w:rsidR="0033420E" w:rsidRDefault="00BF39E0" w:rsidP="00BF39E0">
      <w:pPr>
        <w:pStyle w:val="01squarebullet"/>
        <w:numPr>
          <w:ilvl w:val="0"/>
          <w:numId w:val="0"/>
        </w:numPr>
      </w:pPr>
      <w:r>
        <w:t xml:space="preserve">The </w:t>
      </w:r>
      <w:r w:rsidR="00440D0E">
        <w:t>revised</w:t>
      </w:r>
      <w:r>
        <w:t xml:space="preserve"> item 650</w:t>
      </w:r>
      <w:r w:rsidR="00440D0E">
        <w:t>96</w:t>
      </w:r>
      <w:r w:rsidR="0033420E">
        <w:t xml:space="preserve"> will be used for an estimated 5</w:t>
      </w:r>
      <w:r w:rsidR="007C2BA5">
        <w:t xml:space="preserve"> per cent of </w:t>
      </w:r>
      <w:r w:rsidR="0033420E">
        <w:t>pos</w:t>
      </w:r>
      <w:r w:rsidR="00440D0E">
        <w:t>itive antibody screens detected via</w:t>
      </w:r>
      <w:r w:rsidR="0033420E">
        <w:t xml:space="preserve"> </w:t>
      </w:r>
      <w:r>
        <w:t xml:space="preserve">the </w:t>
      </w:r>
      <w:r w:rsidR="00440D0E">
        <w:t>new item 650XX</w:t>
      </w:r>
      <w:r w:rsidR="0081582C">
        <w:t>.</w:t>
      </w:r>
    </w:p>
    <w:p w14:paraId="32B0D017" w14:textId="77777777" w:rsidR="0033420E" w:rsidRDefault="0033420E" w:rsidP="00507FB2">
      <w:pPr>
        <w:pStyle w:val="01squarebullet"/>
      </w:pPr>
      <w:r>
        <w:t xml:space="preserve">The Committee agreed that </w:t>
      </w:r>
      <w:r w:rsidR="006227E3">
        <w:t xml:space="preserve">the changes to </w:t>
      </w:r>
      <w:r>
        <w:t>these items will require modelling and costing revision to ensure that the changes recommended remain cost neutral. The</w:t>
      </w:r>
      <w:r w:rsidR="006227E3">
        <w:t xml:space="preserve">y recommended that the </w:t>
      </w:r>
      <w:r>
        <w:t xml:space="preserve">distribution of funding should shift, with weighting towards the more complex processes associated with positive antibody testing. </w:t>
      </w:r>
      <w:r w:rsidR="006227E3">
        <w:t xml:space="preserve">It is not expected that these </w:t>
      </w:r>
      <w:r>
        <w:t>changes will impact on other items in the schedule.</w:t>
      </w:r>
    </w:p>
    <w:p w14:paraId="442BCF4F" w14:textId="77777777" w:rsidR="0033420E" w:rsidRDefault="0033420E" w:rsidP="0033420E">
      <w:pPr>
        <w:pStyle w:val="01squarebullet"/>
      </w:pPr>
      <w:r>
        <w:t>The Committee noted that the Obstetrics Clinical Committee ha</w:t>
      </w:r>
      <w:r w:rsidR="00CF27F6">
        <w:t>s</w:t>
      </w:r>
      <w:r>
        <w:t xml:space="preserve"> made a reco</w:t>
      </w:r>
      <w:r w:rsidR="00176FAA">
        <w:t xml:space="preserve">mmendation </w:t>
      </w:r>
      <w:r>
        <w:t xml:space="preserve">to </w:t>
      </w:r>
      <w:proofErr w:type="spellStart"/>
      <w:r>
        <w:t>standardise</w:t>
      </w:r>
      <w:proofErr w:type="spellEnd"/>
      <w:r>
        <w:t xml:space="preserve"> antenatal pathology </w:t>
      </w:r>
      <w:proofErr w:type="gramStart"/>
      <w:r>
        <w:t>scr</w:t>
      </w:r>
      <w:r w:rsidR="00176FAA">
        <w:t>eening, and</w:t>
      </w:r>
      <w:proofErr w:type="gramEnd"/>
      <w:r w:rsidR="00176FAA">
        <w:t xml:space="preserve"> have recommended a panel </w:t>
      </w:r>
      <w:r>
        <w:t>of tests that</w:t>
      </w:r>
      <w:r w:rsidR="00801726">
        <w:t> </w:t>
      </w:r>
      <w:r>
        <w:t xml:space="preserve">pregnant women should have done in the first trimester. </w:t>
      </w:r>
      <w:r w:rsidR="00B83872">
        <w:fldChar w:fldCharType="begin"/>
      </w:r>
      <w:r w:rsidR="00B83872">
        <w:instrText xml:space="preserve"> REF _Ref488758317 \r \h </w:instrText>
      </w:r>
      <w:r w:rsidR="00B83872">
        <w:fldChar w:fldCharType="separate"/>
      </w:r>
      <w:r w:rsidR="005C3364">
        <w:t>[3]</w:t>
      </w:r>
      <w:r w:rsidR="00B83872">
        <w:fldChar w:fldCharType="end"/>
      </w:r>
      <w:r w:rsidR="00801726">
        <w:t xml:space="preserve"> </w:t>
      </w:r>
      <w:r>
        <w:t>These are:</w:t>
      </w:r>
    </w:p>
    <w:p w14:paraId="5FBCD214" w14:textId="77777777" w:rsidR="0033420E" w:rsidRDefault="00147B5B" w:rsidP="00E51B36">
      <w:pPr>
        <w:pStyle w:val="02dash"/>
        <w:numPr>
          <w:ilvl w:val="1"/>
          <w:numId w:val="16"/>
        </w:numPr>
        <w:tabs>
          <w:tab w:val="clear" w:pos="646"/>
        </w:tabs>
        <w:ind w:left="709"/>
      </w:pPr>
      <w:r>
        <w:t>65070 – Full blood examination</w:t>
      </w:r>
    </w:p>
    <w:p w14:paraId="69D434EF" w14:textId="77777777" w:rsidR="0033420E" w:rsidRDefault="0033420E" w:rsidP="00E51B36">
      <w:pPr>
        <w:pStyle w:val="02dash"/>
        <w:numPr>
          <w:ilvl w:val="1"/>
          <w:numId w:val="16"/>
        </w:numPr>
        <w:tabs>
          <w:tab w:val="clear" w:pos="646"/>
        </w:tabs>
        <w:ind w:left="709"/>
      </w:pPr>
      <w:r>
        <w:t xml:space="preserve">65096 – Blood grouping and examination of serum for Rh and other blood group antibodies </w:t>
      </w:r>
    </w:p>
    <w:p w14:paraId="0CFFB5B4" w14:textId="77777777" w:rsidR="0033420E" w:rsidRDefault="0033420E" w:rsidP="00E51B36">
      <w:pPr>
        <w:pStyle w:val="02dash"/>
        <w:numPr>
          <w:ilvl w:val="1"/>
          <w:numId w:val="16"/>
        </w:numPr>
        <w:tabs>
          <w:tab w:val="clear" w:pos="646"/>
        </w:tabs>
        <w:ind w:left="709"/>
      </w:pPr>
      <w:r>
        <w:t xml:space="preserve">69333 – Urinalysis with </w:t>
      </w:r>
      <w:r w:rsidR="00185FA3">
        <w:t>midstream urine (</w:t>
      </w:r>
      <w:r>
        <w:t>MSU</w:t>
      </w:r>
      <w:r w:rsidR="00185FA3">
        <w:t>)</w:t>
      </w:r>
      <w:r>
        <w:t xml:space="preserve"> </w:t>
      </w:r>
      <w:r w:rsidR="00452798">
        <w:t>microscopy</w:t>
      </w:r>
      <w:r w:rsidR="00185FA3">
        <w:t>, culture and sensitivities</w:t>
      </w:r>
    </w:p>
    <w:p w14:paraId="48EA7E0D" w14:textId="77777777" w:rsidR="0033420E" w:rsidRDefault="00076103" w:rsidP="00E51B36">
      <w:pPr>
        <w:pStyle w:val="02dash"/>
        <w:numPr>
          <w:ilvl w:val="1"/>
          <w:numId w:val="16"/>
        </w:numPr>
        <w:tabs>
          <w:tab w:val="clear" w:pos="646"/>
        </w:tabs>
        <w:ind w:left="709"/>
      </w:pPr>
      <w:r>
        <w:t>69415 – Hepatitis B, h</w:t>
      </w:r>
      <w:r w:rsidR="0033420E">
        <w:t>epatitis C, HIV, rubella, syphilis (item is for testing all five)</w:t>
      </w:r>
      <w:r w:rsidR="00466769">
        <w:t>.</w:t>
      </w:r>
    </w:p>
    <w:p w14:paraId="66F29362" w14:textId="77777777" w:rsidR="005C47CA" w:rsidRDefault="0033420E" w:rsidP="00076103">
      <w:pPr>
        <w:pStyle w:val="01squarebullet"/>
        <w:numPr>
          <w:ilvl w:val="0"/>
          <w:numId w:val="0"/>
        </w:numPr>
        <w:ind w:left="360"/>
      </w:pPr>
      <w:r w:rsidRPr="00B929BE">
        <w:t>If the recommendation to change the existing item 650</w:t>
      </w:r>
      <w:r>
        <w:t>96</w:t>
      </w:r>
      <w:r w:rsidRPr="00B929BE">
        <w:t xml:space="preserve"> is accepted, this will need to be translated to the proposed antenatal panel.</w:t>
      </w:r>
    </w:p>
    <w:p w14:paraId="030D0E91" w14:textId="77777777" w:rsidR="0033420E" w:rsidRPr="00652B09" w:rsidRDefault="0033420E" w:rsidP="002D67EE">
      <w:pPr>
        <w:pStyle w:val="Heading2"/>
      </w:pPr>
      <w:bookmarkStart w:id="80" w:name="_Toc495403392"/>
      <w:r>
        <w:t>Compatibility testing</w:t>
      </w:r>
      <w:r w:rsidR="00813794">
        <w:t xml:space="preserve">: </w:t>
      </w:r>
      <w:r w:rsidR="008B09CF">
        <w:rPr>
          <w:lang w:val="en-AU"/>
        </w:rPr>
        <w:t>i</w:t>
      </w:r>
      <w:r w:rsidR="00813794" w:rsidRPr="00813794">
        <w:rPr>
          <w:lang w:val="en-AU"/>
        </w:rPr>
        <w:t>tems 65099, 65102, 65105 and 65108</w:t>
      </w:r>
      <w:bookmarkEnd w:id="80"/>
    </w:p>
    <w:p w14:paraId="26F47CBC" w14:textId="77777777" w:rsidR="0033420E" w:rsidRDefault="00CF27F6" w:rsidP="00C702A9">
      <w:pPr>
        <w:pStyle w:val="Caption"/>
      </w:pPr>
      <w:bookmarkStart w:id="81" w:name="_Toc481493772"/>
      <w:r>
        <w:t xml:space="preserve">Table </w:t>
      </w:r>
      <w:r w:rsidR="008F7F21">
        <w:t>5</w:t>
      </w:r>
      <w:r>
        <w:t xml:space="preserve">: </w:t>
      </w:r>
      <w:r w:rsidR="0033420E" w:rsidRPr="00FC1976">
        <w:t xml:space="preserve">Item introduction table for items </w:t>
      </w:r>
      <w:r w:rsidRPr="00C93ED7">
        <w:t>65099, 65102, 65105 and 65108</w:t>
      </w:r>
      <w:bookmarkEnd w:id="81"/>
    </w:p>
    <w:tbl>
      <w:tblPr>
        <w:tblStyle w:val="TableGrid1"/>
        <w:tblW w:w="8753" w:type="dxa"/>
        <w:tblLook w:val="04A0" w:firstRow="1" w:lastRow="0" w:firstColumn="1" w:lastColumn="0" w:noHBand="0" w:noVBand="1"/>
        <w:tblCaption w:val="Item introduction table for items 65099, 65102, 65105 and 65108"/>
        <w:tblDescription w:val="This table shows selected MBS Schedule information for items 65099, 65102, 65105 and 65108. There are 7 columns – column 1: item number, column 2: long item descriptor, column 3: schedule fee, column 4: services for the 2014–15 financial year, column 5: total benefits for the 2014–15 financial year, column 6: total patient count for the 2014–15 financial year, and column 7: 5-year compound annual growth rate of the service."/>
      </w:tblPr>
      <w:tblGrid>
        <w:gridCol w:w="745"/>
        <w:gridCol w:w="2427"/>
        <w:gridCol w:w="1023"/>
        <w:gridCol w:w="1302"/>
        <w:gridCol w:w="1217"/>
        <w:gridCol w:w="936"/>
        <w:gridCol w:w="1103"/>
      </w:tblGrid>
      <w:tr w:rsidR="0033420E" w:rsidRPr="00AE484D" w14:paraId="15D75A63" w14:textId="77777777" w:rsidTr="002D67EE">
        <w:trPr>
          <w:trHeight w:val="729"/>
          <w:tblHeader/>
        </w:trPr>
        <w:tc>
          <w:tcPr>
            <w:tcW w:w="745" w:type="dxa"/>
            <w:shd w:val="clear" w:color="auto" w:fill="F2F2F2" w:themeFill="background1" w:themeFillShade="F2"/>
            <w:vAlign w:val="bottom"/>
            <w:hideMark/>
          </w:tcPr>
          <w:p w14:paraId="0C620AA6" w14:textId="77777777" w:rsidR="0033420E" w:rsidRPr="00AE484D" w:rsidRDefault="0033420E" w:rsidP="00795693">
            <w:pPr>
              <w:rPr>
                <w:rFonts w:ascii="Arial" w:hAnsi="Arial" w:cs="Arial"/>
                <w:b/>
                <w:color w:val="000000"/>
                <w:sz w:val="18"/>
                <w:szCs w:val="18"/>
              </w:rPr>
            </w:pPr>
            <w:r w:rsidRPr="00AE484D">
              <w:rPr>
                <w:rFonts w:ascii="Arial" w:hAnsi="Arial" w:cs="Arial"/>
                <w:b/>
                <w:color w:val="000000"/>
                <w:sz w:val="18"/>
                <w:szCs w:val="18"/>
              </w:rPr>
              <w:t>Item</w:t>
            </w:r>
          </w:p>
        </w:tc>
        <w:tc>
          <w:tcPr>
            <w:tcW w:w="2427" w:type="dxa"/>
            <w:shd w:val="clear" w:color="auto" w:fill="F2F2F2" w:themeFill="background1" w:themeFillShade="F2"/>
            <w:vAlign w:val="bottom"/>
            <w:hideMark/>
          </w:tcPr>
          <w:p w14:paraId="283F3E53" w14:textId="77777777" w:rsidR="0033420E" w:rsidRPr="00AE484D" w:rsidRDefault="0033420E" w:rsidP="00795693">
            <w:pPr>
              <w:rPr>
                <w:rFonts w:ascii="Arial" w:hAnsi="Arial" w:cs="Arial"/>
                <w:b/>
                <w:color w:val="000000"/>
                <w:sz w:val="18"/>
                <w:szCs w:val="18"/>
              </w:rPr>
            </w:pPr>
            <w:r w:rsidRPr="00AE484D">
              <w:rPr>
                <w:rFonts w:ascii="Arial" w:hAnsi="Arial" w:cs="Arial"/>
                <w:b/>
                <w:color w:val="000000"/>
                <w:sz w:val="18"/>
                <w:szCs w:val="18"/>
              </w:rPr>
              <w:t>Long item descriptor</w:t>
            </w:r>
          </w:p>
        </w:tc>
        <w:tc>
          <w:tcPr>
            <w:tcW w:w="1023" w:type="dxa"/>
            <w:shd w:val="clear" w:color="auto" w:fill="F2F2F2" w:themeFill="background1" w:themeFillShade="F2"/>
            <w:vAlign w:val="bottom"/>
            <w:hideMark/>
          </w:tcPr>
          <w:p w14:paraId="1D46BC96" w14:textId="77777777" w:rsidR="0033420E" w:rsidRPr="00AE484D" w:rsidRDefault="0033420E" w:rsidP="00706395">
            <w:pPr>
              <w:rPr>
                <w:rFonts w:ascii="Arial" w:hAnsi="Arial" w:cs="Arial"/>
                <w:b/>
                <w:color w:val="000000"/>
                <w:sz w:val="18"/>
                <w:szCs w:val="18"/>
              </w:rPr>
            </w:pPr>
            <w:r w:rsidRPr="00AE484D">
              <w:rPr>
                <w:rFonts w:ascii="Arial" w:hAnsi="Arial" w:cs="Arial"/>
                <w:b/>
                <w:color w:val="000000"/>
                <w:sz w:val="18"/>
                <w:szCs w:val="18"/>
              </w:rPr>
              <w:t>Schedule</w:t>
            </w:r>
            <w:r w:rsidR="00CF27F6">
              <w:rPr>
                <w:rFonts w:ascii="Arial" w:hAnsi="Arial" w:cs="Arial"/>
                <w:b/>
                <w:color w:val="000000"/>
                <w:sz w:val="18"/>
                <w:szCs w:val="18"/>
              </w:rPr>
              <w:br/>
            </w:r>
            <w:r w:rsidRPr="00AE484D">
              <w:rPr>
                <w:rFonts w:ascii="Arial" w:hAnsi="Arial" w:cs="Arial"/>
                <w:b/>
                <w:color w:val="000000"/>
                <w:sz w:val="18"/>
                <w:szCs w:val="18"/>
              </w:rPr>
              <w:t>fee</w:t>
            </w:r>
          </w:p>
        </w:tc>
        <w:tc>
          <w:tcPr>
            <w:tcW w:w="1302" w:type="dxa"/>
            <w:shd w:val="clear" w:color="auto" w:fill="F2F2F2" w:themeFill="background1" w:themeFillShade="F2"/>
            <w:vAlign w:val="bottom"/>
          </w:tcPr>
          <w:p w14:paraId="3DBD9671" w14:textId="77777777" w:rsidR="0033420E" w:rsidRPr="00AE484D" w:rsidRDefault="0033420E" w:rsidP="00795693">
            <w:pPr>
              <w:rPr>
                <w:rFonts w:ascii="Arial" w:hAnsi="Arial" w:cs="Arial"/>
                <w:b/>
                <w:color w:val="000000"/>
                <w:sz w:val="18"/>
                <w:szCs w:val="18"/>
              </w:rPr>
            </w:pPr>
            <w:r w:rsidRPr="00AE484D">
              <w:rPr>
                <w:rFonts w:ascii="Arial" w:hAnsi="Arial" w:cs="Arial"/>
                <w:b/>
                <w:color w:val="000000"/>
                <w:sz w:val="18"/>
                <w:szCs w:val="18"/>
              </w:rPr>
              <w:t>Services FY</w:t>
            </w:r>
            <w:r w:rsidR="00CF27F6">
              <w:rPr>
                <w:rFonts w:ascii="Arial" w:hAnsi="Arial" w:cs="Arial"/>
                <w:b/>
                <w:color w:val="000000"/>
                <w:sz w:val="18"/>
                <w:szCs w:val="18"/>
              </w:rPr>
              <w:t xml:space="preserve"> </w:t>
            </w:r>
            <w:r w:rsidRPr="00AE484D">
              <w:rPr>
                <w:rFonts w:ascii="Arial" w:hAnsi="Arial" w:cs="Arial"/>
                <w:b/>
                <w:color w:val="000000"/>
                <w:sz w:val="18"/>
                <w:szCs w:val="18"/>
              </w:rPr>
              <w:t>2014</w:t>
            </w:r>
            <w:r w:rsidR="00CF27F6">
              <w:rPr>
                <w:rFonts w:ascii="Arial" w:hAnsi="Arial" w:cs="Arial"/>
                <w:b/>
                <w:color w:val="000000"/>
                <w:sz w:val="18"/>
                <w:szCs w:val="18"/>
              </w:rPr>
              <w:t>–</w:t>
            </w:r>
            <w:r w:rsidRPr="00AE484D">
              <w:rPr>
                <w:rFonts w:ascii="Arial" w:hAnsi="Arial" w:cs="Arial"/>
                <w:b/>
                <w:color w:val="000000"/>
                <w:sz w:val="18"/>
                <w:szCs w:val="18"/>
              </w:rPr>
              <w:t>15</w:t>
            </w:r>
          </w:p>
        </w:tc>
        <w:tc>
          <w:tcPr>
            <w:tcW w:w="1217" w:type="dxa"/>
            <w:shd w:val="clear" w:color="auto" w:fill="F2F2F2" w:themeFill="background1" w:themeFillShade="F2"/>
            <w:vAlign w:val="bottom"/>
          </w:tcPr>
          <w:p w14:paraId="2D413FA0" w14:textId="77777777" w:rsidR="0033420E" w:rsidRPr="00AE484D" w:rsidRDefault="0033420E" w:rsidP="00795693">
            <w:pPr>
              <w:rPr>
                <w:rFonts w:ascii="Arial" w:hAnsi="Arial" w:cs="Arial"/>
                <w:b/>
                <w:color w:val="000000"/>
                <w:sz w:val="18"/>
                <w:szCs w:val="18"/>
              </w:rPr>
            </w:pPr>
            <w:r w:rsidRPr="00AE484D">
              <w:rPr>
                <w:rFonts w:ascii="Arial" w:hAnsi="Arial" w:cs="Arial"/>
                <w:b/>
                <w:color w:val="000000"/>
                <w:sz w:val="18"/>
                <w:szCs w:val="18"/>
              </w:rPr>
              <w:t xml:space="preserve">Benefits </w:t>
            </w:r>
            <w:r w:rsidR="00CF27F6">
              <w:rPr>
                <w:rFonts w:ascii="Arial" w:hAnsi="Arial" w:cs="Arial"/>
                <w:b/>
                <w:color w:val="000000"/>
                <w:sz w:val="18"/>
                <w:szCs w:val="18"/>
              </w:rPr>
              <w:br/>
            </w:r>
            <w:r w:rsidRPr="00AE484D">
              <w:rPr>
                <w:rFonts w:ascii="Arial" w:hAnsi="Arial" w:cs="Arial"/>
                <w:b/>
                <w:color w:val="000000"/>
                <w:sz w:val="18"/>
                <w:szCs w:val="18"/>
              </w:rPr>
              <w:t>FY</w:t>
            </w:r>
            <w:r w:rsidR="00CF27F6">
              <w:rPr>
                <w:rFonts w:ascii="Arial" w:hAnsi="Arial" w:cs="Arial"/>
                <w:b/>
                <w:color w:val="000000"/>
                <w:sz w:val="18"/>
                <w:szCs w:val="18"/>
              </w:rPr>
              <w:t xml:space="preserve"> </w:t>
            </w:r>
            <w:r w:rsidRPr="00AE484D">
              <w:rPr>
                <w:rFonts w:ascii="Arial" w:hAnsi="Arial" w:cs="Arial"/>
                <w:b/>
                <w:color w:val="000000"/>
                <w:sz w:val="18"/>
                <w:szCs w:val="18"/>
              </w:rPr>
              <w:t>2014</w:t>
            </w:r>
            <w:r w:rsidR="00CF27F6">
              <w:rPr>
                <w:rFonts w:ascii="Arial" w:hAnsi="Arial" w:cs="Arial"/>
                <w:b/>
                <w:color w:val="000000"/>
                <w:sz w:val="18"/>
                <w:szCs w:val="18"/>
              </w:rPr>
              <w:t>–</w:t>
            </w:r>
            <w:r w:rsidRPr="00AE484D">
              <w:rPr>
                <w:rFonts w:ascii="Arial" w:hAnsi="Arial" w:cs="Arial"/>
                <w:b/>
                <w:color w:val="000000"/>
                <w:sz w:val="18"/>
                <w:szCs w:val="18"/>
              </w:rPr>
              <w:t>15</w:t>
            </w:r>
          </w:p>
        </w:tc>
        <w:tc>
          <w:tcPr>
            <w:tcW w:w="936" w:type="dxa"/>
            <w:shd w:val="clear" w:color="auto" w:fill="F2F2F2" w:themeFill="background1" w:themeFillShade="F2"/>
            <w:vAlign w:val="bottom"/>
            <w:hideMark/>
          </w:tcPr>
          <w:p w14:paraId="3B32970C" w14:textId="77777777" w:rsidR="0033420E" w:rsidRPr="00AE484D" w:rsidRDefault="0033420E" w:rsidP="00706395">
            <w:pPr>
              <w:rPr>
                <w:rFonts w:ascii="Arial" w:hAnsi="Arial" w:cs="Arial"/>
                <w:b/>
                <w:color w:val="000000"/>
                <w:sz w:val="18"/>
                <w:szCs w:val="18"/>
              </w:rPr>
            </w:pPr>
            <w:r w:rsidRPr="00AE484D">
              <w:rPr>
                <w:rFonts w:ascii="Arial" w:hAnsi="Arial" w:cs="Arial"/>
                <w:b/>
                <w:color w:val="000000"/>
                <w:sz w:val="18"/>
                <w:szCs w:val="18"/>
              </w:rPr>
              <w:t>Patient count 2014</w:t>
            </w:r>
            <w:r w:rsidR="00CF27F6">
              <w:rPr>
                <w:rFonts w:ascii="Arial" w:hAnsi="Arial" w:cs="Arial"/>
                <w:b/>
                <w:color w:val="000000"/>
                <w:sz w:val="18"/>
                <w:szCs w:val="18"/>
              </w:rPr>
              <w:t>–</w:t>
            </w:r>
            <w:r w:rsidRPr="00AE484D">
              <w:rPr>
                <w:rFonts w:ascii="Arial" w:hAnsi="Arial" w:cs="Arial"/>
                <w:b/>
                <w:color w:val="000000"/>
                <w:sz w:val="18"/>
                <w:szCs w:val="18"/>
              </w:rPr>
              <w:t>15</w:t>
            </w:r>
          </w:p>
        </w:tc>
        <w:tc>
          <w:tcPr>
            <w:tcW w:w="1103" w:type="dxa"/>
            <w:shd w:val="clear" w:color="auto" w:fill="F2F2F2" w:themeFill="background1" w:themeFillShade="F2"/>
            <w:vAlign w:val="bottom"/>
            <w:hideMark/>
          </w:tcPr>
          <w:p w14:paraId="1ED96A7F" w14:textId="77777777" w:rsidR="0033420E" w:rsidRPr="00AE484D" w:rsidRDefault="0033420E" w:rsidP="00795693">
            <w:pPr>
              <w:rPr>
                <w:rFonts w:ascii="Arial" w:hAnsi="Arial" w:cs="Arial"/>
                <w:b/>
                <w:color w:val="000000"/>
                <w:sz w:val="18"/>
                <w:szCs w:val="18"/>
              </w:rPr>
            </w:pPr>
            <w:r w:rsidRPr="00AE484D">
              <w:rPr>
                <w:rFonts w:ascii="Arial" w:hAnsi="Arial" w:cs="Arial"/>
                <w:b/>
                <w:color w:val="000000"/>
                <w:sz w:val="18"/>
                <w:szCs w:val="18"/>
              </w:rPr>
              <w:t>5</w:t>
            </w:r>
            <w:r w:rsidR="00CF27F6">
              <w:rPr>
                <w:rFonts w:ascii="Arial" w:hAnsi="Arial" w:cs="Arial"/>
                <w:b/>
                <w:color w:val="000000"/>
                <w:sz w:val="18"/>
                <w:szCs w:val="18"/>
              </w:rPr>
              <w:t>-</w:t>
            </w:r>
            <w:r w:rsidRPr="00AE484D">
              <w:rPr>
                <w:rFonts w:ascii="Arial" w:hAnsi="Arial" w:cs="Arial"/>
                <w:b/>
                <w:color w:val="000000"/>
                <w:sz w:val="18"/>
                <w:szCs w:val="18"/>
              </w:rPr>
              <w:t>year service change (CAGR)</w:t>
            </w:r>
          </w:p>
        </w:tc>
      </w:tr>
      <w:tr w:rsidR="0033420E" w:rsidRPr="00AE484D" w14:paraId="71A5FCBE" w14:textId="77777777" w:rsidTr="00C93ED7">
        <w:trPr>
          <w:trHeight w:val="300"/>
        </w:trPr>
        <w:tc>
          <w:tcPr>
            <w:tcW w:w="745" w:type="dxa"/>
            <w:noWrap/>
            <w:hideMark/>
          </w:tcPr>
          <w:p w14:paraId="01B3500D" w14:textId="77777777" w:rsidR="0033420E" w:rsidRPr="00AE484D" w:rsidRDefault="0033420E" w:rsidP="00795693">
            <w:pPr>
              <w:rPr>
                <w:rFonts w:ascii="Arial" w:hAnsi="Arial" w:cs="Arial"/>
                <w:color w:val="000000"/>
                <w:sz w:val="18"/>
                <w:szCs w:val="18"/>
              </w:rPr>
            </w:pPr>
            <w:r w:rsidRPr="00AE484D">
              <w:rPr>
                <w:rFonts w:ascii="Arial" w:hAnsi="Arial" w:cs="Arial"/>
                <w:color w:val="000000"/>
                <w:sz w:val="18"/>
                <w:szCs w:val="18"/>
              </w:rPr>
              <w:t>65099</w:t>
            </w:r>
          </w:p>
        </w:tc>
        <w:tc>
          <w:tcPr>
            <w:tcW w:w="2427" w:type="dxa"/>
            <w:noWrap/>
            <w:hideMark/>
          </w:tcPr>
          <w:p w14:paraId="5712AC28" w14:textId="77777777" w:rsidR="0033420E" w:rsidRPr="00AE484D" w:rsidRDefault="0033420E" w:rsidP="00795693">
            <w:pPr>
              <w:rPr>
                <w:rFonts w:ascii="Arial" w:hAnsi="Arial" w:cs="Arial"/>
                <w:color w:val="000000"/>
                <w:sz w:val="18"/>
                <w:szCs w:val="18"/>
              </w:rPr>
            </w:pPr>
            <w:r w:rsidRPr="00AE484D">
              <w:rPr>
                <w:rFonts w:ascii="Arial" w:hAnsi="Arial" w:cs="Arial"/>
                <w:color w:val="000000"/>
                <w:sz w:val="18"/>
                <w:szCs w:val="18"/>
              </w:rPr>
              <w:t xml:space="preserve">Compatibility tests by crossmatch - all tests performed on any one day for up to 6 units, including: </w:t>
            </w:r>
            <w:r w:rsidRPr="00AE484D">
              <w:rPr>
                <w:rFonts w:ascii="Arial" w:hAnsi="Arial" w:cs="Arial"/>
                <w:color w:val="000000"/>
                <w:sz w:val="18"/>
                <w:szCs w:val="18"/>
              </w:rPr>
              <w:lastRenderedPageBreak/>
              <w:t xml:space="preserve">(a) all grouping checks of the patient and donor; and (b) examination for antibodies, and if necessary identification of any antibodies detected; and (c) (if performed) any tests described in item 65060, 65070, 65090 or 65096 (item is subject to rule 5) </w:t>
            </w:r>
          </w:p>
        </w:tc>
        <w:tc>
          <w:tcPr>
            <w:tcW w:w="1023" w:type="dxa"/>
            <w:noWrap/>
            <w:hideMark/>
          </w:tcPr>
          <w:p w14:paraId="02636589"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lastRenderedPageBreak/>
              <w:t>$108.90</w:t>
            </w:r>
          </w:p>
        </w:tc>
        <w:tc>
          <w:tcPr>
            <w:tcW w:w="1302" w:type="dxa"/>
            <w:noWrap/>
            <w:hideMark/>
          </w:tcPr>
          <w:p w14:paraId="3A3AEB92"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43,467</w:t>
            </w:r>
          </w:p>
        </w:tc>
        <w:tc>
          <w:tcPr>
            <w:tcW w:w="1217" w:type="dxa"/>
          </w:tcPr>
          <w:p w14:paraId="016C1FBB"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$3,791,057</w:t>
            </w:r>
          </w:p>
        </w:tc>
        <w:tc>
          <w:tcPr>
            <w:tcW w:w="936" w:type="dxa"/>
            <w:noWrap/>
            <w:hideMark/>
          </w:tcPr>
          <w:p w14:paraId="2C09EB54"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23,480</w:t>
            </w:r>
          </w:p>
        </w:tc>
        <w:tc>
          <w:tcPr>
            <w:tcW w:w="1103" w:type="dxa"/>
            <w:noWrap/>
            <w:hideMark/>
          </w:tcPr>
          <w:p w14:paraId="1395B74F" w14:textId="77777777" w:rsidR="0033420E" w:rsidRPr="00AE484D" w:rsidRDefault="00CF27F6" w:rsidP="00C93ED7">
            <w:pPr>
              <w:rPr>
                <w:rFonts w:ascii="Arial" w:hAnsi="Arial" w:cs="Arial"/>
                <w:color w:val="000000"/>
                <w:sz w:val="18"/>
                <w:szCs w:val="18"/>
              </w:rPr>
            </w:pPr>
            <w:r>
              <w:rPr>
                <w:rFonts w:ascii="Arial" w:hAnsi="Arial" w:cs="Arial"/>
                <w:color w:val="000000"/>
                <w:sz w:val="18"/>
                <w:szCs w:val="18"/>
              </w:rPr>
              <w:t>–</w:t>
            </w:r>
            <w:r w:rsidR="0033420E" w:rsidRPr="00AE484D">
              <w:rPr>
                <w:rFonts w:ascii="Arial" w:hAnsi="Arial" w:cs="Arial"/>
                <w:color w:val="000000"/>
                <w:sz w:val="18"/>
                <w:szCs w:val="18"/>
              </w:rPr>
              <w:t>8</w:t>
            </w:r>
            <w:r w:rsidR="00C93ED7">
              <w:rPr>
                <w:rFonts w:ascii="Arial" w:hAnsi="Arial" w:cs="Arial"/>
                <w:color w:val="000000"/>
                <w:sz w:val="18"/>
                <w:szCs w:val="18"/>
              </w:rPr>
              <w:t>%</w:t>
            </w:r>
          </w:p>
        </w:tc>
      </w:tr>
      <w:tr w:rsidR="0033420E" w:rsidRPr="00AE484D" w14:paraId="35C11BA4" w14:textId="77777777" w:rsidTr="00C93ED7">
        <w:trPr>
          <w:trHeight w:val="300"/>
        </w:trPr>
        <w:tc>
          <w:tcPr>
            <w:tcW w:w="745" w:type="dxa"/>
            <w:noWrap/>
            <w:hideMark/>
          </w:tcPr>
          <w:p w14:paraId="07DDFF93" w14:textId="77777777" w:rsidR="0033420E" w:rsidRPr="00AE484D" w:rsidRDefault="0033420E" w:rsidP="00795693">
            <w:pPr>
              <w:rPr>
                <w:rFonts w:ascii="Arial" w:hAnsi="Arial" w:cs="Arial"/>
                <w:color w:val="000000"/>
                <w:sz w:val="18"/>
                <w:szCs w:val="18"/>
              </w:rPr>
            </w:pPr>
            <w:r w:rsidRPr="00AE484D">
              <w:rPr>
                <w:rFonts w:ascii="Arial" w:hAnsi="Arial" w:cs="Arial"/>
                <w:color w:val="000000"/>
                <w:sz w:val="18"/>
                <w:szCs w:val="18"/>
              </w:rPr>
              <w:t>65102</w:t>
            </w:r>
          </w:p>
        </w:tc>
        <w:tc>
          <w:tcPr>
            <w:tcW w:w="2427" w:type="dxa"/>
            <w:noWrap/>
            <w:hideMark/>
          </w:tcPr>
          <w:p w14:paraId="6AA24D8B" w14:textId="77777777" w:rsidR="0033420E" w:rsidRPr="00AE484D" w:rsidRDefault="0033420E" w:rsidP="00795693">
            <w:pPr>
              <w:rPr>
                <w:rFonts w:ascii="Arial" w:hAnsi="Arial" w:cs="Arial"/>
                <w:color w:val="000000"/>
                <w:sz w:val="18"/>
                <w:szCs w:val="18"/>
              </w:rPr>
            </w:pPr>
            <w:r w:rsidRPr="00AE484D">
              <w:rPr>
                <w:rFonts w:ascii="Arial" w:hAnsi="Arial" w:cs="Arial"/>
                <w:color w:val="000000"/>
                <w:sz w:val="18"/>
                <w:szCs w:val="18"/>
              </w:rPr>
              <w:t>Compatibility tests by crossmatch - all tests performed on any one day in excess of 6 units, including: (a) all grouping checks of the patient and donor; and (b) examination for antibodies, and if necessary identification of any antibodies detected; and (c) (if performed) any tests described in item 65060, 65070, 65090, 65096, 65099 or 65105 (Item is subject rule 5)</w:t>
            </w:r>
          </w:p>
        </w:tc>
        <w:tc>
          <w:tcPr>
            <w:tcW w:w="1023" w:type="dxa"/>
            <w:noWrap/>
            <w:hideMark/>
          </w:tcPr>
          <w:p w14:paraId="6F85AE9A"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$164.60</w:t>
            </w:r>
          </w:p>
        </w:tc>
        <w:tc>
          <w:tcPr>
            <w:tcW w:w="1302" w:type="dxa"/>
            <w:noWrap/>
            <w:hideMark/>
          </w:tcPr>
          <w:p w14:paraId="7688335E"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343</w:t>
            </w:r>
          </w:p>
        </w:tc>
        <w:tc>
          <w:tcPr>
            <w:tcW w:w="1217" w:type="dxa"/>
          </w:tcPr>
          <w:p w14:paraId="62278CDD"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$43,511</w:t>
            </w:r>
          </w:p>
        </w:tc>
        <w:tc>
          <w:tcPr>
            <w:tcW w:w="936" w:type="dxa"/>
            <w:noWrap/>
            <w:hideMark/>
          </w:tcPr>
          <w:p w14:paraId="2253F3E5"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282</w:t>
            </w:r>
          </w:p>
        </w:tc>
        <w:tc>
          <w:tcPr>
            <w:tcW w:w="1103" w:type="dxa"/>
            <w:noWrap/>
            <w:hideMark/>
          </w:tcPr>
          <w:p w14:paraId="09C06A77" w14:textId="77777777" w:rsidR="0033420E" w:rsidRPr="00AE484D" w:rsidRDefault="00CF27F6" w:rsidP="00C93ED7">
            <w:pPr>
              <w:rPr>
                <w:rFonts w:ascii="Arial" w:hAnsi="Arial" w:cs="Arial"/>
                <w:color w:val="000000"/>
                <w:sz w:val="18"/>
                <w:szCs w:val="18"/>
              </w:rPr>
            </w:pPr>
            <w:r>
              <w:rPr>
                <w:rFonts w:ascii="Arial" w:hAnsi="Arial" w:cs="Arial"/>
                <w:color w:val="000000"/>
                <w:sz w:val="18"/>
                <w:szCs w:val="18"/>
              </w:rPr>
              <w:t>–</w:t>
            </w:r>
            <w:r w:rsidR="0033420E" w:rsidRPr="00AE484D">
              <w:rPr>
                <w:rFonts w:ascii="Arial" w:hAnsi="Arial" w:cs="Arial"/>
                <w:color w:val="000000"/>
                <w:sz w:val="18"/>
                <w:szCs w:val="18"/>
              </w:rPr>
              <w:t>0.5</w:t>
            </w:r>
            <w:r w:rsidR="00C93ED7">
              <w:rPr>
                <w:rFonts w:ascii="Arial" w:hAnsi="Arial" w:cs="Arial"/>
                <w:color w:val="000000"/>
                <w:sz w:val="18"/>
                <w:szCs w:val="18"/>
              </w:rPr>
              <w:t>%</w:t>
            </w:r>
          </w:p>
        </w:tc>
      </w:tr>
      <w:tr w:rsidR="0033420E" w:rsidRPr="00AE484D" w14:paraId="53F91581" w14:textId="77777777" w:rsidTr="00C93ED7">
        <w:trPr>
          <w:trHeight w:val="300"/>
        </w:trPr>
        <w:tc>
          <w:tcPr>
            <w:tcW w:w="745" w:type="dxa"/>
            <w:noWrap/>
            <w:hideMark/>
          </w:tcPr>
          <w:p w14:paraId="4C4E3633" w14:textId="77777777" w:rsidR="0033420E" w:rsidRPr="00AE484D" w:rsidRDefault="0033420E" w:rsidP="00795693">
            <w:pPr>
              <w:jc w:val="center"/>
              <w:rPr>
                <w:rFonts w:ascii="Arial" w:hAnsi="Arial" w:cs="Arial"/>
                <w:color w:val="000000"/>
                <w:sz w:val="18"/>
                <w:szCs w:val="18"/>
              </w:rPr>
            </w:pPr>
            <w:r w:rsidRPr="00AE484D">
              <w:rPr>
                <w:rFonts w:ascii="Arial" w:hAnsi="Arial" w:cs="Arial"/>
                <w:color w:val="000000"/>
                <w:sz w:val="18"/>
                <w:szCs w:val="18"/>
              </w:rPr>
              <w:t>65105</w:t>
            </w:r>
          </w:p>
        </w:tc>
        <w:tc>
          <w:tcPr>
            <w:tcW w:w="2427" w:type="dxa"/>
            <w:noWrap/>
            <w:hideMark/>
          </w:tcPr>
          <w:p w14:paraId="6F821146" w14:textId="77777777" w:rsidR="0033420E" w:rsidRPr="00AE484D" w:rsidRDefault="0033420E" w:rsidP="00795693">
            <w:pPr>
              <w:rPr>
                <w:rFonts w:ascii="Arial" w:hAnsi="Arial" w:cs="Arial"/>
                <w:color w:val="000000"/>
                <w:sz w:val="18"/>
                <w:szCs w:val="18"/>
              </w:rPr>
            </w:pPr>
            <w:r w:rsidRPr="00AE484D">
              <w:rPr>
                <w:rFonts w:ascii="Arial" w:hAnsi="Arial" w:cs="Arial"/>
                <w:color w:val="000000"/>
                <w:sz w:val="18"/>
                <w:szCs w:val="18"/>
              </w:rPr>
              <w:t>Compatibi</w:t>
            </w:r>
            <w:r w:rsidR="008F7F21">
              <w:rPr>
                <w:rFonts w:ascii="Arial" w:hAnsi="Arial" w:cs="Arial"/>
                <w:color w:val="000000"/>
                <w:sz w:val="18"/>
                <w:szCs w:val="18"/>
              </w:rPr>
              <w:t>lity testing using at least a 3-</w:t>
            </w:r>
            <w:r w:rsidRPr="00AE484D">
              <w:rPr>
                <w:rFonts w:ascii="Arial" w:hAnsi="Arial" w:cs="Arial"/>
                <w:color w:val="000000"/>
                <w:sz w:val="18"/>
                <w:szCs w:val="18"/>
              </w:rPr>
              <w:t>cell panel and issue of red cells for transfusion - all 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w:t>
            </w:r>
          </w:p>
        </w:tc>
        <w:tc>
          <w:tcPr>
            <w:tcW w:w="1023" w:type="dxa"/>
            <w:noWrap/>
            <w:hideMark/>
          </w:tcPr>
          <w:p w14:paraId="6BDDA6F5"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$108.90</w:t>
            </w:r>
          </w:p>
        </w:tc>
        <w:tc>
          <w:tcPr>
            <w:tcW w:w="1302" w:type="dxa"/>
            <w:noWrap/>
            <w:hideMark/>
          </w:tcPr>
          <w:p w14:paraId="315B0103"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121,637</w:t>
            </w:r>
          </w:p>
        </w:tc>
        <w:tc>
          <w:tcPr>
            <w:tcW w:w="1217" w:type="dxa"/>
          </w:tcPr>
          <w:p w14:paraId="0B429B3F"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$10,457,370</w:t>
            </w:r>
          </w:p>
        </w:tc>
        <w:tc>
          <w:tcPr>
            <w:tcW w:w="936" w:type="dxa"/>
            <w:noWrap/>
            <w:hideMark/>
          </w:tcPr>
          <w:p w14:paraId="154A7A7C"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63,600</w:t>
            </w:r>
          </w:p>
        </w:tc>
        <w:tc>
          <w:tcPr>
            <w:tcW w:w="1103" w:type="dxa"/>
            <w:noWrap/>
            <w:hideMark/>
          </w:tcPr>
          <w:p w14:paraId="65499C2B"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6.7</w:t>
            </w:r>
            <w:r w:rsidR="00C93ED7">
              <w:rPr>
                <w:rFonts w:ascii="Arial" w:hAnsi="Arial" w:cs="Arial"/>
                <w:color w:val="000000"/>
                <w:sz w:val="18"/>
                <w:szCs w:val="18"/>
              </w:rPr>
              <w:t>%</w:t>
            </w:r>
          </w:p>
        </w:tc>
      </w:tr>
      <w:tr w:rsidR="0033420E" w:rsidRPr="00AE484D" w14:paraId="383A5FF5" w14:textId="77777777" w:rsidTr="00C93ED7">
        <w:trPr>
          <w:trHeight w:val="300"/>
        </w:trPr>
        <w:tc>
          <w:tcPr>
            <w:tcW w:w="745" w:type="dxa"/>
            <w:noWrap/>
            <w:hideMark/>
          </w:tcPr>
          <w:p w14:paraId="15BAE7AF" w14:textId="77777777" w:rsidR="0033420E" w:rsidRPr="00AE484D" w:rsidRDefault="0033420E" w:rsidP="00795693">
            <w:pPr>
              <w:jc w:val="center"/>
              <w:rPr>
                <w:rFonts w:ascii="Arial" w:hAnsi="Arial" w:cs="Arial"/>
                <w:color w:val="000000"/>
                <w:sz w:val="18"/>
                <w:szCs w:val="18"/>
              </w:rPr>
            </w:pPr>
            <w:r w:rsidRPr="00AE484D">
              <w:rPr>
                <w:rFonts w:ascii="Arial" w:hAnsi="Arial" w:cs="Arial"/>
                <w:color w:val="000000"/>
                <w:sz w:val="18"/>
                <w:szCs w:val="18"/>
              </w:rPr>
              <w:t>65108</w:t>
            </w:r>
          </w:p>
        </w:tc>
        <w:tc>
          <w:tcPr>
            <w:tcW w:w="2427" w:type="dxa"/>
            <w:noWrap/>
            <w:hideMark/>
          </w:tcPr>
          <w:p w14:paraId="3E56D4AE" w14:textId="77777777" w:rsidR="0033420E" w:rsidRPr="00AE484D" w:rsidRDefault="0033420E" w:rsidP="00795693">
            <w:pPr>
              <w:rPr>
                <w:rFonts w:ascii="Arial" w:hAnsi="Arial" w:cs="Arial"/>
                <w:color w:val="000000"/>
                <w:sz w:val="18"/>
                <w:szCs w:val="18"/>
              </w:rPr>
            </w:pPr>
            <w:r w:rsidRPr="00AE484D">
              <w:rPr>
                <w:rFonts w:ascii="Arial" w:hAnsi="Arial" w:cs="Arial"/>
                <w:color w:val="000000"/>
                <w:sz w:val="18"/>
                <w:szCs w:val="18"/>
              </w:rPr>
              <w:t>Compatibi</w:t>
            </w:r>
            <w:r w:rsidR="004719CC">
              <w:rPr>
                <w:rFonts w:ascii="Arial" w:hAnsi="Arial" w:cs="Arial"/>
                <w:color w:val="000000"/>
                <w:sz w:val="18"/>
                <w:szCs w:val="18"/>
              </w:rPr>
              <w:t>lity testing using at least a 3-</w:t>
            </w:r>
            <w:r w:rsidRPr="00AE484D">
              <w:rPr>
                <w:rFonts w:ascii="Arial" w:hAnsi="Arial" w:cs="Arial"/>
                <w:color w:val="000000"/>
                <w:sz w:val="18"/>
                <w:szCs w:val="18"/>
              </w:rPr>
              <w:t xml:space="preserve">cell panel and issue of red cells for transfusion - all tests performed on any one day in excess of 6 units, including: (a) all grouping checks of the patient and donor; and (b) examination for antibodies and, if necessary, identification of any antibodies detected; and(c) (if performed) any tests described in item 65060, 65070, 65090, </w:t>
            </w:r>
            <w:r w:rsidRPr="00AE484D">
              <w:rPr>
                <w:rFonts w:ascii="Arial" w:hAnsi="Arial" w:cs="Arial"/>
                <w:color w:val="000000"/>
                <w:sz w:val="18"/>
                <w:szCs w:val="18"/>
              </w:rPr>
              <w:lastRenderedPageBreak/>
              <w:t>65096, 65099 or 65105 (Item is subject to rule 5)</w:t>
            </w:r>
          </w:p>
        </w:tc>
        <w:tc>
          <w:tcPr>
            <w:tcW w:w="1023" w:type="dxa"/>
            <w:noWrap/>
            <w:hideMark/>
          </w:tcPr>
          <w:p w14:paraId="2429E237"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lastRenderedPageBreak/>
              <w:t>$164.60</w:t>
            </w:r>
          </w:p>
        </w:tc>
        <w:tc>
          <w:tcPr>
            <w:tcW w:w="1302" w:type="dxa"/>
            <w:noWrap/>
            <w:hideMark/>
          </w:tcPr>
          <w:p w14:paraId="75D82B00"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2,039</w:t>
            </w:r>
          </w:p>
        </w:tc>
        <w:tc>
          <w:tcPr>
            <w:tcW w:w="1217" w:type="dxa"/>
          </w:tcPr>
          <w:p w14:paraId="00F682BC"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$257,323</w:t>
            </w:r>
          </w:p>
        </w:tc>
        <w:tc>
          <w:tcPr>
            <w:tcW w:w="936" w:type="dxa"/>
            <w:noWrap/>
            <w:hideMark/>
          </w:tcPr>
          <w:p w14:paraId="0C0210C9"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1,840</w:t>
            </w:r>
          </w:p>
        </w:tc>
        <w:tc>
          <w:tcPr>
            <w:tcW w:w="1103" w:type="dxa"/>
            <w:noWrap/>
            <w:hideMark/>
          </w:tcPr>
          <w:p w14:paraId="464AA21F" w14:textId="77777777" w:rsidR="0033420E" w:rsidRPr="00AE484D" w:rsidRDefault="0033420E" w:rsidP="00C93ED7">
            <w:pPr>
              <w:rPr>
                <w:rFonts w:ascii="Arial" w:hAnsi="Arial" w:cs="Arial"/>
                <w:color w:val="000000"/>
                <w:sz w:val="18"/>
                <w:szCs w:val="18"/>
              </w:rPr>
            </w:pPr>
            <w:r w:rsidRPr="00AE484D">
              <w:rPr>
                <w:rFonts w:ascii="Arial" w:hAnsi="Arial" w:cs="Arial"/>
                <w:color w:val="000000"/>
                <w:sz w:val="18"/>
                <w:szCs w:val="18"/>
              </w:rPr>
              <w:t>7.0</w:t>
            </w:r>
            <w:r w:rsidR="00C93ED7">
              <w:rPr>
                <w:rFonts w:ascii="Arial" w:hAnsi="Arial" w:cs="Arial"/>
                <w:color w:val="000000"/>
                <w:sz w:val="18"/>
                <w:szCs w:val="18"/>
              </w:rPr>
              <w:t>%</w:t>
            </w:r>
          </w:p>
        </w:tc>
      </w:tr>
    </w:tbl>
    <w:p w14:paraId="32801053" w14:textId="77777777" w:rsidR="0033420E" w:rsidRPr="004276E9" w:rsidRDefault="00AF1ED5" w:rsidP="00367716">
      <w:pPr>
        <w:pStyle w:val="Heading3"/>
      </w:pPr>
      <w:bookmarkStart w:id="82" w:name="_Toc495403393"/>
      <w:r>
        <w:t>Recommendation 2</w:t>
      </w:r>
      <w:bookmarkEnd w:id="82"/>
    </w:p>
    <w:p w14:paraId="75FEFD37" w14:textId="77777777" w:rsidR="00712769" w:rsidRDefault="00703C53" w:rsidP="00703C53">
      <w:pPr>
        <w:pStyle w:val="01squarebullet"/>
      </w:pPr>
      <w:r>
        <w:rPr>
          <w:lang w:val="en-AU"/>
        </w:rPr>
        <w:t xml:space="preserve">Amend </w:t>
      </w:r>
      <w:r w:rsidR="00712769">
        <w:t>the compatibility items 65099, 65102, 65105 and 65108 based on the detection and testing for positive antibodies.</w:t>
      </w:r>
    </w:p>
    <w:p w14:paraId="5245289B" w14:textId="77777777" w:rsidR="0033420E" w:rsidRDefault="00074825" w:rsidP="00074825">
      <w:pPr>
        <w:pStyle w:val="01squarebullet"/>
      </w:pPr>
      <w:r>
        <w:rPr>
          <w:lang w:val="en-AU"/>
        </w:rPr>
        <w:t>Amend the item descriptor of</w:t>
      </w:r>
      <w:r w:rsidR="004C7ADD">
        <w:rPr>
          <w:lang w:val="en-AU"/>
        </w:rPr>
        <w:t xml:space="preserve"> </w:t>
      </w:r>
      <w:r w:rsidR="002E41FD">
        <w:t xml:space="preserve">65099 </w:t>
      </w:r>
      <w:r w:rsidR="00712769">
        <w:t>to specifically cover</w:t>
      </w:r>
      <w:r w:rsidR="0033420E">
        <w:t xml:space="preserve"> the testing of blood for transfusion</w:t>
      </w:r>
      <w:r w:rsidR="00C95A6B">
        <w:t>,</w:t>
      </w:r>
      <w:r w:rsidR="0033420E">
        <w:t xml:space="preserve"> based on the detection of positive antibodies.</w:t>
      </w:r>
      <w:r w:rsidR="002E41FD">
        <w:t xml:space="preserve"> The revised item will include the compatibility testing and release of compatible blood in any one day, regardless of volume.</w:t>
      </w:r>
    </w:p>
    <w:p w14:paraId="4233A570" w14:textId="77777777" w:rsidR="0033420E" w:rsidRDefault="0033420E" w:rsidP="0033420E">
      <w:pPr>
        <w:pStyle w:val="01squarebullet"/>
        <w:rPr>
          <w:lang w:val="en-AU"/>
        </w:rPr>
      </w:pPr>
      <w:r>
        <w:rPr>
          <w:lang w:val="en-AU"/>
        </w:rPr>
        <w:t xml:space="preserve">Create a new item number for the release of </w:t>
      </w:r>
      <w:r w:rsidR="002E41FD">
        <w:rPr>
          <w:lang w:val="en-AU"/>
        </w:rPr>
        <w:t>antibody</w:t>
      </w:r>
      <w:r w:rsidR="00D36E6D">
        <w:rPr>
          <w:lang w:val="en-AU"/>
        </w:rPr>
        <w:t>-</w:t>
      </w:r>
      <w:r w:rsidR="002E41FD">
        <w:rPr>
          <w:lang w:val="en-AU"/>
        </w:rPr>
        <w:t xml:space="preserve">negative </w:t>
      </w:r>
      <w:r w:rsidR="00712769">
        <w:rPr>
          <w:lang w:val="en-AU"/>
        </w:rPr>
        <w:t>red blood cells for transfusion</w:t>
      </w:r>
      <w:r>
        <w:rPr>
          <w:lang w:val="en-AU"/>
        </w:rPr>
        <w:t>.</w:t>
      </w:r>
      <w:r w:rsidR="002E41FD">
        <w:rPr>
          <w:lang w:val="en-AU"/>
        </w:rPr>
        <w:t xml:space="preserve"> This will include the release in any one day regardless of volume.</w:t>
      </w:r>
    </w:p>
    <w:p w14:paraId="525E9F70" w14:textId="77777777" w:rsidR="0033420E" w:rsidRDefault="0033420E" w:rsidP="0033420E">
      <w:pPr>
        <w:pStyle w:val="01squarebullet"/>
      </w:pPr>
      <w:r>
        <w:t>Redistribute the funding across these items to reflect the complexity of positive antibody testing and technology</w:t>
      </w:r>
      <w:r w:rsidR="00D36E6D">
        <w:t>-</w:t>
      </w:r>
      <w:r>
        <w:t>driven efficiencies associated with negative antibody screens</w:t>
      </w:r>
      <w:r w:rsidR="000A3998">
        <w:t xml:space="preserve"> and electronic issue (e-issue)</w:t>
      </w:r>
      <w:r w:rsidR="00703C53">
        <w:t xml:space="preserve"> in a cost-neutral manner.</w:t>
      </w:r>
    </w:p>
    <w:p w14:paraId="13177F28" w14:textId="77777777" w:rsidR="000A3998" w:rsidRDefault="000A3998" w:rsidP="0033420E">
      <w:pPr>
        <w:pStyle w:val="01squarebullet"/>
      </w:pPr>
      <w:r>
        <w:t>Delete items 65102, 651205 and 65108</w:t>
      </w:r>
      <w:r w:rsidR="00627A0B">
        <w:t>.</w:t>
      </w:r>
    </w:p>
    <w:p w14:paraId="0775D17D" w14:textId="77777777" w:rsidR="003C2193" w:rsidRDefault="003C2193" w:rsidP="003C2193">
      <w:pPr>
        <w:pStyle w:val="01squarebullet"/>
        <w:numPr>
          <w:ilvl w:val="0"/>
          <w:numId w:val="0"/>
        </w:numPr>
        <w:ind w:left="360"/>
      </w:pPr>
    </w:p>
    <w:p w14:paraId="4DF2657A" w14:textId="77777777" w:rsidR="00D91E6F" w:rsidRPr="00D91E6F" w:rsidRDefault="00D91E6F" w:rsidP="00C702A9">
      <w:pPr>
        <w:pStyle w:val="Caption"/>
      </w:pPr>
      <w:bookmarkStart w:id="83" w:name="_Toc481493773"/>
      <w:r w:rsidRPr="008F7F21">
        <w:t xml:space="preserve">Table </w:t>
      </w:r>
      <w:r w:rsidR="008F7F21" w:rsidRPr="008F7F21">
        <w:t>6</w:t>
      </w:r>
      <w:r w:rsidRPr="008F7F21">
        <w:t>:</w:t>
      </w:r>
      <w:r>
        <w:t xml:space="preserve"> Proposed changes to compatibility items</w:t>
      </w:r>
      <w:bookmarkEnd w:id="83"/>
    </w:p>
    <w:tbl>
      <w:tblPr>
        <w:tblStyle w:val="TableGrid"/>
        <w:tblW w:w="0" w:type="auto"/>
        <w:tblLook w:val="04A0" w:firstRow="1" w:lastRow="0" w:firstColumn="1" w:lastColumn="0" w:noHBand="0" w:noVBand="1"/>
        <w:tblCaption w:val="Table 6, Proposed changes to blood compatibility items"/>
        <w:tblDescription w:val="This table shows proposed changes to items 65099, 65102, 65105, 65108, including creation of a new item 650YY. There are 3 columns – column 1: item number, column 2: current descriptor, and column 3: proposed change to descriptor."/>
      </w:tblPr>
      <w:tblGrid>
        <w:gridCol w:w="988"/>
        <w:gridCol w:w="3969"/>
        <w:gridCol w:w="4059"/>
      </w:tblGrid>
      <w:tr w:rsidR="00D91E6F" w:rsidRPr="00AE484D" w14:paraId="4C755741" w14:textId="77777777" w:rsidTr="002D67EE">
        <w:trPr>
          <w:tblHeader/>
        </w:trPr>
        <w:tc>
          <w:tcPr>
            <w:tcW w:w="988" w:type="dxa"/>
            <w:shd w:val="clear" w:color="auto" w:fill="F2F2F2" w:themeFill="background1" w:themeFillShade="F2"/>
            <w:vAlign w:val="bottom"/>
          </w:tcPr>
          <w:p w14:paraId="672BD495" w14:textId="77777777" w:rsidR="00D91E6F" w:rsidRPr="00AE484D" w:rsidRDefault="00D91E6F" w:rsidP="00D77BF8">
            <w:pPr>
              <w:rPr>
                <w:rFonts w:ascii="Arial" w:hAnsi="Arial" w:cs="Arial"/>
                <w:b/>
                <w:sz w:val="18"/>
                <w:szCs w:val="18"/>
              </w:rPr>
            </w:pPr>
            <w:r w:rsidRPr="00AE484D">
              <w:rPr>
                <w:rFonts w:ascii="Arial" w:hAnsi="Arial" w:cs="Arial"/>
                <w:b/>
                <w:sz w:val="18"/>
                <w:szCs w:val="18"/>
              </w:rPr>
              <w:t>Item</w:t>
            </w:r>
          </w:p>
        </w:tc>
        <w:tc>
          <w:tcPr>
            <w:tcW w:w="3969" w:type="dxa"/>
            <w:shd w:val="clear" w:color="auto" w:fill="F2F2F2" w:themeFill="background1" w:themeFillShade="F2"/>
            <w:vAlign w:val="bottom"/>
          </w:tcPr>
          <w:p w14:paraId="17873B1D" w14:textId="77777777" w:rsidR="00D91E6F" w:rsidRPr="00AE484D" w:rsidRDefault="00D91E6F" w:rsidP="00D77BF8">
            <w:pPr>
              <w:rPr>
                <w:rFonts w:ascii="Arial" w:hAnsi="Arial" w:cs="Arial"/>
                <w:b/>
                <w:sz w:val="18"/>
                <w:szCs w:val="18"/>
              </w:rPr>
            </w:pPr>
            <w:r w:rsidRPr="00AE484D">
              <w:rPr>
                <w:rFonts w:ascii="Arial" w:hAnsi="Arial" w:cs="Arial"/>
                <w:b/>
                <w:sz w:val="18"/>
                <w:szCs w:val="18"/>
              </w:rPr>
              <w:t>Current descriptor</w:t>
            </w:r>
          </w:p>
        </w:tc>
        <w:tc>
          <w:tcPr>
            <w:tcW w:w="4059" w:type="dxa"/>
            <w:shd w:val="clear" w:color="auto" w:fill="F2F2F2" w:themeFill="background1" w:themeFillShade="F2"/>
            <w:vAlign w:val="bottom"/>
          </w:tcPr>
          <w:p w14:paraId="39F378FD" w14:textId="77777777" w:rsidR="00D91E6F" w:rsidRPr="00AE484D" w:rsidRDefault="00D91E6F" w:rsidP="00D77BF8">
            <w:pPr>
              <w:rPr>
                <w:rFonts w:ascii="Arial" w:hAnsi="Arial" w:cs="Arial"/>
                <w:b/>
                <w:sz w:val="18"/>
                <w:szCs w:val="18"/>
              </w:rPr>
            </w:pPr>
            <w:r w:rsidRPr="00AE484D">
              <w:rPr>
                <w:rFonts w:ascii="Arial" w:hAnsi="Arial" w:cs="Arial"/>
                <w:b/>
                <w:sz w:val="18"/>
                <w:szCs w:val="18"/>
              </w:rPr>
              <w:t>Proposed change to descriptor</w:t>
            </w:r>
          </w:p>
        </w:tc>
      </w:tr>
      <w:tr w:rsidR="00D91E6F" w:rsidRPr="00AE484D" w14:paraId="4FB7F4BA" w14:textId="77777777" w:rsidTr="002D67EE">
        <w:tc>
          <w:tcPr>
            <w:tcW w:w="988" w:type="dxa"/>
          </w:tcPr>
          <w:p w14:paraId="4CA12E2E" w14:textId="77777777" w:rsidR="00D91E6F" w:rsidRPr="00AE484D" w:rsidRDefault="00D91E6F" w:rsidP="00D91E6F">
            <w:pPr>
              <w:rPr>
                <w:rFonts w:ascii="Arial" w:hAnsi="Arial" w:cs="Arial"/>
                <w:color w:val="000000"/>
                <w:sz w:val="18"/>
                <w:szCs w:val="18"/>
              </w:rPr>
            </w:pPr>
            <w:r w:rsidRPr="00AE484D">
              <w:rPr>
                <w:rFonts w:ascii="Arial" w:hAnsi="Arial" w:cs="Arial"/>
                <w:color w:val="000000"/>
                <w:sz w:val="18"/>
                <w:szCs w:val="18"/>
              </w:rPr>
              <w:t>65099</w:t>
            </w:r>
          </w:p>
          <w:p w14:paraId="5E75852F" w14:textId="77777777" w:rsidR="00935936" w:rsidRPr="00AE484D" w:rsidRDefault="00935936" w:rsidP="00D91E6F">
            <w:pPr>
              <w:rPr>
                <w:rFonts w:ascii="Arial" w:hAnsi="Arial" w:cs="Arial"/>
                <w:sz w:val="18"/>
                <w:szCs w:val="18"/>
              </w:rPr>
            </w:pPr>
            <w:r w:rsidRPr="00AE484D">
              <w:rPr>
                <w:rFonts w:ascii="Arial" w:hAnsi="Arial" w:cs="Arial"/>
                <w:color w:val="000000"/>
                <w:sz w:val="18"/>
                <w:szCs w:val="18"/>
              </w:rPr>
              <w:t>Revised 65099</w:t>
            </w:r>
            <w:r w:rsidR="003B5D65" w:rsidRPr="00AE484D">
              <w:rPr>
                <w:rFonts w:ascii="Arial" w:hAnsi="Arial" w:cs="Arial"/>
                <w:color w:val="000000"/>
                <w:sz w:val="18"/>
                <w:szCs w:val="18"/>
              </w:rPr>
              <w:t xml:space="preserve"> (new # required)</w:t>
            </w:r>
          </w:p>
        </w:tc>
        <w:tc>
          <w:tcPr>
            <w:tcW w:w="3969" w:type="dxa"/>
          </w:tcPr>
          <w:p w14:paraId="5D833A2F" w14:textId="77777777" w:rsidR="00D91E6F" w:rsidRPr="00AE484D" w:rsidRDefault="00D91E6F" w:rsidP="00D91E6F">
            <w:pPr>
              <w:rPr>
                <w:rFonts w:ascii="Arial" w:hAnsi="Arial" w:cs="Arial"/>
                <w:sz w:val="18"/>
                <w:szCs w:val="18"/>
              </w:rPr>
            </w:pPr>
            <w:r w:rsidRPr="00AE484D">
              <w:rPr>
                <w:rFonts w:ascii="Arial" w:hAnsi="Arial" w:cs="Arial"/>
                <w:color w:val="000000"/>
                <w:sz w:val="18"/>
                <w:szCs w:val="18"/>
              </w:rPr>
              <w:t xml:space="preserve">Compatibility tests by crossmatch - all 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 </w:t>
            </w:r>
          </w:p>
        </w:tc>
        <w:tc>
          <w:tcPr>
            <w:tcW w:w="4059" w:type="dxa"/>
          </w:tcPr>
          <w:p w14:paraId="0E5BFC50" w14:textId="77777777" w:rsidR="00255AF6" w:rsidRPr="00AE484D" w:rsidRDefault="003B5D65" w:rsidP="00255AF6">
            <w:pPr>
              <w:rPr>
                <w:rFonts w:ascii="Arial" w:hAnsi="Arial" w:cs="Arial"/>
                <w:color w:val="000000"/>
                <w:sz w:val="18"/>
                <w:szCs w:val="18"/>
              </w:rPr>
            </w:pPr>
            <w:r w:rsidRPr="00AE484D">
              <w:rPr>
                <w:rFonts w:ascii="Arial" w:hAnsi="Arial" w:cs="Arial"/>
                <w:color w:val="000000"/>
                <w:sz w:val="18"/>
                <w:szCs w:val="18"/>
              </w:rPr>
              <w:t>Compatibility testing</w:t>
            </w:r>
            <w:r w:rsidR="00154836" w:rsidRPr="00AE484D">
              <w:rPr>
                <w:rFonts w:ascii="Arial" w:hAnsi="Arial" w:cs="Arial"/>
                <w:color w:val="000000"/>
                <w:sz w:val="18"/>
                <w:szCs w:val="18"/>
              </w:rPr>
              <w:t xml:space="preserve"> (including crossmatch and phenotype)</w:t>
            </w:r>
            <w:r w:rsidRPr="00AE484D">
              <w:rPr>
                <w:rFonts w:ascii="Arial" w:hAnsi="Arial" w:cs="Arial"/>
                <w:color w:val="000000"/>
                <w:sz w:val="18"/>
                <w:szCs w:val="18"/>
              </w:rPr>
              <w:t xml:space="preserve"> of the patient and donor and </w:t>
            </w:r>
            <w:r w:rsidR="00255AF6" w:rsidRPr="00AE484D">
              <w:rPr>
                <w:rFonts w:ascii="Arial" w:hAnsi="Arial" w:cs="Arial"/>
                <w:color w:val="000000"/>
                <w:sz w:val="18"/>
                <w:szCs w:val="18"/>
              </w:rPr>
              <w:t>release</w:t>
            </w:r>
            <w:r w:rsidRPr="00AE484D">
              <w:rPr>
                <w:rFonts w:ascii="Arial" w:hAnsi="Arial" w:cs="Arial"/>
                <w:color w:val="000000"/>
                <w:sz w:val="18"/>
                <w:szCs w:val="18"/>
              </w:rPr>
              <w:t xml:space="preserve"> of red cells for transfusion</w:t>
            </w:r>
            <w:r w:rsidR="00935936" w:rsidRPr="00AE484D">
              <w:rPr>
                <w:rFonts w:ascii="Arial" w:hAnsi="Arial" w:cs="Arial"/>
                <w:color w:val="000000"/>
                <w:sz w:val="18"/>
                <w:szCs w:val="18"/>
              </w:rPr>
              <w:t xml:space="preserve"> </w:t>
            </w:r>
            <w:r w:rsidR="00466769">
              <w:rPr>
                <w:rFonts w:ascii="Arial" w:hAnsi="Arial" w:cs="Arial"/>
                <w:color w:val="000000"/>
                <w:sz w:val="18"/>
                <w:szCs w:val="18"/>
              </w:rPr>
              <w:t>–</w:t>
            </w:r>
            <w:r w:rsidR="00466769" w:rsidRPr="00AE484D">
              <w:rPr>
                <w:rFonts w:ascii="Arial" w:hAnsi="Arial" w:cs="Arial"/>
                <w:color w:val="000000"/>
                <w:sz w:val="18"/>
                <w:szCs w:val="18"/>
              </w:rPr>
              <w:t xml:space="preserve"> </w:t>
            </w:r>
            <w:r w:rsidR="00935936" w:rsidRPr="00AE484D">
              <w:rPr>
                <w:rFonts w:ascii="Arial" w:hAnsi="Arial" w:cs="Arial"/>
                <w:color w:val="000000"/>
                <w:sz w:val="18"/>
                <w:szCs w:val="18"/>
              </w:rPr>
              <w:t xml:space="preserve">all tests </w:t>
            </w:r>
            <w:proofErr w:type="gramStart"/>
            <w:r w:rsidR="00935936" w:rsidRPr="00AE484D">
              <w:rPr>
                <w:rFonts w:ascii="Arial" w:hAnsi="Arial" w:cs="Arial"/>
                <w:color w:val="000000"/>
                <w:sz w:val="18"/>
                <w:szCs w:val="18"/>
              </w:rPr>
              <w:t>performed</w:t>
            </w:r>
            <w:proofErr w:type="gramEnd"/>
            <w:r w:rsidR="00375D4D">
              <w:rPr>
                <w:rFonts w:ascii="Arial" w:hAnsi="Arial" w:cs="Arial"/>
                <w:color w:val="000000"/>
                <w:sz w:val="18"/>
                <w:szCs w:val="18"/>
              </w:rPr>
              <w:t xml:space="preserve"> and units released</w:t>
            </w:r>
            <w:r w:rsidR="00935936" w:rsidRPr="00AE484D">
              <w:rPr>
                <w:rFonts w:ascii="Arial" w:hAnsi="Arial" w:cs="Arial"/>
                <w:color w:val="000000"/>
                <w:sz w:val="18"/>
                <w:szCs w:val="18"/>
              </w:rPr>
              <w:t xml:space="preserve"> on any one</w:t>
            </w:r>
            <w:r w:rsidRPr="00AE484D">
              <w:rPr>
                <w:rFonts w:ascii="Arial" w:hAnsi="Arial" w:cs="Arial"/>
                <w:color w:val="000000"/>
                <w:sz w:val="18"/>
                <w:szCs w:val="18"/>
              </w:rPr>
              <w:t xml:space="preserve"> day</w:t>
            </w:r>
            <w:r w:rsidR="00255AF6" w:rsidRPr="00AE484D">
              <w:rPr>
                <w:rFonts w:ascii="Arial" w:hAnsi="Arial" w:cs="Arial"/>
                <w:color w:val="000000"/>
                <w:sz w:val="18"/>
                <w:szCs w:val="18"/>
              </w:rPr>
              <w:t xml:space="preserve"> regardless of volume</w:t>
            </w:r>
            <w:r w:rsidR="00154836" w:rsidRPr="00AE484D">
              <w:rPr>
                <w:rFonts w:ascii="Arial" w:hAnsi="Arial" w:cs="Arial"/>
                <w:color w:val="000000"/>
                <w:sz w:val="18"/>
                <w:szCs w:val="18"/>
              </w:rPr>
              <w:t>.</w:t>
            </w:r>
            <w:r w:rsidR="00255AF6" w:rsidRPr="00AE484D">
              <w:rPr>
                <w:rFonts w:ascii="Arial" w:hAnsi="Arial" w:cs="Arial"/>
                <w:color w:val="000000"/>
                <w:sz w:val="18"/>
                <w:szCs w:val="18"/>
              </w:rPr>
              <w:t xml:space="preserve"> </w:t>
            </w:r>
          </w:p>
          <w:p w14:paraId="79EB375D" w14:textId="77777777" w:rsidR="00565B98" w:rsidRPr="00C03AF8" w:rsidRDefault="00C03AF8" w:rsidP="00255AF6">
            <w:pPr>
              <w:rPr>
                <w:rFonts w:ascii="Arial" w:hAnsi="Arial" w:cs="Arial"/>
                <w:sz w:val="18"/>
                <w:szCs w:val="18"/>
              </w:rPr>
            </w:pPr>
            <w:r>
              <w:rPr>
                <w:rFonts w:ascii="Arial" w:hAnsi="Arial" w:cs="Arial"/>
                <w:color w:val="000000"/>
                <w:sz w:val="18"/>
                <w:szCs w:val="18"/>
              </w:rPr>
              <w:t>Explanatory note</w:t>
            </w:r>
            <w:r w:rsidR="00974047">
              <w:rPr>
                <w:rFonts w:ascii="Arial" w:hAnsi="Arial" w:cs="Arial"/>
                <w:color w:val="000000"/>
                <w:sz w:val="18"/>
                <w:szCs w:val="18"/>
              </w:rPr>
              <w:t xml:space="preserve">: </w:t>
            </w:r>
            <w:r w:rsidR="00255AF6" w:rsidRPr="00AE484D">
              <w:rPr>
                <w:rFonts w:ascii="Arial" w:hAnsi="Arial" w:cs="Arial"/>
                <w:color w:val="000000"/>
                <w:sz w:val="18"/>
                <w:szCs w:val="18"/>
              </w:rPr>
              <w:t xml:space="preserve">This item must be </w:t>
            </w:r>
            <w:r w:rsidR="00375D4D">
              <w:rPr>
                <w:rFonts w:ascii="Arial" w:hAnsi="Arial" w:cs="Arial"/>
                <w:color w:val="000000"/>
                <w:sz w:val="18"/>
                <w:szCs w:val="18"/>
              </w:rPr>
              <w:t>in association</w:t>
            </w:r>
            <w:r w:rsidR="00255AF6" w:rsidRPr="00AE484D">
              <w:rPr>
                <w:rFonts w:ascii="Arial" w:hAnsi="Arial" w:cs="Arial"/>
                <w:color w:val="000000"/>
                <w:sz w:val="18"/>
                <w:szCs w:val="18"/>
              </w:rPr>
              <w:t xml:space="preserve"> with</w:t>
            </w:r>
            <w:r w:rsidR="00AE484D" w:rsidRPr="00AE484D">
              <w:rPr>
                <w:rFonts w:ascii="Arial" w:hAnsi="Arial" w:cs="Arial"/>
                <w:color w:val="000000"/>
                <w:sz w:val="18"/>
                <w:szCs w:val="18"/>
              </w:rPr>
              <w:t xml:space="preserve"> revised </w:t>
            </w:r>
            <w:r w:rsidR="00375D4D">
              <w:rPr>
                <w:rFonts w:ascii="Arial" w:hAnsi="Arial" w:cs="Arial"/>
                <w:color w:val="000000"/>
                <w:sz w:val="18"/>
                <w:szCs w:val="18"/>
              </w:rPr>
              <w:t xml:space="preserve">item </w:t>
            </w:r>
            <w:r w:rsidR="00AE484D" w:rsidRPr="00AE484D">
              <w:rPr>
                <w:rFonts w:ascii="Arial" w:hAnsi="Arial" w:cs="Arial"/>
                <w:color w:val="000000"/>
                <w:sz w:val="18"/>
                <w:szCs w:val="18"/>
              </w:rPr>
              <w:t>65096</w:t>
            </w:r>
            <w:r w:rsidR="003B5D65" w:rsidRPr="00AE484D">
              <w:rPr>
                <w:rFonts w:ascii="Arial" w:hAnsi="Arial" w:cs="Arial"/>
                <w:color w:val="000000"/>
                <w:sz w:val="18"/>
                <w:szCs w:val="18"/>
              </w:rPr>
              <w:t xml:space="preserve"> (</w:t>
            </w:r>
            <w:r w:rsidR="00974047" w:rsidRPr="00AE484D">
              <w:rPr>
                <w:rFonts w:ascii="Arial" w:hAnsi="Arial" w:cs="Arial"/>
                <w:color w:val="000000"/>
                <w:sz w:val="18"/>
                <w:szCs w:val="18"/>
              </w:rPr>
              <w:t>i.e.</w:t>
            </w:r>
            <w:r w:rsidR="00255AF6" w:rsidRPr="00AE484D">
              <w:rPr>
                <w:rFonts w:ascii="Arial" w:hAnsi="Arial" w:cs="Arial"/>
                <w:color w:val="000000"/>
                <w:sz w:val="18"/>
                <w:szCs w:val="18"/>
              </w:rPr>
              <w:t xml:space="preserve"> </w:t>
            </w:r>
            <w:r w:rsidR="00974047">
              <w:rPr>
                <w:rFonts w:ascii="Arial" w:hAnsi="Arial" w:cs="Arial"/>
                <w:color w:val="000000"/>
                <w:sz w:val="18"/>
                <w:szCs w:val="18"/>
              </w:rPr>
              <w:t xml:space="preserve">performed </w:t>
            </w:r>
            <w:r>
              <w:rPr>
                <w:rFonts w:ascii="Arial" w:hAnsi="Arial" w:cs="Arial"/>
                <w:color w:val="000000"/>
                <w:sz w:val="18"/>
                <w:szCs w:val="18"/>
              </w:rPr>
              <w:t>based on</w:t>
            </w:r>
            <w:r w:rsidR="00204060" w:rsidRPr="00AE484D">
              <w:rPr>
                <w:rFonts w:ascii="Arial" w:hAnsi="Arial" w:cs="Arial"/>
                <w:color w:val="000000"/>
                <w:sz w:val="18"/>
                <w:szCs w:val="18"/>
              </w:rPr>
              <w:t xml:space="preserve"> a </w:t>
            </w:r>
            <w:r w:rsidR="003B5D65" w:rsidRPr="00AE484D">
              <w:rPr>
                <w:rFonts w:ascii="Arial" w:hAnsi="Arial" w:cs="Arial"/>
                <w:color w:val="000000"/>
                <w:sz w:val="18"/>
                <w:szCs w:val="18"/>
              </w:rPr>
              <w:t xml:space="preserve">positive antibody </w:t>
            </w:r>
            <w:r w:rsidR="00974047">
              <w:rPr>
                <w:rFonts w:ascii="Arial" w:hAnsi="Arial" w:cs="Arial"/>
                <w:color w:val="000000"/>
                <w:sz w:val="18"/>
                <w:szCs w:val="18"/>
              </w:rPr>
              <w:t xml:space="preserve">screen, or a negative screen if a documented </w:t>
            </w:r>
            <w:proofErr w:type="gramStart"/>
            <w:r w:rsidR="00974047">
              <w:rPr>
                <w:rFonts w:ascii="Arial" w:hAnsi="Arial" w:cs="Arial"/>
                <w:color w:val="000000"/>
                <w:sz w:val="18"/>
                <w:szCs w:val="18"/>
              </w:rPr>
              <w:t>past history</w:t>
            </w:r>
            <w:proofErr w:type="gramEnd"/>
            <w:r w:rsidR="00974047">
              <w:rPr>
                <w:rFonts w:ascii="Arial" w:hAnsi="Arial" w:cs="Arial"/>
                <w:color w:val="000000"/>
                <w:sz w:val="18"/>
                <w:szCs w:val="18"/>
              </w:rPr>
              <w:t xml:space="preserve"> of</w:t>
            </w:r>
            <w:r>
              <w:rPr>
                <w:rFonts w:ascii="Arial" w:hAnsi="Arial" w:cs="Arial"/>
                <w:color w:val="000000"/>
                <w:sz w:val="18"/>
                <w:szCs w:val="18"/>
              </w:rPr>
              <w:t xml:space="preserve"> red cell antibodies)</w:t>
            </w:r>
            <w:r w:rsidR="00204060" w:rsidRPr="00AE484D">
              <w:rPr>
                <w:rFonts w:ascii="Arial" w:hAnsi="Arial" w:cs="Arial"/>
                <w:color w:val="FF0000"/>
                <w:sz w:val="18"/>
                <w:szCs w:val="18"/>
              </w:rPr>
              <w:t xml:space="preserve"> </w:t>
            </w:r>
          </w:p>
        </w:tc>
      </w:tr>
      <w:tr w:rsidR="00935936" w:rsidRPr="00AE484D" w14:paraId="7AB9FE4D" w14:textId="77777777" w:rsidTr="002D67EE">
        <w:tc>
          <w:tcPr>
            <w:tcW w:w="988" w:type="dxa"/>
          </w:tcPr>
          <w:p w14:paraId="5F346CD8" w14:textId="77777777" w:rsidR="00935936" w:rsidRPr="00AE484D" w:rsidRDefault="00935936" w:rsidP="00D91E6F">
            <w:pPr>
              <w:rPr>
                <w:rFonts w:ascii="Arial" w:hAnsi="Arial" w:cs="Arial"/>
                <w:color w:val="000000"/>
                <w:sz w:val="18"/>
                <w:szCs w:val="18"/>
              </w:rPr>
            </w:pPr>
            <w:r w:rsidRPr="00AE484D">
              <w:rPr>
                <w:rFonts w:ascii="Arial" w:hAnsi="Arial" w:cs="Arial"/>
                <w:color w:val="000000"/>
                <w:sz w:val="18"/>
                <w:szCs w:val="18"/>
              </w:rPr>
              <w:t>New 650YY</w:t>
            </w:r>
          </w:p>
        </w:tc>
        <w:tc>
          <w:tcPr>
            <w:tcW w:w="3969" w:type="dxa"/>
          </w:tcPr>
          <w:p w14:paraId="79407C2C" w14:textId="77777777" w:rsidR="00935936" w:rsidRPr="00AE484D" w:rsidRDefault="00935936" w:rsidP="00D91E6F">
            <w:pPr>
              <w:rPr>
                <w:rFonts w:ascii="Arial" w:hAnsi="Arial" w:cs="Arial"/>
                <w:color w:val="000000"/>
                <w:sz w:val="18"/>
                <w:szCs w:val="18"/>
              </w:rPr>
            </w:pPr>
          </w:p>
        </w:tc>
        <w:tc>
          <w:tcPr>
            <w:tcW w:w="4059" w:type="dxa"/>
          </w:tcPr>
          <w:p w14:paraId="39E89ECB" w14:textId="77777777" w:rsidR="0090085B" w:rsidRPr="00AE484D" w:rsidRDefault="0001152B" w:rsidP="0090085B">
            <w:pPr>
              <w:rPr>
                <w:rFonts w:ascii="Arial" w:hAnsi="Arial" w:cs="Arial"/>
                <w:color w:val="000000"/>
                <w:sz w:val="18"/>
                <w:szCs w:val="18"/>
              </w:rPr>
            </w:pPr>
            <w:r w:rsidRPr="00AE484D">
              <w:rPr>
                <w:rFonts w:ascii="Arial" w:hAnsi="Arial" w:cs="Arial"/>
                <w:color w:val="000000"/>
                <w:sz w:val="18"/>
                <w:szCs w:val="18"/>
              </w:rPr>
              <w:t>Release of</w:t>
            </w:r>
            <w:r w:rsidR="00255AF6" w:rsidRPr="00AE484D">
              <w:rPr>
                <w:rFonts w:ascii="Arial" w:hAnsi="Arial" w:cs="Arial"/>
                <w:color w:val="000000"/>
                <w:sz w:val="18"/>
                <w:szCs w:val="18"/>
              </w:rPr>
              <w:t xml:space="preserve"> </w:t>
            </w:r>
            <w:r w:rsidR="0090085B" w:rsidRPr="00AE484D">
              <w:rPr>
                <w:rFonts w:ascii="Arial" w:hAnsi="Arial" w:cs="Arial"/>
                <w:color w:val="000000"/>
                <w:sz w:val="18"/>
                <w:szCs w:val="18"/>
              </w:rPr>
              <w:t>red cells</w:t>
            </w:r>
            <w:r w:rsidR="003B5D65" w:rsidRPr="00AE484D">
              <w:rPr>
                <w:rFonts w:ascii="Arial" w:hAnsi="Arial" w:cs="Arial"/>
                <w:color w:val="000000"/>
                <w:sz w:val="18"/>
                <w:szCs w:val="18"/>
              </w:rPr>
              <w:t xml:space="preserve"> for transfusion</w:t>
            </w:r>
            <w:r w:rsidR="00C03AF8">
              <w:rPr>
                <w:rFonts w:ascii="Arial" w:hAnsi="Arial" w:cs="Arial"/>
                <w:color w:val="000000"/>
                <w:sz w:val="18"/>
                <w:szCs w:val="18"/>
              </w:rPr>
              <w:t xml:space="preserve"> by e-issue or after immediate spin,</w:t>
            </w:r>
            <w:r w:rsidR="0090085B" w:rsidRPr="00AE484D">
              <w:rPr>
                <w:rFonts w:ascii="Arial" w:hAnsi="Arial" w:cs="Arial"/>
                <w:color w:val="000000"/>
                <w:sz w:val="18"/>
                <w:szCs w:val="18"/>
              </w:rPr>
              <w:t xml:space="preserve"> </w:t>
            </w:r>
            <w:r w:rsidR="00255AF6" w:rsidRPr="00AE484D">
              <w:rPr>
                <w:rFonts w:ascii="Arial" w:hAnsi="Arial" w:cs="Arial"/>
                <w:color w:val="000000"/>
                <w:sz w:val="18"/>
                <w:szCs w:val="18"/>
              </w:rPr>
              <w:t>regardless of volume</w:t>
            </w:r>
            <w:r w:rsidR="0090085B" w:rsidRPr="00AE484D">
              <w:rPr>
                <w:rFonts w:ascii="Arial" w:hAnsi="Arial" w:cs="Arial"/>
                <w:color w:val="000000"/>
                <w:sz w:val="18"/>
                <w:szCs w:val="18"/>
              </w:rPr>
              <w:t xml:space="preserve"> on any one day.</w:t>
            </w:r>
          </w:p>
          <w:p w14:paraId="2C20A07F" w14:textId="77777777" w:rsidR="00565B98" w:rsidRPr="00C03AF8" w:rsidRDefault="00C03AF8" w:rsidP="0090085B">
            <w:pPr>
              <w:rPr>
                <w:rFonts w:ascii="Arial" w:hAnsi="Arial" w:cs="Arial"/>
                <w:color w:val="000000"/>
                <w:sz w:val="18"/>
                <w:szCs w:val="18"/>
              </w:rPr>
            </w:pPr>
            <w:r>
              <w:rPr>
                <w:rFonts w:ascii="Arial" w:hAnsi="Arial" w:cs="Arial"/>
                <w:color w:val="000000"/>
                <w:sz w:val="18"/>
                <w:szCs w:val="18"/>
              </w:rPr>
              <w:t xml:space="preserve">Explanatory note: </w:t>
            </w:r>
            <w:r w:rsidR="00204060" w:rsidRPr="00AE484D">
              <w:rPr>
                <w:rFonts w:ascii="Arial" w:hAnsi="Arial" w:cs="Arial"/>
                <w:color w:val="000000"/>
                <w:sz w:val="18"/>
                <w:szCs w:val="18"/>
              </w:rPr>
              <w:t xml:space="preserve">This item must be </w:t>
            </w:r>
            <w:r w:rsidR="00375D4D">
              <w:rPr>
                <w:rFonts w:ascii="Arial" w:hAnsi="Arial" w:cs="Arial"/>
                <w:color w:val="000000"/>
                <w:sz w:val="18"/>
                <w:szCs w:val="18"/>
              </w:rPr>
              <w:t>in association</w:t>
            </w:r>
            <w:r w:rsidR="00204060" w:rsidRPr="00AE484D">
              <w:rPr>
                <w:rFonts w:ascii="Arial" w:hAnsi="Arial" w:cs="Arial"/>
                <w:color w:val="000000"/>
                <w:sz w:val="18"/>
                <w:szCs w:val="18"/>
              </w:rPr>
              <w:t xml:space="preserve"> with </w:t>
            </w:r>
            <w:r w:rsidR="00AE484D" w:rsidRPr="00AE484D">
              <w:rPr>
                <w:rFonts w:ascii="Arial" w:hAnsi="Arial" w:cs="Arial"/>
                <w:color w:val="000000"/>
                <w:sz w:val="18"/>
                <w:szCs w:val="18"/>
              </w:rPr>
              <w:t xml:space="preserve">new </w:t>
            </w:r>
            <w:r w:rsidR="00375D4D">
              <w:rPr>
                <w:rFonts w:ascii="Arial" w:hAnsi="Arial" w:cs="Arial"/>
                <w:color w:val="000000"/>
                <w:sz w:val="18"/>
                <w:szCs w:val="18"/>
              </w:rPr>
              <w:t xml:space="preserve">item </w:t>
            </w:r>
            <w:r w:rsidR="00AE484D" w:rsidRPr="00AE484D">
              <w:rPr>
                <w:rFonts w:ascii="Arial" w:hAnsi="Arial" w:cs="Arial"/>
                <w:color w:val="000000"/>
                <w:sz w:val="18"/>
                <w:szCs w:val="18"/>
              </w:rPr>
              <w:t>650XX</w:t>
            </w:r>
            <w:r w:rsidR="00204060" w:rsidRPr="00AE484D">
              <w:rPr>
                <w:rFonts w:ascii="Arial" w:hAnsi="Arial" w:cs="Arial"/>
                <w:color w:val="000000"/>
                <w:sz w:val="18"/>
                <w:szCs w:val="18"/>
              </w:rPr>
              <w:t xml:space="preserve"> </w:t>
            </w:r>
            <w:r>
              <w:rPr>
                <w:rFonts w:ascii="Arial" w:hAnsi="Arial" w:cs="Arial"/>
                <w:color w:val="000000"/>
                <w:sz w:val="18"/>
                <w:szCs w:val="18"/>
              </w:rPr>
              <w:t>(</w:t>
            </w:r>
            <w:r w:rsidR="009A0CC9">
              <w:rPr>
                <w:rFonts w:ascii="Arial" w:hAnsi="Arial" w:cs="Arial"/>
                <w:color w:val="000000"/>
                <w:sz w:val="18"/>
                <w:szCs w:val="18"/>
              </w:rPr>
              <w:t>i.e.</w:t>
            </w:r>
            <w:r w:rsidR="00375D4D">
              <w:rPr>
                <w:rFonts w:ascii="Arial" w:hAnsi="Arial" w:cs="Arial"/>
                <w:color w:val="000000"/>
                <w:sz w:val="18"/>
                <w:szCs w:val="18"/>
              </w:rPr>
              <w:t xml:space="preserve"> performed based on</w:t>
            </w:r>
            <w:r w:rsidR="009A0CC9">
              <w:rPr>
                <w:rFonts w:ascii="Arial" w:hAnsi="Arial" w:cs="Arial"/>
                <w:color w:val="000000"/>
                <w:sz w:val="18"/>
                <w:szCs w:val="18"/>
              </w:rPr>
              <w:t xml:space="preserve"> the absence of current or </w:t>
            </w:r>
            <w:r>
              <w:rPr>
                <w:rFonts w:ascii="Arial" w:hAnsi="Arial" w:cs="Arial"/>
                <w:color w:val="000000"/>
                <w:sz w:val="18"/>
                <w:szCs w:val="18"/>
              </w:rPr>
              <w:t>documented history of red cell antibodies)</w:t>
            </w:r>
          </w:p>
        </w:tc>
      </w:tr>
      <w:tr w:rsidR="00D91E6F" w:rsidRPr="00AE484D" w14:paraId="7EB8B29B" w14:textId="77777777" w:rsidTr="002D67EE">
        <w:tc>
          <w:tcPr>
            <w:tcW w:w="988" w:type="dxa"/>
          </w:tcPr>
          <w:p w14:paraId="4C5DCBD4" w14:textId="77777777" w:rsidR="00D91E6F" w:rsidRPr="00AE484D" w:rsidRDefault="00D91E6F" w:rsidP="00D91E6F">
            <w:pPr>
              <w:rPr>
                <w:rFonts w:ascii="Arial" w:hAnsi="Arial" w:cs="Arial"/>
                <w:sz w:val="18"/>
                <w:szCs w:val="18"/>
              </w:rPr>
            </w:pPr>
            <w:r w:rsidRPr="00AE484D">
              <w:rPr>
                <w:rFonts w:ascii="Arial" w:hAnsi="Arial" w:cs="Arial"/>
                <w:color w:val="000000"/>
                <w:sz w:val="18"/>
                <w:szCs w:val="18"/>
              </w:rPr>
              <w:t>65102</w:t>
            </w:r>
          </w:p>
        </w:tc>
        <w:tc>
          <w:tcPr>
            <w:tcW w:w="3969" w:type="dxa"/>
          </w:tcPr>
          <w:p w14:paraId="45616798" w14:textId="77777777" w:rsidR="00D91E6F" w:rsidRPr="00AE484D" w:rsidRDefault="00D91E6F" w:rsidP="00D91E6F">
            <w:pPr>
              <w:rPr>
                <w:rFonts w:ascii="Arial" w:hAnsi="Arial" w:cs="Arial"/>
                <w:sz w:val="18"/>
                <w:szCs w:val="18"/>
              </w:rPr>
            </w:pPr>
            <w:r w:rsidRPr="00AE484D">
              <w:rPr>
                <w:rFonts w:ascii="Arial" w:hAnsi="Arial" w:cs="Arial"/>
                <w:color w:val="000000"/>
                <w:sz w:val="18"/>
                <w:szCs w:val="18"/>
              </w:rPr>
              <w:t>Compatibility tests by crossmatch - all tests performed on any one day in excess of 6 units, including: (a) all grouping checks of the patient and donor; and (b) examination for antibodies, and if necessary identification of any antibodies detected; and (c) (if performed) any tests described in item 65060, 65070, 65090, 65096, 65099 or 65105 (Item is subject rule 5)</w:t>
            </w:r>
          </w:p>
        </w:tc>
        <w:tc>
          <w:tcPr>
            <w:tcW w:w="4059" w:type="dxa"/>
          </w:tcPr>
          <w:p w14:paraId="44D01B6B" w14:textId="77777777" w:rsidR="00D91E6F" w:rsidRPr="00AE484D" w:rsidRDefault="00935936" w:rsidP="00D91E6F">
            <w:pPr>
              <w:rPr>
                <w:rFonts w:ascii="Arial" w:hAnsi="Arial" w:cs="Arial"/>
                <w:sz w:val="18"/>
                <w:szCs w:val="18"/>
              </w:rPr>
            </w:pPr>
            <w:r w:rsidRPr="00AE484D">
              <w:rPr>
                <w:rFonts w:ascii="Arial" w:hAnsi="Arial" w:cs="Arial"/>
                <w:sz w:val="18"/>
                <w:szCs w:val="18"/>
              </w:rPr>
              <w:t>Delete</w:t>
            </w:r>
          </w:p>
        </w:tc>
      </w:tr>
      <w:tr w:rsidR="00D91E6F" w:rsidRPr="00AE484D" w14:paraId="32748A7F" w14:textId="77777777" w:rsidTr="002D67EE">
        <w:tc>
          <w:tcPr>
            <w:tcW w:w="988" w:type="dxa"/>
          </w:tcPr>
          <w:p w14:paraId="0EA8E33E" w14:textId="77777777" w:rsidR="00D91E6F" w:rsidRPr="00AE484D" w:rsidRDefault="00D91E6F" w:rsidP="00D91E6F">
            <w:pPr>
              <w:rPr>
                <w:rFonts w:ascii="Arial" w:hAnsi="Arial" w:cs="Arial"/>
                <w:sz w:val="18"/>
                <w:szCs w:val="18"/>
              </w:rPr>
            </w:pPr>
            <w:r w:rsidRPr="00AE484D">
              <w:rPr>
                <w:rFonts w:ascii="Arial" w:hAnsi="Arial" w:cs="Arial"/>
                <w:color w:val="000000"/>
                <w:sz w:val="18"/>
                <w:szCs w:val="18"/>
              </w:rPr>
              <w:t>65105</w:t>
            </w:r>
          </w:p>
        </w:tc>
        <w:tc>
          <w:tcPr>
            <w:tcW w:w="3969" w:type="dxa"/>
          </w:tcPr>
          <w:p w14:paraId="0022699D" w14:textId="77777777" w:rsidR="00D91E6F" w:rsidRPr="00AE484D" w:rsidRDefault="00D91E6F" w:rsidP="00D91E6F">
            <w:pPr>
              <w:rPr>
                <w:rFonts w:ascii="Arial" w:hAnsi="Arial" w:cs="Arial"/>
                <w:sz w:val="18"/>
                <w:szCs w:val="18"/>
              </w:rPr>
            </w:pPr>
            <w:r w:rsidRPr="00AE484D">
              <w:rPr>
                <w:rFonts w:ascii="Arial" w:hAnsi="Arial" w:cs="Arial"/>
                <w:color w:val="000000"/>
                <w:sz w:val="18"/>
                <w:szCs w:val="18"/>
              </w:rPr>
              <w:t>Compatibi</w:t>
            </w:r>
            <w:r w:rsidR="005447CA">
              <w:rPr>
                <w:rFonts w:ascii="Arial" w:hAnsi="Arial" w:cs="Arial"/>
                <w:color w:val="000000"/>
                <w:sz w:val="18"/>
                <w:szCs w:val="18"/>
              </w:rPr>
              <w:t>lity testing using at least a 3-</w:t>
            </w:r>
            <w:r w:rsidRPr="00AE484D">
              <w:rPr>
                <w:rFonts w:ascii="Arial" w:hAnsi="Arial" w:cs="Arial"/>
                <w:color w:val="000000"/>
                <w:sz w:val="18"/>
                <w:szCs w:val="18"/>
              </w:rPr>
              <w:t xml:space="preserve">cell panel and issue of red cells for transfusion - all </w:t>
            </w:r>
            <w:r w:rsidRPr="00AE484D">
              <w:rPr>
                <w:rFonts w:ascii="Arial" w:hAnsi="Arial" w:cs="Arial"/>
                <w:color w:val="000000"/>
                <w:sz w:val="18"/>
                <w:szCs w:val="18"/>
              </w:rPr>
              <w:lastRenderedPageBreak/>
              <w:t>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w:t>
            </w:r>
          </w:p>
        </w:tc>
        <w:tc>
          <w:tcPr>
            <w:tcW w:w="4059" w:type="dxa"/>
          </w:tcPr>
          <w:p w14:paraId="433A6654" w14:textId="77777777" w:rsidR="00D91E6F" w:rsidRPr="00AE484D" w:rsidRDefault="00204060" w:rsidP="00D91E6F">
            <w:pPr>
              <w:rPr>
                <w:rFonts w:ascii="Arial" w:hAnsi="Arial" w:cs="Arial"/>
                <w:sz w:val="18"/>
                <w:szCs w:val="18"/>
              </w:rPr>
            </w:pPr>
            <w:r w:rsidRPr="00AE484D">
              <w:rPr>
                <w:rFonts w:ascii="Arial" w:hAnsi="Arial" w:cs="Arial"/>
                <w:sz w:val="18"/>
                <w:szCs w:val="18"/>
              </w:rPr>
              <w:lastRenderedPageBreak/>
              <w:t>Delete</w:t>
            </w:r>
          </w:p>
        </w:tc>
      </w:tr>
      <w:tr w:rsidR="00D91E6F" w:rsidRPr="00AE484D" w14:paraId="5C2A84B3" w14:textId="77777777" w:rsidTr="002D67EE">
        <w:tc>
          <w:tcPr>
            <w:tcW w:w="988" w:type="dxa"/>
          </w:tcPr>
          <w:p w14:paraId="3BF1F42B" w14:textId="77777777" w:rsidR="00D91E6F" w:rsidRPr="00AE484D" w:rsidRDefault="00D91E6F" w:rsidP="00D91E6F">
            <w:pPr>
              <w:rPr>
                <w:rFonts w:ascii="Arial" w:hAnsi="Arial" w:cs="Arial"/>
                <w:sz w:val="18"/>
                <w:szCs w:val="18"/>
              </w:rPr>
            </w:pPr>
            <w:r w:rsidRPr="00AE484D">
              <w:rPr>
                <w:rFonts w:ascii="Arial" w:hAnsi="Arial" w:cs="Arial"/>
                <w:color w:val="000000"/>
                <w:sz w:val="18"/>
                <w:szCs w:val="18"/>
              </w:rPr>
              <w:t>65108</w:t>
            </w:r>
          </w:p>
        </w:tc>
        <w:tc>
          <w:tcPr>
            <w:tcW w:w="3969" w:type="dxa"/>
          </w:tcPr>
          <w:p w14:paraId="4C30DAC8" w14:textId="77777777" w:rsidR="00D91E6F" w:rsidRPr="00AE484D" w:rsidRDefault="00D91E6F" w:rsidP="00D91E6F">
            <w:pPr>
              <w:rPr>
                <w:rFonts w:ascii="Arial" w:hAnsi="Arial" w:cs="Arial"/>
                <w:sz w:val="18"/>
                <w:szCs w:val="18"/>
              </w:rPr>
            </w:pPr>
            <w:r w:rsidRPr="00AE484D">
              <w:rPr>
                <w:rFonts w:ascii="Arial" w:hAnsi="Arial" w:cs="Arial"/>
                <w:color w:val="000000"/>
                <w:sz w:val="18"/>
                <w:szCs w:val="18"/>
              </w:rPr>
              <w:t>Compatibi</w:t>
            </w:r>
            <w:r w:rsidR="005447CA">
              <w:rPr>
                <w:rFonts w:ascii="Arial" w:hAnsi="Arial" w:cs="Arial"/>
                <w:color w:val="000000"/>
                <w:sz w:val="18"/>
                <w:szCs w:val="18"/>
              </w:rPr>
              <w:t>lity testing using at least a 3-</w:t>
            </w:r>
            <w:r w:rsidRPr="00AE484D">
              <w:rPr>
                <w:rFonts w:ascii="Arial" w:hAnsi="Arial" w:cs="Arial"/>
                <w:color w:val="000000"/>
                <w:sz w:val="18"/>
                <w:szCs w:val="18"/>
              </w:rPr>
              <w:t>cell panel and issue of red cells for transfusion - all tests performed on any one day in excess of 6 units, including: (a) all grouping checks of the patient and donor; and (b) examination for antibodies and, if necessary, identification of any antibodies detected; and(c) (if performed) any tests described in item 65060, 65070, 65090, 65096, 65099 or 65105 (Item is subject to rule 5)</w:t>
            </w:r>
          </w:p>
        </w:tc>
        <w:tc>
          <w:tcPr>
            <w:tcW w:w="4059" w:type="dxa"/>
          </w:tcPr>
          <w:p w14:paraId="0945F73D" w14:textId="77777777" w:rsidR="00D91E6F" w:rsidRPr="00AE484D" w:rsidRDefault="00935936" w:rsidP="00D91E6F">
            <w:pPr>
              <w:rPr>
                <w:rFonts w:ascii="Arial" w:hAnsi="Arial" w:cs="Arial"/>
                <w:sz w:val="18"/>
                <w:szCs w:val="18"/>
              </w:rPr>
            </w:pPr>
            <w:r w:rsidRPr="00AE484D">
              <w:rPr>
                <w:rFonts w:ascii="Arial" w:hAnsi="Arial" w:cs="Arial"/>
                <w:sz w:val="18"/>
                <w:szCs w:val="18"/>
              </w:rPr>
              <w:t>Delete</w:t>
            </w:r>
          </w:p>
        </w:tc>
      </w:tr>
    </w:tbl>
    <w:p w14:paraId="6631A0F0" w14:textId="77777777" w:rsidR="0033420E" w:rsidRPr="003874A8" w:rsidRDefault="0033420E" w:rsidP="00367716">
      <w:pPr>
        <w:pStyle w:val="Heading3"/>
      </w:pPr>
      <w:bookmarkStart w:id="84" w:name="_Toc495403394"/>
      <w:r w:rsidRPr="003874A8">
        <w:t>Rationale</w:t>
      </w:r>
      <w:r w:rsidR="004719CC">
        <w:t xml:space="preserve"> 2</w:t>
      </w:r>
      <w:bookmarkEnd w:id="84"/>
    </w:p>
    <w:p w14:paraId="18F81632" w14:textId="77777777" w:rsidR="0033420E" w:rsidRDefault="0033420E" w:rsidP="0033420E">
      <w:r>
        <w:t>The recommendations focus on modernising</w:t>
      </w:r>
      <w:r w:rsidR="00A7555F">
        <w:t xml:space="preserve"> and simplifying</w:t>
      </w:r>
      <w:r>
        <w:t xml:space="preserve"> the MBS and are based on the following observations.</w:t>
      </w:r>
    </w:p>
    <w:p w14:paraId="00782B13" w14:textId="77777777" w:rsidR="00CD0816" w:rsidRPr="00A60D98" w:rsidRDefault="0059227E" w:rsidP="00A60D98">
      <w:pPr>
        <w:pStyle w:val="01squarebullet"/>
      </w:pPr>
      <w:r>
        <w:t>When blood is req</w:t>
      </w:r>
      <w:r w:rsidR="00E6756A">
        <w:t>uested</w:t>
      </w:r>
      <w:r>
        <w:t xml:space="preserve"> for transfusion, </w:t>
      </w:r>
      <w:r w:rsidR="00CD0816">
        <w:t>testing</w:t>
      </w:r>
      <w:r w:rsidR="00E126C7">
        <w:t xml:space="preserve"> is required</w:t>
      </w:r>
      <w:r w:rsidR="00CD0816">
        <w:t xml:space="preserve"> </w:t>
      </w:r>
      <w:r w:rsidR="00844786">
        <w:t>to confirm the compatibility between the patient’s blood and the donor red blood cells</w:t>
      </w:r>
      <w:r w:rsidR="00CD0816">
        <w:t xml:space="preserve"> to prevent a </w:t>
      </w:r>
      <w:proofErr w:type="spellStart"/>
      <w:r w:rsidR="00CD0816">
        <w:t>haemolytic</w:t>
      </w:r>
      <w:proofErr w:type="spellEnd"/>
      <w:r w:rsidR="00CD0816">
        <w:t xml:space="preserve"> transfusion reaction</w:t>
      </w:r>
      <w:r w:rsidR="00844786">
        <w:t xml:space="preserve">. </w:t>
      </w:r>
      <w:r w:rsidR="00F63828">
        <w:t>If the</w:t>
      </w:r>
      <w:r w:rsidR="00844786">
        <w:t xml:space="preserve"> patient </w:t>
      </w:r>
      <w:r w:rsidR="00AA7A3F">
        <w:t>does not have</w:t>
      </w:r>
      <w:r w:rsidR="00844786">
        <w:t xml:space="preserve"> clinically significant antibodies or </w:t>
      </w:r>
      <w:r w:rsidR="00AA7A3F">
        <w:t xml:space="preserve">a </w:t>
      </w:r>
      <w:r w:rsidR="00844786">
        <w:t>history of antibodies</w:t>
      </w:r>
      <w:r w:rsidR="00DF5166">
        <w:t>,</w:t>
      </w:r>
      <w:r w:rsidR="00F63828">
        <w:t xml:space="preserve"> i.e. is antibody negative, the compatibility is </w:t>
      </w:r>
      <w:r w:rsidR="00AA7A3F">
        <w:t>checked</w:t>
      </w:r>
      <w:r w:rsidR="00F63828">
        <w:t xml:space="preserve"> </w:t>
      </w:r>
      <w:r w:rsidR="00206847">
        <w:t>using</w:t>
      </w:r>
      <w:r w:rsidR="00F63828">
        <w:t xml:space="preserve"> the laboratory information system </w:t>
      </w:r>
      <w:r w:rsidR="009C4429">
        <w:t xml:space="preserve">and is </w:t>
      </w:r>
      <w:r w:rsidR="00F63828">
        <w:t xml:space="preserve">known as electronic </w:t>
      </w:r>
      <w:r w:rsidR="00CD0816">
        <w:t xml:space="preserve">or computer </w:t>
      </w:r>
      <w:r w:rsidR="00F63828">
        <w:t>cross</w:t>
      </w:r>
      <w:r w:rsidR="00DF5166">
        <w:t>-</w:t>
      </w:r>
      <w:r w:rsidR="00CD0816">
        <w:t xml:space="preserve">matching, also </w:t>
      </w:r>
      <w:r w:rsidR="009C4429">
        <w:t>referred to as</w:t>
      </w:r>
      <w:r w:rsidR="00F63828">
        <w:t xml:space="preserve"> </w:t>
      </w:r>
      <w:r w:rsidR="009C4429">
        <w:t>‘</w:t>
      </w:r>
      <w:r w:rsidR="00F63828">
        <w:t>e-issue</w:t>
      </w:r>
      <w:r w:rsidR="009C4429">
        <w:t>’</w:t>
      </w:r>
      <w:r w:rsidR="00F63828">
        <w:t xml:space="preserve">. </w:t>
      </w:r>
      <w:r w:rsidR="009C4429">
        <w:t>Electronic issue of negative antibody units is now generally regarded as standard practice.</w:t>
      </w:r>
      <w:r w:rsidR="00A60D98">
        <w:rPr>
          <w:color w:val="FF0000"/>
        </w:rPr>
        <w:t xml:space="preserve"> </w:t>
      </w:r>
      <w:r w:rsidR="00AA7A3F">
        <w:t>A</w:t>
      </w:r>
      <w:r w:rsidR="00D17FF1">
        <w:t xml:space="preserve">n </w:t>
      </w:r>
      <w:r w:rsidR="00AA7A3F">
        <w:t>immediate spin is</w:t>
      </w:r>
      <w:r w:rsidR="00D17FF1">
        <w:t xml:space="preserve"> an</w:t>
      </w:r>
      <w:r w:rsidR="00D17FF1" w:rsidRPr="00D17FF1">
        <w:t xml:space="preserve"> </w:t>
      </w:r>
      <w:r w:rsidR="00D17FF1">
        <w:t xml:space="preserve">alternative test </w:t>
      </w:r>
      <w:r w:rsidR="00AA7A3F">
        <w:t xml:space="preserve">sometimes used to check </w:t>
      </w:r>
      <w:r w:rsidR="00D17FF1">
        <w:t xml:space="preserve">blood group </w:t>
      </w:r>
      <w:proofErr w:type="gramStart"/>
      <w:r w:rsidR="00D17FF1">
        <w:t xml:space="preserve">compatibility, </w:t>
      </w:r>
      <w:r w:rsidR="00D35197">
        <w:t>and</w:t>
      </w:r>
      <w:proofErr w:type="gramEnd"/>
      <w:r w:rsidR="00D35197">
        <w:t xml:space="preserve"> involves mixing a patient’s plasma and donor red cells together. </w:t>
      </w:r>
      <w:r w:rsidR="00A60D98" w:rsidRPr="00A60D98">
        <w:t>It is</w:t>
      </w:r>
      <w:r w:rsidR="00D35197" w:rsidRPr="00A60D98">
        <w:t xml:space="preserve"> rarely done</w:t>
      </w:r>
      <w:r w:rsidR="00A60D98" w:rsidRPr="00A60D98">
        <w:t xml:space="preserve"> now</w:t>
      </w:r>
      <w:r w:rsidR="00D35197" w:rsidRPr="00A60D98">
        <w:t xml:space="preserve">, </w:t>
      </w:r>
      <w:r w:rsidR="00A60D98">
        <w:t>in preference for</w:t>
      </w:r>
      <w:r w:rsidR="00A60D98" w:rsidRPr="00A60D98">
        <w:t xml:space="preserve"> the more efficient e-issue.</w:t>
      </w:r>
    </w:p>
    <w:p w14:paraId="1D192024" w14:textId="77777777" w:rsidR="00D17FF1" w:rsidRPr="00A60D98" w:rsidRDefault="00F63828" w:rsidP="00D17FF1">
      <w:pPr>
        <w:pStyle w:val="01squarebullet"/>
      </w:pPr>
      <w:r>
        <w:t>If antibodies are detected in a patient’s blood</w:t>
      </w:r>
      <w:r w:rsidR="00DF5166">
        <w:t>,</w:t>
      </w:r>
      <w:r w:rsidR="00D17FF1">
        <w:t xml:space="preserve"> i.e. </w:t>
      </w:r>
      <w:r w:rsidR="00DF5166">
        <w:t xml:space="preserve">their blood is </w:t>
      </w:r>
      <w:r w:rsidR="00D17FF1">
        <w:t>antibody positive</w:t>
      </w:r>
      <w:r>
        <w:t xml:space="preserve">, </w:t>
      </w:r>
      <w:r w:rsidR="00D17FF1">
        <w:t>specific</w:t>
      </w:r>
      <w:r w:rsidR="00D35197">
        <w:t xml:space="preserve"> </w:t>
      </w:r>
      <w:proofErr w:type="gramStart"/>
      <w:r w:rsidR="00D35197">
        <w:t>cross</w:t>
      </w:r>
      <w:r w:rsidR="00DF5166">
        <w:t>-</w:t>
      </w:r>
      <w:r w:rsidR="00D35197">
        <w:t>match</w:t>
      </w:r>
      <w:proofErr w:type="gramEnd"/>
      <w:r w:rsidR="00D17FF1">
        <w:t xml:space="preserve"> </w:t>
      </w:r>
      <w:r w:rsidR="0033420E">
        <w:t xml:space="preserve">testing </w:t>
      </w:r>
      <w:r w:rsidR="00D17FF1">
        <w:t xml:space="preserve">of </w:t>
      </w:r>
      <w:r w:rsidR="0033420E">
        <w:t>the donor and patient’s blood</w:t>
      </w:r>
      <w:r w:rsidR="00E6756A">
        <w:t xml:space="preserve"> </w:t>
      </w:r>
      <w:r w:rsidR="00D17FF1">
        <w:t>is required. Cross</w:t>
      </w:r>
      <w:r w:rsidR="00DF5166">
        <w:t>-</w:t>
      </w:r>
      <w:r w:rsidR="00D17FF1">
        <w:t xml:space="preserve">matching units of blood </w:t>
      </w:r>
      <w:r w:rsidR="00703C53">
        <w:t>are</w:t>
      </w:r>
      <w:r w:rsidR="00D17FF1">
        <w:t xml:space="preserve"> currently covered by items 65099, or </w:t>
      </w:r>
      <w:r w:rsidR="00D35197">
        <w:t xml:space="preserve">item 65102 for </w:t>
      </w:r>
      <w:r w:rsidR="00D17FF1">
        <w:t xml:space="preserve">quantities greater than 6 units per </w:t>
      </w:r>
      <w:r w:rsidR="00D17FF1" w:rsidRPr="00A60D98">
        <w:t>day</w:t>
      </w:r>
      <w:r w:rsidR="00D35197" w:rsidRPr="00A60D98">
        <w:t>.</w:t>
      </w:r>
    </w:p>
    <w:p w14:paraId="67F2CD4F" w14:textId="77777777" w:rsidR="0033420E" w:rsidRDefault="0033420E" w:rsidP="0033420E">
      <w:pPr>
        <w:pStyle w:val="01squarebullet"/>
      </w:pPr>
      <w:r>
        <w:t xml:space="preserve">In line with the recommendations proposed for blood group </w:t>
      </w:r>
      <w:r w:rsidR="00D04895">
        <w:t xml:space="preserve">and </w:t>
      </w:r>
      <w:r w:rsidR="00D35197">
        <w:t>antibody testing</w:t>
      </w:r>
      <w:r w:rsidR="004719CC">
        <w:t xml:space="preserve"> (as discussed in Section 4.1</w:t>
      </w:r>
      <w:r w:rsidR="00D04895">
        <w:t>)</w:t>
      </w:r>
      <w:r>
        <w:t>, s</w:t>
      </w:r>
      <w:r w:rsidRPr="00344FC0">
        <w:t xml:space="preserve">plitting </w:t>
      </w:r>
      <w:r>
        <w:t xml:space="preserve">and rearranging </w:t>
      </w:r>
      <w:r w:rsidRPr="00344FC0">
        <w:t>the items base</w:t>
      </w:r>
      <w:r w:rsidR="00D04895">
        <w:t xml:space="preserve">d on a positive antibody screen </w:t>
      </w:r>
      <w:r w:rsidRPr="00344FC0">
        <w:t>better ref</w:t>
      </w:r>
      <w:r w:rsidR="00D04895">
        <w:t>lects</w:t>
      </w:r>
      <w:r w:rsidRPr="00344FC0">
        <w:t xml:space="preserve"> the clinical workload and follows the </w:t>
      </w:r>
      <w:r>
        <w:t xml:space="preserve">logical sequence of </w:t>
      </w:r>
      <w:r w:rsidRPr="00344FC0">
        <w:t>laboratory processes</w:t>
      </w:r>
      <w:r w:rsidR="00D04895">
        <w:t xml:space="preserve">. The split </w:t>
      </w:r>
      <w:r>
        <w:t>provides an opportunity to simplify this section of the schedule</w:t>
      </w:r>
      <w:r w:rsidR="00E93EBE">
        <w:t>, review relevant costings</w:t>
      </w:r>
      <w:r>
        <w:t xml:space="preserve"> and </w:t>
      </w:r>
      <w:r w:rsidR="00D35197">
        <w:t xml:space="preserve">to </w:t>
      </w:r>
      <w:r>
        <w:t xml:space="preserve">provide better MBS data to monitor practice changes and inform future reviews. </w:t>
      </w:r>
    </w:p>
    <w:p w14:paraId="68BB38EF" w14:textId="77777777" w:rsidR="0033420E" w:rsidRDefault="0033420E" w:rsidP="0033420E">
      <w:pPr>
        <w:pStyle w:val="01squarebullet"/>
      </w:pPr>
      <w:r>
        <w:t>The Committee proposed a tiered str</w:t>
      </w:r>
      <w:r w:rsidR="00384624">
        <w:t xml:space="preserve">ucture for these items (Figure </w:t>
      </w:r>
      <w:r w:rsidR="004719CC">
        <w:t>3</w:t>
      </w:r>
      <w:r>
        <w:t xml:space="preserve">) and recommended a change in the funding distribution between them to reflect the time and materials associated with positive antibody screens and </w:t>
      </w:r>
      <w:r w:rsidR="00384624">
        <w:t xml:space="preserve">the subsequent compatibility testing then required. The Committee </w:t>
      </w:r>
      <w:r>
        <w:t>agreed that the changes across this group of items should be cost neutral.</w:t>
      </w:r>
    </w:p>
    <w:p w14:paraId="71841A43" w14:textId="77777777" w:rsidR="00E126C7" w:rsidRPr="00E126C7" w:rsidRDefault="00384624" w:rsidP="00565B98">
      <w:pPr>
        <w:pStyle w:val="01squarebullet"/>
        <w:rPr>
          <w:lang w:val="en-AU"/>
        </w:rPr>
      </w:pPr>
      <w:r>
        <w:t>The compatibility</w:t>
      </w:r>
      <w:r w:rsidR="0033420E">
        <w:t xml:space="preserve"> items currently ‘bundle’ the process of releasing blood to a patient for transfusion. In practice the process within the laboratory involves allocation—the selection and label</w:t>
      </w:r>
      <w:r w:rsidR="00474550">
        <w:t>l</w:t>
      </w:r>
      <w:r w:rsidR="0033420E">
        <w:t>ing of units with patient details</w:t>
      </w:r>
      <w:r w:rsidR="00DF5166">
        <w:t>—</w:t>
      </w:r>
      <w:r w:rsidR="0033420E">
        <w:t xml:space="preserve">and when requested, the physical release—recording the issue and providing the product to a ward or patient. </w:t>
      </w:r>
      <w:r w:rsidR="00C7011B">
        <w:t>The release of antibody</w:t>
      </w:r>
      <w:r w:rsidR="00DF5166">
        <w:t>-</w:t>
      </w:r>
      <w:r w:rsidR="00C7011B">
        <w:t>positive units has been left in the proposed descriptor, therefore requiring a new item number for the release of antibody</w:t>
      </w:r>
      <w:r w:rsidR="00DF5166">
        <w:t>-</w:t>
      </w:r>
      <w:r w:rsidR="00C7011B">
        <w:t>negative red cells.</w:t>
      </w:r>
      <w:r w:rsidR="00C7011B">
        <w:rPr>
          <w:lang w:val="en-AU"/>
        </w:rPr>
        <w:t xml:space="preserve"> As previously mentioned, </w:t>
      </w:r>
      <w:r w:rsidR="00C7011B">
        <w:t>e</w:t>
      </w:r>
      <w:r w:rsidR="0059227E">
        <w:t xml:space="preserve">lectronic issue of negative antibody units </w:t>
      </w:r>
      <w:r w:rsidR="0059227E" w:rsidRPr="002E0C5D">
        <w:t xml:space="preserve">is </w:t>
      </w:r>
      <w:r w:rsidR="002E0C5D" w:rsidRPr="002E0C5D">
        <w:t xml:space="preserve">now </w:t>
      </w:r>
      <w:r w:rsidR="0059227E">
        <w:t xml:space="preserve">standard practice. </w:t>
      </w:r>
    </w:p>
    <w:p w14:paraId="73F07CB0" w14:textId="77777777" w:rsidR="0033420E" w:rsidRPr="005C47CA" w:rsidRDefault="0033420E" w:rsidP="005C47CA">
      <w:pPr>
        <w:pStyle w:val="01squarebullet"/>
        <w:rPr>
          <w:lang w:val="en-AU"/>
        </w:rPr>
      </w:pPr>
      <w:r w:rsidRPr="00344FC0">
        <w:lastRenderedPageBreak/>
        <w:t xml:space="preserve">Current </w:t>
      </w:r>
      <w:r>
        <w:t xml:space="preserve">MBS </w:t>
      </w:r>
      <w:r w:rsidRPr="00344FC0">
        <w:t>data and member feedback indicate</w:t>
      </w:r>
      <w:r>
        <w:t xml:space="preserve"> that </w:t>
      </w:r>
      <w:r w:rsidR="00A60D98">
        <w:t xml:space="preserve">the </w:t>
      </w:r>
      <w:r>
        <w:t xml:space="preserve">issue of more than 6 units is rare, and the Committee agreed that </w:t>
      </w:r>
      <w:r w:rsidR="00341EE6">
        <w:t xml:space="preserve">it would be </w:t>
      </w:r>
      <w:r w:rsidR="00C7011B">
        <w:t>feasible</w:t>
      </w:r>
      <w:r w:rsidR="00341EE6">
        <w:t xml:space="preserve"> to delete item</w:t>
      </w:r>
      <w:r w:rsidR="00C7011B">
        <w:t>s</w:t>
      </w:r>
      <w:r w:rsidR="00341EE6">
        <w:t xml:space="preserve"> 65102 and 65108 on this basis. It is the expectation that the fee for the release of units of antibody</w:t>
      </w:r>
      <w:r w:rsidR="00706395">
        <w:t>-</w:t>
      </w:r>
      <w:r w:rsidR="00341EE6">
        <w:t>negative blood</w:t>
      </w:r>
      <w:r w:rsidR="0059227E">
        <w:t xml:space="preserve"> would be for a one</w:t>
      </w:r>
      <w:r w:rsidR="00706395">
        <w:t>-</w:t>
      </w:r>
      <w:r w:rsidR="0059227E">
        <w:t xml:space="preserve">day supply, regardless of </w:t>
      </w:r>
      <w:r w:rsidR="00565B98">
        <w:t xml:space="preserve">the </w:t>
      </w:r>
      <w:r w:rsidR="0059227E">
        <w:t xml:space="preserve">volume. </w:t>
      </w:r>
    </w:p>
    <w:p w14:paraId="6BEC71FB" w14:textId="77777777" w:rsidR="00D04895" w:rsidRPr="00D04895" w:rsidRDefault="00A60D98" w:rsidP="00E40B54">
      <w:pPr>
        <w:pStyle w:val="FigureCaption"/>
      </w:pPr>
      <w:bookmarkStart w:id="85" w:name="_Toc481140375"/>
      <w:r w:rsidRPr="008F7F21">
        <w:t xml:space="preserve">Figure </w:t>
      </w:r>
      <w:r w:rsidR="00DD1AA9">
        <w:fldChar w:fldCharType="begin"/>
      </w:r>
      <w:r w:rsidR="00DD1AA9">
        <w:instrText xml:space="preserve"> AUTONUM  \* Arabic </w:instrText>
      </w:r>
      <w:r w:rsidR="00DD1AA9">
        <w:fldChar w:fldCharType="end"/>
      </w:r>
      <w:r>
        <w:t xml:space="preserve"> Proposed sequence of c</w:t>
      </w:r>
      <w:r w:rsidR="00D04895">
        <w:t>ompatibility testing and release of red cells for transfusion</w:t>
      </w:r>
      <w:r w:rsidR="00DD1AA9">
        <w:t>.</w:t>
      </w:r>
      <w:bookmarkEnd w:id="85"/>
    </w:p>
    <w:p w14:paraId="68DDA8BC" w14:textId="77777777" w:rsidR="0033420E" w:rsidRDefault="00782156" w:rsidP="0033420E">
      <w:pPr>
        <w:pStyle w:val="01squarebullet"/>
        <w:numPr>
          <w:ilvl w:val="0"/>
          <w:numId w:val="0"/>
        </w:numPr>
      </w:pPr>
      <w:r>
        <w:rPr>
          <w:noProof/>
          <w:lang w:val="en-AU" w:eastAsia="en-AU"/>
        </w:rPr>
        <w:drawing>
          <wp:inline distT="0" distB="0" distL="0" distR="0" wp14:anchorId="1E50C39F" wp14:editId="1B6D601D">
            <wp:extent cx="5731510" cy="2752090"/>
            <wp:effectExtent l="0" t="0" r="2540" b="0"/>
            <wp:docPr id="1" name="Picture 1" descr="Initial test leads to two possible results, each of which leads to a single action.&#10;Initial step: New item: Blood grouping (including back-grouping if performed) and examination of serum for Rh and other blood group antibodies by 2- or 3-cell panel, and (if performed) any test described in item 65090.&#10;First possible test result: antibody negative (95%): no further action -- report.&#10;This test result leads to release of red cells for transfusion by e-issue or after immediate spin, regardless of volume on any one day.&#10;Second possible test result: antibody positive (5%): revised item 65096: Blood group and antibody test with antibody quantitation and identification.&#10;This test result leads to revised item 65099: Compatibility testing (including cross-match and phenotype) of the patient and donor and release of red cells for transfusion -- all tests performed on any one day regardless of volume." title="Figure 3. Proposed sequence of compatibility testing and release of red cells for trans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752090"/>
                    </a:xfrm>
                    <a:prstGeom prst="rect">
                      <a:avLst/>
                    </a:prstGeom>
                  </pic:spPr>
                </pic:pic>
              </a:graphicData>
            </a:graphic>
          </wp:inline>
        </w:drawing>
      </w:r>
    </w:p>
    <w:p w14:paraId="1A9F2C8F" w14:textId="77777777" w:rsidR="00074825" w:rsidRPr="00612327" w:rsidRDefault="00074825" w:rsidP="0033420E">
      <w:pPr>
        <w:pStyle w:val="01squarebullet"/>
        <w:numPr>
          <w:ilvl w:val="0"/>
          <w:numId w:val="0"/>
        </w:numPr>
      </w:pPr>
    </w:p>
    <w:p w14:paraId="677D31E1" w14:textId="77777777" w:rsidR="0033420E" w:rsidRDefault="0033420E" w:rsidP="002D67EE">
      <w:pPr>
        <w:pStyle w:val="Heading2"/>
      </w:pPr>
      <w:bookmarkStart w:id="86" w:name="_Toc495403395"/>
      <w:r>
        <w:t>Coagulation studies</w:t>
      </w:r>
      <w:r w:rsidR="00813794">
        <w:t xml:space="preserve">: </w:t>
      </w:r>
      <w:r w:rsidR="008B09CF">
        <w:rPr>
          <w:lang w:val="en-AU"/>
        </w:rPr>
        <w:t>i</w:t>
      </w:r>
      <w:r w:rsidR="00813794" w:rsidRPr="00813794">
        <w:rPr>
          <w:lang w:val="en-AU"/>
        </w:rPr>
        <w:t xml:space="preserve">tems </w:t>
      </w:r>
      <w:r w:rsidR="00813794" w:rsidRPr="00813794">
        <w:rPr>
          <w:lang w:val="en-GB"/>
        </w:rPr>
        <w:t>65120, 65123, 65126 and 65129</w:t>
      </w:r>
      <w:bookmarkEnd w:id="86"/>
    </w:p>
    <w:p w14:paraId="48EF6CF7" w14:textId="77777777" w:rsidR="0033420E" w:rsidRPr="006966FB" w:rsidRDefault="00247209" w:rsidP="00C702A9">
      <w:pPr>
        <w:pStyle w:val="Caption"/>
      </w:pPr>
      <w:bookmarkStart w:id="87" w:name="_Toc481493774"/>
      <w:r w:rsidRPr="006966FB">
        <w:t xml:space="preserve">Table </w:t>
      </w:r>
      <w:r w:rsidR="008F7F21">
        <w:t>7</w:t>
      </w:r>
      <w:r w:rsidRPr="006966FB">
        <w:t xml:space="preserve">: </w:t>
      </w:r>
      <w:r w:rsidR="0033420E" w:rsidRPr="008F7F21">
        <w:t>Item</w:t>
      </w:r>
      <w:r w:rsidR="0033420E" w:rsidRPr="006966FB">
        <w:t xml:space="preserve"> introduction table for items </w:t>
      </w:r>
      <w:r w:rsidR="00B72876" w:rsidRPr="006966FB">
        <w:rPr>
          <w:color w:val="000000"/>
          <w:szCs w:val="18"/>
        </w:rPr>
        <w:t>65120, 65123, 65126 and 65129</w:t>
      </w:r>
      <w:bookmarkEnd w:id="87"/>
    </w:p>
    <w:tbl>
      <w:tblPr>
        <w:tblStyle w:val="TableGrid1"/>
        <w:tblW w:w="9016" w:type="dxa"/>
        <w:tblLayout w:type="fixed"/>
        <w:tblLook w:val="04A0" w:firstRow="1" w:lastRow="0" w:firstColumn="1" w:lastColumn="0" w:noHBand="0" w:noVBand="1"/>
        <w:tblCaption w:val="Table 7, Item introduction table for items 65120, 65123, 65126 and 65129"/>
        <w:tblDescription w:val="This table shows selected MBS Schedule information for items 65120, 65123, 65126 and 65129. There are 7 columns – column 1: item number, column 2: long item descriptor, column 3: schedule fee, column 4: services for the 2014–15 financial year, column 5: total benefits for the 2014–15 financial year, column 6: total patient count for the 2014–15 financial year, and column 7: 5-year compound annual growth rate of the service."/>
      </w:tblPr>
      <w:tblGrid>
        <w:gridCol w:w="731"/>
        <w:gridCol w:w="2377"/>
        <w:gridCol w:w="1087"/>
        <w:gridCol w:w="1045"/>
        <w:gridCol w:w="1292"/>
        <w:gridCol w:w="966"/>
        <w:gridCol w:w="1518"/>
      </w:tblGrid>
      <w:tr w:rsidR="0033420E" w:rsidRPr="006966FB" w14:paraId="340F4C78" w14:textId="77777777" w:rsidTr="002D67EE">
        <w:trPr>
          <w:trHeight w:val="729"/>
          <w:tblHeader/>
        </w:trPr>
        <w:tc>
          <w:tcPr>
            <w:tcW w:w="731" w:type="dxa"/>
            <w:shd w:val="clear" w:color="auto" w:fill="F2F2F2" w:themeFill="background1" w:themeFillShade="F2"/>
            <w:vAlign w:val="bottom"/>
            <w:hideMark/>
          </w:tcPr>
          <w:p w14:paraId="24340C9C" w14:textId="77777777" w:rsidR="0033420E" w:rsidRPr="006966FB" w:rsidRDefault="0033420E" w:rsidP="00795693">
            <w:pPr>
              <w:rPr>
                <w:rFonts w:ascii="Arial" w:hAnsi="Arial" w:cs="Arial"/>
                <w:b/>
                <w:color w:val="000000"/>
                <w:sz w:val="18"/>
                <w:szCs w:val="18"/>
              </w:rPr>
            </w:pPr>
            <w:r w:rsidRPr="006966FB">
              <w:rPr>
                <w:rFonts w:ascii="Arial" w:hAnsi="Arial" w:cs="Arial"/>
                <w:b/>
                <w:color w:val="000000"/>
                <w:sz w:val="18"/>
                <w:szCs w:val="18"/>
              </w:rPr>
              <w:t>Item</w:t>
            </w:r>
          </w:p>
        </w:tc>
        <w:tc>
          <w:tcPr>
            <w:tcW w:w="2377" w:type="dxa"/>
            <w:shd w:val="clear" w:color="auto" w:fill="F2F2F2" w:themeFill="background1" w:themeFillShade="F2"/>
            <w:vAlign w:val="bottom"/>
            <w:hideMark/>
          </w:tcPr>
          <w:p w14:paraId="7BD47E15" w14:textId="77777777" w:rsidR="0033420E" w:rsidRPr="006966FB" w:rsidRDefault="0033420E" w:rsidP="00795693">
            <w:pPr>
              <w:rPr>
                <w:rFonts w:ascii="Arial" w:hAnsi="Arial" w:cs="Arial"/>
                <w:b/>
                <w:color w:val="000000"/>
                <w:sz w:val="18"/>
                <w:szCs w:val="18"/>
              </w:rPr>
            </w:pPr>
            <w:r w:rsidRPr="006966FB">
              <w:rPr>
                <w:rFonts w:ascii="Arial" w:hAnsi="Arial" w:cs="Arial"/>
                <w:b/>
                <w:color w:val="000000"/>
                <w:sz w:val="18"/>
                <w:szCs w:val="18"/>
              </w:rPr>
              <w:t>Long item descriptor</w:t>
            </w:r>
          </w:p>
        </w:tc>
        <w:tc>
          <w:tcPr>
            <w:tcW w:w="1087" w:type="dxa"/>
            <w:shd w:val="clear" w:color="auto" w:fill="F2F2F2" w:themeFill="background1" w:themeFillShade="F2"/>
            <w:vAlign w:val="bottom"/>
            <w:hideMark/>
          </w:tcPr>
          <w:p w14:paraId="21F5DB6D" w14:textId="77777777" w:rsidR="0033420E" w:rsidRPr="006966FB" w:rsidRDefault="0033420E">
            <w:pPr>
              <w:rPr>
                <w:rFonts w:ascii="Arial" w:hAnsi="Arial" w:cs="Arial"/>
                <w:b/>
                <w:color w:val="000000"/>
                <w:sz w:val="18"/>
                <w:szCs w:val="18"/>
              </w:rPr>
            </w:pPr>
            <w:r w:rsidRPr="006966FB">
              <w:rPr>
                <w:rFonts w:ascii="Arial" w:hAnsi="Arial" w:cs="Arial"/>
                <w:b/>
                <w:color w:val="000000"/>
                <w:sz w:val="18"/>
                <w:szCs w:val="18"/>
              </w:rPr>
              <w:t>Schedule</w:t>
            </w:r>
            <w:r w:rsidR="00247209" w:rsidRPr="006966FB">
              <w:rPr>
                <w:rFonts w:ascii="Arial" w:hAnsi="Arial" w:cs="Arial"/>
                <w:b/>
                <w:color w:val="000000"/>
                <w:sz w:val="18"/>
                <w:szCs w:val="18"/>
              </w:rPr>
              <w:br/>
            </w:r>
            <w:r w:rsidRPr="006966FB">
              <w:rPr>
                <w:rFonts w:ascii="Arial" w:hAnsi="Arial" w:cs="Arial"/>
                <w:b/>
                <w:color w:val="000000"/>
                <w:sz w:val="18"/>
                <w:szCs w:val="18"/>
              </w:rPr>
              <w:t>fee</w:t>
            </w:r>
          </w:p>
        </w:tc>
        <w:tc>
          <w:tcPr>
            <w:tcW w:w="1045" w:type="dxa"/>
            <w:shd w:val="clear" w:color="auto" w:fill="F2F2F2" w:themeFill="background1" w:themeFillShade="F2"/>
            <w:vAlign w:val="bottom"/>
          </w:tcPr>
          <w:p w14:paraId="6FEF985F" w14:textId="77777777" w:rsidR="0033420E" w:rsidRPr="006966FB" w:rsidRDefault="0033420E">
            <w:pPr>
              <w:rPr>
                <w:rFonts w:ascii="Arial" w:hAnsi="Arial" w:cs="Arial"/>
                <w:b/>
                <w:color w:val="000000"/>
                <w:sz w:val="18"/>
                <w:szCs w:val="18"/>
              </w:rPr>
            </w:pPr>
            <w:r w:rsidRPr="006966FB">
              <w:rPr>
                <w:rFonts w:ascii="Arial" w:hAnsi="Arial" w:cs="Arial"/>
                <w:b/>
                <w:color w:val="000000"/>
                <w:sz w:val="18"/>
                <w:szCs w:val="18"/>
              </w:rPr>
              <w:t>Services FY2014</w:t>
            </w:r>
            <w:r w:rsidR="00247209" w:rsidRPr="006966FB">
              <w:rPr>
                <w:rFonts w:ascii="Arial" w:hAnsi="Arial" w:cs="Arial"/>
                <w:b/>
                <w:color w:val="000000"/>
                <w:sz w:val="18"/>
                <w:szCs w:val="18"/>
              </w:rPr>
              <w:t>–</w:t>
            </w:r>
            <w:r w:rsidRPr="006966FB">
              <w:rPr>
                <w:rFonts w:ascii="Arial" w:hAnsi="Arial" w:cs="Arial"/>
                <w:b/>
                <w:color w:val="000000"/>
                <w:sz w:val="18"/>
                <w:szCs w:val="18"/>
              </w:rPr>
              <w:t>15</w:t>
            </w:r>
          </w:p>
        </w:tc>
        <w:tc>
          <w:tcPr>
            <w:tcW w:w="1292" w:type="dxa"/>
            <w:shd w:val="clear" w:color="auto" w:fill="F2F2F2" w:themeFill="background1" w:themeFillShade="F2"/>
            <w:vAlign w:val="bottom"/>
          </w:tcPr>
          <w:p w14:paraId="55B5620E" w14:textId="77777777" w:rsidR="0033420E" w:rsidRPr="006966FB" w:rsidRDefault="0033420E">
            <w:pPr>
              <w:rPr>
                <w:rFonts w:ascii="Arial" w:hAnsi="Arial" w:cs="Arial"/>
                <w:b/>
                <w:color w:val="000000"/>
                <w:sz w:val="18"/>
                <w:szCs w:val="18"/>
              </w:rPr>
            </w:pPr>
            <w:r w:rsidRPr="006966FB">
              <w:rPr>
                <w:rFonts w:ascii="Arial" w:hAnsi="Arial" w:cs="Arial"/>
                <w:b/>
                <w:color w:val="000000"/>
                <w:sz w:val="18"/>
                <w:szCs w:val="18"/>
              </w:rPr>
              <w:t>Benefits FY2014</w:t>
            </w:r>
            <w:r w:rsidR="00247209" w:rsidRPr="006966FB">
              <w:rPr>
                <w:rFonts w:ascii="Arial" w:hAnsi="Arial" w:cs="Arial"/>
                <w:b/>
                <w:color w:val="000000"/>
                <w:sz w:val="18"/>
                <w:szCs w:val="18"/>
              </w:rPr>
              <w:t>–</w:t>
            </w:r>
            <w:r w:rsidRPr="006966FB">
              <w:rPr>
                <w:rFonts w:ascii="Arial" w:hAnsi="Arial" w:cs="Arial"/>
                <w:b/>
                <w:color w:val="000000"/>
                <w:sz w:val="18"/>
                <w:szCs w:val="18"/>
              </w:rPr>
              <w:t>15</w:t>
            </w:r>
          </w:p>
        </w:tc>
        <w:tc>
          <w:tcPr>
            <w:tcW w:w="966" w:type="dxa"/>
            <w:shd w:val="clear" w:color="auto" w:fill="F2F2F2" w:themeFill="background1" w:themeFillShade="F2"/>
            <w:vAlign w:val="bottom"/>
            <w:hideMark/>
          </w:tcPr>
          <w:p w14:paraId="2A7FA282" w14:textId="77777777" w:rsidR="0033420E" w:rsidRPr="006966FB" w:rsidRDefault="0033420E">
            <w:pPr>
              <w:rPr>
                <w:rFonts w:ascii="Arial" w:hAnsi="Arial" w:cs="Arial"/>
                <w:b/>
                <w:color w:val="000000"/>
                <w:sz w:val="18"/>
                <w:szCs w:val="18"/>
              </w:rPr>
            </w:pPr>
            <w:r w:rsidRPr="006966FB">
              <w:rPr>
                <w:rFonts w:ascii="Arial" w:hAnsi="Arial" w:cs="Arial"/>
                <w:b/>
                <w:color w:val="000000"/>
                <w:sz w:val="18"/>
                <w:szCs w:val="18"/>
              </w:rPr>
              <w:t>Patient count 2014</w:t>
            </w:r>
            <w:r w:rsidR="00247209" w:rsidRPr="006966FB">
              <w:rPr>
                <w:rFonts w:ascii="Arial" w:hAnsi="Arial" w:cs="Arial"/>
                <w:b/>
                <w:color w:val="000000"/>
                <w:sz w:val="18"/>
                <w:szCs w:val="18"/>
              </w:rPr>
              <w:t>–</w:t>
            </w:r>
            <w:r w:rsidRPr="006966FB">
              <w:rPr>
                <w:rFonts w:ascii="Arial" w:hAnsi="Arial" w:cs="Arial"/>
                <w:b/>
                <w:color w:val="000000"/>
                <w:sz w:val="18"/>
                <w:szCs w:val="18"/>
              </w:rPr>
              <w:t>15</w:t>
            </w:r>
          </w:p>
        </w:tc>
        <w:tc>
          <w:tcPr>
            <w:tcW w:w="1518" w:type="dxa"/>
            <w:shd w:val="clear" w:color="auto" w:fill="F2F2F2" w:themeFill="background1" w:themeFillShade="F2"/>
            <w:vAlign w:val="bottom"/>
            <w:hideMark/>
          </w:tcPr>
          <w:p w14:paraId="7D8A0C85" w14:textId="77777777" w:rsidR="0033420E" w:rsidRPr="006966FB" w:rsidRDefault="0033420E" w:rsidP="00795693">
            <w:pPr>
              <w:rPr>
                <w:rFonts w:ascii="Arial" w:hAnsi="Arial" w:cs="Arial"/>
                <w:b/>
                <w:color w:val="000000"/>
                <w:sz w:val="18"/>
                <w:szCs w:val="18"/>
              </w:rPr>
            </w:pPr>
            <w:r w:rsidRPr="006966FB">
              <w:rPr>
                <w:rFonts w:ascii="Arial" w:hAnsi="Arial" w:cs="Arial"/>
                <w:b/>
                <w:color w:val="000000"/>
                <w:sz w:val="18"/>
                <w:szCs w:val="18"/>
              </w:rPr>
              <w:t>5</w:t>
            </w:r>
            <w:r w:rsidR="00247209" w:rsidRPr="006966FB">
              <w:rPr>
                <w:rFonts w:ascii="Arial" w:hAnsi="Arial" w:cs="Arial"/>
                <w:b/>
                <w:color w:val="000000"/>
                <w:sz w:val="18"/>
                <w:szCs w:val="18"/>
              </w:rPr>
              <w:t>-</w:t>
            </w:r>
            <w:r w:rsidRPr="006966FB">
              <w:rPr>
                <w:rFonts w:ascii="Arial" w:hAnsi="Arial" w:cs="Arial"/>
                <w:b/>
                <w:color w:val="000000"/>
                <w:sz w:val="18"/>
                <w:szCs w:val="18"/>
              </w:rPr>
              <w:t xml:space="preserve">year service </w:t>
            </w:r>
            <w:proofErr w:type="gramStart"/>
            <w:r w:rsidRPr="006966FB">
              <w:rPr>
                <w:rFonts w:ascii="Arial" w:hAnsi="Arial" w:cs="Arial"/>
                <w:b/>
                <w:color w:val="000000"/>
                <w:sz w:val="18"/>
                <w:szCs w:val="18"/>
              </w:rPr>
              <w:t>change(</w:t>
            </w:r>
            <w:proofErr w:type="gramEnd"/>
            <w:r w:rsidRPr="006966FB">
              <w:rPr>
                <w:rFonts w:ascii="Arial" w:hAnsi="Arial" w:cs="Arial"/>
                <w:b/>
                <w:color w:val="000000"/>
                <w:sz w:val="18"/>
                <w:szCs w:val="18"/>
              </w:rPr>
              <w:t>CAGR)</w:t>
            </w:r>
          </w:p>
        </w:tc>
      </w:tr>
      <w:tr w:rsidR="0033420E" w:rsidRPr="006966FB" w14:paraId="5DB75608" w14:textId="77777777" w:rsidTr="00E40B54">
        <w:trPr>
          <w:trHeight w:val="300"/>
        </w:trPr>
        <w:tc>
          <w:tcPr>
            <w:tcW w:w="731" w:type="dxa"/>
            <w:noWrap/>
            <w:hideMark/>
          </w:tcPr>
          <w:p w14:paraId="49F55EB3" w14:textId="77777777" w:rsidR="0033420E" w:rsidRPr="006966FB" w:rsidRDefault="0033420E" w:rsidP="00795693">
            <w:pPr>
              <w:rPr>
                <w:rFonts w:ascii="Arial" w:hAnsi="Arial" w:cs="Arial"/>
                <w:color w:val="000000"/>
                <w:sz w:val="18"/>
                <w:szCs w:val="18"/>
              </w:rPr>
            </w:pPr>
            <w:r w:rsidRPr="006966FB">
              <w:rPr>
                <w:rFonts w:ascii="Arial" w:hAnsi="Arial" w:cs="Arial"/>
                <w:color w:val="000000"/>
                <w:sz w:val="18"/>
                <w:szCs w:val="18"/>
              </w:rPr>
              <w:t>65120</w:t>
            </w:r>
          </w:p>
        </w:tc>
        <w:tc>
          <w:tcPr>
            <w:tcW w:w="2377" w:type="dxa"/>
            <w:noWrap/>
            <w:hideMark/>
          </w:tcPr>
          <w:p w14:paraId="653EE153" w14:textId="77777777" w:rsidR="0033420E" w:rsidRPr="006966FB" w:rsidRDefault="0033420E" w:rsidP="00795693">
            <w:pPr>
              <w:rPr>
                <w:rFonts w:ascii="Arial" w:hAnsi="Arial" w:cs="Arial"/>
                <w:color w:val="000000"/>
                <w:sz w:val="18"/>
                <w:szCs w:val="18"/>
              </w:rPr>
            </w:pPr>
            <w:r w:rsidRPr="006966FB">
              <w:rPr>
                <w:rFonts w:ascii="Arial" w:hAnsi="Arial" w:cs="Arial"/>
                <w:color w:val="000000"/>
                <w:sz w:val="18"/>
                <w:szCs w:val="18"/>
              </w:rPr>
              <w:t xml:space="preserve">Prothrombin time (including INR where appropriate), activated partial thromboplastin time, thrombin time (including test for the presence of heparin), test for factor XIII deficiency (qualitative), </w:t>
            </w:r>
            <w:proofErr w:type="spellStart"/>
            <w:r w:rsidRPr="006966FB">
              <w:rPr>
                <w:rFonts w:ascii="Arial" w:hAnsi="Arial" w:cs="Arial"/>
                <w:color w:val="000000"/>
                <w:sz w:val="18"/>
                <w:szCs w:val="18"/>
              </w:rPr>
              <w:t>Echis</w:t>
            </w:r>
            <w:proofErr w:type="spellEnd"/>
            <w:r w:rsidRPr="006966FB">
              <w:rPr>
                <w:rFonts w:ascii="Arial" w:hAnsi="Arial" w:cs="Arial"/>
                <w:color w:val="000000"/>
                <w:sz w:val="18"/>
                <w:szCs w:val="18"/>
              </w:rPr>
              <w:t xml:space="preserve"> test, </w:t>
            </w:r>
            <w:proofErr w:type="spellStart"/>
            <w:r w:rsidRPr="006966FB">
              <w:rPr>
                <w:rFonts w:ascii="Arial" w:hAnsi="Arial" w:cs="Arial"/>
                <w:color w:val="000000"/>
                <w:sz w:val="18"/>
                <w:szCs w:val="18"/>
              </w:rPr>
              <w:t>Stypven</w:t>
            </w:r>
            <w:proofErr w:type="spellEnd"/>
            <w:r w:rsidRPr="006966FB">
              <w:rPr>
                <w:rFonts w:ascii="Arial" w:hAnsi="Arial" w:cs="Arial"/>
                <w:color w:val="000000"/>
                <w:sz w:val="18"/>
                <w:szCs w:val="18"/>
              </w:rPr>
              <w:t xml:space="preserve"> test, </w:t>
            </w:r>
            <w:proofErr w:type="spellStart"/>
            <w:r w:rsidRPr="006966FB">
              <w:rPr>
                <w:rFonts w:ascii="Arial" w:hAnsi="Arial" w:cs="Arial"/>
                <w:color w:val="000000"/>
                <w:sz w:val="18"/>
                <w:szCs w:val="18"/>
              </w:rPr>
              <w:t>reptilase</w:t>
            </w:r>
            <w:proofErr w:type="spellEnd"/>
            <w:r w:rsidRPr="006966FB">
              <w:rPr>
                <w:rFonts w:ascii="Arial" w:hAnsi="Arial" w:cs="Arial"/>
                <w:color w:val="000000"/>
                <w:sz w:val="18"/>
                <w:szCs w:val="18"/>
              </w:rPr>
              <w:t xml:space="preserve"> time, fibrinogen, or 1 of fibrinogen degradation products, fibrin monomer or D-dimer - 1 test</w:t>
            </w:r>
          </w:p>
        </w:tc>
        <w:tc>
          <w:tcPr>
            <w:tcW w:w="1087" w:type="dxa"/>
            <w:noWrap/>
            <w:hideMark/>
          </w:tcPr>
          <w:p w14:paraId="3857275C"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 xml:space="preserve">$13.70 </w:t>
            </w:r>
          </w:p>
        </w:tc>
        <w:tc>
          <w:tcPr>
            <w:tcW w:w="1045" w:type="dxa"/>
            <w:noWrap/>
            <w:hideMark/>
          </w:tcPr>
          <w:p w14:paraId="028DD815"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3,128,308</w:t>
            </w:r>
          </w:p>
        </w:tc>
        <w:tc>
          <w:tcPr>
            <w:tcW w:w="1292" w:type="dxa"/>
          </w:tcPr>
          <w:p w14:paraId="16A74113"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$36,033,617</w:t>
            </w:r>
          </w:p>
        </w:tc>
        <w:tc>
          <w:tcPr>
            <w:tcW w:w="966" w:type="dxa"/>
            <w:noWrap/>
            <w:hideMark/>
          </w:tcPr>
          <w:p w14:paraId="29782629"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313,373</w:t>
            </w:r>
          </w:p>
        </w:tc>
        <w:tc>
          <w:tcPr>
            <w:tcW w:w="1518" w:type="dxa"/>
            <w:noWrap/>
            <w:hideMark/>
          </w:tcPr>
          <w:p w14:paraId="015CBC7A"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-4.1</w:t>
            </w:r>
            <w:r w:rsidR="006966FB" w:rsidRPr="006966FB">
              <w:rPr>
                <w:rFonts w:ascii="Arial" w:hAnsi="Arial" w:cs="Arial"/>
                <w:color w:val="000000"/>
                <w:sz w:val="18"/>
                <w:szCs w:val="18"/>
              </w:rPr>
              <w:t>%</w:t>
            </w:r>
          </w:p>
        </w:tc>
      </w:tr>
      <w:tr w:rsidR="0033420E" w:rsidRPr="006966FB" w14:paraId="512870F1" w14:textId="77777777" w:rsidTr="00E40B54">
        <w:trPr>
          <w:trHeight w:val="300"/>
        </w:trPr>
        <w:tc>
          <w:tcPr>
            <w:tcW w:w="731" w:type="dxa"/>
            <w:noWrap/>
            <w:hideMark/>
          </w:tcPr>
          <w:p w14:paraId="5D6C5636" w14:textId="77777777" w:rsidR="0033420E" w:rsidRPr="006966FB" w:rsidRDefault="0033420E" w:rsidP="00795693">
            <w:pPr>
              <w:rPr>
                <w:rFonts w:ascii="Arial" w:hAnsi="Arial" w:cs="Arial"/>
                <w:color w:val="000000"/>
                <w:sz w:val="18"/>
                <w:szCs w:val="18"/>
              </w:rPr>
            </w:pPr>
            <w:r w:rsidRPr="006966FB">
              <w:rPr>
                <w:rFonts w:ascii="Arial" w:hAnsi="Arial" w:cs="Arial"/>
                <w:color w:val="000000"/>
                <w:sz w:val="18"/>
                <w:szCs w:val="18"/>
              </w:rPr>
              <w:t>65123</w:t>
            </w:r>
          </w:p>
        </w:tc>
        <w:tc>
          <w:tcPr>
            <w:tcW w:w="2377" w:type="dxa"/>
            <w:noWrap/>
            <w:hideMark/>
          </w:tcPr>
          <w:p w14:paraId="20342ABD" w14:textId="77777777" w:rsidR="0033420E" w:rsidRPr="006966FB" w:rsidRDefault="0033420E" w:rsidP="00795693">
            <w:pPr>
              <w:rPr>
                <w:rFonts w:ascii="Arial" w:hAnsi="Arial" w:cs="Arial"/>
                <w:color w:val="000000"/>
                <w:sz w:val="18"/>
                <w:szCs w:val="18"/>
              </w:rPr>
            </w:pPr>
            <w:r w:rsidRPr="006966FB">
              <w:rPr>
                <w:rFonts w:ascii="Arial" w:hAnsi="Arial" w:cs="Arial"/>
                <w:color w:val="000000"/>
                <w:sz w:val="18"/>
                <w:szCs w:val="18"/>
              </w:rPr>
              <w:t>2 tests described in item 65120</w:t>
            </w:r>
          </w:p>
        </w:tc>
        <w:tc>
          <w:tcPr>
            <w:tcW w:w="1087" w:type="dxa"/>
            <w:noWrap/>
            <w:hideMark/>
          </w:tcPr>
          <w:p w14:paraId="0C585554"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 xml:space="preserve">$20.35 </w:t>
            </w:r>
          </w:p>
        </w:tc>
        <w:tc>
          <w:tcPr>
            <w:tcW w:w="1045" w:type="dxa"/>
            <w:noWrap/>
            <w:hideMark/>
          </w:tcPr>
          <w:p w14:paraId="33CE21A0"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391,044</w:t>
            </w:r>
          </w:p>
        </w:tc>
        <w:tc>
          <w:tcPr>
            <w:tcW w:w="1292" w:type="dxa"/>
          </w:tcPr>
          <w:p w14:paraId="05ECD41D"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$6,260,831</w:t>
            </w:r>
          </w:p>
        </w:tc>
        <w:tc>
          <w:tcPr>
            <w:tcW w:w="966" w:type="dxa"/>
            <w:noWrap/>
            <w:hideMark/>
          </w:tcPr>
          <w:p w14:paraId="69921FF8"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196,296</w:t>
            </w:r>
          </w:p>
        </w:tc>
        <w:tc>
          <w:tcPr>
            <w:tcW w:w="1518" w:type="dxa"/>
            <w:noWrap/>
            <w:hideMark/>
          </w:tcPr>
          <w:p w14:paraId="25E15938"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3.4</w:t>
            </w:r>
            <w:r w:rsidR="006966FB" w:rsidRPr="006966FB">
              <w:rPr>
                <w:rFonts w:ascii="Arial" w:hAnsi="Arial" w:cs="Arial"/>
                <w:color w:val="000000"/>
                <w:sz w:val="18"/>
                <w:szCs w:val="18"/>
              </w:rPr>
              <w:t>%</w:t>
            </w:r>
          </w:p>
        </w:tc>
      </w:tr>
      <w:tr w:rsidR="0033420E" w:rsidRPr="006966FB" w14:paraId="133FC361" w14:textId="77777777" w:rsidTr="00E40B54">
        <w:trPr>
          <w:trHeight w:val="300"/>
        </w:trPr>
        <w:tc>
          <w:tcPr>
            <w:tcW w:w="731" w:type="dxa"/>
            <w:noWrap/>
            <w:hideMark/>
          </w:tcPr>
          <w:p w14:paraId="17819EDA" w14:textId="77777777" w:rsidR="0033420E" w:rsidRPr="006966FB" w:rsidRDefault="0033420E" w:rsidP="00795693">
            <w:pPr>
              <w:rPr>
                <w:rFonts w:ascii="Arial" w:hAnsi="Arial" w:cs="Arial"/>
                <w:color w:val="000000"/>
                <w:sz w:val="18"/>
                <w:szCs w:val="18"/>
              </w:rPr>
            </w:pPr>
            <w:r w:rsidRPr="006966FB">
              <w:rPr>
                <w:rFonts w:ascii="Arial" w:hAnsi="Arial" w:cs="Arial"/>
                <w:color w:val="000000"/>
                <w:sz w:val="18"/>
                <w:szCs w:val="18"/>
              </w:rPr>
              <w:t>65126</w:t>
            </w:r>
          </w:p>
        </w:tc>
        <w:tc>
          <w:tcPr>
            <w:tcW w:w="2377" w:type="dxa"/>
            <w:noWrap/>
            <w:hideMark/>
          </w:tcPr>
          <w:p w14:paraId="62B7C7BE" w14:textId="77777777" w:rsidR="0033420E" w:rsidRPr="006966FB" w:rsidRDefault="0033420E" w:rsidP="00795693">
            <w:pPr>
              <w:rPr>
                <w:rFonts w:ascii="Arial" w:hAnsi="Arial" w:cs="Arial"/>
                <w:color w:val="000000"/>
                <w:sz w:val="18"/>
                <w:szCs w:val="18"/>
              </w:rPr>
            </w:pPr>
            <w:r w:rsidRPr="006966FB">
              <w:rPr>
                <w:rFonts w:ascii="Arial" w:hAnsi="Arial" w:cs="Arial"/>
                <w:color w:val="000000"/>
                <w:sz w:val="18"/>
                <w:szCs w:val="18"/>
              </w:rPr>
              <w:t>3 tests described in item 65120</w:t>
            </w:r>
          </w:p>
        </w:tc>
        <w:tc>
          <w:tcPr>
            <w:tcW w:w="1087" w:type="dxa"/>
            <w:noWrap/>
            <w:hideMark/>
          </w:tcPr>
          <w:p w14:paraId="3F76A6DB"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 xml:space="preserve">$27.85 </w:t>
            </w:r>
          </w:p>
        </w:tc>
        <w:tc>
          <w:tcPr>
            <w:tcW w:w="1045" w:type="dxa"/>
            <w:noWrap/>
            <w:hideMark/>
          </w:tcPr>
          <w:p w14:paraId="45EBE970"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271,767</w:t>
            </w:r>
          </w:p>
        </w:tc>
        <w:tc>
          <w:tcPr>
            <w:tcW w:w="1292" w:type="dxa"/>
          </w:tcPr>
          <w:p w14:paraId="06674B47"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$6,024,580</w:t>
            </w:r>
          </w:p>
        </w:tc>
        <w:tc>
          <w:tcPr>
            <w:tcW w:w="966" w:type="dxa"/>
            <w:noWrap/>
            <w:hideMark/>
          </w:tcPr>
          <w:p w14:paraId="43BF9140"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165,852</w:t>
            </w:r>
          </w:p>
        </w:tc>
        <w:tc>
          <w:tcPr>
            <w:tcW w:w="1518" w:type="dxa"/>
            <w:noWrap/>
            <w:hideMark/>
          </w:tcPr>
          <w:p w14:paraId="27340F68"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8.9</w:t>
            </w:r>
            <w:r w:rsidR="006966FB" w:rsidRPr="006966FB">
              <w:rPr>
                <w:rFonts w:ascii="Arial" w:hAnsi="Arial" w:cs="Arial"/>
                <w:color w:val="000000"/>
                <w:sz w:val="18"/>
                <w:szCs w:val="18"/>
              </w:rPr>
              <w:t>%</w:t>
            </w:r>
          </w:p>
        </w:tc>
      </w:tr>
      <w:tr w:rsidR="0033420E" w:rsidRPr="006966FB" w14:paraId="51FBC121" w14:textId="77777777" w:rsidTr="00E40B54">
        <w:trPr>
          <w:trHeight w:val="300"/>
        </w:trPr>
        <w:tc>
          <w:tcPr>
            <w:tcW w:w="731" w:type="dxa"/>
            <w:noWrap/>
            <w:hideMark/>
          </w:tcPr>
          <w:p w14:paraId="1037155E" w14:textId="77777777" w:rsidR="0033420E" w:rsidRPr="006966FB" w:rsidRDefault="0033420E" w:rsidP="00795693">
            <w:pPr>
              <w:rPr>
                <w:rFonts w:ascii="Arial" w:hAnsi="Arial" w:cs="Arial"/>
                <w:color w:val="000000"/>
                <w:sz w:val="18"/>
                <w:szCs w:val="18"/>
              </w:rPr>
            </w:pPr>
            <w:r w:rsidRPr="006966FB">
              <w:rPr>
                <w:rFonts w:ascii="Arial" w:hAnsi="Arial" w:cs="Arial"/>
                <w:color w:val="000000"/>
                <w:sz w:val="18"/>
                <w:szCs w:val="18"/>
              </w:rPr>
              <w:t>65129</w:t>
            </w:r>
          </w:p>
        </w:tc>
        <w:tc>
          <w:tcPr>
            <w:tcW w:w="2377" w:type="dxa"/>
            <w:noWrap/>
            <w:hideMark/>
          </w:tcPr>
          <w:p w14:paraId="2C3B624F" w14:textId="77777777" w:rsidR="0033420E" w:rsidRPr="006966FB" w:rsidRDefault="0033420E" w:rsidP="00795693">
            <w:pPr>
              <w:rPr>
                <w:rFonts w:ascii="Arial" w:hAnsi="Arial" w:cs="Arial"/>
                <w:color w:val="000000"/>
                <w:sz w:val="18"/>
                <w:szCs w:val="18"/>
              </w:rPr>
            </w:pPr>
            <w:r w:rsidRPr="006966FB">
              <w:rPr>
                <w:rFonts w:ascii="Arial" w:hAnsi="Arial" w:cs="Arial"/>
                <w:color w:val="000000"/>
                <w:sz w:val="18"/>
                <w:szCs w:val="18"/>
              </w:rPr>
              <w:t>4 or more tests described in item 65120</w:t>
            </w:r>
          </w:p>
        </w:tc>
        <w:tc>
          <w:tcPr>
            <w:tcW w:w="1087" w:type="dxa"/>
            <w:noWrap/>
            <w:hideMark/>
          </w:tcPr>
          <w:p w14:paraId="7D373C26"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 xml:space="preserve">$35.50 </w:t>
            </w:r>
          </w:p>
        </w:tc>
        <w:tc>
          <w:tcPr>
            <w:tcW w:w="1045" w:type="dxa"/>
            <w:noWrap/>
            <w:hideMark/>
          </w:tcPr>
          <w:p w14:paraId="4B0B7AA3"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341,961</w:t>
            </w:r>
          </w:p>
        </w:tc>
        <w:tc>
          <w:tcPr>
            <w:tcW w:w="1292" w:type="dxa"/>
          </w:tcPr>
          <w:p w14:paraId="126C8A5F"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$9,848,751</w:t>
            </w:r>
          </w:p>
        </w:tc>
        <w:tc>
          <w:tcPr>
            <w:tcW w:w="966" w:type="dxa"/>
            <w:noWrap/>
            <w:hideMark/>
          </w:tcPr>
          <w:p w14:paraId="6905191A"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232,787</w:t>
            </w:r>
          </w:p>
        </w:tc>
        <w:tc>
          <w:tcPr>
            <w:tcW w:w="1518" w:type="dxa"/>
            <w:noWrap/>
            <w:hideMark/>
          </w:tcPr>
          <w:p w14:paraId="03A0FC4D" w14:textId="77777777" w:rsidR="0033420E" w:rsidRPr="006966FB" w:rsidRDefault="0033420E" w:rsidP="006966FB">
            <w:pPr>
              <w:rPr>
                <w:rFonts w:ascii="Arial" w:hAnsi="Arial" w:cs="Arial"/>
                <w:color w:val="000000"/>
                <w:sz w:val="18"/>
                <w:szCs w:val="18"/>
              </w:rPr>
            </w:pPr>
            <w:r w:rsidRPr="006966FB">
              <w:rPr>
                <w:rFonts w:ascii="Arial" w:hAnsi="Arial" w:cs="Arial"/>
                <w:color w:val="000000"/>
                <w:sz w:val="18"/>
                <w:szCs w:val="18"/>
              </w:rPr>
              <w:t>12.5</w:t>
            </w:r>
            <w:r w:rsidR="006966FB" w:rsidRPr="006966FB">
              <w:rPr>
                <w:rFonts w:ascii="Arial" w:hAnsi="Arial" w:cs="Arial"/>
                <w:color w:val="000000"/>
                <w:sz w:val="18"/>
                <w:szCs w:val="18"/>
              </w:rPr>
              <w:t>%</w:t>
            </w:r>
          </w:p>
        </w:tc>
      </w:tr>
    </w:tbl>
    <w:p w14:paraId="422D00CE" w14:textId="77777777" w:rsidR="0033420E" w:rsidRPr="004276E9" w:rsidRDefault="00AF1ED5" w:rsidP="00367716">
      <w:pPr>
        <w:pStyle w:val="Heading3"/>
      </w:pPr>
      <w:bookmarkStart w:id="88" w:name="_Toc495403396"/>
      <w:r>
        <w:lastRenderedPageBreak/>
        <w:t>Recommendation 3</w:t>
      </w:r>
      <w:bookmarkEnd w:id="88"/>
    </w:p>
    <w:p w14:paraId="5384B54D" w14:textId="77777777" w:rsidR="0033420E" w:rsidRPr="00886126" w:rsidRDefault="00074825" w:rsidP="0033420E">
      <w:pPr>
        <w:pStyle w:val="01squarebullet"/>
      </w:pPr>
      <w:r w:rsidRPr="00074825">
        <w:rPr>
          <w:lang w:val="en-AU"/>
        </w:rPr>
        <w:t xml:space="preserve"> </w:t>
      </w:r>
      <w:r>
        <w:rPr>
          <w:lang w:val="en-AU"/>
        </w:rPr>
        <w:t>Amend the item descriptor of</w:t>
      </w:r>
      <w:r w:rsidR="003C2193">
        <w:rPr>
          <w:lang w:val="en-AU"/>
        </w:rPr>
        <w:t xml:space="preserve"> </w:t>
      </w:r>
      <w:r w:rsidR="0033420E">
        <w:rPr>
          <w:lang w:val="en-AU"/>
        </w:rPr>
        <w:t xml:space="preserve">65120 to remove </w:t>
      </w:r>
      <w:r>
        <w:rPr>
          <w:lang w:val="en-AU"/>
        </w:rPr>
        <w:t>services</w:t>
      </w:r>
      <w:r w:rsidR="0033420E">
        <w:rPr>
          <w:lang w:val="en-AU"/>
        </w:rPr>
        <w:t xml:space="preserve"> that are either obsolete or </w:t>
      </w:r>
      <w:r w:rsidR="00886126">
        <w:rPr>
          <w:lang w:val="en-AU"/>
        </w:rPr>
        <w:t>recommended to be separated (D-d</w:t>
      </w:r>
      <w:r w:rsidR="0033420E">
        <w:rPr>
          <w:lang w:val="en-AU"/>
        </w:rPr>
        <w:t>imer) into another item number</w:t>
      </w:r>
      <w:r w:rsidR="00886126">
        <w:rPr>
          <w:lang w:val="en-AU"/>
        </w:rPr>
        <w:t xml:space="preserve"> or currently covered elsewhere in the schedule (factor XIII)</w:t>
      </w:r>
      <w:r w:rsidR="0033420E">
        <w:rPr>
          <w:lang w:val="en-AU"/>
        </w:rPr>
        <w:t>.</w:t>
      </w:r>
    </w:p>
    <w:p w14:paraId="252C3C57" w14:textId="77777777" w:rsidR="0033420E" w:rsidRPr="00F00F7A" w:rsidRDefault="00074825" w:rsidP="0033420E">
      <w:pPr>
        <w:pStyle w:val="01squarebullet"/>
      </w:pPr>
      <w:r>
        <w:rPr>
          <w:lang w:val="en-AU"/>
        </w:rPr>
        <w:t>Amend the item</w:t>
      </w:r>
      <w:r w:rsidR="00886126">
        <w:rPr>
          <w:lang w:val="en-AU"/>
        </w:rPr>
        <w:t xml:space="preserve"> descriptor </w:t>
      </w:r>
      <w:r>
        <w:rPr>
          <w:lang w:val="en-AU"/>
        </w:rPr>
        <w:t>of</w:t>
      </w:r>
      <w:r w:rsidR="00860A80">
        <w:rPr>
          <w:lang w:val="en-AU"/>
        </w:rPr>
        <w:t xml:space="preserve"> </w:t>
      </w:r>
      <w:r w:rsidR="00886126">
        <w:rPr>
          <w:lang w:val="en-AU"/>
        </w:rPr>
        <w:t>65126</w:t>
      </w:r>
      <w:r w:rsidR="0033420E">
        <w:rPr>
          <w:lang w:val="en-AU"/>
        </w:rPr>
        <w:t xml:space="preserve"> to limit the number of tests that can be charged to the MBS and review the fee.</w:t>
      </w:r>
    </w:p>
    <w:p w14:paraId="2D13A8A1" w14:textId="77777777" w:rsidR="0033420E" w:rsidRPr="00197727" w:rsidRDefault="0033420E" w:rsidP="0033420E">
      <w:pPr>
        <w:pStyle w:val="01squarebullet"/>
      </w:pPr>
      <w:r>
        <w:rPr>
          <w:lang w:val="en-AU"/>
        </w:rPr>
        <w:t xml:space="preserve">Delete </w:t>
      </w:r>
      <w:r w:rsidR="00886126">
        <w:rPr>
          <w:lang w:val="en-AU"/>
        </w:rPr>
        <w:t>item</w:t>
      </w:r>
      <w:r>
        <w:rPr>
          <w:lang w:val="en-AU"/>
        </w:rPr>
        <w:t xml:space="preserve"> 65129.</w:t>
      </w:r>
    </w:p>
    <w:p w14:paraId="6638E5DA" w14:textId="77777777" w:rsidR="0033420E" w:rsidRDefault="0033420E" w:rsidP="0033420E">
      <w:pPr>
        <w:pStyle w:val="01squarebullet"/>
      </w:pPr>
      <w:r>
        <w:t>The proposed changes to item descriptors are as follows:</w:t>
      </w:r>
    </w:p>
    <w:p w14:paraId="2FD6D355" w14:textId="77777777" w:rsidR="0033420E" w:rsidRPr="00F00F7A" w:rsidRDefault="0033420E" w:rsidP="00247209">
      <w:pPr>
        <w:pStyle w:val="02dash"/>
        <w:numPr>
          <w:ilvl w:val="1"/>
          <w:numId w:val="16"/>
        </w:numPr>
        <w:tabs>
          <w:tab w:val="clear" w:pos="646"/>
        </w:tabs>
        <w:ind w:left="709"/>
      </w:pPr>
      <w:r>
        <w:t xml:space="preserve">Item 65120: </w:t>
      </w:r>
      <w:r w:rsidRPr="00F00F7A">
        <w:t>Prothrombin time (including INR where appropriate), activated partial thromboplastin time, thrombin time (including te</w:t>
      </w:r>
      <w:r w:rsidR="00886126">
        <w:t>st for the presence of heparin)</w:t>
      </w:r>
      <w:r w:rsidR="006B4683">
        <w:rPr>
          <w:lang w:val="en-GB"/>
        </w:rPr>
        <w:t>,</w:t>
      </w:r>
      <w:r w:rsidRPr="00F00F7A">
        <w:t xml:space="preserve"> </w:t>
      </w:r>
      <w:proofErr w:type="spellStart"/>
      <w:r w:rsidRPr="00F00F7A">
        <w:t>Echis</w:t>
      </w:r>
      <w:proofErr w:type="spellEnd"/>
      <w:r w:rsidRPr="00F00F7A">
        <w:t xml:space="preserve"> test, </w:t>
      </w:r>
      <w:proofErr w:type="spellStart"/>
      <w:r w:rsidRPr="00F00F7A">
        <w:t>reptilase</w:t>
      </w:r>
      <w:proofErr w:type="spellEnd"/>
      <w:r w:rsidRPr="00F00F7A">
        <w:t xml:space="preserve"> time, fibrinogen </w:t>
      </w:r>
      <w:r w:rsidR="00AB5546">
        <w:t>–</w:t>
      </w:r>
      <w:r w:rsidR="00AB5546" w:rsidRPr="00F00F7A">
        <w:t xml:space="preserve"> </w:t>
      </w:r>
      <w:r w:rsidRPr="00F00F7A">
        <w:t>1 test</w:t>
      </w:r>
      <w:r>
        <w:t>.</w:t>
      </w:r>
    </w:p>
    <w:p w14:paraId="5F763660" w14:textId="77777777" w:rsidR="0033420E" w:rsidRDefault="00886126" w:rsidP="00247209">
      <w:pPr>
        <w:pStyle w:val="02dash"/>
        <w:numPr>
          <w:ilvl w:val="1"/>
          <w:numId w:val="16"/>
        </w:numPr>
        <w:tabs>
          <w:tab w:val="clear" w:pos="646"/>
        </w:tabs>
        <w:ind w:left="709"/>
      </w:pPr>
      <w:r>
        <w:t>Item 65126</w:t>
      </w:r>
      <w:r w:rsidR="0033420E" w:rsidRPr="00F00F7A">
        <w:t>:</w:t>
      </w:r>
      <w:r w:rsidR="0033420E">
        <w:t xml:space="preserve"> </w:t>
      </w:r>
      <w:r>
        <w:t>3 or more</w:t>
      </w:r>
      <w:r w:rsidR="0033420E" w:rsidRPr="00F00F7A">
        <w:t xml:space="preserve"> test</w:t>
      </w:r>
      <w:r>
        <w:t>s</w:t>
      </w:r>
      <w:r w:rsidR="0033420E">
        <w:t xml:space="preserve"> described in 65120.</w:t>
      </w:r>
      <w:r w:rsidR="006B4683">
        <w:t xml:space="preserve"> </w:t>
      </w:r>
    </w:p>
    <w:p w14:paraId="5510DA30" w14:textId="77777777" w:rsidR="00074825" w:rsidRPr="00DA78DC" w:rsidRDefault="00074825" w:rsidP="00074825">
      <w:pPr>
        <w:pStyle w:val="01squarebullet"/>
      </w:pPr>
      <w:r>
        <w:rPr>
          <w:lang w:val="en-AU"/>
        </w:rPr>
        <w:t>No change to item 65123</w:t>
      </w:r>
      <w:r w:rsidR="002D67EE">
        <w:rPr>
          <w:lang w:val="en-AU"/>
        </w:rPr>
        <w:t>.</w:t>
      </w:r>
    </w:p>
    <w:p w14:paraId="028F5110" w14:textId="77777777" w:rsidR="00074825" w:rsidRDefault="00074825" w:rsidP="003E795E">
      <w:pPr>
        <w:pStyle w:val="01squarebullet"/>
        <w:numPr>
          <w:ilvl w:val="0"/>
          <w:numId w:val="0"/>
        </w:numPr>
      </w:pPr>
    </w:p>
    <w:p w14:paraId="4F257C52" w14:textId="77777777" w:rsidR="00625B93" w:rsidRDefault="008F7F21" w:rsidP="00C702A9">
      <w:pPr>
        <w:pStyle w:val="Caption"/>
      </w:pPr>
      <w:bookmarkStart w:id="89" w:name="_Toc481493775"/>
      <w:r>
        <w:t>Table 8</w:t>
      </w:r>
      <w:r w:rsidR="00247209">
        <w:t xml:space="preserve">: </w:t>
      </w:r>
      <w:r w:rsidR="00625B93">
        <w:t>Proposed changed to items 65120</w:t>
      </w:r>
      <w:r w:rsidR="00247209">
        <w:t>–</w:t>
      </w:r>
      <w:r w:rsidR="00625B93">
        <w:t>65129</w:t>
      </w:r>
      <w:bookmarkEnd w:id="89"/>
    </w:p>
    <w:tbl>
      <w:tblPr>
        <w:tblStyle w:val="TableGrid"/>
        <w:tblW w:w="0" w:type="auto"/>
        <w:tblLook w:val="04A0" w:firstRow="1" w:lastRow="0" w:firstColumn="1" w:lastColumn="0" w:noHBand="0" w:noVBand="1"/>
        <w:tblCaption w:val="Table 8, Proposed changed to items 65120–65129"/>
        <w:tblDescription w:val="This table shows proposed changes to items 65120, 65123, 65126 and 65129. There are 3 columns – column 1: item number, column 2: current descriptor, and column 3: proposed change to descriptor."/>
      </w:tblPr>
      <w:tblGrid>
        <w:gridCol w:w="988"/>
        <w:gridCol w:w="3969"/>
        <w:gridCol w:w="4059"/>
      </w:tblGrid>
      <w:tr w:rsidR="009E1247" w:rsidRPr="00DE12C2" w14:paraId="0222AF58" w14:textId="77777777" w:rsidTr="002D67EE">
        <w:trPr>
          <w:tblHeader/>
        </w:trPr>
        <w:tc>
          <w:tcPr>
            <w:tcW w:w="988" w:type="dxa"/>
            <w:shd w:val="clear" w:color="auto" w:fill="F2F2F2" w:themeFill="background1" w:themeFillShade="F2"/>
            <w:vAlign w:val="bottom"/>
          </w:tcPr>
          <w:p w14:paraId="6C1F47C1" w14:textId="77777777" w:rsidR="009E1247" w:rsidRPr="00DE12C2" w:rsidRDefault="009E1247" w:rsidP="00625B93">
            <w:pPr>
              <w:rPr>
                <w:rFonts w:ascii="Arial" w:hAnsi="Arial" w:cs="Arial"/>
                <w:b/>
                <w:sz w:val="18"/>
                <w:szCs w:val="18"/>
              </w:rPr>
            </w:pPr>
            <w:r w:rsidRPr="00DE12C2">
              <w:rPr>
                <w:rFonts w:ascii="Arial" w:hAnsi="Arial" w:cs="Arial"/>
                <w:b/>
                <w:sz w:val="18"/>
                <w:szCs w:val="18"/>
              </w:rPr>
              <w:t>Item</w:t>
            </w:r>
          </w:p>
        </w:tc>
        <w:tc>
          <w:tcPr>
            <w:tcW w:w="3969" w:type="dxa"/>
            <w:shd w:val="clear" w:color="auto" w:fill="F2F2F2" w:themeFill="background1" w:themeFillShade="F2"/>
            <w:vAlign w:val="bottom"/>
          </w:tcPr>
          <w:p w14:paraId="0710B286" w14:textId="77777777" w:rsidR="009E1247" w:rsidRPr="00DE12C2" w:rsidRDefault="009E1247" w:rsidP="00625B93">
            <w:pPr>
              <w:rPr>
                <w:rFonts w:ascii="Arial" w:hAnsi="Arial" w:cs="Arial"/>
                <w:b/>
                <w:sz w:val="18"/>
                <w:szCs w:val="18"/>
              </w:rPr>
            </w:pPr>
            <w:r w:rsidRPr="00DE12C2">
              <w:rPr>
                <w:rFonts w:ascii="Arial" w:hAnsi="Arial" w:cs="Arial"/>
                <w:b/>
                <w:sz w:val="18"/>
                <w:szCs w:val="18"/>
              </w:rPr>
              <w:t>Current descriptor</w:t>
            </w:r>
          </w:p>
        </w:tc>
        <w:tc>
          <w:tcPr>
            <w:tcW w:w="4059" w:type="dxa"/>
            <w:shd w:val="clear" w:color="auto" w:fill="F2F2F2" w:themeFill="background1" w:themeFillShade="F2"/>
            <w:vAlign w:val="bottom"/>
          </w:tcPr>
          <w:p w14:paraId="269D7874" w14:textId="77777777" w:rsidR="009E1247" w:rsidRPr="00DE12C2" w:rsidRDefault="009E1247" w:rsidP="00625B93">
            <w:pPr>
              <w:rPr>
                <w:rFonts w:ascii="Arial" w:hAnsi="Arial" w:cs="Arial"/>
                <w:b/>
                <w:sz w:val="18"/>
                <w:szCs w:val="18"/>
              </w:rPr>
            </w:pPr>
            <w:r w:rsidRPr="00DE12C2">
              <w:rPr>
                <w:rFonts w:ascii="Arial" w:hAnsi="Arial" w:cs="Arial"/>
                <w:b/>
                <w:sz w:val="18"/>
                <w:szCs w:val="18"/>
              </w:rPr>
              <w:t>Proposed change to descriptor</w:t>
            </w:r>
          </w:p>
        </w:tc>
      </w:tr>
      <w:tr w:rsidR="009E1247" w:rsidRPr="00DE12C2" w14:paraId="41241480" w14:textId="77777777" w:rsidTr="002D67EE">
        <w:tc>
          <w:tcPr>
            <w:tcW w:w="988" w:type="dxa"/>
          </w:tcPr>
          <w:p w14:paraId="07AD7519" w14:textId="77777777" w:rsidR="009E1247" w:rsidRPr="00DE12C2" w:rsidRDefault="009E1247" w:rsidP="009E1247">
            <w:pPr>
              <w:rPr>
                <w:rFonts w:ascii="Arial" w:hAnsi="Arial" w:cs="Arial"/>
                <w:color w:val="000000"/>
                <w:sz w:val="18"/>
                <w:szCs w:val="18"/>
              </w:rPr>
            </w:pPr>
            <w:r w:rsidRPr="00DE12C2">
              <w:rPr>
                <w:rFonts w:ascii="Arial" w:hAnsi="Arial" w:cs="Arial"/>
                <w:color w:val="000000"/>
                <w:sz w:val="18"/>
                <w:szCs w:val="18"/>
              </w:rPr>
              <w:t>65120</w:t>
            </w:r>
          </w:p>
        </w:tc>
        <w:tc>
          <w:tcPr>
            <w:tcW w:w="3969" w:type="dxa"/>
          </w:tcPr>
          <w:p w14:paraId="2472076B" w14:textId="77777777" w:rsidR="009E1247" w:rsidRPr="00DE12C2" w:rsidRDefault="009E1247" w:rsidP="009E1247">
            <w:pPr>
              <w:rPr>
                <w:rFonts w:ascii="Arial" w:hAnsi="Arial" w:cs="Arial"/>
                <w:color w:val="000000"/>
                <w:sz w:val="18"/>
                <w:szCs w:val="18"/>
              </w:rPr>
            </w:pPr>
            <w:r w:rsidRPr="00DE12C2">
              <w:rPr>
                <w:rFonts w:ascii="Arial" w:hAnsi="Arial" w:cs="Arial"/>
                <w:color w:val="000000"/>
                <w:sz w:val="18"/>
                <w:szCs w:val="18"/>
              </w:rPr>
              <w:t xml:space="preserve">Prothrombin time (including INR where appropriate), activated partial thromboplastin time, thrombin time (including test for the presence of heparin), test for factor XIII deficiency (qualitative), </w:t>
            </w:r>
            <w:proofErr w:type="spellStart"/>
            <w:r w:rsidRPr="00DE12C2">
              <w:rPr>
                <w:rFonts w:ascii="Arial" w:hAnsi="Arial" w:cs="Arial"/>
                <w:color w:val="000000"/>
                <w:sz w:val="18"/>
                <w:szCs w:val="18"/>
              </w:rPr>
              <w:t>Echis</w:t>
            </w:r>
            <w:proofErr w:type="spellEnd"/>
            <w:r w:rsidRPr="00DE12C2">
              <w:rPr>
                <w:rFonts w:ascii="Arial" w:hAnsi="Arial" w:cs="Arial"/>
                <w:color w:val="000000"/>
                <w:sz w:val="18"/>
                <w:szCs w:val="18"/>
              </w:rPr>
              <w:t xml:space="preserve"> test, </w:t>
            </w:r>
            <w:proofErr w:type="spellStart"/>
            <w:r w:rsidRPr="00DE12C2">
              <w:rPr>
                <w:rFonts w:ascii="Arial" w:hAnsi="Arial" w:cs="Arial"/>
                <w:color w:val="000000"/>
                <w:sz w:val="18"/>
                <w:szCs w:val="18"/>
              </w:rPr>
              <w:t>Stypven</w:t>
            </w:r>
            <w:proofErr w:type="spellEnd"/>
            <w:r w:rsidRPr="00DE12C2">
              <w:rPr>
                <w:rFonts w:ascii="Arial" w:hAnsi="Arial" w:cs="Arial"/>
                <w:color w:val="000000"/>
                <w:sz w:val="18"/>
                <w:szCs w:val="18"/>
              </w:rPr>
              <w:t xml:space="preserve"> test, </w:t>
            </w:r>
            <w:proofErr w:type="spellStart"/>
            <w:r w:rsidRPr="00DE12C2">
              <w:rPr>
                <w:rFonts w:ascii="Arial" w:hAnsi="Arial" w:cs="Arial"/>
                <w:color w:val="000000"/>
                <w:sz w:val="18"/>
                <w:szCs w:val="18"/>
              </w:rPr>
              <w:t>reptilase</w:t>
            </w:r>
            <w:proofErr w:type="spellEnd"/>
            <w:r w:rsidRPr="00DE12C2">
              <w:rPr>
                <w:rFonts w:ascii="Arial" w:hAnsi="Arial" w:cs="Arial"/>
                <w:color w:val="000000"/>
                <w:sz w:val="18"/>
                <w:szCs w:val="18"/>
              </w:rPr>
              <w:t xml:space="preserve"> time, fibrinogen, or 1 of fibrinogen degradation products, fibrin monomer or D-dimer - 1 test</w:t>
            </w:r>
          </w:p>
        </w:tc>
        <w:tc>
          <w:tcPr>
            <w:tcW w:w="4059" w:type="dxa"/>
          </w:tcPr>
          <w:p w14:paraId="45935B58" w14:textId="77777777" w:rsidR="009E1247" w:rsidRPr="00DE12C2" w:rsidRDefault="009E1247">
            <w:pPr>
              <w:rPr>
                <w:rFonts w:ascii="Arial" w:hAnsi="Arial" w:cs="Arial"/>
                <w:color w:val="000000"/>
                <w:sz w:val="18"/>
                <w:szCs w:val="18"/>
              </w:rPr>
            </w:pPr>
            <w:r w:rsidRPr="00DE12C2">
              <w:rPr>
                <w:rFonts w:ascii="Arial" w:hAnsi="Arial" w:cs="Arial"/>
                <w:color w:val="000000"/>
                <w:sz w:val="18"/>
                <w:szCs w:val="18"/>
              </w:rPr>
              <w:t>Prothrombin time (including INR whe</w:t>
            </w:r>
            <w:r w:rsidR="00247209">
              <w:rPr>
                <w:rFonts w:ascii="Arial" w:hAnsi="Arial" w:cs="Arial"/>
                <w:color w:val="000000"/>
                <w:sz w:val="18"/>
                <w:szCs w:val="18"/>
              </w:rPr>
              <w:t>n</w:t>
            </w:r>
            <w:r w:rsidRPr="00DE12C2">
              <w:rPr>
                <w:rFonts w:ascii="Arial" w:hAnsi="Arial" w:cs="Arial"/>
                <w:color w:val="000000"/>
                <w:sz w:val="18"/>
                <w:szCs w:val="18"/>
              </w:rPr>
              <w:t xml:space="preserve"> appropriate), activated partial thromboplastin time, thrombin time (including test for the presence of heparin), </w:t>
            </w:r>
            <w:proofErr w:type="spellStart"/>
            <w:r w:rsidRPr="00DE12C2">
              <w:rPr>
                <w:rFonts w:ascii="Arial" w:hAnsi="Arial" w:cs="Arial"/>
                <w:color w:val="000000"/>
                <w:sz w:val="18"/>
                <w:szCs w:val="18"/>
              </w:rPr>
              <w:t>Echis</w:t>
            </w:r>
            <w:proofErr w:type="spellEnd"/>
            <w:r w:rsidRPr="00DE12C2">
              <w:rPr>
                <w:rFonts w:ascii="Arial" w:hAnsi="Arial" w:cs="Arial"/>
                <w:color w:val="000000"/>
                <w:sz w:val="18"/>
                <w:szCs w:val="18"/>
              </w:rPr>
              <w:t xml:space="preserve"> test, </w:t>
            </w:r>
            <w:proofErr w:type="spellStart"/>
            <w:r w:rsidRPr="00DE12C2">
              <w:rPr>
                <w:rFonts w:ascii="Arial" w:hAnsi="Arial" w:cs="Arial"/>
                <w:color w:val="000000"/>
                <w:sz w:val="18"/>
                <w:szCs w:val="18"/>
              </w:rPr>
              <w:t>reptilase</w:t>
            </w:r>
            <w:proofErr w:type="spellEnd"/>
            <w:r w:rsidRPr="00DE12C2">
              <w:rPr>
                <w:rFonts w:ascii="Arial" w:hAnsi="Arial" w:cs="Arial"/>
                <w:color w:val="000000"/>
                <w:sz w:val="18"/>
                <w:szCs w:val="18"/>
              </w:rPr>
              <w:t xml:space="preserve"> time, fibrinogen </w:t>
            </w:r>
            <w:r w:rsidR="00AB5546">
              <w:rPr>
                <w:rFonts w:ascii="Arial" w:hAnsi="Arial" w:cs="Arial"/>
                <w:color w:val="000000"/>
                <w:sz w:val="18"/>
                <w:szCs w:val="18"/>
              </w:rPr>
              <w:t>–</w:t>
            </w:r>
            <w:r w:rsidR="00AB5546" w:rsidRPr="00DE12C2">
              <w:rPr>
                <w:rFonts w:ascii="Arial" w:hAnsi="Arial" w:cs="Arial"/>
                <w:color w:val="000000"/>
                <w:sz w:val="18"/>
                <w:szCs w:val="18"/>
              </w:rPr>
              <w:t xml:space="preserve"> </w:t>
            </w:r>
            <w:r w:rsidRPr="00DE12C2">
              <w:rPr>
                <w:rFonts w:ascii="Arial" w:hAnsi="Arial" w:cs="Arial"/>
                <w:color w:val="000000"/>
                <w:sz w:val="18"/>
                <w:szCs w:val="18"/>
              </w:rPr>
              <w:t>1 test</w:t>
            </w:r>
          </w:p>
        </w:tc>
      </w:tr>
      <w:tr w:rsidR="009E1247" w:rsidRPr="00DE12C2" w14:paraId="7F6150DF" w14:textId="77777777" w:rsidTr="002D67EE">
        <w:tc>
          <w:tcPr>
            <w:tcW w:w="988" w:type="dxa"/>
          </w:tcPr>
          <w:p w14:paraId="20334646" w14:textId="77777777" w:rsidR="009E1247" w:rsidRPr="00DE12C2" w:rsidRDefault="009E1247" w:rsidP="009E1247">
            <w:pPr>
              <w:rPr>
                <w:rFonts w:ascii="Arial" w:hAnsi="Arial" w:cs="Arial"/>
                <w:sz w:val="18"/>
                <w:szCs w:val="18"/>
              </w:rPr>
            </w:pPr>
            <w:r w:rsidRPr="00DE12C2">
              <w:rPr>
                <w:rFonts w:ascii="Arial" w:hAnsi="Arial" w:cs="Arial"/>
                <w:color w:val="000000"/>
                <w:sz w:val="18"/>
                <w:szCs w:val="18"/>
              </w:rPr>
              <w:t>65123</w:t>
            </w:r>
          </w:p>
        </w:tc>
        <w:tc>
          <w:tcPr>
            <w:tcW w:w="3969" w:type="dxa"/>
          </w:tcPr>
          <w:p w14:paraId="6A1BA1C0" w14:textId="77777777" w:rsidR="009E1247" w:rsidRPr="00DE12C2" w:rsidRDefault="009E1247" w:rsidP="009E1247">
            <w:pPr>
              <w:rPr>
                <w:rFonts w:ascii="Arial" w:hAnsi="Arial" w:cs="Arial"/>
                <w:sz w:val="18"/>
                <w:szCs w:val="18"/>
              </w:rPr>
            </w:pPr>
            <w:r w:rsidRPr="00DE12C2">
              <w:rPr>
                <w:rFonts w:ascii="Arial" w:hAnsi="Arial" w:cs="Arial"/>
                <w:color w:val="000000"/>
                <w:sz w:val="18"/>
                <w:szCs w:val="18"/>
              </w:rPr>
              <w:t>2 tests described in item 65120</w:t>
            </w:r>
          </w:p>
        </w:tc>
        <w:tc>
          <w:tcPr>
            <w:tcW w:w="4059" w:type="dxa"/>
          </w:tcPr>
          <w:p w14:paraId="4119370A" w14:textId="77777777" w:rsidR="009E1247" w:rsidRPr="00DE12C2" w:rsidRDefault="009E1247" w:rsidP="009E1247">
            <w:pPr>
              <w:rPr>
                <w:rFonts w:ascii="Arial" w:hAnsi="Arial" w:cs="Arial"/>
                <w:sz w:val="18"/>
                <w:szCs w:val="18"/>
              </w:rPr>
            </w:pPr>
            <w:r w:rsidRPr="00DE12C2">
              <w:rPr>
                <w:rFonts w:ascii="Arial" w:hAnsi="Arial" w:cs="Arial"/>
                <w:sz w:val="18"/>
                <w:szCs w:val="18"/>
              </w:rPr>
              <w:t>No change</w:t>
            </w:r>
          </w:p>
        </w:tc>
      </w:tr>
      <w:tr w:rsidR="009E1247" w:rsidRPr="00DE12C2" w14:paraId="09CB668E" w14:textId="77777777" w:rsidTr="002D67EE">
        <w:tc>
          <w:tcPr>
            <w:tcW w:w="988" w:type="dxa"/>
          </w:tcPr>
          <w:p w14:paraId="53687DD6" w14:textId="77777777" w:rsidR="009E1247" w:rsidRPr="00DE12C2" w:rsidRDefault="009E1247" w:rsidP="009E1247">
            <w:pPr>
              <w:rPr>
                <w:rFonts w:ascii="Arial" w:hAnsi="Arial" w:cs="Arial"/>
                <w:sz w:val="18"/>
                <w:szCs w:val="18"/>
              </w:rPr>
            </w:pPr>
            <w:r w:rsidRPr="00DE12C2">
              <w:rPr>
                <w:rFonts w:ascii="Arial" w:hAnsi="Arial" w:cs="Arial"/>
                <w:color w:val="000000"/>
                <w:sz w:val="18"/>
                <w:szCs w:val="18"/>
              </w:rPr>
              <w:t>65126</w:t>
            </w:r>
          </w:p>
        </w:tc>
        <w:tc>
          <w:tcPr>
            <w:tcW w:w="3969" w:type="dxa"/>
          </w:tcPr>
          <w:p w14:paraId="6AB05A46" w14:textId="77777777" w:rsidR="009E1247" w:rsidRPr="00DE12C2" w:rsidRDefault="009E1247" w:rsidP="009E1247">
            <w:pPr>
              <w:rPr>
                <w:rFonts w:ascii="Arial" w:hAnsi="Arial" w:cs="Arial"/>
                <w:sz w:val="18"/>
                <w:szCs w:val="18"/>
              </w:rPr>
            </w:pPr>
            <w:r w:rsidRPr="00DE12C2">
              <w:rPr>
                <w:rFonts w:ascii="Arial" w:hAnsi="Arial" w:cs="Arial"/>
                <w:color w:val="000000"/>
                <w:sz w:val="18"/>
                <w:szCs w:val="18"/>
              </w:rPr>
              <w:t>3 tests described in item 65120</w:t>
            </w:r>
          </w:p>
        </w:tc>
        <w:tc>
          <w:tcPr>
            <w:tcW w:w="4059" w:type="dxa"/>
          </w:tcPr>
          <w:p w14:paraId="0A841FFA" w14:textId="77777777" w:rsidR="009E1247" w:rsidRPr="00DE12C2" w:rsidRDefault="009E1247" w:rsidP="009E1247">
            <w:pPr>
              <w:rPr>
                <w:rFonts w:ascii="Arial" w:hAnsi="Arial" w:cs="Arial"/>
                <w:sz w:val="18"/>
                <w:szCs w:val="18"/>
              </w:rPr>
            </w:pPr>
            <w:r w:rsidRPr="00DE12C2">
              <w:rPr>
                <w:rFonts w:ascii="Arial" w:hAnsi="Arial" w:cs="Arial"/>
                <w:sz w:val="18"/>
                <w:szCs w:val="18"/>
              </w:rPr>
              <w:t>3 or more tests described in item 65120</w:t>
            </w:r>
          </w:p>
        </w:tc>
      </w:tr>
      <w:tr w:rsidR="009E1247" w:rsidRPr="00DE12C2" w14:paraId="135666B0" w14:textId="77777777" w:rsidTr="002D67EE">
        <w:tc>
          <w:tcPr>
            <w:tcW w:w="988" w:type="dxa"/>
          </w:tcPr>
          <w:p w14:paraId="5B2A19EB" w14:textId="77777777" w:rsidR="009E1247" w:rsidRPr="00DE12C2" w:rsidRDefault="009E1247" w:rsidP="009E1247">
            <w:pPr>
              <w:rPr>
                <w:rFonts w:ascii="Arial" w:hAnsi="Arial" w:cs="Arial"/>
                <w:sz w:val="18"/>
                <w:szCs w:val="18"/>
              </w:rPr>
            </w:pPr>
            <w:r w:rsidRPr="00DE12C2">
              <w:rPr>
                <w:rFonts w:ascii="Arial" w:hAnsi="Arial" w:cs="Arial"/>
                <w:color w:val="000000"/>
                <w:sz w:val="18"/>
                <w:szCs w:val="18"/>
              </w:rPr>
              <w:t>65129</w:t>
            </w:r>
          </w:p>
        </w:tc>
        <w:tc>
          <w:tcPr>
            <w:tcW w:w="3969" w:type="dxa"/>
          </w:tcPr>
          <w:p w14:paraId="79313F62" w14:textId="77777777" w:rsidR="009E1247" w:rsidRPr="00DE12C2" w:rsidRDefault="009E1247" w:rsidP="009E1247">
            <w:pPr>
              <w:rPr>
                <w:rFonts w:ascii="Arial" w:hAnsi="Arial" w:cs="Arial"/>
                <w:sz w:val="18"/>
                <w:szCs w:val="18"/>
              </w:rPr>
            </w:pPr>
            <w:r w:rsidRPr="00DE12C2">
              <w:rPr>
                <w:rFonts w:ascii="Arial" w:hAnsi="Arial" w:cs="Arial"/>
                <w:color w:val="000000"/>
                <w:sz w:val="18"/>
                <w:szCs w:val="18"/>
              </w:rPr>
              <w:t>4 or more tests described in item 65120</w:t>
            </w:r>
          </w:p>
        </w:tc>
        <w:tc>
          <w:tcPr>
            <w:tcW w:w="4059" w:type="dxa"/>
          </w:tcPr>
          <w:p w14:paraId="71598BD5" w14:textId="77777777" w:rsidR="009E1247" w:rsidRPr="00DE12C2" w:rsidRDefault="009E1247" w:rsidP="009E1247">
            <w:pPr>
              <w:rPr>
                <w:rFonts w:ascii="Arial" w:hAnsi="Arial" w:cs="Arial"/>
                <w:sz w:val="18"/>
                <w:szCs w:val="18"/>
              </w:rPr>
            </w:pPr>
            <w:r w:rsidRPr="00DE12C2">
              <w:rPr>
                <w:rFonts w:ascii="Arial" w:hAnsi="Arial" w:cs="Arial"/>
                <w:sz w:val="18"/>
                <w:szCs w:val="18"/>
              </w:rPr>
              <w:t>Delete</w:t>
            </w:r>
          </w:p>
        </w:tc>
      </w:tr>
    </w:tbl>
    <w:p w14:paraId="74AE2E99" w14:textId="77777777" w:rsidR="0033420E" w:rsidRPr="00FC1976" w:rsidRDefault="0033420E" w:rsidP="00367716">
      <w:pPr>
        <w:pStyle w:val="Heading3"/>
      </w:pPr>
      <w:bookmarkStart w:id="90" w:name="_Toc495403397"/>
      <w:r w:rsidRPr="00FC1976">
        <w:t>Rationale</w:t>
      </w:r>
      <w:r w:rsidR="0022742C">
        <w:t xml:space="preserve"> </w:t>
      </w:r>
      <w:bookmarkEnd w:id="90"/>
    </w:p>
    <w:p w14:paraId="593E9A6B" w14:textId="77777777" w:rsidR="0033420E" w:rsidRDefault="0033420E" w:rsidP="0033420E">
      <w:r>
        <w:t>The recommendations focu</w:t>
      </w:r>
      <w:r w:rsidR="00886126">
        <w:t xml:space="preserve">s on ensuring appropriate use </w:t>
      </w:r>
      <w:r>
        <w:t>and v</w:t>
      </w:r>
      <w:r w:rsidR="00886126">
        <w:t xml:space="preserve">alue for the healthcare system </w:t>
      </w:r>
      <w:r>
        <w:t>and are based on the following observations.</w:t>
      </w:r>
    </w:p>
    <w:p w14:paraId="51B6D802" w14:textId="77777777" w:rsidR="0033420E" w:rsidRDefault="0033420E" w:rsidP="0033420E">
      <w:pPr>
        <w:pStyle w:val="01squarebullet"/>
      </w:pPr>
      <w:r w:rsidRPr="00197727">
        <w:t>The Committee noted</w:t>
      </w:r>
      <w:r>
        <w:t xml:space="preserve"> different claiming patterns between states</w:t>
      </w:r>
      <w:r w:rsidR="00AB5546">
        <w:t>,</w:t>
      </w:r>
      <w:r>
        <w:t xml:space="preserve"> where the number of tests ordered range from one test through to four or more tests. The Committee reviewed </w:t>
      </w:r>
      <w:r w:rsidRPr="00810656">
        <w:t>the data trends, co-claiming</w:t>
      </w:r>
      <w:r>
        <w:t xml:space="preserve"> patterns</w:t>
      </w:r>
      <w:r w:rsidRPr="00810656">
        <w:t>, state variation and request</w:t>
      </w:r>
      <w:r w:rsidR="005E6E09">
        <w:t>e</w:t>
      </w:r>
      <w:r w:rsidRPr="00810656">
        <w:t xml:space="preserve">r patterns and discussed </w:t>
      </w:r>
      <w:r>
        <w:t xml:space="preserve">which </w:t>
      </w:r>
      <w:r w:rsidRPr="00810656">
        <w:t xml:space="preserve">tests </w:t>
      </w:r>
      <w:r>
        <w:t xml:space="preserve">are relevant </w:t>
      </w:r>
      <w:r w:rsidRPr="00810656">
        <w:t>in different clinical contexts</w:t>
      </w:r>
      <w:r>
        <w:t xml:space="preserve"> and settings</w:t>
      </w:r>
      <w:r w:rsidRPr="00810656">
        <w:t>.</w:t>
      </w:r>
      <w:r>
        <w:t xml:space="preserve"> The Committee agreed that while the patterns were variable, </w:t>
      </w:r>
      <w:r w:rsidR="00DE12C2">
        <w:t>it is difficult to use the high-</w:t>
      </w:r>
      <w:r>
        <w:t xml:space="preserve">level MBS data to interpret with any certainty the clinical appropriateness or otherwise of the testing patterns. </w:t>
      </w:r>
    </w:p>
    <w:p w14:paraId="6E899619" w14:textId="77777777" w:rsidR="0033420E" w:rsidRPr="00810656" w:rsidRDefault="0033420E" w:rsidP="0033420E">
      <w:pPr>
        <w:pStyle w:val="01squarebullet"/>
      </w:pPr>
      <w:r>
        <w:t xml:space="preserve">The Committee acknowledged that over the past </w:t>
      </w:r>
      <w:r w:rsidR="00AB5546">
        <w:t xml:space="preserve">5 </w:t>
      </w:r>
      <w:r>
        <w:t>years, changes in coagulation testing have been influenced by the introduction of new anticoagulants. The Committee noted</w:t>
      </w:r>
      <w:r w:rsidR="009344E6">
        <w:t xml:space="preserve"> however</w:t>
      </w:r>
      <w:r>
        <w:t xml:space="preserve"> that</w:t>
      </w:r>
      <w:r w:rsidRPr="000A72CB">
        <w:t xml:space="preserve"> </w:t>
      </w:r>
      <w:r w:rsidRPr="00810656">
        <w:t xml:space="preserve">existing guidelines </w:t>
      </w:r>
      <w:r>
        <w:t xml:space="preserve">for </w:t>
      </w:r>
      <w:r w:rsidR="005E6E09">
        <w:t xml:space="preserve">requesters about </w:t>
      </w:r>
      <w:r w:rsidRPr="00810656">
        <w:t xml:space="preserve">which coagulation tests to </w:t>
      </w:r>
      <w:r w:rsidR="00074825">
        <w:t xml:space="preserve">request </w:t>
      </w:r>
      <w:r>
        <w:t xml:space="preserve">and when </w:t>
      </w:r>
      <w:r w:rsidRPr="00810656">
        <w:t>are limited</w:t>
      </w:r>
      <w:r w:rsidR="009344E6">
        <w:t>,</w:t>
      </w:r>
      <w:r w:rsidRPr="00810656">
        <w:t xml:space="preserve"> </w:t>
      </w:r>
      <w:r>
        <w:t xml:space="preserve">and often </w:t>
      </w:r>
      <w:r w:rsidR="00FF736E">
        <w:t>requester</w:t>
      </w:r>
      <w:r>
        <w:t xml:space="preserve">s will </w:t>
      </w:r>
      <w:r w:rsidR="00074825">
        <w:t xml:space="preserve">request </w:t>
      </w:r>
      <w:r>
        <w:t xml:space="preserve">‘coagulation screen’, leaving the specific tests to be determined by the laboratories. Unfortunately, in many circumstances limited clinical information is provided with the requests for this to be an efficient </w:t>
      </w:r>
      <w:r w:rsidR="009344E6">
        <w:t>process</w:t>
      </w:r>
      <w:r>
        <w:t xml:space="preserve"> and it is possible </w:t>
      </w:r>
      <w:r>
        <w:lastRenderedPageBreak/>
        <w:t>that this is leading to the shift to more tests being performed rather than appropriately targeted tests.</w:t>
      </w:r>
    </w:p>
    <w:p w14:paraId="2F5020F6" w14:textId="77777777" w:rsidR="0033420E" w:rsidRDefault="0033420E" w:rsidP="0033420E">
      <w:pPr>
        <w:pStyle w:val="01squarebullet"/>
      </w:pPr>
      <w:r>
        <w:t xml:space="preserve">The Committee agreed </w:t>
      </w:r>
      <w:r w:rsidRPr="00810656">
        <w:t>t</w:t>
      </w:r>
      <w:r>
        <w:t xml:space="preserve">hat it is difficult to use the </w:t>
      </w:r>
      <w:r w:rsidR="005E6E09">
        <w:t xml:space="preserve">MBS </w:t>
      </w:r>
      <w:r w:rsidRPr="00810656">
        <w:t xml:space="preserve">to control or influence the </w:t>
      </w:r>
      <w:r w:rsidR="00074825">
        <w:t>requesting</w:t>
      </w:r>
      <w:r w:rsidR="00074825" w:rsidRPr="00810656">
        <w:t xml:space="preserve"> </w:t>
      </w:r>
      <w:r w:rsidRPr="00810656">
        <w:t>of speci</w:t>
      </w:r>
      <w:r>
        <w:t>fic tests for specific contexts and supported the development and promotion of educational programs, guideline</w:t>
      </w:r>
      <w:r w:rsidR="00EE3433">
        <w:t xml:space="preserve">s, and </w:t>
      </w:r>
      <w:r>
        <w:t xml:space="preserve">decision support and practice software integrated with </w:t>
      </w:r>
      <w:r w:rsidR="005E6E09">
        <w:t xml:space="preserve">the </w:t>
      </w:r>
      <w:r>
        <w:t>Schedule to support requesters to order the most appropriate tests.</w:t>
      </w:r>
      <w:r w:rsidR="00F4401D">
        <w:t xml:space="preserve"> </w:t>
      </w:r>
    </w:p>
    <w:p w14:paraId="300D5C27" w14:textId="77777777" w:rsidR="0033420E" w:rsidRPr="00B94CAE" w:rsidRDefault="0033420E" w:rsidP="0033420E">
      <w:pPr>
        <w:pStyle w:val="01squarebullet"/>
      </w:pPr>
      <w:r>
        <w:t>The Committee recommended that the following tests included in the current descriptor for item 65120 be removed</w:t>
      </w:r>
      <w:r w:rsidR="005E6E09">
        <w:t>,</w:t>
      </w:r>
      <w:r>
        <w:t xml:space="preserve"> as they are obsolete—</w:t>
      </w:r>
      <w:proofErr w:type="spellStart"/>
      <w:r>
        <w:t>Stypven</w:t>
      </w:r>
      <w:proofErr w:type="spellEnd"/>
      <w:r>
        <w:t xml:space="preserve"> test</w:t>
      </w:r>
      <w:r w:rsidRPr="00423C6D">
        <w:t xml:space="preserve">, 1 of </w:t>
      </w:r>
      <w:r>
        <w:t xml:space="preserve">fibrinogen degradation products and </w:t>
      </w:r>
      <w:r w:rsidRPr="00423C6D">
        <w:t>fibrin monomer</w:t>
      </w:r>
      <w:r>
        <w:t xml:space="preserve">. </w:t>
      </w:r>
      <w:r w:rsidR="00EE3433">
        <w:rPr>
          <w:lang w:val="en-AU"/>
        </w:rPr>
        <w:t xml:space="preserve">The Committee </w:t>
      </w:r>
      <w:r>
        <w:rPr>
          <w:lang w:val="en-AU"/>
        </w:rPr>
        <w:t>agreed that</w:t>
      </w:r>
      <w:r w:rsidRPr="00601485">
        <w:rPr>
          <w:lang w:val="en-AU"/>
        </w:rPr>
        <w:t xml:space="preserve"> D-dime</w:t>
      </w:r>
      <w:r>
        <w:rPr>
          <w:lang w:val="en-AU"/>
        </w:rPr>
        <w:t xml:space="preserve">r, a test to </w:t>
      </w:r>
      <w:r w:rsidRPr="00B94CAE">
        <w:t>help rule out the presence of an inappropriate blood clot</w:t>
      </w:r>
      <w:r w:rsidR="005E6E09">
        <w:t>,</w:t>
      </w:r>
      <w:r w:rsidRPr="00B94CAE">
        <w:t xml:space="preserve"> </w:t>
      </w:r>
      <w:r>
        <w:t xml:space="preserve">for example, a deep vein thrombosis or a pulmonary embolism, </w:t>
      </w:r>
      <w:r w:rsidRPr="00B94CAE">
        <w:rPr>
          <w:lang w:val="en-AU"/>
        </w:rPr>
        <w:t>has the potential to be inappropriately ordered and should be separated into a new item number with qualifiers to ensure its app</w:t>
      </w:r>
      <w:r w:rsidR="008F7F21">
        <w:rPr>
          <w:lang w:val="en-AU"/>
        </w:rPr>
        <w:t>ropriate clinical utility (see r</w:t>
      </w:r>
      <w:r w:rsidRPr="00B94CAE">
        <w:rPr>
          <w:lang w:val="en-AU"/>
        </w:rPr>
        <w:t xml:space="preserve">ecommendation </w:t>
      </w:r>
      <w:r w:rsidR="008F7F21">
        <w:rPr>
          <w:lang w:val="en-AU"/>
        </w:rPr>
        <w:t>4.4</w:t>
      </w:r>
      <w:r w:rsidRPr="00B94CAE">
        <w:rPr>
          <w:lang w:val="en-AU"/>
        </w:rPr>
        <w:t>).</w:t>
      </w:r>
      <w:r w:rsidR="00886126">
        <w:rPr>
          <w:lang w:val="en-AU"/>
        </w:rPr>
        <w:t xml:space="preserve"> </w:t>
      </w:r>
      <w:r w:rsidR="00EE3433">
        <w:rPr>
          <w:lang w:val="en-AU"/>
        </w:rPr>
        <w:t xml:space="preserve">It </w:t>
      </w:r>
      <w:r w:rsidR="00886126">
        <w:rPr>
          <w:lang w:val="en-AU"/>
        </w:rPr>
        <w:t xml:space="preserve">also recommended that the </w:t>
      </w:r>
      <w:r w:rsidR="00886126" w:rsidRPr="00423C6D">
        <w:t>test for factor XIII deficiency (qualitat</w:t>
      </w:r>
      <w:r w:rsidR="00886126">
        <w:t>ive) be removed from this item. It is currently and more appropriately covered under item 65150.</w:t>
      </w:r>
    </w:p>
    <w:p w14:paraId="0B951565" w14:textId="77777777" w:rsidR="0033420E" w:rsidRDefault="0033420E" w:rsidP="0033420E">
      <w:pPr>
        <w:pStyle w:val="01squarebullet"/>
      </w:pPr>
      <w:r>
        <w:t>The Committee reviewed the remaining coagulation tests available—p</w:t>
      </w:r>
      <w:r w:rsidRPr="00D66542">
        <w:t xml:space="preserve">rothrombin time (including INR where appropriate), activated partial thromboplastin time, thrombin time (including test for the presence of heparin), </w:t>
      </w:r>
      <w:proofErr w:type="spellStart"/>
      <w:r w:rsidRPr="00D66542">
        <w:t>Echis</w:t>
      </w:r>
      <w:proofErr w:type="spellEnd"/>
      <w:r w:rsidRPr="00D66542">
        <w:t xml:space="preserve"> test, </w:t>
      </w:r>
      <w:proofErr w:type="spellStart"/>
      <w:r>
        <w:t>reptilase</w:t>
      </w:r>
      <w:proofErr w:type="spellEnd"/>
      <w:r>
        <w:t xml:space="preserve"> time and</w:t>
      </w:r>
      <w:r w:rsidRPr="00D66542">
        <w:t xml:space="preserve"> fibrinogen</w:t>
      </w:r>
      <w:r>
        <w:t xml:space="preserve">. </w:t>
      </w:r>
      <w:r w:rsidR="00EE3433">
        <w:t xml:space="preserve">It </w:t>
      </w:r>
      <w:r>
        <w:t xml:space="preserve">agreed that there are some circumstances </w:t>
      </w:r>
      <w:r w:rsidR="005E6E09">
        <w:t xml:space="preserve">in which </w:t>
      </w:r>
      <w:r>
        <w:t>three coagulation tests could be justified, but felt it was difficult to justify four tests routinely for a standard ‘coagulation screen’.</w:t>
      </w:r>
    </w:p>
    <w:p w14:paraId="71627345" w14:textId="77777777" w:rsidR="00625B93" w:rsidRDefault="0033420E" w:rsidP="00625B93">
      <w:pPr>
        <w:pStyle w:val="01squarebullet"/>
      </w:pPr>
      <w:r>
        <w:t>The Committee recommended limiting the number of</w:t>
      </w:r>
      <w:r w:rsidR="008A5248">
        <w:t xml:space="preserve"> coagulation tests to (a) </w:t>
      </w:r>
      <w:r w:rsidR="005E6E09">
        <w:t xml:space="preserve">one </w:t>
      </w:r>
      <w:r w:rsidR="008A5248">
        <w:t xml:space="preserve">test, </w:t>
      </w:r>
      <w:r>
        <w:t>(b)</w:t>
      </w:r>
      <w:r w:rsidR="008A5248">
        <w:t xml:space="preserve"> </w:t>
      </w:r>
      <w:r w:rsidR="005E6E09">
        <w:t xml:space="preserve">two </w:t>
      </w:r>
      <w:r w:rsidR="008A5248">
        <w:t xml:space="preserve">tests and (c) </w:t>
      </w:r>
      <w:r w:rsidR="005E6E09">
        <w:t xml:space="preserve">three </w:t>
      </w:r>
      <w:r w:rsidR="008A5248">
        <w:t>or more tests. This will mean that the maximum number of tests reimbursed will be</w:t>
      </w:r>
      <w:r>
        <w:t xml:space="preserve"> </w:t>
      </w:r>
      <w:r w:rsidR="005E6E09">
        <w:t xml:space="preserve">three, </w:t>
      </w:r>
      <w:r w:rsidR="008A5248">
        <w:t xml:space="preserve">and any additional tests can be performed by laboratories, but there will not be additional remuneration. This will provide </w:t>
      </w:r>
      <w:r>
        <w:t>laboratories the incentive to perform only the most clinically relevant tests rather than a ‘scree</w:t>
      </w:r>
      <w:r w:rsidR="008A5248">
        <w:t>n’ of up to four or more tests</w:t>
      </w:r>
      <w:r w:rsidR="004F031D">
        <w:t>.</w:t>
      </w:r>
    </w:p>
    <w:p w14:paraId="68ED0504" w14:textId="77777777" w:rsidR="009E1247" w:rsidRDefault="00625B93" w:rsidP="00F268D2">
      <w:pPr>
        <w:pStyle w:val="01squarebullet"/>
      </w:pPr>
      <w:r>
        <w:t>The Committee strongly recommended that e</w:t>
      </w:r>
      <w:r w:rsidR="008A5248" w:rsidRPr="00197727">
        <w:t>ducation</w:t>
      </w:r>
      <w:r>
        <w:t>al resources</w:t>
      </w:r>
      <w:r w:rsidR="008A5248" w:rsidRPr="00197727">
        <w:t xml:space="preserve"> and software support should be </w:t>
      </w:r>
      <w:r>
        <w:t>developed</w:t>
      </w:r>
      <w:r w:rsidR="008A5248" w:rsidRPr="00197727">
        <w:t xml:space="preserve"> to guide </w:t>
      </w:r>
      <w:r w:rsidR="00FF736E">
        <w:t>requester</w:t>
      </w:r>
      <w:r w:rsidR="008A5248" w:rsidRPr="00197727">
        <w:t>s to select the most appropriate tests for specific clinical contexts</w:t>
      </w:r>
      <w:r w:rsidR="008A5248">
        <w:t xml:space="preserve"> rather than order a generic ‘screen’</w:t>
      </w:r>
      <w:r w:rsidR="008A5248" w:rsidRPr="00197727">
        <w:t>.</w:t>
      </w:r>
      <w:r w:rsidR="004F031D">
        <w:t xml:space="preserve"> </w:t>
      </w:r>
      <w:r w:rsidR="00F268D2">
        <w:t xml:space="preserve">The concept of </w:t>
      </w:r>
      <w:proofErr w:type="spellStart"/>
      <w:r w:rsidR="00F268D2">
        <w:t>standardised</w:t>
      </w:r>
      <w:proofErr w:type="spellEnd"/>
      <w:r w:rsidR="00F268D2">
        <w:t xml:space="preserve"> panels of coagulation tests being ordered for the appropriate indications was briefly discussed and</w:t>
      </w:r>
      <w:r w:rsidR="008D2A46">
        <w:t>,</w:t>
      </w:r>
      <w:r w:rsidR="00F268D2">
        <w:t xml:space="preserve"> if supported by appropriate education</w:t>
      </w:r>
      <w:r w:rsidR="008D2A46">
        <w:t xml:space="preserve"> and </w:t>
      </w:r>
      <w:r w:rsidR="00F268D2">
        <w:t>decision</w:t>
      </w:r>
      <w:r w:rsidR="008D2A46">
        <w:t>-</w:t>
      </w:r>
      <w:r w:rsidR="00F268D2">
        <w:t>support tools</w:t>
      </w:r>
      <w:r w:rsidR="008D2A46">
        <w:t>,</w:t>
      </w:r>
      <w:r w:rsidR="00F268D2">
        <w:t xml:space="preserve"> may</w:t>
      </w:r>
      <w:r w:rsidR="00E40B54">
        <w:t xml:space="preserve"> be a practical consideration.</w:t>
      </w:r>
    </w:p>
    <w:p w14:paraId="67E65A78" w14:textId="77777777" w:rsidR="008A5248" w:rsidRDefault="004F031D" w:rsidP="009E1247">
      <w:pPr>
        <w:pStyle w:val="01squarebullet"/>
      </w:pPr>
      <w:r>
        <w:t xml:space="preserve">The Committee believes that the limitation on the number of tests remunerated will not adversely affect consumers. Currently the risk of having too many tests puts patients at risk of </w:t>
      </w:r>
      <w:r w:rsidR="009E1247">
        <w:t>over</w:t>
      </w:r>
      <w:r w:rsidR="005E6E09">
        <w:t>-</w:t>
      </w:r>
      <w:r w:rsidR="009E1247">
        <w:t>diagnosis</w:t>
      </w:r>
      <w:r w:rsidR="005E6E09">
        <w:t>,</w:t>
      </w:r>
      <w:r w:rsidR="009E1247">
        <w:t xml:space="preserve"> triggering further unnecessary investigations and costs.</w:t>
      </w:r>
    </w:p>
    <w:p w14:paraId="0B299CA4" w14:textId="77777777" w:rsidR="0033420E" w:rsidRDefault="0033420E" w:rsidP="0033420E">
      <w:pPr>
        <w:pStyle w:val="Heading2"/>
      </w:pPr>
      <w:bookmarkStart w:id="91" w:name="UpToHere"/>
      <w:bookmarkStart w:id="92" w:name="_Toc495403398"/>
      <w:bookmarkEnd w:id="91"/>
      <w:r>
        <w:t xml:space="preserve">D-dimer </w:t>
      </w:r>
      <w:r w:rsidR="00074825">
        <w:t>Item descriptor to be split</w:t>
      </w:r>
      <w:bookmarkEnd w:id="92"/>
    </w:p>
    <w:p w14:paraId="566AFA65" w14:textId="77777777" w:rsidR="0033420E" w:rsidRDefault="0033420E" w:rsidP="00367716">
      <w:pPr>
        <w:pStyle w:val="Heading3"/>
      </w:pPr>
      <w:bookmarkStart w:id="93" w:name="_Toc495403399"/>
      <w:r>
        <w:t>Recommendation</w:t>
      </w:r>
      <w:r w:rsidR="00AF1ED5">
        <w:t xml:space="preserve"> 4</w:t>
      </w:r>
      <w:bookmarkEnd w:id="93"/>
    </w:p>
    <w:p w14:paraId="6114E515" w14:textId="77777777" w:rsidR="0033420E" w:rsidRDefault="0033420E" w:rsidP="0033420E">
      <w:pPr>
        <w:pStyle w:val="01squarebullet"/>
      </w:pPr>
      <w:r>
        <w:t>Create a n</w:t>
      </w:r>
      <w:r w:rsidRPr="007A233D">
        <w:t xml:space="preserve">ew </w:t>
      </w:r>
      <w:r>
        <w:t>item</w:t>
      </w:r>
      <w:r w:rsidRPr="007A233D">
        <w:t xml:space="preserve"> </w:t>
      </w:r>
      <w:r w:rsidR="002D1457">
        <w:t xml:space="preserve">(split from coagulation item 65120) </w:t>
      </w:r>
      <w:r w:rsidRPr="007A233D">
        <w:t xml:space="preserve">for D-dimer with qualifiers based on </w:t>
      </w:r>
      <w:r>
        <w:t>appropriate clinical use.</w:t>
      </w:r>
    </w:p>
    <w:p w14:paraId="79A54226" w14:textId="77777777" w:rsidR="002D1457" w:rsidRPr="002D1457" w:rsidRDefault="0033420E" w:rsidP="002D1457">
      <w:pPr>
        <w:pStyle w:val="01squarebullet"/>
      </w:pPr>
      <w:r w:rsidRPr="00DD4310">
        <w:t>The proposed descriptor would contain the following elements:</w:t>
      </w:r>
      <w:r>
        <w:t xml:space="preserve"> </w:t>
      </w:r>
    </w:p>
    <w:p w14:paraId="53E79EBE" w14:textId="77777777" w:rsidR="0033420E" w:rsidRPr="00040275" w:rsidRDefault="0033420E" w:rsidP="00DD6F28">
      <w:pPr>
        <w:pStyle w:val="01squarebullet"/>
        <w:numPr>
          <w:ilvl w:val="1"/>
          <w:numId w:val="21"/>
        </w:numPr>
        <w:ind w:left="709"/>
      </w:pPr>
      <w:r w:rsidRPr="00040275">
        <w:t xml:space="preserve">diagnosis of </w:t>
      </w:r>
      <w:r w:rsidR="00960EF0">
        <w:t>venous thromboembolism (</w:t>
      </w:r>
      <w:r w:rsidRPr="00040275">
        <w:t>VTE</w:t>
      </w:r>
      <w:r w:rsidR="00960EF0">
        <w:t>)</w:t>
      </w:r>
      <w:r w:rsidRPr="00040275">
        <w:t xml:space="preserve"> or </w:t>
      </w:r>
      <w:r w:rsidR="00960EF0">
        <w:t>pulmonary embolism (</w:t>
      </w:r>
      <w:r w:rsidRPr="00040275">
        <w:t>PE</w:t>
      </w:r>
      <w:r w:rsidR="00960EF0">
        <w:t>)</w:t>
      </w:r>
      <w:r w:rsidRPr="00040275">
        <w:t xml:space="preserve"> to exclude the need for further imaging in a patient with a low pre-test clinical probability of VTE or PE as defined by local algorithms,</w:t>
      </w:r>
    </w:p>
    <w:p w14:paraId="77C1D170" w14:textId="77777777" w:rsidR="0033420E" w:rsidRPr="007A233D" w:rsidRDefault="0033420E" w:rsidP="00DD6F28">
      <w:pPr>
        <w:pStyle w:val="02dash"/>
        <w:numPr>
          <w:ilvl w:val="1"/>
          <w:numId w:val="21"/>
        </w:numPr>
        <w:ind w:left="709"/>
      </w:pPr>
      <w:r w:rsidRPr="007A233D">
        <w:t>follow-up to support decision to cease anticoagulation, or</w:t>
      </w:r>
    </w:p>
    <w:p w14:paraId="618C9D89" w14:textId="77777777" w:rsidR="004F7ED4" w:rsidRDefault="0033420E" w:rsidP="00DD6F28">
      <w:pPr>
        <w:pStyle w:val="02dash"/>
        <w:numPr>
          <w:ilvl w:val="1"/>
          <w:numId w:val="21"/>
        </w:numPr>
        <w:ind w:left="709"/>
      </w:pPr>
      <w:r w:rsidRPr="007A233D">
        <w:t>diagnosis and monitoring of disseminated intravascular coagulopathy (DIC).</w:t>
      </w:r>
    </w:p>
    <w:p w14:paraId="6A8487AE" w14:textId="77777777" w:rsidR="004F7ED4" w:rsidRDefault="004F7ED4" w:rsidP="004F7ED4">
      <w:pPr>
        <w:pStyle w:val="Caption"/>
      </w:pPr>
      <w:bookmarkStart w:id="94" w:name="_Toc481493776"/>
      <w:r>
        <w:lastRenderedPageBreak/>
        <w:t>Table 9: Proposed descriptor for new item for D-dimer.</w:t>
      </w:r>
      <w:bookmarkEnd w:id="94"/>
    </w:p>
    <w:tbl>
      <w:tblPr>
        <w:tblStyle w:val="TableGrid"/>
        <w:tblW w:w="0" w:type="auto"/>
        <w:tblLook w:val="04A0" w:firstRow="1" w:lastRow="0" w:firstColumn="1" w:lastColumn="0" w:noHBand="0" w:noVBand="1"/>
        <w:tblCaption w:val="Table 9, Proposed changes to item 65144"/>
        <w:tblDescription w:val="This table shows the proposed descriptor of a new separate item for D-dimer, split from the original item 65120. There are 3 columns – column 1: item number, column 2: current descriptor, and column 3: proposed  descriptor."/>
      </w:tblPr>
      <w:tblGrid>
        <w:gridCol w:w="988"/>
        <w:gridCol w:w="3969"/>
        <w:gridCol w:w="4059"/>
      </w:tblGrid>
      <w:tr w:rsidR="004F7ED4" w:rsidRPr="005404FE" w14:paraId="2A9D672D" w14:textId="77777777" w:rsidTr="002D67EE">
        <w:trPr>
          <w:tblHeader/>
        </w:trPr>
        <w:tc>
          <w:tcPr>
            <w:tcW w:w="988" w:type="dxa"/>
            <w:shd w:val="clear" w:color="auto" w:fill="F2F2F2" w:themeFill="background1" w:themeFillShade="F2"/>
            <w:vAlign w:val="bottom"/>
          </w:tcPr>
          <w:p w14:paraId="79560229" w14:textId="77777777" w:rsidR="004F7ED4" w:rsidRPr="005404FE" w:rsidRDefault="004F7ED4" w:rsidP="004F7ED4">
            <w:pPr>
              <w:rPr>
                <w:rFonts w:ascii="Arial" w:hAnsi="Arial" w:cs="Arial"/>
                <w:b/>
                <w:sz w:val="18"/>
                <w:szCs w:val="18"/>
              </w:rPr>
            </w:pPr>
            <w:r w:rsidRPr="005404FE">
              <w:rPr>
                <w:rFonts w:ascii="Arial" w:hAnsi="Arial" w:cs="Arial"/>
                <w:b/>
                <w:sz w:val="18"/>
                <w:szCs w:val="18"/>
              </w:rPr>
              <w:t>Item</w:t>
            </w:r>
          </w:p>
        </w:tc>
        <w:tc>
          <w:tcPr>
            <w:tcW w:w="3969" w:type="dxa"/>
            <w:shd w:val="clear" w:color="auto" w:fill="F2F2F2" w:themeFill="background1" w:themeFillShade="F2"/>
            <w:vAlign w:val="bottom"/>
          </w:tcPr>
          <w:p w14:paraId="739DEAEF" w14:textId="77777777" w:rsidR="004F7ED4" w:rsidRPr="005404FE" w:rsidRDefault="004F7ED4" w:rsidP="004F7ED4">
            <w:pPr>
              <w:rPr>
                <w:rFonts w:ascii="Arial" w:hAnsi="Arial" w:cs="Arial"/>
                <w:b/>
                <w:sz w:val="18"/>
                <w:szCs w:val="18"/>
              </w:rPr>
            </w:pPr>
            <w:r w:rsidRPr="005404FE">
              <w:rPr>
                <w:rFonts w:ascii="Arial" w:hAnsi="Arial" w:cs="Arial"/>
                <w:b/>
                <w:sz w:val="18"/>
                <w:szCs w:val="18"/>
              </w:rPr>
              <w:t>Current descriptor</w:t>
            </w:r>
          </w:p>
        </w:tc>
        <w:tc>
          <w:tcPr>
            <w:tcW w:w="4059" w:type="dxa"/>
            <w:shd w:val="clear" w:color="auto" w:fill="F2F2F2" w:themeFill="background1" w:themeFillShade="F2"/>
            <w:vAlign w:val="bottom"/>
          </w:tcPr>
          <w:p w14:paraId="0C4ABF66" w14:textId="77777777" w:rsidR="004F7ED4" w:rsidRPr="005404FE" w:rsidRDefault="004F7ED4" w:rsidP="004F7ED4">
            <w:pPr>
              <w:rPr>
                <w:rFonts w:ascii="Arial" w:hAnsi="Arial" w:cs="Arial"/>
                <w:b/>
                <w:sz w:val="18"/>
                <w:szCs w:val="18"/>
              </w:rPr>
            </w:pPr>
            <w:r w:rsidRPr="005404FE">
              <w:rPr>
                <w:rFonts w:ascii="Arial" w:hAnsi="Arial" w:cs="Arial"/>
                <w:b/>
                <w:sz w:val="18"/>
                <w:szCs w:val="18"/>
              </w:rPr>
              <w:t>Proposed descriptor</w:t>
            </w:r>
          </w:p>
        </w:tc>
      </w:tr>
      <w:tr w:rsidR="004F7ED4" w:rsidRPr="005404FE" w14:paraId="20AA5843" w14:textId="77777777" w:rsidTr="002D67EE">
        <w:tc>
          <w:tcPr>
            <w:tcW w:w="988" w:type="dxa"/>
          </w:tcPr>
          <w:p w14:paraId="738BE8E2" w14:textId="77777777" w:rsidR="004F7ED4" w:rsidRPr="005404FE" w:rsidRDefault="004F7ED4" w:rsidP="004F7ED4">
            <w:pPr>
              <w:rPr>
                <w:rFonts w:ascii="Arial" w:hAnsi="Arial" w:cs="Arial"/>
                <w:color w:val="000000"/>
                <w:sz w:val="18"/>
                <w:szCs w:val="18"/>
              </w:rPr>
            </w:pPr>
            <w:r w:rsidRPr="005404FE">
              <w:rPr>
                <w:rFonts w:ascii="Arial" w:hAnsi="Arial" w:cs="Arial"/>
                <w:color w:val="000000"/>
                <w:sz w:val="18"/>
                <w:szCs w:val="18"/>
              </w:rPr>
              <w:t xml:space="preserve">New </w:t>
            </w:r>
            <w:r>
              <w:rPr>
                <w:rFonts w:ascii="Arial" w:hAnsi="Arial" w:cs="Arial"/>
                <w:color w:val="000000"/>
                <w:sz w:val="18"/>
                <w:szCs w:val="18"/>
              </w:rPr>
              <w:t>item</w:t>
            </w:r>
          </w:p>
        </w:tc>
        <w:tc>
          <w:tcPr>
            <w:tcW w:w="3969" w:type="dxa"/>
          </w:tcPr>
          <w:p w14:paraId="59722780" w14:textId="77777777" w:rsidR="004F7ED4" w:rsidRPr="005404FE" w:rsidRDefault="004F7ED4" w:rsidP="004F7ED4">
            <w:pPr>
              <w:rPr>
                <w:rFonts w:ascii="Arial" w:hAnsi="Arial" w:cs="Arial"/>
                <w:color w:val="000000"/>
                <w:sz w:val="18"/>
                <w:szCs w:val="18"/>
              </w:rPr>
            </w:pPr>
          </w:p>
        </w:tc>
        <w:tc>
          <w:tcPr>
            <w:tcW w:w="4059" w:type="dxa"/>
          </w:tcPr>
          <w:p w14:paraId="0B624E04" w14:textId="77777777" w:rsidR="004F7ED4" w:rsidRPr="004F7ED4" w:rsidRDefault="004F7ED4" w:rsidP="004F7ED4">
            <w:pPr>
              <w:rPr>
                <w:rFonts w:ascii="Arial" w:hAnsi="Arial" w:cs="Arial"/>
                <w:color w:val="000000"/>
                <w:sz w:val="18"/>
                <w:szCs w:val="18"/>
              </w:rPr>
            </w:pPr>
            <w:r w:rsidRPr="004F7ED4">
              <w:rPr>
                <w:rFonts w:ascii="Arial" w:hAnsi="Arial" w:cs="Arial"/>
                <w:color w:val="000000"/>
                <w:sz w:val="18"/>
                <w:szCs w:val="18"/>
              </w:rPr>
              <w:t>D-dimer on whole blood to (a) exclude the need for further imaging in patients with a low pre-test clinical probability of venous thromboembolism (VTE) or pulmonary embolism (PE), (b) support clinical decisions regardi</w:t>
            </w:r>
            <w:r>
              <w:rPr>
                <w:rFonts w:ascii="Arial" w:hAnsi="Arial" w:cs="Arial"/>
                <w:color w:val="000000"/>
                <w:sz w:val="18"/>
                <w:szCs w:val="18"/>
              </w:rPr>
              <w:t>ng duration of anticoagulation,</w:t>
            </w:r>
            <w:r w:rsidRPr="004F7ED4">
              <w:rPr>
                <w:rFonts w:ascii="Arial" w:hAnsi="Arial" w:cs="Arial"/>
                <w:color w:val="000000"/>
                <w:sz w:val="18"/>
                <w:szCs w:val="18"/>
              </w:rPr>
              <w:t xml:space="preserve"> or (c) diagnose and/or monitor disseminated int</w:t>
            </w:r>
            <w:r>
              <w:rPr>
                <w:rFonts w:ascii="Arial" w:hAnsi="Arial" w:cs="Arial"/>
                <w:color w:val="000000"/>
                <w:sz w:val="18"/>
                <w:szCs w:val="18"/>
              </w:rPr>
              <w:t>ravascular coagulopathy (DIC).</w:t>
            </w:r>
          </w:p>
          <w:p w14:paraId="5557B43C" w14:textId="77777777" w:rsidR="004F7ED4" w:rsidRPr="005404FE" w:rsidRDefault="004F7ED4" w:rsidP="004F7ED4">
            <w:pPr>
              <w:rPr>
                <w:rFonts w:ascii="Arial" w:hAnsi="Arial" w:cs="Arial"/>
                <w:color w:val="000000"/>
                <w:sz w:val="18"/>
                <w:szCs w:val="18"/>
              </w:rPr>
            </w:pPr>
            <w:r w:rsidRPr="004F7ED4">
              <w:rPr>
                <w:rFonts w:ascii="Arial" w:hAnsi="Arial" w:cs="Arial"/>
                <w:color w:val="000000"/>
                <w:sz w:val="18"/>
                <w:szCs w:val="18"/>
              </w:rPr>
              <w:t xml:space="preserve">Explanatory note for (a): The sensitivity and specificity of the D-dimer is dependent on both patient and technical factors. It has no useful positive predictive value </w:t>
            </w:r>
            <w:r>
              <w:rPr>
                <w:rFonts w:ascii="Arial" w:hAnsi="Arial" w:cs="Arial"/>
                <w:color w:val="000000"/>
                <w:sz w:val="18"/>
                <w:szCs w:val="18"/>
              </w:rPr>
              <w:t>for confirmation of thrombosis.</w:t>
            </w:r>
            <w:r w:rsidRPr="004F7ED4">
              <w:rPr>
                <w:rFonts w:ascii="Arial" w:hAnsi="Arial" w:cs="Arial"/>
                <w:color w:val="000000"/>
                <w:sz w:val="18"/>
                <w:szCs w:val="18"/>
              </w:rPr>
              <w:t xml:space="preserve"> The utility of a negative predictive value for DVT/PE is most valid when the test is used in conjunction with clinical assessment by standard algorithm of a patient determined to be at low to moderate risk for thrombosis.</w:t>
            </w:r>
          </w:p>
        </w:tc>
      </w:tr>
    </w:tbl>
    <w:p w14:paraId="4208BC7C" w14:textId="77777777" w:rsidR="0033420E" w:rsidRDefault="0033420E" w:rsidP="00367716">
      <w:pPr>
        <w:pStyle w:val="Heading3"/>
      </w:pPr>
      <w:bookmarkStart w:id="95" w:name="_Toc495403400"/>
      <w:r>
        <w:t>Rationale</w:t>
      </w:r>
      <w:r w:rsidR="0022742C">
        <w:t xml:space="preserve"> 4</w:t>
      </w:r>
      <w:bookmarkEnd w:id="95"/>
    </w:p>
    <w:p w14:paraId="6433B916" w14:textId="77777777" w:rsidR="0033420E" w:rsidRDefault="0033420E" w:rsidP="0033420E">
      <w:r>
        <w:t xml:space="preserve">The recommendation is </w:t>
      </w:r>
      <w:r w:rsidR="00891B8D">
        <w:t>focused</w:t>
      </w:r>
      <w:r>
        <w:t xml:space="preserve"> on improving patient care and encouraging best practice. It is based on the following observations.</w:t>
      </w:r>
    </w:p>
    <w:p w14:paraId="2F506B3E" w14:textId="77777777" w:rsidR="0033420E" w:rsidRDefault="0033420E" w:rsidP="0033420E">
      <w:pPr>
        <w:pStyle w:val="01squarebullet"/>
      </w:pPr>
      <w:r>
        <w:t>D-dimer is currently included as one of the tests in the coagulation item 65120. The MBS data do not provide information on the number of D-dimer requests and this is one of the limitations of ‘bundling’ it with the other coagulation studies.</w:t>
      </w:r>
    </w:p>
    <w:p w14:paraId="3B2EF2BB" w14:textId="77777777" w:rsidR="0033420E" w:rsidRPr="00827E34" w:rsidRDefault="0033420E" w:rsidP="0033420E">
      <w:pPr>
        <w:pStyle w:val="01squarebullet"/>
      </w:pPr>
      <w:r>
        <w:t>D-dimer has specific clinical utility and should only be used in certain circumstances. It</w:t>
      </w:r>
      <w:r w:rsidRPr="00827E34">
        <w:rPr>
          <w:lang w:val="en-AU"/>
        </w:rPr>
        <w:t xml:space="preserve"> is a sensitive </w:t>
      </w:r>
      <w:r>
        <w:rPr>
          <w:lang w:val="en-AU"/>
        </w:rPr>
        <w:t>test but has a poor specificity</w:t>
      </w:r>
      <w:r w:rsidRPr="00827E34">
        <w:rPr>
          <w:lang w:val="en-AU"/>
        </w:rPr>
        <w:t xml:space="preserve"> and should only be used to rule out deep vein thrombosis (DVT) </w:t>
      </w:r>
      <w:r w:rsidR="00960EF0">
        <w:rPr>
          <w:lang w:val="en-AU"/>
        </w:rPr>
        <w:t xml:space="preserve">or </w:t>
      </w:r>
      <w:r w:rsidRPr="00827E34">
        <w:rPr>
          <w:lang w:val="en-AU"/>
        </w:rPr>
        <w:t>PE, not to confirm a diagnosis.</w:t>
      </w:r>
      <w:r>
        <w:rPr>
          <w:lang w:val="en-AU"/>
        </w:rPr>
        <w:t xml:space="preserve"> It</w:t>
      </w:r>
      <w:r w:rsidRPr="00827E34">
        <w:rPr>
          <w:lang w:val="en-AU"/>
        </w:rPr>
        <w:t xml:space="preserve"> </w:t>
      </w:r>
      <w:r w:rsidRPr="0028318E">
        <w:t xml:space="preserve">is most valid and useful when the test is done for people who </w:t>
      </w:r>
      <w:proofErr w:type="gramStart"/>
      <w:r w:rsidRPr="0028318E">
        <w:t>are considered to be</w:t>
      </w:r>
      <w:proofErr w:type="gramEnd"/>
      <w:r w:rsidRPr="0028318E">
        <w:t xml:space="preserve"> at low to moderate risk for thrombosis.</w:t>
      </w:r>
    </w:p>
    <w:p w14:paraId="1322B52C" w14:textId="77777777" w:rsidR="0033420E" w:rsidRDefault="0033420E" w:rsidP="0033420E">
      <w:pPr>
        <w:pStyle w:val="01squarebullet"/>
      </w:pPr>
      <w:r>
        <w:t>D-dimer is relevant in the following circumstances:</w:t>
      </w:r>
    </w:p>
    <w:p w14:paraId="358D062B" w14:textId="77777777" w:rsidR="0033420E" w:rsidRDefault="0033420E" w:rsidP="00DD6F28">
      <w:pPr>
        <w:pStyle w:val="02dash"/>
        <w:numPr>
          <w:ilvl w:val="1"/>
          <w:numId w:val="21"/>
        </w:numPr>
        <w:ind w:left="709"/>
      </w:pPr>
      <w:r>
        <w:t>A negative</w:t>
      </w:r>
      <w:r w:rsidR="00960EF0">
        <w:t xml:space="preserve"> </w:t>
      </w:r>
      <w:r>
        <w:t xml:space="preserve">result </w:t>
      </w:r>
      <w:r w:rsidR="00960EF0">
        <w:t xml:space="preserve">for </w:t>
      </w:r>
      <w:r>
        <w:t>whole</w:t>
      </w:r>
      <w:r w:rsidR="00960EF0">
        <w:t>-</w:t>
      </w:r>
      <w:r>
        <w:t>blood D-dimer to exclude PE in low</w:t>
      </w:r>
      <w:r w:rsidR="00130730">
        <w:t>-</w:t>
      </w:r>
      <w:r>
        <w:t>risk p</w:t>
      </w:r>
      <w:r w:rsidR="004719CC">
        <w:t xml:space="preserve">atients instead of imaging (supported by </w:t>
      </w:r>
      <w:r w:rsidR="00E40B54">
        <w:t xml:space="preserve">the Royal Australian and New Zealand College of </w:t>
      </w:r>
      <w:r w:rsidR="007C358D">
        <w:t>Radiologists</w:t>
      </w:r>
      <w:r w:rsidR="000817B3">
        <w:t xml:space="preserve"> [</w:t>
      </w:r>
      <w:r w:rsidR="004719CC">
        <w:t>RANZCR</w:t>
      </w:r>
      <w:r w:rsidR="000817B3">
        <w:t xml:space="preserve">] </w:t>
      </w:r>
      <w:r>
        <w:t xml:space="preserve">Choosing Wisely </w:t>
      </w:r>
      <w:r w:rsidR="0022742C">
        <w:t>r</w:t>
      </w:r>
      <w:r w:rsidR="004719CC">
        <w:t>ecommendation—</w:t>
      </w:r>
      <w:r w:rsidR="0022742C">
        <w:t xml:space="preserve"> </w:t>
      </w:r>
      <w:r>
        <w:t>‘</w:t>
      </w:r>
      <w:r w:rsidRPr="00827E34">
        <w:rPr>
          <w:i/>
        </w:rPr>
        <w:t>Don’t request any diagnostic testing for suspected pulmonary embolism (PE) unless indicated by Wells Score (or Charlotte Rule) followed by PE Rule-out Criteria (in patients not pregnant). Low risk patients in whom diagnostic testing is indicated should have PE excluded by a</w:t>
      </w:r>
      <w:r w:rsidR="004719CC">
        <w:rPr>
          <w:i/>
        </w:rPr>
        <w:t xml:space="preserve"> negative D dimer, not imaging’)</w:t>
      </w:r>
      <w:r>
        <w:t>.</w:t>
      </w:r>
      <w:r w:rsidR="000817B3">
        <w:t xml:space="preserve"> </w:t>
      </w:r>
      <w:r w:rsidR="00B83872">
        <w:fldChar w:fldCharType="begin"/>
      </w:r>
      <w:r w:rsidR="00B83872">
        <w:instrText xml:space="preserve"> REF _Ref488758440 \r \h </w:instrText>
      </w:r>
      <w:r w:rsidR="00B83872">
        <w:fldChar w:fldCharType="separate"/>
      </w:r>
      <w:r w:rsidR="005C3364">
        <w:t>[4]</w:t>
      </w:r>
      <w:r w:rsidR="00B83872">
        <w:fldChar w:fldCharType="end"/>
      </w:r>
    </w:p>
    <w:p w14:paraId="7E326766" w14:textId="77777777" w:rsidR="0033420E" w:rsidRPr="00827E34" w:rsidRDefault="0033420E" w:rsidP="00DD6F28">
      <w:pPr>
        <w:pStyle w:val="02dash"/>
        <w:numPr>
          <w:ilvl w:val="1"/>
          <w:numId w:val="21"/>
        </w:numPr>
        <w:ind w:left="709"/>
      </w:pPr>
      <w:r>
        <w:t>A</w:t>
      </w:r>
      <w:r w:rsidRPr="00F36273">
        <w:t xml:space="preserve"> negative result </w:t>
      </w:r>
      <w:r w:rsidR="00960EF0">
        <w:t>for</w:t>
      </w:r>
      <w:r w:rsidR="00960EF0" w:rsidRPr="00F36273">
        <w:t xml:space="preserve"> </w:t>
      </w:r>
      <w:r w:rsidRPr="00F36273">
        <w:t>D</w:t>
      </w:r>
      <w:r>
        <w:t>-</w:t>
      </w:r>
      <w:r w:rsidRPr="00F36273">
        <w:t>dimer assay</w:t>
      </w:r>
      <w:r>
        <w:t xml:space="preserve"> in a</w:t>
      </w:r>
      <w:r w:rsidRPr="00F36273">
        <w:t>mbulatory outpatients with suspected lower</w:t>
      </w:r>
      <w:r w:rsidR="00130730">
        <w:t>-</w:t>
      </w:r>
      <w:r w:rsidRPr="00F36273">
        <w:t>limb DVT and a DVT risk assessment score (Wells Score) of less than 2</w:t>
      </w:r>
      <w:r w:rsidR="00130730">
        <w:t>,</w:t>
      </w:r>
      <w:r w:rsidR="00130730" w:rsidRPr="00F36273">
        <w:t xml:space="preserve"> </w:t>
      </w:r>
      <w:r w:rsidR="00130730">
        <w:t xml:space="preserve">which </w:t>
      </w:r>
      <w:r w:rsidRPr="00F36273">
        <w:t>can</w:t>
      </w:r>
      <w:r>
        <w:t xml:space="preserve"> exclude a</w:t>
      </w:r>
      <w:r w:rsidRPr="00F36273">
        <w:t xml:space="preserve"> </w:t>
      </w:r>
      <w:r>
        <w:t>DVT and</w:t>
      </w:r>
      <w:r w:rsidRPr="00F36273">
        <w:t xml:space="preserve"> </w:t>
      </w:r>
      <w:r>
        <w:t>prevent</w:t>
      </w:r>
      <w:r w:rsidRPr="00F36273">
        <w:t xml:space="preserve"> the need </w:t>
      </w:r>
      <w:r>
        <w:t>for diagnostic imaging</w:t>
      </w:r>
      <w:r w:rsidR="0022742C">
        <w:t xml:space="preserve"> (supported by </w:t>
      </w:r>
      <w:r w:rsidR="0022742C" w:rsidRPr="00B71C14">
        <w:t>RANZCR</w:t>
      </w:r>
      <w:r w:rsidR="0022742C">
        <w:t xml:space="preserve"> </w:t>
      </w:r>
      <w:r w:rsidRPr="00B71C14">
        <w:t xml:space="preserve">Choosing Wisely </w:t>
      </w:r>
      <w:r w:rsidR="0022742C">
        <w:t>recommendation—</w:t>
      </w:r>
      <w:r>
        <w:rPr>
          <w:i/>
        </w:rPr>
        <w:t xml:space="preserve"> ‘Don’t request duplex compression ultrasound for suspected lower limb deep venous thrombosis in ambulatory outpatients unless the Wells Score (DVT risk assessment score is greater than 2, OR if less tha</w:t>
      </w:r>
      <w:r w:rsidR="0022742C">
        <w:rPr>
          <w:i/>
        </w:rPr>
        <w:t>n 2, D-</w:t>
      </w:r>
      <w:r w:rsidR="000817B3">
        <w:rPr>
          <w:i/>
        </w:rPr>
        <w:t>dimer assay is positive’)</w:t>
      </w:r>
      <w:r>
        <w:rPr>
          <w:i/>
        </w:rPr>
        <w:t>.</w:t>
      </w:r>
      <w:r w:rsidR="000817B3" w:rsidRPr="00B83872">
        <w:t xml:space="preserve"> </w:t>
      </w:r>
      <w:r w:rsidR="00B83872" w:rsidRPr="00B83872">
        <w:fldChar w:fldCharType="begin"/>
      </w:r>
      <w:r w:rsidR="00B83872" w:rsidRPr="00B83872">
        <w:instrText xml:space="preserve"> REF _Ref488758440 \r \h </w:instrText>
      </w:r>
      <w:r w:rsidR="00B83872">
        <w:instrText xml:space="preserve"> \* MERGEFORMAT </w:instrText>
      </w:r>
      <w:r w:rsidR="00B83872" w:rsidRPr="00B83872">
        <w:fldChar w:fldCharType="separate"/>
      </w:r>
      <w:r w:rsidR="005C3364">
        <w:t>[4]</w:t>
      </w:r>
      <w:r w:rsidR="00B83872" w:rsidRPr="00B83872">
        <w:fldChar w:fldCharType="end"/>
      </w:r>
    </w:p>
    <w:p w14:paraId="6EB5B4B4" w14:textId="77777777" w:rsidR="0033420E" w:rsidRDefault="0033420E" w:rsidP="00DD6F28">
      <w:pPr>
        <w:pStyle w:val="02dash"/>
        <w:numPr>
          <w:ilvl w:val="1"/>
          <w:numId w:val="21"/>
        </w:numPr>
        <w:ind w:left="709"/>
      </w:pPr>
      <w:r w:rsidRPr="0028318E">
        <w:t>When used to monitor DIC treatment, decreasing levels indicate that treatment is effective while increasing levels may indicate that treatment is not working.</w:t>
      </w:r>
    </w:p>
    <w:p w14:paraId="4BE258F2" w14:textId="77777777" w:rsidR="0033420E" w:rsidRPr="005C47CA" w:rsidRDefault="001A69EF" w:rsidP="00DD6F28">
      <w:pPr>
        <w:pStyle w:val="02dash"/>
        <w:numPr>
          <w:ilvl w:val="1"/>
          <w:numId w:val="21"/>
        </w:numPr>
        <w:ind w:left="709"/>
      </w:pPr>
      <w:r w:rsidRPr="005C47CA">
        <w:t xml:space="preserve">To guide the duration of </w:t>
      </w:r>
      <w:r w:rsidR="00171162" w:rsidRPr="005C47CA">
        <w:t xml:space="preserve">anticoagulation in patients with </w:t>
      </w:r>
      <w:r w:rsidR="005C47CA" w:rsidRPr="005C47CA">
        <w:t>a VTE.</w:t>
      </w:r>
    </w:p>
    <w:p w14:paraId="457B29FC" w14:textId="77777777" w:rsidR="0033420E" w:rsidRDefault="0033420E" w:rsidP="0033420E">
      <w:pPr>
        <w:pStyle w:val="01squarebullet"/>
      </w:pPr>
      <w:r>
        <w:t xml:space="preserve">The Committee agreed that creating a separate item number for D-dimer </w:t>
      </w:r>
      <w:r w:rsidR="00C07E2E">
        <w:t>provides the opportunity to restrict the test to</w:t>
      </w:r>
      <w:r w:rsidR="00204E02">
        <w:t xml:space="preserve"> the most </w:t>
      </w:r>
      <w:r>
        <w:t xml:space="preserve">appropriate </w:t>
      </w:r>
      <w:r w:rsidR="00204E02">
        <w:t xml:space="preserve">clinical </w:t>
      </w:r>
      <w:r>
        <w:t xml:space="preserve">contexts and </w:t>
      </w:r>
      <w:proofErr w:type="spellStart"/>
      <w:r w:rsidR="009A0CC9">
        <w:t>minimise</w:t>
      </w:r>
      <w:proofErr w:type="spellEnd"/>
      <w:r>
        <w:t xml:space="preserve"> </w:t>
      </w:r>
      <w:r>
        <w:lastRenderedPageBreak/>
        <w:t>inappropriate use and cost. It will improve patient care and safety by reducing the number of potentially misleading</w:t>
      </w:r>
      <w:r w:rsidR="002B4774">
        <w:t xml:space="preserve"> test results</w:t>
      </w:r>
      <w:r>
        <w:t>. As a separate item number, decision support can be developed to guide the appropriate use of this test</w:t>
      </w:r>
      <w:r w:rsidR="002D1457">
        <w:t xml:space="preserve"> and </w:t>
      </w:r>
      <w:proofErr w:type="spellStart"/>
      <w:r w:rsidR="002D1457">
        <w:t>utili</w:t>
      </w:r>
      <w:r w:rsidR="00FA1ECD">
        <w:t>s</w:t>
      </w:r>
      <w:r w:rsidR="002D1457">
        <w:t>ation</w:t>
      </w:r>
      <w:proofErr w:type="spellEnd"/>
      <w:r w:rsidR="002D1457">
        <w:t xml:space="preserve"> patterns </w:t>
      </w:r>
      <w:r w:rsidR="00AF0600">
        <w:t>c</w:t>
      </w:r>
      <w:r w:rsidR="00365AE3">
        <w:t>a</w:t>
      </w:r>
      <w:r w:rsidR="00AF0600">
        <w:t xml:space="preserve">n be </w:t>
      </w:r>
      <w:r w:rsidR="002D1457">
        <w:t>better monitored</w:t>
      </w:r>
      <w:r>
        <w:t>.</w:t>
      </w:r>
    </w:p>
    <w:p w14:paraId="21067BDF" w14:textId="77777777" w:rsidR="00C07E2E" w:rsidRDefault="00824B23" w:rsidP="00204E02">
      <w:pPr>
        <w:pStyle w:val="01squarebullet"/>
      </w:pPr>
      <w:r>
        <w:t>D-dimer</w:t>
      </w:r>
      <w:r w:rsidR="00BD08F0">
        <w:t xml:space="preserve"> </w:t>
      </w:r>
      <w:r>
        <w:t>has</w:t>
      </w:r>
      <w:r w:rsidR="00BD08F0">
        <w:t xml:space="preserve"> been identified as an area where there is need for education to ensure appropriate ordering and interpretation of results</w:t>
      </w:r>
      <w:r>
        <w:t xml:space="preserve"> both in the acute care setting such as Emergency Departments, but particularly for GPs. </w:t>
      </w:r>
      <w:r w:rsidR="00BD08F0">
        <w:t>Any changes will require communication with</w:t>
      </w:r>
      <w:r>
        <w:t xml:space="preserve"> both providers and </w:t>
      </w:r>
      <w:r w:rsidR="00FF736E">
        <w:t>requester</w:t>
      </w:r>
      <w:r>
        <w:t xml:space="preserve">s. </w:t>
      </w:r>
    </w:p>
    <w:p w14:paraId="10CACCE4" w14:textId="77777777" w:rsidR="00A44920" w:rsidRPr="00A44920" w:rsidRDefault="0033420E" w:rsidP="00A44920">
      <w:pPr>
        <w:pStyle w:val="Heading2"/>
      </w:pPr>
      <w:bookmarkStart w:id="96" w:name="_Toc495403401"/>
      <w:r w:rsidRPr="00A44920">
        <w:t>Platelet</w:t>
      </w:r>
      <w:r>
        <w:t xml:space="preserve"> </w:t>
      </w:r>
      <w:r w:rsidR="004F5BEE">
        <w:t>assessment</w:t>
      </w:r>
      <w:r>
        <w:t xml:space="preserve"> </w:t>
      </w:r>
      <w:r w:rsidR="004F5BEE">
        <w:t xml:space="preserve">and </w:t>
      </w:r>
      <w:r w:rsidR="00B26FAB">
        <w:t xml:space="preserve">platelet </w:t>
      </w:r>
      <w:r w:rsidR="004F5BEE">
        <w:t>aggregation tests</w:t>
      </w:r>
      <w:r w:rsidR="00813794">
        <w:t>:</w:t>
      </w:r>
      <w:r w:rsidR="00C77285">
        <w:t xml:space="preserve"> </w:t>
      </w:r>
      <w:r w:rsidR="008B09CF">
        <w:t>i</w:t>
      </w:r>
      <w:r w:rsidR="00813794">
        <w:t xml:space="preserve">tem 65144 and </w:t>
      </w:r>
      <w:r w:rsidR="00B26FAB">
        <w:t>new</w:t>
      </w:r>
      <w:r w:rsidR="0034438D">
        <w:t xml:space="preserve"> split item</w:t>
      </w:r>
      <w:bookmarkEnd w:id="96"/>
    </w:p>
    <w:p w14:paraId="4F23071E" w14:textId="77777777" w:rsidR="0033420E" w:rsidRPr="002C6688" w:rsidRDefault="002C0890" w:rsidP="00C702A9">
      <w:pPr>
        <w:pStyle w:val="Caption"/>
      </w:pPr>
      <w:bookmarkStart w:id="97" w:name="_Toc481493777"/>
      <w:r>
        <w:t>Table 10</w:t>
      </w:r>
      <w:r w:rsidR="00640D76" w:rsidRPr="008F7F21">
        <w:t xml:space="preserve">: </w:t>
      </w:r>
      <w:r w:rsidR="0033420E" w:rsidRPr="008F7F21">
        <w:t>Item</w:t>
      </w:r>
      <w:r w:rsidR="0033420E" w:rsidRPr="00FC1976">
        <w:t xml:space="preserve"> introduction table for item</w:t>
      </w:r>
      <w:r w:rsidR="008F5423">
        <w:t xml:space="preserve"> </w:t>
      </w:r>
      <w:r w:rsidR="008F5423" w:rsidRPr="00A80494">
        <w:rPr>
          <w:color w:val="000000"/>
          <w:szCs w:val="18"/>
        </w:rPr>
        <w:t>65144</w:t>
      </w:r>
      <w:bookmarkEnd w:id="97"/>
    </w:p>
    <w:tbl>
      <w:tblPr>
        <w:tblStyle w:val="TableGrid1"/>
        <w:tblW w:w="8885" w:type="dxa"/>
        <w:tblLook w:val="04A0" w:firstRow="1" w:lastRow="0" w:firstColumn="1" w:lastColumn="0" w:noHBand="0" w:noVBand="1"/>
        <w:tblCaption w:val="Table 10, Item introduction table for item 65144"/>
        <w:tblDescription w:val="This table shows selected current MBS Schedule information for item 65144. There are 7 columns – column 1: item number, column 2: long item descriptor, column 3: schedule fee, column 4: services for the 2014–15 financial year, column 5: total benefits for the 2014–15 financial year, column 6: total patient count for the 2014–15 financial year, and column 7: 5-year compound annual growth rate of the service."/>
      </w:tblPr>
      <w:tblGrid>
        <w:gridCol w:w="745"/>
        <w:gridCol w:w="2652"/>
        <w:gridCol w:w="1017"/>
        <w:gridCol w:w="1209"/>
        <w:gridCol w:w="1273"/>
        <w:gridCol w:w="980"/>
        <w:gridCol w:w="1009"/>
      </w:tblGrid>
      <w:tr w:rsidR="0033420E" w:rsidRPr="005404FE" w14:paraId="61ADE8CC" w14:textId="77777777" w:rsidTr="002D67EE">
        <w:trPr>
          <w:trHeight w:val="729"/>
          <w:tblHeader/>
        </w:trPr>
        <w:tc>
          <w:tcPr>
            <w:tcW w:w="745" w:type="dxa"/>
            <w:shd w:val="clear" w:color="auto" w:fill="F2F2F2" w:themeFill="background1" w:themeFillShade="F2"/>
            <w:vAlign w:val="bottom"/>
            <w:hideMark/>
          </w:tcPr>
          <w:p w14:paraId="0DD4DDE5" w14:textId="77777777" w:rsidR="0033420E" w:rsidRPr="005404FE" w:rsidRDefault="0033420E" w:rsidP="00795693">
            <w:pPr>
              <w:rPr>
                <w:rFonts w:ascii="Arial" w:hAnsi="Arial" w:cs="Arial"/>
                <w:b/>
                <w:color w:val="000000"/>
                <w:sz w:val="18"/>
                <w:szCs w:val="18"/>
              </w:rPr>
            </w:pPr>
            <w:r w:rsidRPr="005404FE">
              <w:rPr>
                <w:rFonts w:ascii="Arial" w:hAnsi="Arial" w:cs="Arial"/>
                <w:b/>
                <w:color w:val="000000"/>
                <w:sz w:val="18"/>
                <w:szCs w:val="18"/>
              </w:rPr>
              <w:t>Item</w:t>
            </w:r>
          </w:p>
        </w:tc>
        <w:tc>
          <w:tcPr>
            <w:tcW w:w="2652" w:type="dxa"/>
            <w:shd w:val="clear" w:color="auto" w:fill="F2F2F2" w:themeFill="background1" w:themeFillShade="F2"/>
            <w:vAlign w:val="bottom"/>
            <w:hideMark/>
          </w:tcPr>
          <w:p w14:paraId="3A51656C" w14:textId="77777777" w:rsidR="0033420E" w:rsidRPr="005404FE" w:rsidRDefault="0033420E" w:rsidP="00795693">
            <w:pPr>
              <w:rPr>
                <w:rFonts w:ascii="Arial" w:hAnsi="Arial" w:cs="Arial"/>
                <w:b/>
                <w:color w:val="000000"/>
                <w:sz w:val="18"/>
                <w:szCs w:val="18"/>
              </w:rPr>
            </w:pPr>
            <w:r w:rsidRPr="005404FE">
              <w:rPr>
                <w:rFonts w:ascii="Arial" w:hAnsi="Arial" w:cs="Arial"/>
                <w:b/>
                <w:color w:val="000000"/>
                <w:sz w:val="18"/>
                <w:szCs w:val="18"/>
              </w:rPr>
              <w:t>Long item descriptor</w:t>
            </w:r>
          </w:p>
        </w:tc>
        <w:tc>
          <w:tcPr>
            <w:tcW w:w="1017" w:type="dxa"/>
            <w:shd w:val="clear" w:color="auto" w:fill="F2F2F2" w:themeFill="background1" w:themeFillShade="F2"/>
            <w:vAlign w:val="bottom"/>
            <w:hideMark/>
          </w:tcPr>
          <w:p w14:paraId="5FACA1CC" w14:textId="77777777" w:rsidR="0033420E" w:rsidRPr="005404FE" w:rsidRDefault="005B22A7" w:rsidP="00795693">
            <w:pPr>
              <w:rPr>
                <w:rFonts w:ascii="Arial" w:hAnsi="Arial" w:cs="Arial"/>
                <w:b/>
                <w:color w:val="000000"/>
                <w:sz w:val="18"/>
                <w:szCs w:val="18"/>
              </w:rPr>
            </w:pPr>
            <w:r w:rsidRPr="005404FE">
              <w:rPr>
                <w:rFonts w:ascii="Arial" w:hAnsi="Arial" w:cs="Arial"/>
                <w:b/>
                <w:color w:val="000000"/>
                <w:sz w:val="18"/>
                <w:szCs w:val="18"/>
              </w:rPr>
              <w:t xml:space="preserve">Schedule </w:t>
            </w:r>
            <w:r w:rsidR="00640D76" w:rsidRPr="005404FE">
              <w:rPr>
                <w:rFonts w:ascii="Arial" w:hAnsi="Arial" w:cs="Arial"/>
                <w:b/>
                <w:color w:val="000000"/>
                <w:sz w:val="18"/>
                <w:szCs w:val="18"/>
              </w:rPr>
              <w:br/>
            </w:r>
            <w:r w:rsidR="0033420E" w:rsidRPr="005404FE">
              <w:rPr>
                <w:rFonts w:ascii="Arial" w:hAnsi="Arial" w:cs="Arial"/>
                <w:b/>
                <w:color w:val="000000"/>
                <w:sz w:val="18"/>
                <w:szCs w:val="18"/>
              </w:rPr>
              <w:t>fee</w:t>
            </w:r>
          </w:p>
        </w:tc>
        <w:tc>
          <w:tcPr>
            <w:tcW w:w="1209" w:type="dxa"/>
            <w:shd w:val="clear" w:color="auto" w:fill="F2F2F2" w:themeFill="background1" w:themeFillShade="F2"/>
            <w:vAlign w:val="bottom"/>
          </w:tcPr>
          <w:p w14:paraId="7CC7E679" w14:textId="77777777" w:rsidR="0033420E" w:rsidRPr="005404FE" w:rsidRDefault="0033420E">
            <w:pPr>
              <w:rPr>
                <w:rFonts w:ascii="Arial" w:hAnsi="Arial" w:cs="Arial"/>
                <w:b/>
                <w:color w:val="000000"/>
                <w:sz w:val="18"/>
                <w:szCs w:val="18"/>
              </w:rPr>
            </w:pPr>
            <w:r w:rsidRPr="005404FE">
              <w:rPr>
                <w:rFonts w:ascii="Arial" w:hAnsi="Arial" w:cs="Arial"/>
                <w:b/>
                <w:color w:val="000000"/>
                <w:sz w:val="18"/>
                <w:szCs w:val="18"/>
              </w:rPr>
              <w:t xml:space="preserve">Services </w:t>
            </w:r>
            <w:r w:rsidR="00640D76" w:rsidRPr="005404FE">
              <w:rPr>
                <w:rFonts w:ascii="Arial" w:hAnsi="Arial" w:cs="Arial"/>
                <w:b/>
                <w:color w:val="000000"/>
                <w:sz w:val="18"/>
                <w:szCs w:val="18"/>
              </w:rPr>
              <w:br/>
            </w:r>
            <w:r w:rsidRPr="005404FE">
              <w:rPr>
                <w:rFonts w:ascii="Arial" w:hAnsi="Arial" w:cs="Arial"/>
                <w:b/>
                <w:color w:val="000000"/>
                <w:sz w:val="18"/>
                <w:szCs w:val="18"/>
              </w:rPr>
              <w:t>FY</w:t>
            </w:r>
            <w:r w:rsidR="00640D76" w:rsidRPr="005404FE">
              <w:rPr>
                <w:rFonts w:ascii="Arial" w:hAnsi="Arial" w:cs="Arial"/>
                <w:b/>
                <w:color w:val="000000"/>
                <w:sz w:val="18"/>
                <w:szCs w:val="18"/>
              </w:rPr>
              <w:t xml:space="preserve"> </w:t>
            </w:r>
            <w:r w:rsidRPr="005404FE">
              <w:rPr>
                <w:rFonts w:ascii="Arial" w:hAnsi="Arial" w:cs="Arial"/>
                <w:b/>
                <w:color w:val="000000"/>
                <w:sz w:val="18"/>
                <w:szCs w:val="18"/>
              </w:rPr>
              <w:t>2014</w:t>
            </w:r>
            <w:r w:rsidR="00640D76" w:rsidRPr="005404FE">
              <w:rPr>
                <w:rFonts w:ascii="Arial" w:hAnsi="Arial" w:cs="Arial"/>
                <w:b/>
                <w:color w:val="000000"/>
                <w:sz w:val="18"/>
                <w:szCs w:val="18"/>
              </w:rPr>
              <w:t>–</w:t>
            </w:r>
            <w:r w:rsidRPr="005404FE">
              <w:rPr>
                <w:rFonts w:ascii="Arial" w:hAnsi="Arial" w:cs="Arial"/>
                <w:b/>
                <w:color w:val="000000"/>
                <w:sz w:val="18"/>
                <w:szCs w:val="18"/>
              </w:rPr>
              <w:t>15</w:t>
            </w:r>
          </w:p>
        </w:tc>
        <w:tc>
          <w:tcPr>
            <w:tcW w:w="1273" w:type="dxa"/>
            <w:shd w:val="clear" w:color="auto" w:fill="F2F2F2" w:themeFill="background1" w:themeFillShade="F2"/>
            <w:vAlign w:val="bottom"/>
          </w:tcPr>
          <w:p w14:paraId="1BE1A838" w14:textId="77777777" w:rsidR="0033420E" w:rsidRPr="005404FE" w:rsidRDefault="0033420E">
            <w:pPr>
              <w:rPr>
                <w:rFonts w:ascii="Arial" w:hAnsi="Arial" w:cs="Arial"/>
                <w:b/>
                <w:color w:val="000000"/>
                <w:sz w:val="18"/>
                <w:szCs w:val="18"/>
              </w:rPr>
            </w:pPr>
            <w:r w:rsidRPr="005404FE">
              <w:rPr>
                <w:rFonts w:ascii="Arial" w:hAnsi="Arial" w:cs="Arial"/>
                <w:b/>
                <w:color w:val="000000"/>
                <w:sz w:val="18"/>
                <w:szCs w:val="18"/>
              </w:rPr>
              <w:t xml:space="preserve">Benefits </w:t>
            </w:r>
            <w:r w:rsidR="00640D76" w:rsidRPr="005404FE">
              <w:rPr>
                <w:rFonts w:ascii="Arial" w:hAnsi="Arial" w:cs="Arial"/>
                <w:b/>
                <w:color w:val="000000"/>
                <w:sz w:val="18"/>
                <w:szCs w:val="18"/>
              </w:rPr>
              <w:br/>
            </w:r>
            <w:r w:rsidRPr="005404FE">
              <w:rPr>
                <w:rFonts w:ascii="Arial" w:hAnsi="Arial" w:cs="Arial"/>
                <w:b/>
                <w:color w:val="000000"/>
                <w:sz w:val="18"/>
                <w:szCs w:val="18"/>
              </w:rPr>
              <w:t>FY</w:t>
            </w:r>
            <w:r w:rsidR="00640D76" w:rsidRPr="005404FE">
              <w:rPr>
                <w:rFonts w:ascii="Arial" w:hAnsi="Arial" w:cs="Arial"/>
                <w:b/>
                <w:color w:val="000000"/>
                <w:sz w:val="18"/>
                <w:szCs w:val="18"/>
              </w:rPr>
              <w:t xml:space="preserve"> </w:t>
            </w:r>
            <w:r w:rsidRPr="005404FE">
              <w:rPr>
                <w:rFonts w:ascii="Arial" w:hAnsi="Arial" w:cs="Arial"/>
                <w:b/>
                <w:color w:val="000000"/>
                <w:sz w:val="18"/>
                <w:szCs w:val="18"/>
              </w:rPr>
              <w:t>2014</w:t>
            </w:r>
            <w:r w:rsidR="00640D76" w:rsidRPr="005404FE">
              <w:rPr>
                <w:rFonts w:ascii="Arial" w:hAnsi="Arial" w:cs="Arial"/>
                <w:b/>
                <w:color w:val="000000"/>
                <w:sz w:val="18"/>
                <w:szCs w:val="18"/>
              </w:rPr>
              <w:t>–</w:t>
            </w:r>
            <w:r w:rsidRPr="005404FE">
              <w:rPr>
                <w:rFonts w:ascii="Arial" w:hAnsi="Arial" w:cs="Arial"/>
                <w:b/>
                <w:color w:val="000000"/>
                <w:sz w:val="18"/>
                <w:szCs w:val="18"/>
              </w:rPr>
              <w:t>15</w:t>
            </w:r>
          </w:p>
        </w:tc>
        <w:tc>
          <w:tcPr>
            <w:tcW w:w="980" w:type="dxa"/>
            <w:shd w:val="clear" w:color="auto" w:fill="F2F2F2" w:themeFill="background1" w:themeFillShade="F2"/>
            <w:vAlign w:val="bottom"/>
            <w:hideMark/>
          </w:tcPr>
          <w:p w14:paraId="3AFF345A" w14:textId="77777777" w:rsidR="0033420E" w:rsidRPr="005404FE" w:rsidRDefault="0033420E">
            <w:pPr>
              <w:rPr>
                <w:rFonts w:ascii="Arial" w:hAnsi="Arial" w:cs="Arial"/>
                <w:b/>
                <w:color w:val="000000"/>
                <w:sz w:val="18"/>
                <w:szCs w:val="18"/>
              </w:rPr>
            </w:pPr>
            <w:r w:rsidRPr="005404FE">
              <w:rPr>
                <w:rFonts w:ascii="Arial" w:hAnsi="Arial" w:cs="Arial"/>
                <w:b/>
                <w:color w:val="000000"/>
                <w:sz w:val="18"/>
                <w:szCs w:val="18"/>
              </w:rPr>
              <w:t>Patient count 2014</w:t>
            </w:r>
            <w:r w:rsidR="00640D76" w:rsidRPr="005404FE">
              <w:rPr>
                <w:rFonts w:ascii="Arial" w:hAnsi="Arial" w:cs="Arial"/>
                <w:b/>
                <w:color w:val="000000"/>
                <w:sz w:val="18"/>
                <w:szCs w:val="18"/>
              </w:rPr>
              <w:t>–</w:t>
            </w:r>
            <w:r w:rsidRPr="005404FE">
              <w:rPr>
                <w:rFonts w:ascii="Arial" w:hAnsi="Arial" w:cs="Arial"/>
                <w:b/>
                <w:color w:val="000000"/>
                <w:sz w:val="18"/>
                <w:szCs w:val="18"/>
              </w:rPr>
              <w:t>15</w:t>
            </w:r>
          </w:p>
        </w:tc>
        <w:tc>
          <w:tcPr>
            <w:tcW w:w="1009" w:type="dxa"/>
            <w:shd w:val="clear" w:color="auto" w:fill="F2F2F2" w:themeFill="background1" w:themeFillShade="F2"/>
            <w:vAlign w:val="bottom"/>
            <w:hideMark/>
          </w:tcPr>
          <w:p w14:paraId="6B882986" w14:textId="77777777" w:rsidR="0033420E" w:rsidRPr="005404FE" w:rsidRDefault="0033420E" w:rsidP="00795693">
            <w:pPr>
              <w:rPr>
                <w:rFonts w:ascii="Arial" w:hAnsi="Arial" w:cs="Arial"/>
                <w:b/>
                <w:color w:val="000000"/>
                <w:sz w:val="18"/>
                <w:szCs w:val="18"/>
              </w:rPr>
            </w:pPr>
            <w:r w:rsidRPr="005404FE">
              <w:rPr>
                <w:rFonts w:ascii="Arial" w:hAnsi="Arial" w:cs="Arial"/>
                <w:b/>
                <w:color w:val="000000"/>
                <w:sz w:val="18"/>
                <w:szCs w:val="18"/>
              </w:rPr>
              <w:t>5</w:t>
            </w:r>
            <w:r w:rsidR="00640D76" w:rsidRPr="005404FE">
              <w:rPr>
                <w:rFonts w:ascii="Arial" w:hAnsi="Arial" w:cs="Arial"/>
                <w:b/>
                <w:color w:val="000000"/>
                <w:sz w:val="18"/>
                <w:szCs w:val="18"/>
              </w:rPr>
              <w:t>-</w:t>
            </w:r>
            <w:r w:rsidRPr="005404FE">
              <w:rPr>
                <w:rFonts w:ascii="Arial" w:hAnsi="Arial" w:cs="Arial"/>
                <w:b/>
                <w:color w:val="000000"/>
                <w:sz w:val="18"/>
                <w:szCs w:val="18"/>
              </w:rPr>
              <w:t>year service change (CAGR)</w:t>
            </w:r>
          </w:p>
        </w:tc>
      </w:tr>
      <w:tr w:rsidR="0033420E" w:rsidRPr="005404FE" w14:paraId="7D309E92" w14:textId="77777777" w:rsidTr="007C358D">
        <w:trPr>
          <w:trHeight w:val="300"/>
        </w:trPr>
        <w:tc>
          <w:tcPr>
            <w:tcW w:w="745" w:type="dxa"/>
            <w:noWrap/>
            <w:hideMark/>
          </w:tcPr>
          <w:p w14:paraId="67C8C255" w14:textId="77777777" w:rsidR="0033420E" w:rsidRPr="005404FE" w:rsidRDefault="0033420E" w:rsidP="005B22A7">
            <w:pPr>
              <w:rPr>
                <w:rFonts w:ascii="Arial" w:hAnsi="Arial" w:cs="Arial"/>
                <w:color w:val="000000"/>
                <w:sz w:val="18"/>
                <w:szCs w:val="18"/>
              </w:rPr>
            </w:pPr>
            <w:r w:rsidRPr="005404FE">
              <w:rPr>
                <w:rFonts w:ascii="Arial" w:hAnsi="Arial" w:cs="Arial"/>
                <w:color w:val="000000"/>
                <w:sz w:val="18"/>
                <w:szCs w:val="18"/>
              </w:rPr>
              <w:t>65144</w:t>
            </w:r>
          </w:p>
        </w:tc>
        <w:tc>
          <w:tcPr>
            <w:tcW w:w="2652" w:type="dxa"/>
            <w:noWrap/>
            <w:hideMark/>
          </w:tcPr>
          <w:p w14:paraId="1BD42A1F" w14:textId="77777777" w:rsidR="0033420E" w:rsidRPr="005404FE" w:rsidRDefault="0033420E" w:rsidP="005B22A7">
            <w:pPr>
              <w:rPr>
                <w:rFonts w:ascii="Arial" w:hAnsi="Arial" w:cs="Arial"/>
                <w:color w:val="000000"/>
                <w:sz w:val="18"/>
                <w:szCs w:val="18"/>
              </w:rPr>
            </w:pPr>
            <w:r w:rsidRPr="005404FE">
              <w:rPr>
                <w:rFonts w:ascii="Arial" w:hAnsi="Arial" w:cs="Arial"/>
                <w:color w:val="000000"/>
                <w:sz w:val="18"/>
                <w:szCs w:val="18"/>
              </w:rPr>
              <w:t xml:space="preserve">Platelet aggregation in response to ADP, collagen, 5HT, </w:t>
            </w:r>
            <w:proofErr w:type="spellStart"/>
            <w:r w:rsidRPr="005404FE">
              <w:rPr>
                <w:rFonts w:ascii="Arial" w:hAnsi="Arial" w:cs="Arial"/>
                <w:color w:val="000000"/>
                <w:sz w:val="18"/>
                <w:szCs w:val="18"/>
              </w:rPr>
              <w:t>ristocetin</w:t>
            </w:r>
            <w:proofErr w:type="spellEnd"/>
            <w:r w:rsidRPr="005404FE">
              <w:rPr>
                <w:rFonts w:ascii="Arial" w:hAnsi="Arial" w:cs="Arial"/>
                <w:color w:val="000000"/>
                <w:sz w:val="18"/>
                <w:szCs w:val="18"/>
              </w:rPr>
              <w:t xml:space="preserve"> or other substances; or heparin, low molecular weight heparins, heparinoid or other drugs - 1 or more tests</w:t>
            </w:r>
          </w:p>
        </w:tc>
        <w:tc>
          <w:tcPr>
            <w:tcW w:w="1017" w:type="dxa"/>
            <w:noWrap/>
            <w:hideMark/>
          </w:tcPr>
          <w:p w14:paraId="3560A8AD" w14:textId="77777777" w:rsidR="0033420E" w:rsidRPr="005404FE" w:rsidRDefault="0033420E" w:rsidP="005404FE">
            <w:pPr>
              <w:rPr>
                <w:rFonts w:ascii="Arial" w:hAnsi="Arial" w:cs="Arial"/>
                <w:color w:val="000000"/>
                <w:sz w:val="18"/>
                <w:szCs w:val="18"/>
              </w:rPr>
            </w:pPr>
            <w:r w:rsidRPr="005404FE">
              <w:rPr>
                <w:rFonts w:ascii="Arial" w:hAnsi="Arial" w:cs="Arial"/>
                <w:color w:val="000000"/>
                <w:sz w:val="18"/>
                <w:szCs w:val="18"/>
              </w:rPr>
              <w:t xml:space="preserve">$56.55 </w:t>
            </w:r>
          </w:p>
        </w:tc>
        <w:tc>
          <w:tcPr>
            <w:tcW w:w="1209" w:type="dxa"/>
            <w:noWrap/>
            <w:hideMark/>
          </w:tcPr>
          <w:p w14:paraId="5833BE47" w14:textId="77777777" w:rsidR="0033420E" w:rsidRPr="005404FE" w:rsidRDefault="0033420E" w:rsidP="005404FE">
            <w:pPr>
              <w:rPr>
                <w:rFonts w:ascii="Arial" w:hAnsi="Arial" w:cs="Arial"/>
                <w:color w:val="000000"/>
                <w:sz w:val="18"/>
                <w:szCs w:val="18"/>
              </w:rPr>
            </w:pPr>
            <w:r w:rsidRPr="005404FE">
              <w:rPr>
                <w:rFonts w:ascii="Arial" w:hAnsi="Arial" w:cs="Arial"/>
                <w:color w:val="000000"/>
                <w:sz w:val="18"/>
                <w:szCs w:val="18"/>
              </w:rPr>
              <w:t>15,901</w:t>
            </w:r>
          </w:p>
        </w:tc>
        <w:tc>
          <w:tcPr>
            <w:tcW w:w="1273" w:type="dxa"/>
            <w:noWrap/>
            <w:hideMark/>
          </w:tcPr>
          <w:p w14:paraId="541783EE" w14:textId="77777777" w:rsidR="0033420E" w:rsidRPr="005404FE" w:rsidRDefault="0033420E" w:rsidP="005404FE">
            <w:pPr>
              <w:rPr>
                <w:rFonts w:ascii="Arial" w:hAnsi="Arial" w:cs="Arial"/>
                <w:color w:val="000000"/>
                <w:sz w:val="18"/>
                <w:szCs w:val="18"/>
              </w:rPr>
            </w:pPr>
            <w:r w:rsidRPr="005404FE">
              <w:rPr>
                <w:rFonts w:ascii="Arial" w:hAnsi="Arial" w:cs="Arial"/>
                <w:color w:val="000000"/>
                <w:sz w:val="18"/>
                <w:szCs w:val="18"/>
              </w:rPr>
              <w:t>$760,474</w:t>
            </w:r>
          </w:p>
        </w:tc>
        <w:tc>
          <w:tcPr>
            <w:tcW w:w="980" w:type="dxa"/>
            <w:noWrap/>
            <w:hideMark/>
          </w:tcPr>
          <w:p w14:paraId="252D2F02" w14:textId="77777777" w:rsidR="0033420E" w:rsidRPr="005404FE" w:rsidRDefault="0033420E" w:rsidP="005404FE">
            <w:pPr>
              <w:rPr>
                <w:rFonts w:ascii="Arial" w:hAnsi="Arial" w:cs="Arial"/>
                <w:color w:val="000000"/>
                <w:sz w:val="18"/>
                <w:szCs w:val="18"/>
              </w:rPr>
            </w:pPr>
            <w:r w:rsidRPr="005404FE">
              <w:rPr>
                <w:rFonts w:ascii="Arial" w:hAnsi="Arial" w:cs="Arial"/>
                <w:color w:val="000000"/>
                <w:sz w:val="18"/>
                <w:szCs w:val="18"/>
              </w:rPr>
              <w:t>13,930</w:t>
            </w:r>
          </w:p>
        </w:tc>
        <w:tc>
          <w:tcPr>
            <w:tcW w:w="1009" w:type="dxa"/>
            <w:noWrap/>
            <w:hideMark/>
          </w:tcPr>
          <w:p w14:paraId="517128A2" w14:textId="77777777" w:rsidR="0033420E" w:rsidRPr="005404FE" w:rsidRDefault="0033420E" w:rsidP="005404FE">
            <w:pPr>
              <w:rPr>
                <w:rFonts w:ascii="Arial" w:hAnsi="Arial" w:cs="Arial"/>
                <w:color w:val="000000"/>
                <w:sz w:val="18"/>
                <w:szCs w:val="18"/>
              </w:rPr>
            </w:pPr>
            <w:r w:rsidRPr="005404FE">
              <w:rPr>
                <w:rFonts w:ascii="Arial" w:hAnsi="Arial" w:cs="Arial"/>
                <w:color w:val="000000"/>
                <w:sz w:val="18"/>
                <w:szCs w:val="18"/>
              </w:rPr>
              <w:t>1.8%</w:t>
            </w:r>
          </w:p>
        </w:tc>
      </w:tr>
    </w:tbl>
    <w:p w14:paraId="4D40516E" w14:textId="77777777" w:rsidR="0033420E" w:rsidRDefault="0033420E" w:rsidP="00367716">
      <w:pPr>
        <w:pStyle w:val="Heading3"/>
      </w:pPr>
      <w:bookmarkStart w:id="98" w:name="_Toc495403402"/>
      <w:r>
        <w:t xml:space="preserve">Recommendation </w:t>
      </w:r>
      <w:r w:rsidR="00AF1ED5">
        <w:t>5</w:t>
      </w:r>
      <w:bookmarkEnd w:id="98"/>
    </w:p>
    <w:p w14:paraId="3780D5AF" w14:textId="77777777" w:rsidR="00375E33" w:rsidRPr="002B4774" w:rsidRDefault="00375E33" w:rsidP="004829D5">
      <w:pPr>
        <w:pStyle w:val="01squarebullet"/>
      </w:pPr>
      <w:r>
        <w:t>Amend</w:t>
      </w:r>
      <w:r w:rsidR="004829D5">
        <w:t xml:space="preserve"> the </w:t>
      </w:r>
      <w:r>
        <w:t xml:space="preserve">item </w:t>
      </w:r>
      <w:r w:rsidR="004829D5">
        <w:t>descriptor for</w:t>
      </w:r>
      <w:r>
        <w:t xml:space="preserve"> </w:t>
      </w:r>
      <w:r w:rsidR="004829D5" w:rsidRPr="00745302">
        <w:t xml:space="preserve">65144 to </w:t>
      </w:r>
      <w:r w:rsidR="00C02441">
        <w:t xml:space="preserve">include </w:t>
      </w:r>
      <w:r w:rsidR="00375D4D">
        <w:t>a limited panel</w:t>
      </w:r>
      <w:r w:rsidR="00C02441">
        <w:t xml:space="preserve"> </w:t>
      </w:r>
      <w:r w:rsidR="003B178C">
        <w:t xml:space="preserve">of tests </w:t>
      </w:r>
      <w:r w:rsidR="00C02441">
        <w:t>for</w:t>
      </w:r>
      <w:r w:rsidR="00432106">
        <w:t xml:space="preserve"> the</w:t>
      </w:r>
      <w:r w:rsidR="004829D5" w:rsidRPr="00745302">
        <w:t xml:space="preserve"> </w:t>
      </w:r>
      <w:r w:rsidR="004829D5">
        <w:t xml:space="preserve">initial assessment </w:t>
      </w:r>
      <w:r w:rsidR="00C02441">
        <w:t>of platelet function</w:t>
      </w:r>
      <w:r w:rsidR="00432106" w:rsidRPr="002B4774">
        <w:t xml:space="preserve">. </w:t>
      </w:r>
    </w:p>
    <w:p w14:paraId="6492638D" w14:textId="77777777" w:rsidR="004829D5" w:rsidRPr="004829D5" w:rsidRDefault="00432106" w:rsidP="004829D5">
      <w:pPr>
        <w:pStyle w:val="01squarebullet"/>
        <w:rPr>
          <w:b/>
        </w:rPr>
      </w:pPr>
      <w:r>
        <w:t>I</w:t>
      </w:r>
      <w:r w:rsidR="005750DB">
        <w:t xml:space="preserve">nclude an explanatory note </w:t>
      </w:r>
      <w:r>
        <w:t xml:space="preserve">that the test is not indicated for monitoring patients on antiplatelet therapy. </w:t>
      </w:r>
      <w:r w:rsidR="004829D5">
        <w:t xml:space="preserve">This will require </w:t>
      </w:r>
      <w:r w:rsidR="00DE632F">
        <w:t>a cost analysis</w:t>
      </w:r>
      <w:r w:rsidR="00144944">
        <w:t xml:space="preserve"> and evidence to support this</w:t>
      </w:r>
      <w:r w:rsidR="00DE632F">
        <w:t>.</w:t>
      </w:r>
    </w:p>
    <w:p w14:paraId="5F021547" w14:textId="77777777" w:rsidR="0033420E" w:rsidRDefault="0033420E" w:rsidP="0033420E">
      <w:pPr>
        <w:pStyle w:val="01squarebullet"/>
      </w:pPr>
      <w:r>
        <w:t>Create a</w:t>
      </w:r>
      <w:r w:rsidRPr="00745302">
        <w:t xml:space="preserve"> new</w:t>
      </w:r>
      <w:r w:rsidR="00432106">
        <w:t xml:space="preserve"> </w:t>
      </w:r>
      <w:r w:rsidR="00E961C3">
        <w:t>(split)</w:t>
      </w:r>
      <w:r w:rsidRPr="00745302">
        <w:t xml:space="preserve"> item</w:t>
      </w:r>
      <w:r w:rsidR="00C02441">
        <w:t xml:space="preserve"> to include </w:t>
      </w:r>
      <w:r w:rsidR="00375D4D">
        <w:t>an expanded panel</w:t>
      </w:r>
      <w:r w:rsidR="003B178C">
        <w:t xml:space="preserve"> of tests</w:t>
      </w:r>
      <w:r w:rsidRPr="00745302">
        <w:t xml:space="preserve"> for </w:t>
      </w:r>
      <w:r w:rsidR="00C02441">
        <w:t>the diagnostic assessment of platelet aggregation</w:t>
      </w:r>
      <w:r w:rsidR="00F6763D">
        <w:t>. This test should only be performed when requested by</w:t>
      </w:r>
      <w:r w:rsidR="006E530E">
        <w:t>,</w:t>
      </w:r>
      <w:r w:rsidR="00F6763D">
        <w:t xml:space="preserve"> </w:t>
      </w:r>
      <w:r>
        <w:t>o</w:t>
      </w:r>
      <w:r w:rsidR="00F6763D">
        <w:t>r</w:t>
      </w:r>
      <w:r>
        <w:t xml:space="preserve"> </w:t>
      </w:r>
      <w:r w:rsidR="00F6763D">
        <w:t>in</w:t>
      </w:r>
      <w:r>
        <w:t xml:space="preserve"> </w:t>
      </w:r>
      <w:r w:rsidR="00BD61B1">
        <w:t>communication</w:t>
      </w:r>
      <w:r>
        <w:t xml:space="preserve"> </w:t>
      </w:r>
      <w:r w:rsidR="00F6763D">
        <w:t>with</w:t>
      </w:r>
      <w:r w:rsidR="006E530E">
        <w:t>,</w:t>
      </w:r>
      <w:r w:rsidR="00F6763D">
        <w:t xml:space="preserve"> a consultant physician or</w:t>
      </w:r>
      <w:r>
        <w:t xml:space="preserve"> </w:t>
      </w:r>
      <w:r w:rsidR="00F6763D">
        <w:t>specialist</w:t>
      </w:r>
      <w:r w:rsidR="005B42A8">
        <w:t xml:space="preserve"> </w:t>
      </w:r>
      <w:proofErr w:type="spellStart"/>
      <w:r>
        <w:t>haematologist</w:t>
      </w:r>
      <w:proofErr w:type="spellEnd"/>
      <w:r w:rsidR="004829D5">
        <w:t xml:space="preserve">. </w:t>
      </w:r>
      <w:r>
        <w:t>This will require a cost analysis</w:t>
      </w:r>
      <w:r w:rsidR="00144944">
        <w:t xml:space="preserve"> and evidence to support this</w:t>
      </w:r>
      <w:r>
        <w:t>.</w:t>
      </w:r>
    </w:p>
    <w:p w14:paraId="6DF724B3" w14:textId="77777777" w:rsidR="00DE632F" w:rsidRDefault="002C0890" w:rsidP="00C702A9">
      <w:pPr>
        <w:pStyle w:val="Caption"/>
      </w:pPr>
      <w:bookmarkStart w:id="99" w:name="_Toc481493778"/>
      <w:r>
        <w:t>Table 11</w:t>
      </w:r>
      <w:r w:rsidR="00640D76" w:rsidRPr="008F7F21">
        <w:t>:</w:t>
      </w:r>
      <w:r w:rsidR="00640D76">
        <w:t xml:space="preserve"> </w:t>
      </w:r>
      <w:r w:rsidR="00DE632F">
        <w:t>Proposed changes to item 65144</w:t>
      </w:r>
      <w:bookmarkEnd w:id="99"/>
    </w:p>
    <w:tbl>
      <w:tblPr>
        <w:tblStyle w:val="TableGrid"/>
        <w:tblW w:w="0" w:type="auto"/>
        <w:tblLook w:val="04A0" w:firstRow="1" w:lastRow="0" w:firstColumn="1" w:lastColumn="0" w:noHBand="0" w:noVBand="1"/>
        <w:tblCaption w:val="Table 11, Proposed changes to item 65144"/>
        <w:tblDescription w:val="This table shows proposed changes to item 65144, including creation of a new item and change to the descriptor of the original item 65144. There are 3 columns – column 1: item number, column 2: current descriptor, and column 3: proposed change to descriptor."/>
      </w:tblPr>
      <w:tblGrid>
        <w:gridCol w:w="988"/>
        <w:gridCol w:w="3969"/>
        <w:gridCol w:w="4059"/>
      </w:tblGrid>
      <w:tr w:rsidR="00DE632F" w:rsidRPr="005404FE" w14:paraId="30D20DBC" w14:textId="77777777" w:rsidTr="00D06099">
        <w:trPr>
          <w:tblHeader/>
        </w:trPr>
        <w:tc>
          <w:tcPr>
            <w:tcW w:w="988" w:type="dxa"/>
            <w:shd w:val="clear" w:color="auto" w:fill="F2F2F2" w:themeFill="background1" w:themeFillShade="F2"/>
            <w:vAlign w:val="bottom"/>
          </w:tcPr>
          <w:p w14:paraId="3D47D40C" w14:textId="77777777" w:rsidR="00DE632F" w:rsidRPr="005404FE" w:rsidRDefault="00DE632F" w:rsidP="00647849">
            <w:pPr>
              <w:rPr>
                <w:rFonts w:ascii="Arial" w:hAnsi="Arial" w:cs="Arial"/>
                <w:b/>
                <w:sz w:val="18"/>
                <w:szCs w:val="18"/>
              </w:rPr>
            </w:pPr>
            <w:bookmarkStart w:id="100" w:name="_Hlk481493082"/>
            <w:r w:rsidRPr="005404FE">
              <w:rPr>
                <w:rFonts w:ascii="Arial" w:hAnsi="Arial" w:cs="Arial"/>
                <w:b/>
                <w:sz w:val="18"/>
                <w:szCs w:val="18"/>
              </w:rPr>
              <w:t>Item</w:t>
            </w:r>
          </w:p>
        </w:tc>
        <w:tc>
          <w:tcPr>
            <w:tcW w:w="3969" w:type="dxa"/>
            <w:shd w:val="clear" w:color="auto" w:fill="F2F2F2" w:themeFill="background1" w:themeFillShade="F2"/>
            <w:vAlign w:val="bottom"/>
          </w:tcPr>
          <w:p w14:paraId="079EB54B" w14:textId="77777777" w:rsidR="00DE632F" w:rsidRPr="005404FE" w:rsidRDefault="00DE632F" w:rsidP="00647849">
            <w:pPr>
              <w:rPr>
                <w:rFonts w:ascii="Arial" w:hAnsi="Arial" w:cs="Arial"/>
                <w:b/>
                <w:sz w:val="18"/>
                <w:szCs w:val="18"/>
              </w:rPr>
            </w:pPr>
            <w:r w:rsidRPr="005404FE">
              <w:rPr>
                <w:rFonts w:ascii="Arial" w:hAnsi="Arial" w:cs="Arial"/>
                <w:b/>
                <w:sz w:val="18"/>
                <w:szCs w:val="18"/>
              </w:rPr>
              <w:t>Current descriptor</w:t>
            </w:r>
          </w:p>
        </w:tc>
        <w:tc>
          <w:tcPr>
            <w:tcW w:w="4059" w:type="dxa"/>
            <w:shd w:val="clear" w:color="auto" w:fill="F2F2F2" w:themeFill="background1" w:themeFillShade="F2"/>
            <w:vAlign w:val="bottom"/>
          </w:tcPr>
          <w:p w14:paraId="6E9DA50E" w14:textId="77777777" w:rsidR="00DE632F" w:rsidRPr="005404FE" w:rsidRDefault="00DE632F" w:rsidP="00647849">
            <w:pPr>
              <w:rPr>
                <w:rFonts w:ascii="Arial" w:hAnsi="Arial" w:cs="Arial"/>
                <w:b/>
                <w:sz w:val="18"/>
                <w:szCs w:val="18"/>
              </w:rPr>
            </w:pPr>
            <w:r w:rsidRPr="005404FE">
              <w:rPr>
                <w:rFonts w:ascii="Arial" w:hAnsi="Arial" w:cs="Arial"/>
                <w:b/>
                <w:sz w:val="18"/>
                <w:szCs w:val="18"/>
              </w:rPr>
              <w:t>Proposed change to descriptor</w:t>
            </w:r>
          </w:p>
        </w:tc>
      </w:tr>
      <w:tr w:rsidR="00DE632F" w:rsidRPr="005404FE" w14:paraId="4F44F37C" w14:textId="77777777" w:rsidTr="00D06099">
        <w:tc>
          <w:tcPr>
            <w:tcW w:w="988" w:type="dxa"/>
          </w:tcPr>
          <w:p w14:paraId="0565C4AF" w14:textId="77777777" w:rsidR="00DE632F" w:rsidRPr="005404FE" w:rsidRDefault="00DE632F" w:rsidP="00DE632F">
            <w:pPr>
              <w:rPr>
                <w:rFonts w:ascii="Arial" w:hAnsi="Arial" w:cs="Arial"/>
                <w:color w:val="000000"/>
                <w:sz w:val="18"/>
                <w:szCs w:val="18"/>
              </w:rPr>
            </w:pPr>
            <w:r w:rsidRPr="005404FE">
              <w:rPr>
                <w:rFonts w:ascii="Arial" w:hAnsi="Arial" w:cs="Arial"/>
                <w:color w:val="000000"/>
                <w:sz w:val="18"/>
                <w:szCs w:val="18"/>
              </w:rPr>
              <w:t>65144</w:t>
            </w:r>
          </w:p>
          <w:p w14:paraId="2C3729D1" w14:textId="77777777" w:rsidR="00791EDB" w:rsidRPr="005404FE" w:rsidRDefault="00791EDB" w:rsidP="00DE632F">
            <w:pPr>
              <w:rPr>
                <w:rFonts w:ascii="Arial" w:hAnsi="Arial" w:cs="Arial"/>
                <w:sz w:val="18"/>
                <w:szCs w:val="18"/>
              </w:rPr>
            </w:pPr>
          </w:p>
        </w:tc>
        <w:tc>
          <w:tcPr>
            <w:tcW w:w="3969" w:type="dxa"/>
          </w:tcPr>
          <w:p w14:paraId="5B4C1243" w14:textId="77777777" w:rsidR="00DE632F" w:rsidRPr="005404FE" w:rsidRDefault="00DE632F" w:rsidP="00DE632F">
            <w:pPr>
              <w:rPr>
                <w:rFonts w:ascii="Arial" w:hAnsi="Arial" w:cs="Arial"/>
                <w:sz w:val="18"/>
                <w:szCs w:val="18"/>
              </w:rPr>
            </w:pPr>
            <w:r w:rsidRPr="005404FE">
              <w:rPr>
                <w:rFonts w:ascii="Arial" w:hAnsi="Arial" w:cs="Arial"/>
                <w:color w:val="000000"/>
                <w:sz w:val="18"/>
                <w:szCs w:val="18"/>
              </w:rPr>
              <w:t xml:space="preserve">Platelet aggregation in response to ADP, collagen, 5HT, </w:t>
            </w:r>
            <w:proofErr w:type="spellStart"/>
            <w:r w:rsidRPr="005404FE">
              <w:rPr>
                <w:rFonts w:ascii="Arial" w:hAnsi="Arial" w:cs="Arial"/>
                <w:color w:val="000000"/>
                <w:sz w:val="18"/>
                <w:szCs w:val="18"/>
              </w:rPr>
              <w:t>ristocetin</w:t>
            </w:r>
            <w:proofErr w:type="spellEnd"/>
            <w:r w:rsidRPr="005404FE">
              <w:rPr>
                <w:rFonts w:ascii="Arial" w:hAnsi="Arial" w:cs="Arial"/>
                <w:color w:val="000000"/>
                <w:sz w:val="18"/>
                <w:szCs w:val="18"/>
              </w:rPr>
              <w:t xml:space="preserve"> or other substances; or heparin, low molecular weight heparins, heparinoid or other drugs - 1 or more tests</w:t>
            </w:r>
          </w:p>
        </w:tc>
        <w:tc>
          <w:tcPr>
            <w:tcW w:w="4059" w:type="dxa"/>
          </w:tcPr>
          <w:p w14:paraId="10657E4B" w14:textId="77777777" w:rsidR="00DE632F" w:rsidRPr="005404FE" w:rsidRDefault="00DE632F" w:rsidP="00DE632F">
            <w:pPr>
              <w:rPr>
                <w:rFonts w:ascii="Arial" w:hAnsi="Arial" w:cs="Arial"/>
                <w:color w:val="000000"/>
                <w:sz w:val="18"/>
                <w:szCs w:val="18"/>
              </w:rPr>
            </w:pPr>
            <w:r w:rsidRPr="005404FE">
              <w:rPr>
                <w:rFonts w:ascii="Arial" w:hAnsi="Arial" w:cs="Arial"/>
                <w:color w:val="000000"/>
                <w:sz w:val="18"/>
                <w:szCs w:val="18"/>
              </w:rPr>
              <w:t>Platelet aggregation in response to ADP, collagen, heparin</w:t>
            </w:r>
            <w:r w:rsidR="00F6763D" w:rsidRPr="005404FE">
              <w:rPr>
                <w:rFonts w:ascii="Arial" w:hAnsi="Arial" w:cs="Arial"/>
                <w:color w:val="000000"/>
                <w:sz w:val="18"/>
                <w:szCs w:val="18"/>
              </w:rPr>
              <w:t>s</w:t>
            </w:r>
            <w:r w:rsidRPr="005404FE">
              <w:rPr>
                <w:rFonts w:ascii="Arial" w:hAnsi="Arial" w:cs="Arial"/>
                <w:color w:val="000000"/>
                <w:sz w:val="18"/>
                <w:szCs w:val="18"/>
              </w:rPr>
              <w:t xml:space="preserve">, </w:t>
            </w:r>
            <w:r w:rsidR="005B42A8" w:rsidRPr="005404FE">
              <w:rPr>
                <w:rFonts w:ascii="Arial" w:hAnsi="Arial" w:cs="Arial"/>
                <w:color w:val="000000"/>
                <w:sz w:val="18"/>
                <w:szCs w:val="18"/>
              </w:rPr>
              <w:t>heparinoid or other drug</w:t>
            </w:r>
            <w:r w:rsidRPr="005404FE">
              <w:rPr>
                <w:rFonts w:ascii="Arial" w:hAnsi="Arial" w:cs="Arial"/>
                <w:color w:val="000000"/>
                <w:sz w:val="18"/>
                <w:szCs w:val="18"/>
              </w:rPr>
              <w:t>s</w:t>
            </w:r>
            <w:r w:rsidR="005B42A8" w:rsidRPr="005404FE">
              <w:rPr>
                <w:rFonts w:ascii="Arial" w:hAnsi="Arial" w:cs="Arial"/>
                <w:color w:val="000000"/>
                <w:sz w:val="18"/>
                <w:szCs w:val="18"/>
              </w:rPr>
              <w:t>,</w:t>
            </w:r>
            <w:r w:rsidR="00791EDB" w:rsidRPr="005404FE">
              <w:rPr>
                <w:rFonts w:ascii="Arial" w:hAnsi="Arial" w:cs="Arial"/>
                <w:color w:val="000000"/>
                <w:sz w:val="18"/>
                <w:szCs w:val="18"/>
              </w:rPr>
              <w:t xml:space="preserve"> to a maximum of 3 agonists, for the initial </w:t>
            </w:r>
            <w:r w:rsidR="005B42A8" w:rsidRPr="005404FE">
              <w:rPr>
                <w:rFonts w:ascii="Arial" w:hAnsi="Arial" w:cs="Arial"/>
                <w:color w:val="000000"/>
                <w:sz w:val="18"/>
                <w:szCs w:val="18"/>
              </w:rPr>
              <w:t>assessment</w:t>
            </w:r>
            <w:r w:rsidR="00791EDB" w:rsidRPr="005404FE">
              <w:rPr>
                <w:rFonts w:ascii="Arial" w:hAnsi="Arial" w:cs="Arial"/>
                <w:color w:val="000000"/>
                <w:sz w:val="18"/>
                <w:szCs w:val="18"/>
              </w:rPr>
              <w:t xml:space="preserve"> </w:t>
            </w:r>
            <w:r w:rsidR="005B42A8" w:rsidRPr="005404FE">
              <w:rPr>
                <w:rFonts w:ascii="Arial" w:hAnsi="Arial" w:cs="Arial"/>
                <w:color w:val="000000"/>
                <w:sz w:val="18"/>
                <w:szCs w:val="18"/>
              </w:rPr>
              <w:t>of platelet function</w:t>
            </w:r>
            <w:r w:rsidRPr="005404FE">
              <w:rPr>
                <w:rFonts w:ascii="Arial" w:hAnsi="Arial" w:cs="Arial"/>
                <w:color w:val="000000"/>
                <w:sz w:val="18"/>
                <w:szCs w:val="18"/>
              </w:rPr>
              <w:t xml:space="preserve"> </w:t>
            </w:r>
            <w:r w:rsidR="006E530E">
              <w:rPr>
                <w:rFonts w:ascii="Arial" w:hAnsi="Arial" w:cs="Arial"/>
                <w:color w:val="000000"/>
                <w:sz w:val="18"/>
                <w:szCs w:val="18"/>
              </w:rPr>
              <w:t>–</w:t>
            </w:r>
            <w:r w:rsidR="006E530E" w:rsidRPr="005404FE">
              <w:rPr>
                <w:rFonts w:ascii="Arial" w:hAnsi="Arial" w:cs="Arial"/>
                <w:color w:val="000000"/>
                <w:sz w:val="18"/>
                <w:szCs w:val="18"/>
              </w:rPr>
              <w:t xml:space="preserve"> </w:t>
            </w:r>
            <w:r w:rsidRPr="005404FE">
              <w:rPr>
                <w:rFonts w:ascii="Arial" w:hAnsi="Arial" w:cs="Arial"/>
                <w:color w:val="000000"/>
                <w:sz w:val="18"/>
                <w:szCs w:val="18"/>
              </w:rPr>
              <w:t>1 or more tests</w:t>
            </w:r>
          </w:p>
          <w:p w14:paraId="20AAB094" w14:textId="77777777" w:rsidR="00432106" w:rsidRPr="005404FE" w:rsidRDefault="00432106" w:rsidP="00DE632F">
            <w:pPr>
              <w:rPr>
                <w:rFonts w:ascii="Arial" w:hAnsi="Arial" w:cs="Arial"/>
                <w:sz w:val="18"/>
                <w:szCs w:val="18"/>
              </w:rPr>
            </w:pPr>
            <w:r w:rsidRPr="005404FE">
              <w:rPr>
                <w:rFonts w:ascii="Arial" w:hAnsi="Arial" w:cs="Arial"/>
                <w:color w:val="000000"/>
                <w:sz w:val="18"/>
                <w:szCs w:val="18"/>
              </w:rPr>
              <w:t xml:space="preserve">Explanatory note: not indicated for </w:t>
            </w:r>
            <w:r w:rsidR="009A0CC9" w:rsidRPr="005404FE">
              <w:rPr>
                <w:rFonts w:ascii="Arial" w:hAnsi="Arial" w:cs="Arial"/>
                <w:color w:val="000000"/>
                <w:sz w:val="18"/>
                <w:szCs w:val="18"/>
              </w:rPr>
              <w:t xml:space="preserve">monitoring </w:t>
            </w:r>
            <w:r w:rsidRPr="005404FE">
              <w:rPr>
                <w:rFonts w:ascii="Arial" w:hAnsi="Arial" w:cs="Arial"/>
                <w:color w:val="000000"/>
                <w:sz w:val="18"/>
                <w:szCs w:val="18"/>
              </w:rPr>
              <w:t>patients on antiplatelet therapy</w:t>
            </w:r>
          </w:p>
        </w:tc>
      </w:tr>
      <w:tr w:rsidR="00DE632F" w:rsidRPr="005404FE" w14:paraId="7E6CA3A5" w14:textId="77777777" w:rsidTr="00D06099">
        <w:tc>
          <w:tcPr>
            <w:tcW w:w="988" w:type="dxa"/>
          </w:tcPr>
          <w:p w14:paraId="233DAE18" w14:textId="77777777" w:rsidR="00DE632F" w:rsidRPr="005404FE" w:rsidRDefault="00DE632F" w:rsidP="00DE632F">
            <w:pPr>
              <w:rPr>
                <w:rFonts w:ascii="Arial" w:hAnsi="Arial" w:cs="Arial"/>
                <w:color w:val="000000"/>
                <w:sz w:val="18"/>
                <w:szCs w:val="18"/>
              </w:rPr>
            </w:pPr>
            <w:r w:rsidRPr="005404FE">
              <w:rPr>
                <w:rFonts w:ascii="Arial" w:hAnsi="Arial" w:cs="Arial"/>
                <w:color w:val="000000"/>
                <w:sz w:val="18"/>
                <w:szCs w:val="18"/>
              </w:rPr>
              <w:t>New</w:t>
            </w:r>
            <w:r w:rsidR="00F6763D" w:rsidRPr="005404FE">
              <w:rPr>
                <w:rFonts w:ascii="Arial" w:hAnsi="Arial" w:cs="Arial"/>
                <w:color w:val="000000"/>
                <w:sz w:val="18"/>
                <w:szCs w:val="18"/>
              </w:rPr>
              <w:t xml:space="preserve"> 651XX</w:t>
            </w:r>
          </w:p>
        </w:tc>
        <w:tc>
          <w:tcPr>
            <w:tcW w:w="3969" w:type="dxa"/>
          </w:tcPr>
          <w:p w14:paraId="104CA497" w14:textId="77777777" w:rsidR="00DE632F" w:rsidRPr="005404FE" w:rsidRDefault="00DE632F" w:rsidP="00DE632F">
            <w:pPr>
              <w:rPr>
                <w:rFonts w:ascii="Arial" w:hAnsi="Arial" w:cs="Arial"/>
                <w:color w:val="000000"/>
                <w:sz w:val="18"/>
                <w:szCs w:val="18"/>
              </w:rPr>
            </w:pPr>
          </w:p>
        </w:tc>
        <w:tc>
          <w:tcPr>
            <w:tcW w:w="4059" w:type="dxa"/>
          </w:tcPr>
          <w:p w14:paraId="6752EE79" w14:textId="77777777" w:rsidR="005B42A8" w:rsidRPr="005404FE" w:rsidRDefault="00DE632F" w:rsidP="00DE632F">
            <w:pPr>
              <w:rPr>
                <w:rFonts w:ascii="Arial" w:hAnsi="Arial" w:cs="Arial"/>
                <w:color w:val="000000"/>
                <w:sz w:val="18"/>
                <w:szCs w:val="18"/>
              </w:rPr>
            </w:pPr>
            <w:r w:rsidRPr="005404FE">
              <w:rPr>
                <w:rFonts w:ascii="Arial" w:hAnsi="Arial" w:cs="Arial"/>
                <w:color w:val="000000"/>
                <w:sz w:val="18"/>
                <w:szCs w:val="18"/>
              </w:rPr>
              <w:t xml:space="preserve">Platelet aggregation in response to up to 6 </w:t>
            </w:r>
            <w:r w:rsidR="00791EDB" w:rsidRPr="005404FE">
              <w:rPr>
                <w:rFonts w:ascii="Arial" w:hAnsi="Arial" w:cs="Arial"/>
                <w:color w:val="000000"/>
                <w:sz w:val="18"/>
                <w:szCs w:val="18"/>
              </w:rPr>
              <w:t>agonists</w:t>
            </w:r>
            <w:r w:rsidRPr="005404FE">
              <w:rPr>
                <w:rFonts w:ascii="Arial" w:hAnsi="Arial" w:cs="Arial"/>
                <w:color w:val="000000"/>
                <w:sz w:val="18"/>
                <w:szCs w:val="18"/>
              </w:rPr>
              <w:t xml:space="preserve"> for the diagnos</w:t>
            </w:r>
            <w:r w:rsidR="00791EDB" w:rsidRPr="005404FE">
              <w:rPr>
                <w:rFonts w:ascii="Arial" w:hAnsi="Arial" w:cs="Arial"/>
                <w:color w:val="000000"/>
                <w:sz w:val="18"/>
                <w:szCs w:val="18"/>
              </w:rPr>
              <w:t>is</w:t>
            </w:r>
            <w:r w:rsidRPr="005404FE">
              <w:rPr>
                <w:rFonts w:ascii="Arial" w:hAnsi="Arial" w:cs="Arial"/>
                <w:color w:val="000000"/>
                <w:sz w:val="18"/>
                <w:szCs w:val="18"/>
              </w:rPr>
              <w:t xml:space="preserve"> </w:t>
            </w:r>
            <w:r w:rsidR="00791EDB" w:rsidRPr="005404FE">
              <w:rPr>
                <w:rFonts w:ascii="Arial" w:hAnsi="Arial" w:cs="Arial"/>
                <w:color w:val="000000"/>
                <w:sz w:val="18"/>
                <w:szCs w:val="18"/>
              </w:rPr>
              <w:t xml:space="preserve">or confirmation </w:t>
            </w:r>
            <w:r w:rsidRPr="005404FE">
              <w:rPr>
                <w:rFonts w:ascii="Arial" w:hAnsi="Arial" w:cs="Arial"/>
                <w:color w:val="000000"/>
                <w:sz w:val="18"/>
                <w:szCs w:val="18"/>
              </w:rPr>
              <w:t>of platelet function disorders</w:t>
            </w:r>
            <w:r w:rsidR="005B42A8" w:rsidRPr="005404FE">
              <w:rPr>
                <w:rFonts w:ascii="Arial" w:hAnsi="Arial" w:cs="Arial"/>
                <w:color w:val="000000"/>
                <w:sz w:val="18"/>
                <w:szCs w:val="18"/>
              </w:rPr>
              <w:t>.</w:t>
            </w:r>
          </w:p>
          <w:p w14:paraId="73938BF1" w14:textId="77777777" w:rsidR="00791EDB" w:rsidRPr="005404FE" w:rsidRDefault="00432106" w:rsidP="00BD61B1">
            <w:pPr>
              <w:rPr>
                <w:rFonts w:ascii="Arial" w:hAnsi="Arial" w:cs="Arial"/>
                <w:color w:val="000000"/>
                <w:sz w:val="18"/>
                <w:szCs w:val="18"/>
              </w:rPr>
            </w:pPr>
            <w:r w:rsidRPr="005404FE">
              <w:rPr>
                <w:rFonts w:ascii="Arial" w:hAnsi="Arial" w:cs="Arial"/>
                <w:color w:val="000000"/>
                <w:sz w:val="18"/>
                <w:szCs w:val="18"/>
              </w:rPr>
              <w:lastRenderedPageBreak/>
              <w:t>Explanatory note or rule</w:t>
            </w:r>
            <w:r w:rsidR="005B42A8" w:rsidRPr="005404FE">
              <w:rPr>
                <w:rFonts w:ascii="Arial" w:hAnsi="Arial" w:cs="Arial"/>
                <w:color w:val="000000"/>
                <w:sz w:val="18"/>
                <w:szCs w:val="18"/>
              </w:rPr>
              <w:t>: only</w:t>
            </w:r>
            <w:r w:rsidR="00DE632F" w:rsidRPr="005404FE">
              <w:rPr>
                <w:rFonts w:ascii="Arial" w:hAnsi="Arial" w:cs="Arial"/>
                <w:color w:val="000000"/>
                <w:sz w:val="18"/>
                <w:szCs w:val="18"/>
              </w:rPr>
              <w:t xml:space="preserve"> requested by</w:t>
            </w:r>
            <w:r w:rsidR="00640D76" w:rsidRPr="005404FE">
              <w:rPr>
                <w:rFonts w:ascii="Arial" w:hAnsi="Arial" w:cs="Arial"/>
                <w:color w:val="000000"/>
                <w:sz w:val="18"/>
                <w:szCs w:val="18"/>
              </w:rPr>
              <w:t>,</w:t>
            </w:r>
            <w:r w:rsidR="00DE632F" w:rsidRPr="005404FE">
              <w:rPr>
                <w:rFonts w:ascii="Arial" w:hAnsi="Arial" w:cs="Arial"/>
                <w:color w:val="000000"/>
                <w:sz w:val="18"/>
                <w:szCs w:val="18"/>
              </w:rPr>
              <w:t xml:space="preserve"> </w:t>
            </w:r>
            <w:r w:rsidR="00F6763D" w:rsidRPr="005404FE">
              <w:rPr>
                <w:rFonts w:ascii="Arial" w:hAnsi="Arial" w:cs="Arial"/>
                <w:color w:val="000000"/>
                <w:sz w:val="18"/>
                <w:szCs w:val="18"/>
              </w:rPr>
              <w:t xml:space="preserve">or in </w:t>
            </w:r>
            <w:r w:rsidR="00BD61B1">
              <w:rPr>
                <w:rFonts w:ascii="Arial" w:hAnsi="Arial" w:cs="Arial"/>
                <w:color w:val="000000"/>
                <w:sz w:val="18"/>
                <w:szCs w:val="18"/>
              </w:rPr>
              <w:t xml:space="preserve">communication </w:t>
            </w:r>
            <w:r w:rsidR="00F6763D" w:rsidRPr="005404FE">
              <w:rPr>
                <w:rFonts w:ascii="Arial" w:hAnsi="Arial" w:cs="Arial"/>
                <w:color w:val="000000"/>
                <w:sz w:val="18"/>
                <w:szCs w:val="18"/>
              </w:rPr>
              <w:t>with</w:t>
            </w:r>
            <w:r w:rsidR="00640D76" w:rsidRPr="005404FE">
              <w:rPr>
                <w:rFonts w:ascii="Arial" w:hAnsi="Arial" w:cs="Arial"/>
                <w:color w:val="000000"/>
                <w:sz w:val="18"/>
                <w:szCs w:val="18"/>
              </w:rPr>
              <w:t>,</w:t>
            </w:r>
            <w:r w:rsidR="00F6763D" w:rsidRPr="005404FE">
              <w:rPr>
                <w:rFonts w:ascii="Arial" w:hAnsi="Arial" w:cs="Arial"/>
                <w:color w:val="000000"/>
                <w:sz w:val="18"/>
                <w:szCs w:val="18"/>
              </w:rPr>
              <w:t xml:space="preserve"> </w:t>
            </w:r>
            <w:r w:rsidR="00DE632F" w:rsidRPr="005404FE">
              <w:rPr>
                <w:rFonts w:ascii="Arial" w:hAnsi="Arial" w:cs="Arial"/>
                <w:color w:val="000000"/>
                <w:sz w:val="18"/>
                <w:szCs w:val="18"/>
              </w:rPr>
              <w:t>a consultant physician or specialist pathologist</w:t>
            </w:r>
          </w:p>
        </w:tc>
      </w:tr>
    </w:tbl>
    <w:p w14:paraId="28CEDDF7" w14:textId="77777777" w:rsidR="0033420E" w:rsidRDefault="0033420E" w:rsidP="00367716">
      <w:pPr>
        <w:pStyle w:val="Heading3"/>
      </w:pPr>
      <w:bookmarkStart w:id="101" w:name="_Toc495403403"/>
      <w:bookmarkEnd w:id="100"/>
      <w:r>
        <w:lastRenderedPageBreak/>
        <w:t>Rationale</w:t>
      </w:r>
      <w:r w:rsidR="00D95981">
        <w:t xml:space="preserve"> 5</w:t>
      </w:r>
      <w:bookmarkEnd w:id="101"/>
    </w:p>
    <w:p w14:paraId="23260B4C" w14:textId="77777777" w:rsidR="0033420E" w:rsidRDefault="0033420E" w:rsidP="0033420E">
      <w:r>
        <w:t xml:space="preserve">The recommendations are </w:t>
      </w:r>
      <w:r w:rsidR="00891B8D">
        <w:t>focused</w:t>
      </w:r>
      <w:r>
        <w:t xml:space="preserve"> on improving patient care and encouraging best practice. They are based on the following observations.</w:t>
      </w:r>
    </w:p>
    <w:p w14:paraId="058C2FCA" w14:textId="77777777" w:rsidR="00D32B74" w:rsidRDefault="00D32B74" w:rsidP="00D32B74">
      <w:pPr>
        <w:pStyle w:val="01squarebullet"/>
      </w:pPr>
      <w:r>
        <w:t>The current item 65144 is being used to fund initial platelet assessment tests</w:t>
      </w:r>
      <w:r w:rsidR="00144944">
        <w:t>,</w:t>
      </w:r>
      <w:r>
        <w:t xml:space="preserve"> as well as more formal platelet aggregometry tests. While both </w:t>
      </w:r>
      <w:r w:rsidR="002760A9">
        <w:t>types</w:t>
      </w:r>
      <w:r>
        <w:t xml:space="preserve"> of </w:t>
      </w:r>
      <w:r w:rsidR="002760A9">
        <w:t xml:space="preserve">platelet </w:t>
      </w:r>
      <w:r>
        <w:t xml:space="preserve">tests are required on the MBS, they </w:t>
      </w:r>
      <w:r w:rsidR="002760A9">
        <w:t>are indicated for</w:t>
      </w:r>
      <w:r>
        <w:t xml:space="preserve"> different clinical indications</w:t>
      </w:r>
      <w:r w:rsidR="00BC0A0C">
        <w:t xml:space="preserve"> and </w:t>
      </w:r>
      <w:r w:rsidR="002760A9">
        <w:t xml:space="preserve">involve different methods with very different </w:t>
      </w:r>
      <w:r>
        <w:t>costs.</w:t>
      </w:r>
    </w:p>
    <w:p w14:paraId="6E120F4E" w14:textId="77777777" w:rsidR="00205399" w:rsidRPr="00205399" w:rsidRDefault="0033420E" w:rsidP="00205399">
      <w:pPr>
        <w:pStyle w:val="01squarebullet"/>
      </w:pPr>
      <w:r>
        <w:t xml:space="preserve">The current descriptor for item 65144 is platelet aggregometry, which measures platelet aggregation in response to a panel of agonists including </w:t>
      </w:r>
      <w:r>
        <w:rPr>
          <w:lang w:val="en-AU"/>
        </w:rPr>
        <w:t xml:space="preserve">ADP, collagen, 5HT and </w:t>
      </w:r>
      <w:proofErr w:type="spellStart"/>
      <w:r w:rsidRPr="00444ABD">
        <w:rPr>
          <w:lang w:val="en-AU"/>
        </w:rPr>
        <w:t>ri</w:t>
      </w:r>
      <w:r>
        <w:rPr>
          <w:lang w:val="en-AU"/>
        </w:rPr>
        <w:t>stocetin</w:t>
      </w:r>
      <w:proofErr w:type="spellEnd"/>
      <w:r>
        <w:rPr>
          <w:lang w:val="en-AU"/>
        </w:rPr>
        <w:t>, and drugs including</w:t>
      </w:r>
      <w:r w:rsidRPr="00444ABD">
        <w:rPr>
          <w:lang w:val="en-AU"/>
        </w:rPr>
        <w:t xml:space="preserve"> heparin,</w:t>
      </w:r>
      <w:r>
        <w:rPr>
          <w:lang w:val="en-AU"/>
        </w:rPr>
        <w:t xml:space="preserve"> low molecular weight heparins and </w:t>
      </w:r>
      <w:r w:rsidRPr="00444ABD">
        <w:rPr>
          <w:lang w:val="en-AU"/>
        </w:rPr>
        <w:t>heparinoid</w:t>
      </w:r>
      <w:r>
        <w:rPr>
          <w:lang w:val="en-AU"/>
        </w:rPr>
        <w:t xml:space="preserve">. </w:t>
      </w:r>
      <w:r w:rsidR="00BC0A0C">
        <w:rPr>
          <w:lang w:val="en-AU"/>
        </w:rPr>
        <w:br/>
      </w:r>
      <w:r w:rsidR="00DE3D13">
        <w:t xml:space="preserve">The Committee noted the literature review and cost review of platelet function tests prepared </w:t>
      </w:r>
      <w:r w:rsidR="003E2BC1">
        <w:t>for the Department</w:t>
      </w:r>
      <w:r w:rsidR="00DE3D13">
        <w:t>.</w:t>
      </w:r>
      <w:r w:rsidR="00D87582">
        <w:t xml:space="preserve"> </w:t>
      </w:r>
      <w:r w:rsidR="00B83872">
        <w:fldChar w:fldCharType="begin"/>
      </w:r>
      <w:r w:rsidR="00B83872">
        <w:instrText xml:space="preserve"> REF _Ref488758515 \r \h </w:instrText>
      </w:r>
      <w:r w:rsidR="00B83872">
        <w:fldChar w:fldCharType="separate"/>
      </w:r>
      <w:r w:rsidR="005C3364">
        <w:t>[5]</w:t>
      </w:r>
      <w:r w:rsidR="00B83872">
        <w:fldChar w:fldCharType="end"/>
      </w:r>
      <w:r w:rsidR="009B1B7A">
        <w:t xml:space="preserve">, </w:t>
      </w:r>
      <w:r w:rsidR="00B83872">
        <w:fldChar w:fldCharType="begin"/>
      </w:r>
      <w:r w:rsidR="00B83872">
        <w:instrText xml:space="preserve"> REF _Ref488758538 \r \h </w:instrText>
      </w:r>
      <w:r w:rsidR="00B83872">
        <w:fldChar w:fldCharType="separate"/>
      </w:r>
      <w:r w:rsidR="005C3364">
        <w:t>[6]</w:t>
      </w:r>
      <w:r w:rsidR="00B83872">
        <w:fldChar w:fldCharType="end"/>
      </w:r>
      <w:r w:rsidR="008A3B2A">
        <w:t>.</w:t>
      </w:r>
      <w:r w:rsidR="003E2BC1">
        <w:t xml:space="preserve"> </w:t>
      </w:r>
      <w:r>
        <w:rPr>
          <w:lang w:val="en-AU"/>
        </w:rPr>
        <w:t xml:space="preserve">The </w:t>
      </w:r>
      <w:r w:rsidR="00D87582">
        <w:rPr>
          <w:lang w:val="en-AU"/>
        </w:rPr>
        <w:t>review</w:t>
      </w:r>
      <w:r>
        <w:rPr>
          <w:lang w:val="en-AU"/>
        </w:rPr>
        <w:t xml:space="preserve"> </w:t>
      </w:r>
      <w:r w:rsidR="005B42A8">
        <w:rPr>
          <w:lang w:val="en-AU"/>
        </w:rPr>
        <w:t xml:space="preserve">focused on formal platelet aggregometry and </w:t>
      </w:r>
      <w:r>
        <w:rPr>
          <w:lang w:val="en-AU"/>
        </w:rPr>
        <w:t>identified that light transmission platelet aggregation (LTA) is t</w:t>
      </w:r>
      <w:r w:rsidR="00D87582">
        <w:rPr>
          <w:lang w:val="en-AU"/>
        </w:rPr>
        <w:t xml:space="preserve">he most widely used method </w:t>
      </w:r>
      <w:r>
        <w:rPr>
          <w:lang w:val="en-AU"/>
        </w:rPr>
        <w:t xml:space="preserve">and is considered the ‘gold standard’ test for measuring platelet function. </w:t>
      </w:r>
    </w:p>
    <w:p w14:paraId="45E202A5" w14:textId="77777777" w:rsidR="0033420E" w:rsidRPr="00444ABD" w:rsidRDefault="0033420E" w:rsidP="00205399">
      <w:pPr>
        <w:pStyle w:val="01squarebullet"/>
      </w:pPr>
      <w:r>
        <w:rPr>
          <w:lang w:val="en-AU"/>
        </w:rPr>
        <w:t xml:space="preserve">The </w:t>
      </w:r>
      <w:r w:rsidR="00D87582">
        <w:rPr>
          <w:lang w:val="en-AU"/>
        </w:rPr>
        <w:t>review</w:t>
      </w:r>
      <w:r>
        <w:rPr>
          <w:lang w:val="en-AU"/>
        </w:rPr>
        <w:t xml:space="preserve"> identified that platelet aggregation testing using LTA has diagnostic utility in patients with suspected bleeding disorders, and possible clinical utility in guiding antiplatelet therapy. The literature does not support its use in screening for bleeding tendency. </w:t>
      </w:r>
      <w:r w:rsidR="00BC0A0C">
        <w:rPr>
          <w:lang w:val="en-AU"/>
        </w:rPr>
        <w:br/>
      </w:r>
      <w:r w:rsidRPr="00205399">
        <w:rPr>
          <w:lang w:val="en-AU"/>
        </w:rPr>
        <w:t xml:space="preserve">Currently there are no </w:t>
      </w:r>
      <w:r w:rsidR="00D87582" w:rsidRPr="00205399">
        <w:rPr>
          <w:lang w:val="en-AU"/>
        </w:rPr>
        <w:t xml:space="preserve">clinical </w:t>
      </w:r>
      <w:r w:rsidRPr="00205399">
        <w:rPr>
          <w:lang w:val="en-AU"/>
        </w:rPr>
        <w:t xml:space="preserve">restrictors on the use of this </w:t>
      </w:r>
      <w:r w:rsidR="00D87582" w:rsidRPr="00205399">
        <w:rPr>
          <w:lang w:val="en-AU"/>
        </w:rPr>
        <w:t>item</w:t>
      </w:r>
      <w:r w:rsidRPr="00205399">
        <w:rPr>
          <w:lang w:val="en-AU"/>
        </w:rPr>
        <w:t xml:space="preserve"> and the Committee agreed that </w:t>
      </w:r>
      <w:r w:rsidR="00205399" w:rsidRPr="00205399">
        <w:rPr>
          <w:lang w:val="en-AU"/>
        </w:rPr>
        <w:t>this test is complex and</w:t>
      </w:r>
      <w:r w:rsidRPr="00205399">
        <w:rPr>
          <w:lang w:val="en-AU"/>
        </w:rPr>
        <w:t xml:space="preserve"> could be ordered inappropriately</w:t>
      </w:r>
      <w:r w:rsidR="00205399" w:rsidRPr="00205399">
        <w:rPr>
          <w:lang w:val="en-AU"/>
        </w:rPr>
        <w:t>. They</w:t>
      </w:r>
      <w:r w:rsidRPr="00205399">
        <w:rPr>
          <w:lang w:val="en-AU"/>
        </w:rPr>
        <w:t xml:space="preserve"> recommended </w:t>
      </w:r>
      <w:r w:rsidR="00D87582" w:rsidRPr="00205399">
        <w:rPr>
          <w:lang w:val="en-AU"/>
        </w:rPr>
        <w:t>restricting the item to consultant physicians or specialist pathologists only.</w:t>
      </w:r>
    </w:p>
    <w:p w14:paraId="0A8C4F95" w14:textId="77777777" w:rsidR="00205399" w:rsidRDefault="0033420E" w:rsidP="0033420E">
      <w:pPr>
        <w:pStyle w:val="01squarebullet"/>
      </w:pPr>
      <w:r>
        <w:t xml:space="preserve">In practice, item 65144 is also being used to fund </w:t>
      </w:r>
      <w:r w:rsidR="00324FAB">
        <w:t>initial or first</w:t>
      </w:r>
      <w:r w:rsidR="00BC0A0C">
        <w:t>-</w:t>
      </w:r>
      <w:r w:rsidR="00324FAB">
        <w:t xml:space="preserve">tier </w:t>
      </w:r>
      <w:r>
        <w:t xml:space="preserve">platelet </w:t>
      </w:r>
      <w:r w:rsidR="00324FAB">
        <w:t>assessment tests</w:t>
      </w:r>
      <w:r>
        <w:t xml:space="preserve">. </w:t>
      </w:r>
      <w:r w:rsidR="00205399">
        <w:t>These tests are used to i</w:t>
      </w:r>
      <w:r w:rsidR="00205399" w:rsidRPr="00823736">
        <w:t>dentify and help diagnose platelet dysfunction in those with a</w:t>
      </w:r>
      <w:r w:rsidR="00205399">
        <w:t xml:space="preserve"> history of excessive bleeding, </w:t>
      </w:r>
      <w:r w:rsidR="00205399" w:rsidRPr="00823736">
        <w:t>to help diagnose inherited and acquired platelet dysfunctions.</w:t>
      </w:r>
      <w:r w:rsidR="00205399">
        <w:t xml:space="preserve"> </w:t>
      </w:r>
      <w:r w:rsidR="00BC0A0C">
        <w:t xml:space="preserve">Several </w:t>
      </w:r>
      <w:r>
        <w:t xml:space="preserve">commercial tests </w:t>
      </w:r>
      <w:r w:rsidR="00BC0A0C">
        <w:t xml:space="preserve">are </w:t>
      </w:r>
      <w:r>
        <w:t>avai</w:t>
      </w:r>
      <w:r w:rsidR="002760A9">
        <w:t>lable, including</w:t>
      </w:r>
      <w:r w:rsidR="00E15842">
        <w:t xml:space="preserve"> </w:t>
      </w:r>
      <w:r w:rsidR="00D87582">
        <w:t>PFA-100</w:t>
      </w:r>
      <w:r w:rsidR="002760A9">
        <w:t>.</w:t>
      </w:r>
    </w:p>
    <w:p w14:paraId="43D5C039" w14:textId="77777777" w:rsidR="0033420E" w:rsidRPr="00B15D0C" w:rsidRDefault="00205399" w:rsidP="0033420E">
      <w:pPr>
        <w:pStyle w:val="01squarebullet"/>
      </w:pPr>
      <w:r>
        <w:t>The Committee agreed that the</w:t>
      </w:r>
      <w:r w:rsidR="0033420E">
        <w:t xml:space="preserve"> </w:t>
      </w:r>
      <w:r w:rsidR="0033420E" w:rsidRPr="00745302">
        <w:t xml:space="preserve">clinical value of </w:t>
      </w:r>
      <w:r w:rsidR="00324FAB">
        <w:t xml:space="preserve">routine </w:t>
      </w:r>
      <w:r w:rsidR="00DE3D13">
        <w:t xml:space="preserve">platelet </w:t>
      </w:r>
      <w:r w:rsidR="00324FAB">
        <w:t>testing</w:t>
      </w:r>
      <w:r w:rsidR="0033420E" w:rsidRPr="00745302">
        <w:t xml:space="preserve"> is </w:t>
      </w:r>
      <w:proofErr w:type="gramStart"/>
      <w:r w:rsidR="0033420E" w:rsidRPr="00745302">
        <w:t>limited</w:t>
      </w:r>
      <w:proofErr w:type="gramEnd"/>
      <w:r w:rsidR="0033420E">
        <w:t xml:space="preserve"> and the current</w:t>
      </w:r>
      <w:r w:rsidR="0033420E" w:rsidRPr="00745302">
        <w:t xml:space="preserve"> item</w:t>
      </w:r>
      <w:r w:rsidR="0033420E">
        <w:t xml:space="preserve"> has the potential to be </w:t>
      </w:r>
      <w:r w:rsidR="0033420E" w:rsidRPr="00745302">
        <w:t>over</w:t>
      </w:r>
      <w:r w:rsidR="0033420E">
        <w:t>-ordered</w:t>
      </w:r>
      <w:r w:rsidR="0033420E" w:rsidRPr="00745302">
        <w:t>.</w:t>
      </w:r>
      <w:r w:rsidR="0033420E">
        <w:t xml:space="preserve"> </w:t>
      </w:r>
      <w:r>
        <w:t>Despite</w:t>
      </w:r>
      <w:r w:rsidR="002760A9">
        <w:t xml:space="preserve"> lack of evidence, </w:t>
      </w:r>
      <w:r w:rsidR="00324FAB">
        <w:t>these</w:t>
      </w:r>
      <w:r w:rsidR="002760A9">
        <w:t xml:space="preserve"> tests are</w:t>
      </w:r>
      <w:r w:rsidR="0033420E">
        <w:t xml:space="preserve"> sometimes used to estimate a patient’s risk of bleeding postopera</w:t>
      </w:r>
      <w:r w:rsidR="00D87582">
        <w:t>tively</w:t>
      </w:r>
      <w:r w:rsidR="0033420E">
        <w:t xml:space="preserve">. Currently most antiplatelet therapies cannot be routinely monitored with platelet function testing. </w:t>
      </w:r>
      <w:r w:rsidR="00D87582">
        <w:t>The Committee agreed th</w:t>
      </w:r>
      <w:r w:rsidR="00D32B74">
        <w:t xml:space="preserve">at a note should be added to </w:t>
      </w:r>
      <w:r w:rsidR="00D87582">
        <w:t>the item</w:t>
      </w:r>
      <w:r w:rsidR="00D32B74">
        <w:t xml:space="preserve"> indicating that the test is not indicated for patients on antiplatelet therapy.</w:t>
      </w:r>
    </w:p>
    <w:p w14:paraId="7A3C3447" w14:textId="77777777" w:rsidR="0033420E" w:rsidRDefault="00DE3D13" w:rsidP="0033420E">
      <w:pPr>
        <w:pStyle w:val="01squarebullet"/>
      </w:pPr>
      <w:r>
        <w:t xml:space="preserve">Splitting </w:t>
      </w:r>
      <w:r w:rsidR="0033420E">
        <w:t xml:space="preserve">the current item </w:t>
      </w:r>
      <w:r>
        <w:t>provides the opportunity to include</w:t>
      </w:r>
      <w:r w:rsidR="0033420E">
        <w:t xml:space="preserve"> restrictors </w:t>
      </w:r>
      <w:r>
        <w:t xml:space="preserve">in either rules or explanatory notes </w:t>
      </w:r>
      <w:r w:rsidR="0033420E">
        <w:t xml:space="preserve">to </w:t>
      </w:r>
      <w:r>
        <w:t>improve the ordering of</w:t>
      </w:r>
      <w:r w:rsidR="0033420E">
        <w:t xml:space="preserve"> both platelet aggregometry tests and </w:t>
      </w:r>
      <w:r w:rsidR="00324FAB">
        <w:t>initial assessment</w:t>
      </w:r>
      <w:r w:rsidR="0033420E">
        <w:t xml:space="preserve"> tests </w:t>
      </w:r>
      <w:r>
        <w:t>and provide</w:t>
      </w:r>
      <w:r w:rsidR="0033420E">
        <w:t xml:space="preserve"> better data to inform future reviews and interventions.</w:t>
      </w:r>
      <w:r w:rsidR="00DC4E04">
        <w:t xml:space="preserve"> </w:t>
      </w:r>
    </w:p>
    <w:p w14:paraId="72AE855F" w14:textId="77777777" w:rsidR="00324FAB" w:rsidRDefault="0033420E" w:rsidP="00647849">
      <w:pPr>
        <w:pStyle w:val="01squarebullet"/>
      </w:pPr>
      <w:r>
        <w:t>The current remuneration does</w:t>
      </w:r>
      <w:r w:rsidR="00DE3D13">
        <w:t xml:space="preserve"> not</w:t>
      </w:r>
      <w:r>
        <w:t xml:space="preserve"> </w:t>
      </w:r>
      <w:r w:rsidR="00DE3D13">
        <w:t xml:space="preserve">accurately </w:t>
      </w:r>
      <w:r>
        <w:t>reflect the cost</w:t>
      </w:r>
      <w:r w:rsidR="00DE3D13">
        <w:t>s of</w:t>
      </w:r>
      <w:r>
        <w:t xml:space="preserve"> </w:t>
      </w:r>
      <w:r w:rsidR="00324FAB">
        <w:t>either</w:t>
      </w:r>
      <w:r>
        <w:t xml:space="preserve"> </w:t>
      </w:r>
      <w:r w:rsidR="00BC0A0C">
        <w:t xml:space="preserve">of the </w:t>
      </w:r>
      <w:r w:rsidR="00DE3D13">
        <w:t xml:space="preserve">proposed </w:t>
      </w:r>
      <w:proofErr w:type="gramStart"/>
      <w:r w:rsidR="00DE3D13">
        <w:t>items</w:t>
      </w:r>
      <w:r w:rsidR="00BC0A0C">
        <w:t>,</w:t>
      </w:r>
      <w:r>
        <w:t xml:space="preserve"> and</w:t>
      </w:r>
      <w:proofErr w:type="gramEnd"/>
      <w:r>
        <w:t xml:space="preserve"> splitting </w:t>
      </w:r>
      <w:r w:rsidR="00DE3D13">
        <w:t>them</w:t>
      </w:r>
      <w:r>
        <w:t xml:space="preserve"> </w:t>
      </w:r>
      <w:r w:rsidR="00DE3D13">
        <w:t>will require a cost analysis</w:t>
      </w:r>
      <w:r>
        <w:t xml:space="preserve">. </w:t>
      </w:r>
      <w:r w:rsidR="00205399">
        <w:t>The</w:t>
      </w:r>
      <w:r>
        <w:t xml:space="preserve"> cost review </w:t>
      </w:r>
      <w:r w:rsidR="00205399">
        <w:t>proposed a</w:t>
      </w:r>
      <w:r>
        <w:t xml:space="preserve"> revised costing </w:t>
      </w:r>
      <w:r w:rsidR="00205399">
        <w:t>for LTA</w:t>
      </w:r>
      <w:r w:rsidR="00324FAB">
        <w:t xml:space="preserve"> ranging from $153.96 to $</w:t>
      </w:r>
      <w:r w:rsidR="004F5E82">
        <w:t>2</w:t>
      </w:r>
      <w:r w:rsidR="00324FAB">
        <w:t xml:space="preserve">00.80. </w:t>
      </w:r>
      <w:r w:rsidR="00B83872">
        <w:fldChar w:fldCharType="begin"/>
      </w:r>
      <w:r w:rsidR="00B83872">
        <w:instrText xml:space="preserve"> REF _Ref488758538 \r \h </w:instrText>
      </w:r>
      <w:r w:rsidR="00B83872">
        <w:fldChar w:fldCharType="separate"/>
      </w:r>
      <w:r w:rsidR="005C3364">
        <w:t>[6]</w:t>
      </w:r>
      <w:r w:rsidR="00B83872">
        <w:fldChar w:fldCharType="end"/>
      </w:r>
    </w:p>
    <w:p w14:paraId="2C3F77D6" w14:textId="77777777" w:rsidR="00F64476" w:rsidRPr="00F64476" w:rsidRDefault="00E15842" w:rsidP="00361EC6">
      <w:pPr>
        <w:pStyle w:val="01squarebullet"/>
      </w:pPr>
      <w:r>
        <w:t>The Committee</w:t>
      </w:r>
      <w:r w:rsidR="00205399">
        <w:t xml:space="preserve"> also</w:t>
      </w:r>
      <w:r>
        <w:t xml:space="preserve"> </w:t>
      </w:r>
      <w:r w:rsidR="00DE3D13">
        <w:t>discussed</w:t>
      </w:r>
      <w:r>
        <w:t xml:space="preserve"> the increasing availability of ‘point of care’ methods for testing platelet function</w:t>
      </w:r>
      <w:r w:rsidR="00F64476">
        <w:t>. Two examples are TEG</w:t>
      </w:r>
      <w:r w:rsidR="00361EC6" w:rsidRPr="00361EC6">
        <w:t xml:space="preserve"> </w:t>
      </w:r>
      <w:r w:rsidR="00361EC6">
        <w:t>(</w:t>
      </w:r>
      <w:proofErr w:type="spellStart"/>
      <w:r w:rsidR="00361EC6">
        <w:t>thromboelastog</w:t>
      </w:r>
      <w:r w:rsidR="00361EC6" w:rsidRPr="00361EC6">
        <w:t>raphy</w:t>
      </w:r>
      <w:proofErr w:type="spellEnd"/>
      <w:r w:rsidR="00361EC6">
        <w:t>)</w:t>
      </w:r>
      <w:r w:rsidR="00F64476">
        <w:t xml:space="preserve"> and ROTEM</w:t>
      </w:r>
      <w:r w:rsidR="00361EC6">
        <w:t xml:space="preserve"> (rotational </w:t>
      </w:r>
      <w:proofErr w:type="spellStart"/>
      <w:r w:rsidR="00361EC6">
        <w:t>thromboelastom</w:t>
      </w:r>
      <w:r w:rsidR="00361EC6" w:rsidRPr="00361EC6">
        <w:t>etry</w:t>
      </w:r>
      <w:proofErr w:type="spellEnd"/>
      <w:r w:rsidR="00361EC6">
        <w:t>)</w:t>
      </w:r>
      <w:r w:rsidR="00F64476">
        <w:t xml:space="preserve">, </w:t>
      </w:r>
      <w:r w:rsidR="00F64476" w:rsidRPr="00F64476">
        <w:rPr>
          <w:lang w:val="en-GB"/>
        </w:rPr>
        <w:t xml:space="preserve">both acronyms being registered trademarks. </w:t>
      </w:r>
      <w:r w:rsidR="00BC0A0C">
        <w:rPr>
          <w:lang w:val="en-GB"/>
        </w:rPr>
        <w:br/>
      </w:r>
      <w:r w:rsidR="00F64476">
        <w:rPr>
          <w:lang w:val="en-GB"/>
        </w:rPr>
        <w:t>These are tools for</w:t>
      </w:r>
      <w:r w:rsidR="00F64476" w:rsidRPr="00F64476">
        <w:rPr>
          <w:lang w:val="en-GB"/>
        </w:rPr>
        <w:t xml:space="preserve"> assessing whole blood clotting </w:t>
      </w:r>
      <w:r w:rsidR="00F64476">
        <w:t>and are</w:t>
      </w:r>
      <w:r>
        <w:t xml:space="preserve"> used at the bedside, in outpatient and ambulatory settings and in o</w:t>
      </w:r>
      <w:r w:rsidR="00461B52">
        <w:t xml:space="preserve">perating theatres. </w:t>
      </w:r>
      <w:r w:rsidR="00BC0A0C">
        <w:br/>
      </w:r>
      <w:r w:rsidR="00461B52">
        <w:lastRenderedPageBreak/>
        <w:t xml:space="preserve">There is increasing evidence that use of TEG/ROTEM </w:t>
      </w:r>
      <w:r w:rsidR="00BC0A0C">
        <w:t xml:space="preserve">is </w:t>
      </w:r>
      <w:r w:rsidR="00461B52">
        <w:t xml:space="preserve">associated with reduced blood use in management of massive </w:t>
      </w:r>
      <w:proofErr w:type="spellStart"/>
      <w:r w:rsidR="00461B52">
        <w:t>haemorrhage</w:t>
      </w:r>
      <w:proofErr w:type="spellEnd"/>
      <w:r w:rsidR="00461B52">
        <w:t>.</w:t>
      </w:r>
      <w:r w:rsidR="00563C03">
        <w:t xml:space="preserve"> </w:t>
      </w:r>
      <w:r w:rsidR="00F64476">
        <w:t xml:space="preserve">This is outside the scope of this </w:t>
      </w:r>
      <w:proofErr w:type="gramStart"/>
      <w:r w:rsidR="00F64476">
        <w:t>review, but</w:t>
      </w:r>
      <w:proofErr w:type="gramEnd"/>
      <w:r w:rsidR="00F64476">
        <w:t xml:space="preserve"> is a</w:t>
      </w:r>
      <w:r>
        <w:t xml:space="preserve"> trend worth noting for </w:t>
      </w:r>
      <w:r w:rsidR="00F64476">
        <w:t xml:space="preserve">the </w:t>
      </w:r>
      <w:r>
        <w:t>future.</w:t>
      </w:r>
    </w:p>
    <w:p w14:paraId="19E51CFE" w14:textId="77777777" w:rsidR="0033420E" w:rsidRDefault="00C07E2E" w:rsidP="00507FB2">
      <w:pPr>
        <w:pStyle w:val="01squarebullet"/>
      </w:pPr>
      <w:r>
        <w:t xml:space="preserve">These changes are not expected to impact </w:t>
      </w:r>
      <w:proofErr w:type="spellStart"/>
      <w:r>
        <w:t>utilisation</w:t>
      </w:r>
      <w:proofErr w:type="spellEnd"/>
      <w:r>
        <w:t>, although</w:t>
      </w:r>
      <w:r w:rsidR="0033420E">
        <w:t xml:space="preserve"> it </w:t>
      </w:r>
      <w:r>
        <w:t>is possible</w:t>
      </w:r>
      <w:r w:rsidR="0033420E">
        <w:t xml:space="preserve"> that the number of requests </w:t>
      </w:r>
      <w:r w:rsidR="00E15842">
        <w:t xml:space="preserve">for formal platelet aggregation </w:t>
      </w:r>
      <w:r>
        <w:t xml:space="preserve">could </w:t>
      </w:r>
      <w:r w:rsidR="0033420E">
        <w:t>decrease</w:t>
      </w:r>
      <w:r>
        <w:t xml:space="preserve"> with tighter parameters ensuring appropriate use</w:t>
      </w:r>
      <w:r w:rsidR="0033420E">
        <w:t>.</w:t>
      </w:r>
    </w:p>
    <w:p w14:paraId="0596045C" w14:textId="77777777" w:rsidR="006D3B55" w:rsidRDefault="006D3B55" w:rsidP="006D3B55">
      <w:pPr>
        <w:pStyle w:val="Heading2"/>
      </w:pPr>
      <w:bookmarkStart w:id="102" w:name="_Toc495403404"/>
      <w:r>
        <w:t xml:space="preserve">Assessment of </w:t>
      </w:r>
      <w:proofErr w:type="spellStart"/>
      <w:r>
        <w:t>haemolysis</w:t>
      </w:r>
      <w:proofErr w:type="spellEnd"/>
      <w:r>
        <w:t xml:space="preserve"> or metabolic enzymes</w:t>
      </w:r>
      <w:r w:rsidR="00C77285">
        <w:t>: I</w:t>
      </w:r>
      <w:r w:rsidR="00813794">
        <w:t>tem 65075</w:t>
      </w:r>
      <w:bookmarkEnd w:id="102"/>
    </w:p>
    <w:p w14:paraId="6731E6DB" w14:textId="77777777" w:rsidR="006D3B55" w:rsidRPr="00D0498A" w:rsidRDefault="002C0890" w:rsidP="007C4E41">
      <w:pPr>
        <w:pStyle w:val="Caption"/>
        <w:tabs>
          <w:tab w:val="left" w:pos="1418"/>
        </w:tabs>
      </w:pPr>
      <w:bookmarkStart w:id="103" w:name="_Toc481493779"/>
      <w:r>
        <w:t>Table 12</w:t>
      </w:r>
      <w:r w:rsidR="006D3B55" w:rsidRPr="008F7F21">
        <w:t>:</w:t>
      </w:r>
      <w:r w:rsidR="006D3B55">
        <w:t xml:space="preserve"> </w:t>
      </w:r>
      <w:r w:rsidR="006D3B55" w:rsidRPr="00FC1976">
        <w:t>I</w:t>
      </w:r>
      <w:r w:rsidR="006D3B55">
        <w:t>tem introduction table for item 65075</w:t>
      </w:r>
      <w:bookmarkEnd w:id="103"/>
    </w:p>
    <w:tbl>
      <w:tblPr>
        <w:tblStyle w:val="TableGrid1"/>
        <w:tblW w:w="8890" w:type="dxa"/>
        <w:tblLook w:val="04A0" w:firstRow="1" w:lastRow="0" w:firstColumn="1" w:lastColumn="0" w:noHBand="0" w:noVBand="1"/>
        <w:tblCaption w:val="Table 12, Item introduction table for item 65075"/>
        <w:tblDescription w:val="This table shows selected current MBS Schedule information for item 65075. There are 7 columns – column 1: item number, column 2: long item descriptor, column 3: schedule fee, column 4: services for the 2014–15 financial year, column 5: total benefits for the 2014–15 financial year, column 6: total patient count for the 2014–15 financial year, and column 7: 5-year compound annual growth rate of the service."/>
      </w:tblPr>
      <w:tblGrid>
        <w:gridCol w:w="774"/>
        <w:gridCol w:w="2427"/>
        <w:gridCol w:w="1189"/>
        <w:gridCol w:w="1261"/>
        <w:gridCol w:w="1203"/>
        <w:gridCol w:w="938"/>
        <w:gridCol w:w="1098"/>
      </w:tblGrid>
      <w:tr w:rsidR="006D3B55" w:rsidRPr="005C47CA" w14:paraId="4DC46406" w14:textId="77777777" w:rsidTr="00D06099">
        <w:trPr>
          <w:trHeight w:val="729"/>
          <w:tblHeader/>
        </w:trPr>
        <w:tc>
          <w:tcPr>
            <w:tcW w:w="774" w:type="dxa"/>
            <w:shd w:val="clear" w:color="auto" w:fill="F2F2F2" w:themeFill="background1" w:themeFillShade="F2"/>
            <w:vAlign w:val="bottom"/>
            <w:hideMark/>
          </w:tcPr>
          <w:p w14:paraId="00724A8F" w14:textId="77777777" w:rsidR="006D3B55" w:rsidRPr="005C47CA" w:rsidRDefault="006D3B55" w:rsidP="006D3B55">
            <w:pPr>
              <w:rPr>
                <w:rFonts w:ascii="Arial" w:hAnsi="Arial" w:cs="Arial"/>
                <w:b/>
                <w:color w:val="000000"/>
                <w:sz w:val="18"/>
                <w:szCs w:val="18"/>
              </w:rPr>
            </w:pPr>
            <w:r w:rsidRPr="005C47CA">
              <w:rPr>
                <w:rFonts w:ascii="Arial" w:hAnsi="Arial" w:cs="Arial"/>
                <w:b/>
                <w:color w:val="000000"/>
                <w:sz w:val="18"/>
                <w:szCs w:val="18"/>
              </w:rPr>
              <w:t>Item</w:t>
            </w:r>
          </w:p>
        </w:tc>
        <w:tc>
          <w:tcPr>
            <w:tcW w:w="2427" w:type="dxa"/>
            <w:shd w:val="clear" w:color="auto" w:fill="F2F2F2" w:themeFill="background1" w:themeFillShade="F2"/>
            <w:vAlign w:val="bottom"/>
            <w:hideMark/>
          </w:tcPr>
          <w:p w14:paraId="3BA3121D" w14:textId="77777777" w:rsidR="006D3B55" w:rsidRPr="005C47CA" w:rsidRDefault="006D3B55" w:rsidP="006D3B55">
            <w:pPr>
              <w:rPr>
                <w:rFonts w:ascii="Arial" w:hAnsi="Arial" w:cs="Arial"/>
                <w:b/>
                <w:color w:val="000000"/>
                <w:sz w:val="18"/>
                <w:szCs w:val="18"/>
              </w:rPr>
            </w:pPr>
            <w:r w:rsidRPr="005C47CA">
              <w:rPr>
                <w:rFonts w:ascii="Arial" w:hAnsi="Arial" w:cs="Arial"/>
                <w:b/>
                <w:color w:val="000000"/>
                <w:sz w:val="18"/>
                <w:szCs w:val="18"/>
              </w:rPr>
              <w:t>Long item descriptor</w:t>
            </w:r>
          </w:p>
        </w:tc>
        <w:tc>
          <w:tcPr>
            <w:tcW w:w="1189" w:type="dxa"/>
            <w:shd w:val="clear" w:color="auto" w:fill="F2F2F2" w:themeFill="background1" w:themeFillShade="F2"/>
            <w:vAlign w:val="bottom"/>
            <w:hideMark/>
          </w:tcPr>
          <w:p w14:paraId="79FAA4EB" w14:textId="77777777" w:rsidR="006D3B55" w:rsidRPr="005C47CA" w:rsidRDefault="006D3B55" w:rsidP="006D3B55">
            <w:pPr>
              <w:rPr>
                <w:rFonts w:ascii="Arial" w:hAnsi="Arial" w:cs="Arial"/>
                <w:b/>
                <w:color w:val="000000"/>
                <w:sz w:val="18"/>
                <w:szCs w:val="18"/>
              </w:rPr>
            </w:pPr>
            <w:r w:rsidRPr="005C47CA">
              <w:rPr>
                <w:rFonts w:ascii="Arial" w:hAnsi="Arial" w:cs="Arial"/>
                <w:b/>
                <w:color w:val="000000"/>
                <w:sz w:val="18"/>
                <w:szCs w:val="18"/>
              </w:rPr>
              <w:t>Schedule fee</w:t>
            </w:r>
          </w:p>
        </w:tc>
        <w:tc>
          <w:tcPr>
            <w:tcW w:w="1261" w:type="dxa"/>
            <w:shd w:val="clear" w:color="auto" w:fill="F2F2F2" w:themeFill="background1" w:themeFillShade="F2"/>
            <w:vAlign w:val="bottom"/>
          </w:tcPr>
          <w:p w14:paraId="1F95D47E" w14:textId="77777777" w:rsidR="006D3B55" w:rsidRPr="005C47CA" w:rsidRDefault="006D3B55" w:rsidP="006D3B55">
            <w:pPr>
              <w:rPr>
                <w:rFonts w:ascii="Arial" w:hAnsi="Arial" w:cs="Arial"/>
                <w:b/>
                <w:color w:val="000000"/>
                <w:sz w:val="18"/>
                <w:szCs w:val="18"/>
              </w:rPr>
            </w:pPr>
            <w:r w:rsidRPr="005C47CA">
              <w:rPr>
                <w:rFonts w:ascii="Arial" w:hAnsi="Arial" w:cs="Arial"/>
                <w:b/>
                <w:color w:val="000000"/>
                <w:sz w:val="18"/>
                <w:szCs w:val="18"/>
              </w:rPr>
              <w:t xml:space="preserve">Services </w:t>
            </w:r>
            <w:r>
              <w:rPr>
                <w:rFonts w:ascii="Arial" w:hAnsi="Arial" w:cs="Arial"/>
                <w:b/>
                <w:color w:val="000000"/>
                <w:sz w:val="18"/>
                <w:szCs w:val="18"/>
              </w:rPr>
              <w:br/>
            </w:r>
            <w:r w:rsidRPr="005C47CA">
              <w:rPr>
                <w:rFonts w:ascii="Arial" w:hAnsi="Arial" w:cs="Arial"/>
                <w:b/>
                <w:color w:val="000000"/>
                <w:sz w:val="18"/>
                <w:szCs w:val="18"/>
              </w:rPr>
              <w:t>FY</w:t>
            </w:r>
            <w:r>
              <w:rPr>
                <w:rFonts w:ascii="Arial" w:hAnsi="Arial" w:cs="Arial"/>
                <w:b/>
                <w:color w:val="000000"/>
                <w:sz w:val="18"/>
                <w:szCs w:val="18"/>
              </w:rPr>
              <w:t xml:space="preserve"> </w:t>
            </w:r>
            <w:r w:rsidRPr="005C47CA">
              <w:rPr>
                <w:rFonts w:ascii="Arial" w:hAnsi="Arial" w:cs="Arial"/>
                <w:b/>
                <w:color w:val="000000"/>
                <w:sz w:val="18"/>
                <w:szCs w:val="18"/>
              </w:rPr>
              <w:t>2014</w:t>
            </w:r>
            <w:r>
              <w:rPr>
                <w:rFonts w:ascii="Arial" w:hAnsi="Arial" w:cs="Arial"/>
                <w:b/>
                <w:color w:val="000000"/>
                <w:sz w:val="18"/>
                <w:szCs w:val="18"/>
              </w:rPr>
              <w:t>–</w:t>
            </w:r>
            <w:r w:rsidRPr="005C47CA">
              <w:rPr>
                <w:rFonts w:ascii="Arial" w:hAnsi="Arial" w:cs="Arial"/>
                <w:b/>
                <w:color w:val="000000"/>
                <w:sz w:val="18"/>
                <w:szCs w:val="18"/>
              </w:rPr>
              <w:t>15</w:t>
            </w:r>
          </w:p>
        </w:tc>
        <w:tc>
          <w:tcPr>
            <w:tcW w:w="1203" w:type="dxa"/>
            <w:shd w:val="clear" w:color="auto" w:fill="F2F2F2" w:themeFill="background1" w:themeFillShade="F2"/>
            <w:vAlign w:val="bottom"/>
          </w:tcPr>
          <w:p w14:paraId="5205A8D5" w14:textId="77777777" w:rsidR="006D3B55" w:rsidRPr="005C47CA" w:rsidRDefault="006D3B55" w:rsidP="006D3B55">
            <w:pPr>
              <w:rPr>
                <w:rFonts w:ascii="Arial" w:hAnsi="Arial" w:cs="Arial"/>
                <w:b/>
                <w:color w:val="000000"/>
                <w:sz w:val="18"/>
                <w:szCs w:val="18"/>
              </w:rPr>
            </w:pPr>
            <w:r w:rsidRPr="005C47CA">
              <w:rPr>
                <w:rFonts w:ascii="Arial" w:hAnsi="Arial" w:cs="Arial"/>
                <w:b/>
                <w:color w:val="000000"/>
                <w:sz w:val="18"/>
                <w:szCs w:val="18"/>
              </w:rPr>
              <w:t xml:space="preserve">Benefits </w:t>
            </w:r>
            <w:r>
              <w:rPr>
                <w:rFonts w:ascii="Arial" w:hAnsi="Arial" w:cs="Arial"/>
                <w:b/>
                <w:color w:val="000000"/>
                <w:sz w:val="18"/>
                <w:szCs w:val="18"/>
              </w:rPr>
              <w:br/>
            </w:r>
            <w:r w:rsidRPr="005C47CA">
              <w:rPr>
                <w:rFonts w:ascii="Arial" w:hAnsi="Arial" w:cs="Arial"/>
                <w:b/>
                <w:color w:val="000000"/>
                <w:sz w:val="18"/>
                <w:szCs w:val="18"/>
              </w:rPr>
              <w:t>FY</w:t>
            </w:r>
            <w:r>
              <w:rPr>
                <w:rFonts w:ascii="Arial" w:hAnsi="Arial" w:cs="Arial"/>
                <w:b/>
                <w:color w:val="000000"/>
                <w:sz w:val="18"/>
                <w:szCs w:val="18"/>
              </w:rPr>
              <w:t xml:space="preserve"> </w:t>
            </w:r>
            <w:r w:rsidRPr="005C47CA">
              <w:rPr>
                <w:rFonts w:ascii="Arial" w:hAnsi="Arial" w:cs="Arial"/>
                <w:b/>
                <w:color w:val="000000"/>
                <w:sz w:val="18"/>
                <w:szCs w:val="18"/>
              </w:rPr>
              <w:t>2014</w:t>
            </w:r>
            <w:r>
              <w:rPr>
                <w:rFonts w:ascii="Arial" w:hAnsi="Arial" w:cs="Arial"/>
                <w:b/>
                <w:color w:val="000000"/>
                <w:sz w:val="18"/>
                <w:szCs w:val="18"/>
              </w:rPr>
              <w:t>–</w:t>
            </w:r>
            <w:r w:rsidRPr="005C47CA">
              <w:rPr>
                <w:rFonts w:ascii="Arial" w:hAnsi="Arial" w:cs="Arial"/>
                <w:b/>
                <w:color w:val="000000"/>
                <w:sz w:val="18"/>
                <w:szCs w:val="18"/>
              </w:rPr>
              <w:t>15</w:t>
            </w:r>
          </w:p>
        </w:tc>
        <w:tc>
          <w:tcPr>
            <w:tcW w:w="938" w:type="dxa"/>
            <w:shd w:val="clear" w:color="auto" w:fill="F2F2F2" w:themeFill="background1" w:themeFillShade="F2"/>
            <w:vAlign w:val="bottom"/>
            <w:hideMark/>
          </w:tcPr>
          <w:p w14:paraId="3E2AE306" w14:textId="77777777" w:rsidR="006D3B55" w:rsidRPr="005C47CA" w:rsidRDefault="006D3B55" w:rsidP="006D3B55">
            <w:pPr>
              <w:rPr>
                <w:rFonts w:ascii="Arial" w:hAnsi="Arial" w:cs="Arial"/>
                <w:b/>
                <w:color w:val="000000"/>
                <w:sz w:val="18"/>
                <w:szCs w:val="18"/>
              </w:rPr>
            </w:pPr>
            <w:r w:rsidRPr="005C47CA">
              <w:rPr>
                <w:rFonts w:ascii="Arial" w:hAnsi="Arial" w:cs="Arial"/>
                <w:b/>
                <w:color w:val="000000"/>
                <w:sz w:val="18"/>
                <w:szCs w:val="18"/>
              </w:rPr>
              <w:t>Patient count 2014</w:t>
            </w:r>
            <w:r>
              <w:rPr>
                <w:rFonts w:ascii="Arial" w:hAnsi="Arial" w:cs="Arial"/>
                <w:b/>
                <w:color w:val="000000"/>
                <w:sz w:val="18"/>
                <w:szCs w:val="18"/>
              </w:rPr>
              <w:t>–</w:t>
            </w:r>
            <w:r w:rsidRPr="005C47CA">
              <w:rPr>
                <w:rFonts w:ascii="Arial" w:hAnsi="Arial" w:cs="Arial"/>
                <w:b/>
                <w:color w:val="000000"/>
                <w:sz w:val="18"/>
                <w:szCs w:val="18"/>
              </w:rPr>
              <w:t>15</w:t>
            </w:r>
          </w:p>
        </w:tc>
        <w:tc>
          <w:tcPr>
            <w:tcW w:w="1098" w:type="dxa"/>
            <w:shd w:val="clear" w:color="auto" w:fill="F2F2F2" w:themeFill="background1" w:themeFillShade="F2"/>
            <w:vAlign w:val="bottom"/>
            <w:hideMark/>
          </w:tcPr>
          <w:p w14:paraId="0E542963" w14:textId="77777777" w:rsidR="006D3B55" w:rsidRPr="005C47CA" w:rsidRDefault="006D3B55" w:rsidP="006D3B55">
            <w:pPr>
              <w:rPr>
                <w:rFonts w:ascii="Arial" w:hAnsi="Arial" w:cs="Arial"/>
                <w:b/>
                <w:color w:val="000000"/>
                <w:sz w:val="18"/>
                <w:szCs w:val="18"/>
              </w:rPr>
            </w:pPr>
            <w:r w:rsidRPr="005C47CA">
              <w:rPr>
                <w:rFonts w:ascii="Arial" w:hAnsi="Arial" w:cs="Arial"/>
                <w:b/>
                <w:color w:val="000000"/>
                <w:sz w:val="18"/>
                <w:szCs w:val="18"/>
              </w:rPr>
              <w:t>5</w:t>
            </w:r>
            <w:r>
              <w:rPr>
                <w:rFonts w:ascii="Arial" w:hAnsi="Arial" w:cs="Arial"/>
                <w:b/>
                <w:color w:val="000000"/>
                <w:sz w:val="18"/>
                <w:szCs w:val="18"/>
              </w:rPr>
              <w:t xml:space="preserve">-year service change </w:t>
            </w:r>
            <w:r w:rsidRPr="005C47CA">
              <w:rPr>
                <w:rFonts w:ascii="Arial" w:hAnsi="Arial" w:cs="Arial"/>
                <w:b/>
                <w:color w:val="000000"/>
                <w:sz w:val="18"/>
                <w:szCs w:val="18"/>
              </w:rPr>
              <w:t>(CAGR)</w:t>
            </w:r>
          </w:p>
        </w:tc>
      </w:tr>
      <w:tr w:rsidR="006D3B55" w:rsidRPr="005C47CA" w14:paraId="607E11DF" w14:textId="77777777" w:rsidTr="006D3B55">
        <w:trPr>
          <w:trHeight w:val="300"/>
        </w:trPr>
        <w:tc>
          <w:tcPr>
            <w:tcW w:w="774" w:type="dxa"/>
            <w:noWrap/>
            <w:hideMark/>
          </w:tcPr>
          <w:p w14:paraId="023E28B4" w14:textId="77777777" w:rsidR="006D3B55" w:rsidRPr="005C47CA" w:rsidRDefault="006D3B55" w:rsidP="006D3B55">
            <w:pPr>
              <w:spacing w:before="0" w:after="0"/>
              <w:rPr>
                <w:rFonts w:ascii="Arial" w:hAnsi="Arial" w:cs="Arial"/>
                <w:color w:val="000000"/>
                <w:sz w:val="18"/>
                <w:szCs w:val="18"/>
                <w:lang w:val="en-AU"/>
              </w:rPr>
            </w:pPr>
            <w:r w:rsidRPr="005C47CA">
              <w:rPr>
                <w:rFonts w:ascii="Arial" w:hAnsi="Arial" w:cs="Arial"/>
                <w:color w:val="000000"/>
                <w:sz w:val="18"/>
                <w:szCs w:val="18"/>
                <w:lang w:val="en-AU"/>
              </w:rPr>
              <w:t>65075</w:t>
            </w:r>
          </w:p>
        </w:tc>
        <w:tc>
          <w:tcPr>
            <w:tcW w:w="2427" w:type="dxa"/>
            <w:noWrap/>
            <w:hideMark/>
          </w:tcPr>
          <w:p w14:paraId="25AC31CC" w14:textId="77777777" w:rsidR="006D3B55" w:rsidRPr="005C47CA" w:rsidRDefault="006D3B55" w:rsidP="006D3B55">
            <w:pPr>
              <w:spacing w:before="0" w:after="0"/>
              <w:rPr>
                <w:rFonts w:ascii="Arial" w:hAnsi="Arial" w:cs="Arial"/>
                <w:color w:val="000000"/>
                <w:sz w:val="18"/>
                <w:szCs w:val="18"/>
                <w:lang w:val="en-AU"/>
              </w:rPr>
            </w:pPr>
            <w:r w:rsidRPr="005C47CA">
              <w:rPr>
                <w:rFonts w:ascii="Arial" w:hAnsi="Arial" w:cs="Arial"/>
                <w:color w:val="000000"/>
                <w:sz w:val="18"/>
                <w:szCs w:val="18"/>
                <w:lang w:val="en-AU"/>
              </w:rPr>
              <w:t xml:space="preserve">Haemolysis or metabolic enzymes - assessment by: (a) erythrocyte </w:t>
            </w:r>
            <w:proofErr w:type="spellStart"/>
            <w:r w:rsidRPr="005C47CA">
              <w:rPr>
                <w:rFonts w:ascii="Arial" w:hAnsi="Arial" w:cs="Arial"/>
                <w:color w:val="000000"/>
                <w:sz w:val="18"/>
                <w:szCs w:val="18"/>
                <w:lang w:val="en-AU"/>
              </w:rPr>
              <w:t>autohaemolysis</w:t>
            </w:r>
            <w:proofErr w:type="spellEnd"/>
            <w:r w:rsidRPr="005C47CA">
              <w:rPr>
                <w:rFonts w:ascii="Arial" w:hAnsi="Arial" w:cs="Arial"/>
                <w:color w:val="000000"/>
                <w:sz w:val="18"/>
                <w:szCs w:val="18"/>
                <w:lang w:val="en-AU"/>
              </w:rPr>
              <w:t xml:space="preserve"> test; or (b) erythrocyte osmotic fragility test; or (c) sugar water test; or (d) G-6-P D (qualitative or quantitative) test; or (e) pyruvate kinase (qualitative or quantitative) test; or (f) acid haemolysis test; or (g) quantitation of muramidase in serum or urine; or (h) Donath Landsteiner antibody test; or (</w:t>
            </w:r>
            <w:proofErr w:type="spellStart"/>
            <w:r w:rsidRPr="005C47CA">
              <w:rPr>
                <w:rFonts w:ascii="Arial" w:hAnsi="Arial" w:cs="Arial"/>
                <w:color w:val="000000"/>
                <w:sz w:val="18"/>
                <w:szCs w:val="18"/>
                <w:lang w:val="en-AU"/>
              </w:rPr>
              <w:t>i</w:t>
            </w:r>
            <w:proofErr w:type="spellEnd"/>
            <w:r w:rsidRPr="005C47CA">
              <w:rPr>
                <w:rFonts w:ascii="Arial" w:hAnsi="Arial" w:cs="Arial"/>
                <w:color w:val="000000"/>
                <w:sz w:val="18"/>
                <w:szCs w:val="18"/>
                <w:lang w:val="en-AU"/>
              </w:rPr>
              <w:t>) other erythrocyte metabolic enzyme tests - 1 or more tests</w:t>
            </w:r>
          </w:p>
        </w:tc>
        <w:tc>
          <w:tcPr>
            <w:tcW w:w="1189" w:type="dxa"/>
            <w:noWrap/>
            <w:hideMark/>
          </w:tcPr>
          <w:p w14:paraId="59FF1FA0" w14:textId="77777777" w:rsidR="006D3B55" w:rsidRPr="005C47CA" w:rsidRDefault="006D3B55" w:rsidP="006D3B55">
            <w:pPr>
              <w:spacing w:before="0" w:after="0"/>
              <w:rPr>
                <w:rFonts w:ascii="Arial" w:hAnsi="Arial" w:cs="Arial"/>
                <w:color w:val="000000"/>
                <w:sz w:val="18"/>
                <w:szCs w:val="18"/>
                <w:lang w:val="en-AU"/>
              </w:rPr>
            </w:pPr>
            <w:r w:rsidRPr="005C47CA">
              <w:rPr>
                <w:rFonts w:ascii="Arial" w:hAnsi="Arial" w:cs="Arial"/>
                <w:color w:val="000000"/>
                <w:sz w:val="18"/>
                <w:szCs w:val="18"/>
                <w:lang w:val="en-AU"/>
              </w:rPr>
              <w:t>$51.95</w:t>
            </w:r>
          </w:p>
        </w:tc>
        <w:tc>
          <w:tcPr>
            <w:tcW w:w="1261" w:type="dxa"/>
            <w:noWrap/>
            <w:hideMark/>
          </w:tcPr>
          <w:p w14:paraId="2B6D16AA" w14:textId="77777777" w:rsidR="006D3B55" w:rsidRPr="005C47CA" w:rsidRDefault="006D3B55" w:rsidP="006D3B55">
            <w:pPr>
              <w:spacing w:before="0" w:after="0"/>
              <w:rPr>
                <w:rFonts w:ascii="Arial" w:hAnsi="Arial" w:cs="Arial"/>
                <w:color w:val="000000"/>
                <w:sz w:val="18"/>
                <w:szCs w:val="18"/>
                <w:lang w:val="en-AU"/>
              </w:rPr>
            </w:pPr>
            <w:r w:rsidRPr="005C47CA">
              <w:rPr>
                <w:rFonts w:ascii="Arial" w:hAnsi="Arial" w:cs="Arial"/>
                <w:color w:val="000000"/>
                <w:sz w:val="18"/>
                <w:szCs w:val="18"/>
                <w:lang w:val="en-AU"/>
              </w:rPr>
              <w:t>$373,388</w:t>
            </w:r>
          </w:p>
        </w:tc>
        <w:tc>
          <w:tcPr>
            <w:tcW w:w="1203" w:type="dxa"/>
            <w:noWrap/>
            <w:hideMark/>
          </w:tcPr>
          <w:p w14:paraId="130B53EC" w14:textId="77777777" w:rsidR="006D3B55" w:rsidRPr="005C47CA" w:rsidRDefault="006D3B55" w:rsidP="006D3B55">
            <w:pPr>
              <w:spacing w:before="0" w:after="0"/>
              <w:rPr>
                <w:rFonts w:ascii="Arial" w:hAnsi="Arial" w:cs="Arial"/>
                <w:color w:val="000000"/>
                <w:sz w:val="18"/>
                <w:szCs w:val="18"/>
                <w:lang w:val="en-AU"/>
              </w:rPr>
            </w:pPr>
            <w:r w:rsidRPr="005C47CA">
              <w:rPr>
                <w:rFonts w:ascii="Arial" w:hAnsi="Arial" w:cs="Arial"/>
                <w:color w:val="000000"/>
                <w:sz w:val="18"/>
                <w:szCs w:val="18"/>
                <w:lang w:val="en-AU"/>
              </w:rPr>
              <w:t>8,422</w:t>
            </w:r>
          </w:p>
        </w:tc>
        <w:tc>
          <w:tcPr>
            <w:tcW w:w="938" w:type="dxa"/>
            <w:noWrap/>
            <w:hideMark/>
          </w:tcPr>
          <w:p w14:paraId="349F483F" w14:textId="77777777" w:rsidR="006D3B55" w:rsidRPr="005C47CA" w:rsidRDefault="006D3B55" w:rsidP="006D3B55">
            <w:pPr>
              <w:spacing w:before="0" w:after="0"/>
              <w:rPr>
                <w:rFonts w:ascii="Arial" w:hAnsi="Arial" w:cs="Arial"/>
                <w:color w:val="000000"/>
                <w:sz w:val="18"/>
                <w:szCs w:val="18"/>
                <w:lang w:val="en-AU"/>
              </w:rPr>
            </w:pPr>
            <w:r w:rsidRPr="005C47CA">
              <w:rPr>
                <w:rFonts w:ascii="Arial" w:hAnsi="Arial" w:cs="Arial"/>
                <w:color w:val="000000"/>
                <w:sz w:val="18"/>
                <w:szCs w:val="18"/>
                <w:lang w:val="en-AU"/>
              </w:rPr>
              <w:t>8,099</w:t>
            </w:r>
          </w:p>
        </w:tc>
        <w:tc>
          <w:tcPr>
            <w:tcW w:w="1098" w:type="dxa"/>
            <w:noWrap/>
            <w:hideMark/>
          </w:tcPr>
          <w:p w14:paraId="5DA3659D" w14:textId="77777777" w:rsidR="006D3B55" w:rsidRPr="005C47CA" w:rsidRDefault="006D3B55" w:rsidP="006D3B55">
            <w:pPr>
              <w:spacing w:before="0" w:after="0"/>
              <w:rPr>
                <w:rFonts w:ascii="Arial" w:hAnsi="Arial" w:cs="Arial"/>
                <w:color w:val="000000"/>
                <w:sz w:val="18"/>
                <w:szCs w:val="18"/>
                <w:lang w:val="en-AU"/>
              </w:rPr>
            </w:pPr>
            <w:r>
              <w:rPr>
                <w:rFonts w:ascii="Arial" w:hAnsi="Arial" w:cs="Arial"/>
                <w:color w:val="000000"/>
                <w:sz w:val="18"/>
                <w:szCs w:val="18"/>
                <w:lang w:val="en-AU"/>
              </w:rPr>
              <w:t>–</w:t>
            </w:r>
            <w:r w:rsidRPr="005C47CA">
              <w:rPr>
                <w:rFonts w:ascii="Arial" w:hAnsi="Arial" w:cs="Arial"/>
                <w:color w:val="000000"/>
                <w:sz w:val="18"/>
                <w:szCs w:val="18"/>
                <w:lang w:val="en-AU"/>
              </w:rPr>
              <w:t>2.2</w:t>
            </w:r>
            <w:r>
              <w:rPr>
                <w:rFonts w:ascii="Arial" w:hAnsi="Arial" w:cs="Arial"/>
                <w:color w:val="000000"/>
                <w:sz w:val="18"/>
                <w:szCs w:val="18"/>
                <w:lang w:val="en-AU"/>
              </w:rPr>
              <w:t>%</w:t>
            </w:r>
          </w:p>
        </w:tc>
      </w:tr>
    </w:tbl>
    <w:p w14:paraId="5F80900C" w14:textId="77777777" w:rsidR="006D3B55" w:rsidRDefault="006D3B55" w:rsidP="00367716">
      <w:pPr>
        <w:pStyle w:val="Heading3"/>
      </w:pPr>
      <w:bookmarkStart w:id="104" w:name="_Toc495403405"/>
      <w:r>
        <w:t>Recommendation</w:t>
      </w:r>
      <w:r w:rsidR="00AF1ED5">
        <w:t xml:space="preserve"> 6</w:t>
      </w:r>
      <w:bookmarkEnd w:id="104"/>
    </w:p>
    <w:p w14:paraId="6222F5BF" w14:textId="77777777" w:rsidR="006D3B55" w:rsidRPr="008D7204" w:rsidRDefault="00375E33" w:rsidP="006D3B55">
      <w:pPr>
        <w:pStyle w:val="01squarebullet"/>
      </w:pPr>
      <w:r>
        <w:t xml:space="preserve">Amend </w:t>
      </w:r>
      <w:r w:rsidR="006D3B55">
        <w:t>the</w:t>
      </w:r>
      <w:r>
        <w:t xml:space="preserve"> item</w:t>
      </w:r>
      <w:r w:rsidR="006D3B55">
        <w:t xml:space="preserve"> descriptor for 65075 to delete several obsolete methods </w:t>
      </w:r>
      <w:r w:rsidR="006D3B55" w:rsidRPr="008D7204">
        <w:t>(</w:t>
      </w:r>
      <w:r w:rsidR="006D3B55" w:rsidRPr="008D7204">
        <w:rPr>
          <w:lang w:val="en-GB"/>
        </w:rPr>
        <w:t xml:space="preserve">erythrocyte </w:t>
      </w:r>
      <w:proofErr w:type="spellStart"/>
      <w:r w:rsidR="006D3B55" w:rsidRPr="008D7204">
        <w:rPr>
          <w:lang w:val="en-GB"/>
        </w:rPr>
        <w:t>autohaemolysis</w:t>
      </w:r>
      <w:proofErr w:type="spellEnd"/>
      <w:r w:rsidR="006D3B55" w:rsidRPr="008D7204">
        <w:rPr>
          <w:lang w:val="en-GB"/>
        </w:rPr>
        <w:t xml:space="preserve"> test, erythrocyte osmotic fragility test, sugar water test, acid haemolysis test quantitation </w:t>
      </w:r>
      <w:r w:rsidR="006D3B55">
        <w:rPr>
          <w:lang w:val="en-GB"/>
        </w:rPr>
        <w:t xml:space="preserve">of muramidase in serum or urine) and add </w:t>
      </w:r>
      <w:r w:rsidR="00C77285">
        <w:rPr>
          <w:lang w:val="en-GB"/>
        </w:rPr>
        <w:t>e</w:t>
      </w:r>
      <w:r w:rsidR="00C77285" w:rsidRPr="00B42B60">
        <w:rPr>
          <w:lang w:val="en-GB"/>
        </w:rPr>
        <w:t xml:space="preserve">osin-5-maleimide </w:t>
      </w:r>
      <w:r w:rsidR="00C77285">
        <w:rPr>
          <w:lang w:val="en-GB"/>
        </w:rPr>
        <w:t>(</w:t>
      </w:r>
      <w:r w:rsidR="006D3B55">
        <w:rPr>
          <w:lang w:val="en-GB"/>
        </w:rPr>
        <w:t>E5M</w:t>
      </w:r>
      <w:r w:rsidR="00C77285">
        <w:rPr>
          <w:lang w:val="en-GB"/>
        </w:rPr>
        <w:t>)</w:t>
      </w:r>
      <w:r w:rsidR="006D3B55">
        <w:rPr>
          <w:lang w:val="en-GB"/>
        </w:rPr>
        <w:t xml:space="preserve"> by flow cytometry, which has replaced the osmotic fragility test in practice.</w:t>
      </w:r>
    </w:p>
    <w:p w14:paraId="723A94F9" w14:textId="77777777" w:rsidR="006D3B55" w:rsidRDefault="002C0890" w:rsidP="00C702A9">
      <w:pPr>
        <w:pStyle w:val="Caption"/>
      </w:pPr>
      <w:bookmarkStart w:id="105" w:name="_Toc481493780"/>
      <w:r>
        <w:t>Table 13</w:t>
      </w:r>
      <w:r w:rsidR="006D3B55" w:rsidRPr="008F7F21">
        <w:t>:</w:t>
      </w:r>
      <w:r w:rsidR="006D3B55">
        <w:t xml:space="preserve"> Proposed changes to item 65075</w:t>
      </w:r>
      <w:bookmarkEnd w:id="105"/>
    </w:p>
    <w:tbl>
      <w:tblPr>
        <w:tblStyle w:val="TableGrid"/>
        <w:tblW w:w="9209" w:type="dxa"/>
        <w:tblLook w:val="04A0" w:firstRow="1" w:lastRow="0" w:firstColumn="1" w:lastColumn="0" w:noHBand="0" w:noVBand="1"/>
        <w:tblCaption w:val="Table 13, Proposed changes to item 65075"/>
        <w:tblDescription w:val="This table shows the proposed amendment of the descriptor of item 65075. There are 3 columns – column 1: item number, column 2: current descriptor, and column 3: proposed change to descriptor.&#10;"/>
      </w:tblPr>
      <w:tblGrid>
        <w:gridCol w:w="987"/>
        <w:gridCol w:w="4253"/>
        <w:gridCol w:w="3969"/>
      </w:tblGrid>
      <w:tr w:rsidR="006D3B55" w:rsidRPr="00D9763F" w14:paraId="6A122EAB" w14:textId="77777777" w:rsidTr="00D06099">
        <w:trPr>
          <w:tblHeader/>
        </w:trPr>
        <w:tc>
          <w:tcPr>
            <w:tcW w:w="987" w:type="dxa"/>
            <w:shd w:val="clear" w:color="auto" w:fill="F2F2F2" w:themeFill="background1" w:themeFillShade="F2"/>
            <w:vAlign w:val="bottom"/>
          </w:tcPr>
          <w:p w14:paraId="4C720693" w14:textId="77777777" w:rsidR="006D3B55" w:rsidRPr="00D9763F" w:rsidRDefault="006D3B55" w:rsidP="006D3B55">
            <w:pPr>
              <w:rPr>
                <w:rFonts w:ascii="Arial" w:hAnsi="Arial" w:cs="Arial"/>
                <w:b/>
                <w:sz w:val="18"/>
                <w:szCs w:val="18"/>
              </w:rPr>
            </w:pPr>
            <w:r w:rsidRPr="00D9763F">
              <w:rPr>
                <w:rFonts w:ascii="Arial" w:hAnsi="Arial" w:cs="Arial"/>
                <w:b/>
                <w:sz w:val="18"/>
                <w:szCs w:val="18"/>
              </w:rPr>
              <w:t>Item</w:t>
            </w:r>
          </w:p>
        </w:tc>
        <w:tc>
          <w:tcPr>
            <w:tcW w:w="4253" w:type="dxa"/>
            <w:shd w:val="clear" w:color="auto" w:fill="F2F2F2" w:themeFill="background1" w:themeFillShade="F2"/>
            <w:vAlign w:val="bottom"/>
          </w:tcPr>
          <w:p w14:paraId="4D730174" w14:textId="77777777" w:rsidR="006D3B55" w:rsidRPr="00D9763F" w:rsidRDefault="006D3B55" w:rsidP="006D3B55">
            <w:pPr>
              <w:rPr>
                <w:rFonts w:ascii="Arial" w:hAnsi="Arial" w:cs="Arial"/>
                <w:b/>
                <w:sz w:val="18"/>
                <w:szCs w:val="18"/>
              </w:rPr>
            </w:pPr>
            <w:r w:rsidRPr="00D9763F">
              <w:rPr>
                <w:rFonts w:ascii="Arial" w:hAnsi="Arial" w:cs="Arial"/>
                <w:b/>
                <w:sz w:val="18"/>
                <w:szCs w:val="18"/>
              </w:rPr>
              <w:t>Item descriptor</w:t>
            </w:r>
          </w:p>
        </w:tc>
        <w:tc>
          <w:tcPr>
            <w:tcW w:w="3969" w:type="dxa"/>
            <w:shd w:val="clear" w:color="auto" w:fill="F2F2F2" w:themeFill="background1" w:themeFillShade="F2"/>
            <w:vAlign w:val="bottom"/>
          </w:tcPr>
          <w:p w14:paraId="500BA6FE" w14:textId="77777777" w:rsidR="006D3B55" w:rsidRPr="00D9763F" w:rsidRDefault="006D3B55" w:rsidP="006D3B55">
            <w:pPr>
              <w:rPr>
                <w:rFonts w:ascii="Arial" w:hAnsi="Arial" w:cs="Arial"/>
                <w:b/>
                <w:sz w:val="18"/>
                <w:szCs w:val="18"/>
              </w:rPr>
            </w:pPr>
            <w:r w:rsidRPr="00D9763F">
              <w:rPr>
                <w:rFonts w:ascii="Arial" w:hAnsi="Arial" w:cs="Arial"/>
                <w:b/>
                <w:sz w:val="18"/>
                <w:szCs w:val="18"/>
              </w:rPr>
              <w:t>Proposed amendment</w:t>
            </w:r>
          </w:p>
        </w:tc>
      </w:tr>
      <w:tr w:rsidR="006D3B55" w:rsidRPr="00D9763F" w14:paraId="14BDC8E2" w14:textId="77777777" w:rsidTr="006D3B55">
        <w:trPr>
          <w:trHeight w:val="300"/>
        </w:trPr>
        <w:tc>
          <w:tcPr>
            <w:tcW w:w="987" w:type="dxa"/>
            <w:noWrap/>
            <w:hideMark/>
          </w:tcPr>
          <w:p w14:paraId="56955280" w14:textId="77777777" w:rsidR="006D3B55" w:rsidRPr="00D9763F" w:rsidRDefault="006D3B55" w:rsidP="006D3B55">
            <w:pPr>
              <w:rPr>
                <w:rFonts w:ascii="Arial" w:hAnsi="Arial" w:cs="Arial"/>
                <w:color w:val="000000"/>
                <w:sz w:val="18"/>
                <w:szCs w:val="18"/>
              </w:rPr>
            </w:pPr>
            <w:r w:rsidRPr="00D9763F">
              <w:rPr>
                <w:rFonts w:ascii="Arial" w:hAnsi="Arial" w:cs="Arial"/>
                <w:color w:val="000000"/>
                <w:sz w:val="18"/>
                <w:szCs w:val="18"/>
              </w:rPr>
              <w:t>65075</w:t>
            </w:r>
          </w:p>
        </w:tc>
        <w:tc>
          <w:tcPr>
            <w:tcW w:w="4253" w:type="dxa"/>
            <w:noWrap/>
            <w:hideMark/>
          </w:tcPr>
          <w:p w14:paraId="398AE66C" w14:textId="77777777" w:rsidR="006D3B55" w:rsidRPr="00D9763F" w:rsidRDefault="006D3B55" w:rsidP="006D3B55">
            <w:pPr>
              <w:rPr>
                <w:rFonts w:ascii="Arial" w:hAnsi="Arial" w:cs="Arial"/>
                <w:color w:val="000000"/>
                <w:sz w:val="18"/>
                <w:szCs w:val="18"/>
              </w:rPr>
            </w:pPr>
            <w:r w:rsidRPr="00D9763F">
              <w:rPr>
                <w:rFonts w:ascii="Arial" w:hAnsi="Arial" w:cs="Arial"/>
                <w:color w:val="000000"/>
                <w:sz w:val="18"/>
                <w:szCs w:val="18"/>
              </w:rPr>
              <w:t xml:space="preserve">Haemolysis or metabolic enzymes - assessment by: </w:t>
            </w:r>
            <w:r w:rsidRPr="00D9763F">
              <w:rPr>
                <w:rFonts w:ascii="Arial" w:hAnsi="Arial" w:cs="Arial"/>
                <w:color w:val="000000"/>
                <w:sz w:val="18"/>
                <w:szCs w:val="18"/>
                <w:u w:val="single"/>
              </w:rPr>
              <w:t xml:space="preserve">(a) erythrocyte </w:t>
            </w:r>
            <w:proofErr w:type="spellStart"/>
            <w:r w:rsidRPr="00D9763F">
              <w:rPr>
                <w:rFonts w:ascii="Arial" w:hAnsi="Arial" w:cs="Arial"/>
                <w:color w:val="000000"/>
                <w:sz w:val="18"/>
                <w:szCs w:val="18"/>
                <w:u w:val="single"/>
              </w:rPr>
              <w:t>autohaemolysis</w:t>
            </w:r>
            <w:proofErr w:type="spellEnd"/>
            <w:r w:rsidRPr="00D9763F">
              <w:rPr>
                <w:rFonts w:ascii="Arial" w:hAnsi="Arial" w:cs="Arial"/>
                <w:color w:val="000000"/>
                <w:sz w:val="18"/>
                <w:szCs w:val="18"/>
                <w:u w:val="single"/>
              </w:rPr>
              <w:t xml:space="preserve"> test; or (b) erythrocyte osmotic fragility test; or (c) sugar water test; or</w:t>
            </w:r>
            <w:r>
              <w:rPr>
                <w:rFonts w:ascii="Arial" w:hAnsi="Arial" w:cs="Arial"/>
                <w:color w:val="000000"/>
                <w:sz w:val="18"/>
                <w:szCs w:val="18"/>
              </w:rPr>
              <w:t xml:space="preserve"> (d) G-6-P</w:t>
            </w:r>
            <w:r w:rsidRPr="00D9763F">
              <w:rPr>
                <w:rFonts w:ascii="Arial" w:hAnsi="Arial" w:cs="Arial"/>
                <w:color w:val="000000"/>
                <w:sz w:val="18"/>
                <w:szCs w:val="18"/>
              </w:rPr>
              <w:t xml:space="preserve">D (qualitative or quantitative) test; or (e) pyruvate kinase (qualitative or quantitative) test; or </w:t>
            </w:r>
            <w:r w:rsidRPr="00D9763F">
              <w:rPr>
                <w:rFonts w:ascii="Arial" w:hAnsi="Arial" w:cs="Arial"/>
                <w:color w:val="000000"/>
                <w:sz w:val="18"/>
                <w:szCs w:val="18"/>
                <w:u w:val="single"/>
              </w:rPr>
              <w:t>(f) acid haemolysis test; or (g) quantitation of muramidase in serum or urine;</w:t>
            </w:r>
            <w:r w:rsidRPr="00D9763F">
              <w:rPr>
                <w:rFonts w:ascii="Arial" w:hAnsi="Arial" w:cs="Arial"/>
                <w:color w:val="000000"/>
                <w:sz w:val="18"/>
                <w:szCs w:val="18"/>
              </w:rPr>
              <w:t xml:space="preserve"> or (h) Donath Landsteiner antibody test; or (</w:t>
            </w:r>
            <w:proofErr w:type="spellStart"/>
            <w:r w:rsidRPr="00D9763F">
              <w:rPr>
                <w:rFonts w:ascii="Arial" w:hAnsi="Arial" w:cs="Arial"/>
                <w:color w:val="000000"/>
                <w:sz w:val="18"/>
                <w:szCs w:val="18"/>
              </w:rPr>
              <w:t>i</w:t>
            </w:r>
            <w:proofErr w:type="spellEnd"/>
            <w:r w:rsidRPr="00D9763F">
              <w:rPr>
                <w:rFonts w:ascii="Arial" w:hAnsi="Arial" w:cs="Arial"/>
                <w:color w:val="000000"/>
                <w:sz w:val="18"/>
                <w:szCs w:val="18"/>
              </w:rPr>
              <w:t>) other erythrocyte metabolic enzyme tests - 1 or more tests</w:t>
            </w:r>
          </w:p>
        </w:tc>
        <w:tc>
          <w:tcPr>
            <w:tcW w:w="3969" w:type="dxa"/>
            <w:noWrap/>
            <w:hideMark/>
          </w:tcPr>
          <w:p w14:paraId="20B6829F" w14:textId="77777777" w:rsidR="006D3B55" w:rsidRPr="00D9763F" w:rsidRDefault="006D3B55" w:rsidP="006D3B55">
            <w:pPr>
              <w:rPr>
                <w:rFonts w:ascii="Arial" w:hAnsi="Arial" w:cs="Arial"/>
                <w:color w:val="000000"/>
                <w:sz w:val="18"/>
                <w:szCs w:val="18"/>
              </w:rPr>
            </w:pPr>
            <w:r w:rsidRPr="00D9763F">
              <w:rPr>
                <w:rFonts w:ascii="Arial" w:hAnsi="Arial" w:cs="Arial"/>
                <w:color w:val="000000"/>
                <w:sz w:val="18"/>
                <w:szCs w:val="18"/>
              </w:rPr>
              <w:t xml:space="preserve">Haemolysis or metabolic enzymes - assessment by (a) G-6-PD (qualitative or quantitative) test; or (b) pyruvate kinase (qualitative or quantitative) test; or (c) Donath Landsteiner antibody test; </w:t>
            </w:r>
            <w:r>
              <w:rPr>
                <w:rFonts w:ascii="Arial" w:hAnsi="Arial" w:cs="Arial"/>
                <w:color w:val="000000"/>
                <w:sz w:val="18"/>
                <w:szCs w:val="18"/>
              </w:rPr>
              <w:t>(d) E5M by flow cytometry or (e</w:t>
            </w:r>
            <w:r w:rsidRPr="00D9763F">
              <w:rPr>
                <w:rFonts w:ascii="Arial" w:hAnsi="Arial" w:cs="Arial"/>
                <w:color w:val="000000"/>
                <w:sz w:val="18"/>
                <w:szCs w:val="18"/>
              </w:rPr>
              <w:t>) other erythrocyte metabolic enzyme tests - 1 or more tests</w:t>
            </w:r>
          </w:p>
        </w:tc>
      </w:tr>
    </w:tbl>
    <w:p w14:paraId="4FD045A4" w14:textId="77777777" w:rsidR="006D3B55" w:rsidRDefault="006D3B55" w:rsidP="00367716">
      <w:pPr>
        <w:pStyle w:val="Heading3"/>
      </w:pPr>
      <w:bookmarkStart w:id="106" w:name="_Toc495403406"/>
      <w:r>
        <w:t>Rationale</w:t>
      </w:r>
      <w:bookmarkEnd w:id="106"/>
      <w:r w:rsidR="00D95981">
        <w:t xml:space="preserve"> </w:t>
      </w:r>
      <w:r w:rsidR="00E733F6">
        <w:t>6</w:t>
      </w:r>
    </w:p>
    <w:p w14:paraId="040C7F9F" w14:textId="77777777" w:rsidR="006D3B55" w:rsidRDefault="006D3B55" w:rsidP="006D3B55">
      <w:r>
        <w:t>The recommendation focuses on modernising the MBS and is based on the following observations.</w:t>
      </w:r>
    </w:p>
    <w:p w14:paraId="6E889E79" w14:textId="77777777" w:rsidR="006D3B55" w:rsidRPr="008E5DE0" w:rsidRDefault="006D3B55" w:rsidP="006D3B55">
      <w:pPr>
        <w:pStyle w:val="01squarebullet"/>
      </w:pPr>
      <w:r>
        <w:lastRenderedPageBreak/>
        <w:t xml:space="preserve">The Committee identified several redundant methods no longer used to assess </w:t>
      </w:r>
      <w:proofErr w:type="spellStart"/>
      <w:r>
        <w:t>haemoloysis</w:t>
      </w:r>
      <w:proofErr w:type="spellEnd"/>
      <w:r>
        <w:t xml:space="preserve"> and recommended they be removed from the descriptor of this item. They included </w:t>
      </w:r>
      <w:r w:rsidRPr="008D7204">
        <w:rPr>
          <w:lang w:val="en-GB"/>
        </w:rPr>
        <w:t xml:space="preserve">erythrocyte </w:t>
      </w:r>
      <w:proofErr w:type="spellStart"/>
      <w:r w:rsidRPr="008D7204">
        <w:rPr>
          <w:lang w:val="en-GB"/>
        </w:rPr>
        <w:t>autohaemolysis</w:t>
      </w:r>
      <w:proofErr w:type="spellEnd"/>
      <w:r w:rsidRPr="008D7204">
        <w:rPr>
          <w:lang w:val="en-GB"/>
        </w:rPr>
        <w:t xml:space="preserve"> test, erythrocyte osmotic fragility test, sugar water test, acid haemolysis test quantitation </w:t>
      </w:r>
      <w:r>
        <w:rPr>
          <w:lang w:val="en-GB"/>
        </w:rPr>
        <w:t>of muramidase in serum or urine.</w:t>
      </w:r>
    </w:p>
    <w:p w14:paraId="0A346C24" w14:textId="77777777" w:rsidR="006D3B55" w:rsidRPr="005A78B2" w:rsidRDefault="006D3B55" w:rsidP="006D3B55">
      <w:pPr>
        <w:pStyle w:val="01squarebullet"/>
      </w:pPr>
      <w:r w:rsidRPr="00B42B60">
        <w:rPr>
          <w:lang w:val="en-GB"/>
        </w:rPr>
        <w:t xml:space="preserve">Eosin-5-maleimide (E5M) by flow cytometry is a relatively new test for the diagnosis of </w:t>
      </w:r>
      <w:r>
        <w:t xml:space="preserve">hereditary spherocytosis (HS), a common cause of </w:t>
      </w:r>
      <w:proofErr w:type="spellStart"/>
      <w:r>
        <w:t>haemolysis</w:t>
      </w:r>
      <w:proofErr w:type="spellEnd"/>
      <w:r>
        <w:t xml:space="preserve">. </w:t>
      </w:r>
      <w:r>
        <w:rPr>
          <w:lang w:val="en-GB"/>
        </w:rPr>
        <w:t>E5M</w:t>
      </w:r>
      <w:r w:rsidRPr="008465C0">
        <w:rPr>
          <w:lang w:val="en-GB"/>
        </w:rPr>
        <w:t xml:space="preserve"> is a fluorescent dye that reacts</w:t>
      </w:r>
      <w:r>
        <w:rPr>
          <w:lang w:val="en-GB"/>
        </w:rPr>
        <w:t xml:space="preserve"> by binding</w:t>
      </w:r>
      <w:r w:rsidRPr="008465C0">
        <w:rPr>
          <w:lang w:val="en-GB"/>
        </w:rPr>
        <w:t xml:space="preserve"> </w:t>
      </w:r>
      <w:r>
        <w:rPr>
          <w:lang w:val="en-GB"/>
        </w:rPr>
        <w:t>to</w:t>
      </w:r>
      <w:r w:rsidRPr="008465C0">
        <w:rPr>
          <w:lang w:val="en-GB"/>
        </w:rPr>
        <w:t xml:space="preserve"> the red cell membrane. Analysis by flow cytometry measures the fluorescent intensity of labelled intact red cells. </w:t>
      </w:r>
      <w:r>
        <w:rPr>
          <w:lang w:val="en-GB"/>
        </w:rPr>
        <w:br/>
      </w:r>
      <w:r w:rsidRPr="008465C0">
        <w:rPr>
          <w:lang w:val="en-GB"/>
        </w:rPr>
        <w:t xml:space="preserve">This method is now accepted as the gold standard for the diagnosis of </w:t>
      </w:r>
      <w:r w:rsidR="0022742C">
        <w:rPr>
          <w:lang w:val="en-GB"/>
        </w:rPr>
        <w:t>HS</w:t>
      </w:r>
      <w:r>
        <w:rPr>
          <w:lang w:val="en-GB"/>
        </w:rPr>
        <w:t xml:space="preserve">. </w:t>
      </w:r>
      <w:r w:rsidR="00B83872">
        <w:rPr>
          <w:lang w:val="en-GB"/>
        </w:rPr>
        <w:fldChar w:fldCharType="begin"/>
      </w:r>
      <w:r w:rsidR="00B83872">
        <w:rPr>
          <w:lang w:val="en-GB"/>
        </w:rPr>
        <w:instrText xml:space="preserve"> REF _Ref488758608 \r \h </w:instrText>
      </w:r>
      <w:r w:rsidR="00B83872">
        <w:rPr>
          <w:lang w:val="en-GB"/>
        </w:rPr>
      </w:r>
      <w:r w:rsidR="00B83872">
        <w:rPr>
          <w:lang w:val="en-GB"/>
        </w:rPr>
        <w:fldChar w:fldCharType="separate"/>
      </w:r>
      <w:r w:rsidR="005C3364">
        <w:rPr>
          <w:lang w:val="en-GB"/>
        </w:rPr>
        <w:t>[7]</w:t>
      </w:r>
      <w:r w:rsidR="00B83872">
        <w:rPr>
          <w:lang w:val="en-GB"/>
        </w:rPr>
        <w:fldChar w:fldCharType="end"/>
      </w:r>
      <w:r w:rsidR="00C755A7">
        <w:rPr>
          <w:lang w:val="en-GB"/>
        </w:rPr>
        <w:t xml:space="preserve"> </w:t>
      </w:r>
      <w:r>
        <w:rPr>
          <w:lang w:val="en-GB"/>
        </w:rPr>
        <w:t>Previously</w:t>
      </w:r>
      <w:r w:rsidRPr="00B42B60">
        <w:rPr>
          <w:lang w:val="en-GB"/>
        </w:rPr>
        <w:t>,</w:t>
      </w:r>
      <w:r>
        <w:rPr>
          <w:lang w:val="en-GB"/>
        </w:rPr>
        <w:t xml:space="preserve"> osmotic fragility</w:t>
      </w:r>
      <w:r w:rsidRPr="00B42B60">
        <w:rPr>
          <w:lang w:val="en-GB"/>
        </w:rPr>
        <w:t xml:space="preserve"> </w:t>
      </w:r>
      <w:r>
        <w:rPr>
          <w:lang w:val="en-GB"/>
        </w:rPr>
        <w:t xml:space="preserve">was </w:t>
      </w:r>
      <w:r w:rsidRPr="00B42B60">
        <w:rPr>
          <w:lang w:val="en-GB"/>
        </w:rPr>
        <w:t xml:space="preserve">the test </w:t>
      </w:r>
      <w:proofErr w:type="gramStart"/>
      <w:r w:rsidRPr="00B42B60">
        <w:rPr>
          <w:lang w:val="en-GB"/>
        </w:rPr>
        <w:t>most commonly</w:t>
      </w:r>
      <w:r>
        <w:rPr>
          <w:lang w:val="en-GB"/>
        </w:rPr>
        <w:t xml:space="preserve"> used</w:t>
      </w:r>
      <w:proofErr w:type="gramEnd"/>
      <w:r w:rsidRPr="00B42B60">
        <w:rPr>
          <w:lang w:val="en-GB"/>
        </w:rPr>
        <w:t>. This required a large volume of blood and an incubation period of 24 hours and was not specific for HS</w:t>
      </w:r>
      <w:r>
        <w:rPr>
          <w:lang w:val="en-GB"/>
        </w:rPr>
        <w:t xml:space="preserve">, </w:t>
      </w:r>
      <w:r w:rsidRPr="00B42B60">
        <w:rPr>
          <w:lang w:val="en-GB"/>
        </w:rPr>
        <w:t>resulting in a proportion of false</w:t>
      </w:r>
      <w:r>
        <w:rPr>
          <w:lang w:val="en-GB"/>
        </w:rPr>
        <w:t>-</w:t>
      </w:r>
      <w:r w:rsidRPr="00B42B60">
        <w:rPr>
          <w:lang w:val="en-GB"/>
        </w:rPr>
        <w:t>positive test results</w:t>
      </w:r>
      <w:r>
        <w:rPr>
          <w:lang w:val="en-GB"/>
        </w:rPr>
        <w:t>.</w:t>
      </w:r>
      <w:r w:rsidR="00C755A7">
        <w:rPr>
          <w:lang w:val="en-GB"/>
        </w:rPr>
        <w:t xml:space="preserve"> </w:t>
      </w:r>
      <w:r w:rsidR="00B83872">
        <w:rPr>
          <w:lang w:val="en-GB"/>
        </w:rPr>
        <w:fldChar w:fldCharType="begin"/>
      </w:r>
      <w:r w:rsidR="00B83872">
        <w:rPr>
          <w:lang w:val="en-GB"/>
        </w:rPr>
        <w:instrText xml:space="preserve"> REF _Ref488758627 \r \h </w:instrText>
      </w:r>
      <w:r w:rsidR="00B83872">
        <w:rPr>
          <w:lang w:val="en-GB"/>
        </w:rPr>
      </w:r>
      <w:r w:rsidR="00B83872">
        <w:rPr>
          <w:lang w:val="en-GB"/>
        </w:rPr>
        <w:fldChar w:fldCharType="separate"/>
      </w:r>
      <w:r w:rsidR="005C3364">
        <w:rPr>
          <w:lang w:val="en-GB"/>
        </w:rPr>
        <w:t>[8]</w:t>
      </w:r>
      <w:r w:rsidR="00B83872">
        <w:rPr>
          <w:lang w:val="en-GB"/>
        </w:rPr>
        <w:fldChar w:fldCharType="end"/>
      </w:r>
    </w:p>
    <w:p w14:paraId="18254F03" w14:textId="77777777" w:rsidR="006D3B55" w:rsidRDefault="00204E02" w:rsidP="00204E02">
      <w:pPr>
        <w:pStyle w:val="01squarebullet"/>
      </w:pPr>
      <w:r>
        <w:t>E5M</w:t>
      </w:r>
      <w:r w:rsidR="006D3B55">
        <w:t xml:space="preserve"> is currently not funded by the MBS, but the Committee agreed that it is the current technology being used instead of osmotic fragility and therefore it should be included within this MBS item</w:t>
      </w:r>
      <w:r>
        <w:t xml:space="preserve">. </w:t>
      </w:r>
      <w:r w:rsidR="006D3B55">
        <w:t xml:space="preserve">E5M is a very specific test ordered for the investigation of </w:t>
      </w:r>
      <w:proofErr w:type="spellStart"/>
      <w:r w:rsidR="006D3B55">
        <w:t>haemolysis</w:t>
      </w:r>
      <w:proofErr w:type="spellEnd"/>
      <w:r w:rsidR="006D3B55">
        <w:t xml:space="preserve"> and would </w:t>
      </w:r>
      <w:r>
        <w:t>usually</w:t>
      </w:r>
      <w:r w:rsidR="006D3B55">
        <w:t xml:space="preserve"> </w:t>
      </w:r>
      <w:r>
        <w:t xml:space="preserve">only </w:t>
      </w:r>
      <w:r w:rsidR="006D3B55">
        <w:t>be ordered by, or on the advice of, a specialis</w:t>
      </w:r>
      <w:r>
        <w:t>t.</w:t>
      </w:r>
    </w:p>
    <w:p w14:paraId="6A54E6D3" w14:textId="77777777" w:rsidR="008732E9" w:rsidRPr="00A11A7F" w:rsidRDefault="008732E9" w:rsidP="00D06099">
      <w:pPr>
        <w:pStyle w:val="Heading2"/>
      </w:pPr>
      <w:bookmarkStart w:id="107" w:name="_Toc495403407"/>
      <w:r w:rsidRPr="00A11A7F">
        <w:t xml:space="preserve">Full </w:t>
      </w:r>
      <w:r w:rsidR="008B09CF">
        <w:t>b</w:t>
      </w:r>
      <w:r w:rsidR="008B09CF" w:rsidRPr="00A11A7F">
        <w:t xml:space="preserve">lood </w:t>
      </w:r>
      <w:r w:rsidR="008B09CF">
        <w:t>e</w:t>
      </w:r>
      <w:r w:rsidR="008B09CF" w:rsidRPr="00A11A7F">
        <w:t>xamination</w:t>
      </w:r>
      <w:r w:rsidR="00C77285">
        <w:t xml:space="preserve">: </w:t>
      </w:r>
      <w:r w:rsidR="008B09CF">
        <w:t>i</w:t>
      </w:r>
      <w:r w:rsidR="00C77285">
        <w:t>tem 65070</w:t>
      </w:r>
      <w:bookmarkEnd w:id="107"/>
    </w:p>
    <w:p w14:paraId="56282A75" w14:textId="77777777" w:rsidR="008732E9" w:rsidRDefault="008732E9" w:rsidP="00C702A9">
      <w:pPr>
        <w:pStyle w:val="Caption"/>
      </w:pPr>
      <w:bookmarkStart w:id="108" w:name="_Toc481493781"/>
      <w:r w:rsidRPr="008F7F21">
        <w:t xml:space="preserve">Table </w:t>
      </w:r>
      <w:r w:rsidR="002C0890">
        <w:t>14</w:t>
      </w:r>
      <w:r w:rsidRPr="008F7F21">
        <w:t>: Item</w:t>
      </w:r>
      <w:r w:rsidRPr="00F3685E">
        <w:t xml:space="preserve"> </w:t>
      </w:r>
      <w:r w:rsidRPr="00A11A7F">
        <w:t>introduction</w:t>
      </w:r>
      <w:r w:rsidRPr="00F3685E">
        <w:t xml:space="preserve"> table for item </w:t>
      </w:r>
      <w:r>
        <w:t>65070</w:t>
      </w:r>
      <w:bookmarkEnd w:id="108"/>
    </w:p>
    <w:tbl>
      <w:tblPr>
        <w:tblStyle w:val="TableGrid1"/>
        <w:tblW w:w="0" w:type="auto"/>
        <w:tblLook w:val="04A0" w:firstRow="1" w:lastRow="0" w:firstColumn="1" w:lastColumn="0" w:noHBand="0" w:noVBand="1"/>
        <w:tblCaption w:val="Table 14, Item introduction table for item 65070"/>
        <w:tblDescription w:val="This table shows selected current MBS Schedule information for  item 65070. There are 7 columns – column 1: item number, column 2: long item descriptor, column 3: schedule fee, column 4: services for the 2014–15 financial year, column 5: total benefits for the 2014–15 financial year, column 6: total patient count for the 2014–15 financial year, and column 7: 5-year compound annual growth rate of the service."/>
      </w:tblPr>
      <w:tblGrid>
        <w:gridCol w:w="776"/>
        <w:gridCol w:w="2292"/>
        <w:gridCol w:w="1180"/>
        <w:gridCol w:w="1233"/>
        <w:gridCol w:w="1318"/>
        <w:gridCol w:w="1134"/>
        <w:gridCol w:w="1083"/>
      </w:tblGrid>
      <w:tr w:rsidR="008732E9" w:rsidRPr="0091107C" w14:paraId="14AE08A1" w14:textId="77777777" w:rsidTr="00D06099">
        <w:trPr>
          <w:trHeight w:val="729"/>
          <w:tblHeader/>
        </w:trPr>
        <w:tc>
          <w:tcPr>
            <w:tcW w:w="776" w:type="dxa"/>
            <w:shd w:val="clear" w:color="auto" w:fill="F2F2F2" w:themeFill="background1" w:themeFillShade="F2"/>
            <w:vAlign w:val="bottom"/>
            <w:hideMark/>
          </w:tcPr>
          <w:p w14:paraId="5DF1A35E" w14:textId="77777777" w:rsidR="008732E9" w:rsidRPr="0091107C" w:rsidRDefault="008732E9" w:rsidP="006D3B55">
            <w:pPr>
              <w:rPr>
                <w:rFonts w:ascii="Arial" w:hAnsi="Arial" w:cs="Arial"/>
                <w:b/>
                <w:color w:val="000000"/>
                <w:sz w:val="18"/>
                <w:szCs w:val="18"/>
              </w:rPr>
            </w:pPr>
            <w:r w:rsidRPr="0091107C">
              <w:rPr>
                <w:rFonts w:ascii="Arial" w:hAnsi="Arial" w:cs="Arial"/>
                <w:b/>
                <w:color w:val="000000"/>
                <w:sz w:val="18"/>
                <w:szCs w:val="18"/>
              </w:rPr>
              <w:t>Item</w:t>
            </w:r>
          </w:p>
        </w:tc>
        <w:tc>
          <w:tcPr>
            <w:tcW w:w="2292" w:type="dxa"/>
            <w:shd w:val="clear" w:color="auto" w:fill="F2F2F2" w:themeFill="background1" w:themeFillShade="F2"/>
            <w:vAlign w:val="bottom"/>
            <w:hideMark/>
          </w:tcPr>
          <w:p w14:paraId="1A153753" w14:textId="77777777" w:rsidR="008732E9" w:rsidRPr="0091107C" w:rsidRDefault="008732E9" w:rsidP="006D3B55">
            <w:pPr>
              <w:rPr>
                <w:rFonts w:ascii="Arial" w:hAnsi="Arial" w:cs="Arial"/>
                <w:b/>
                <w:color w:val="000000"/>
                <w:sz w:val="18"/>
                <w:szCs w:val="18"/>
              </w:rPr>
            </w:pPr>
            <w:r w:rsidRPr="0091107C">
              <w:rPr>
                <w:rFonts w:ascii="Arial" w:hAnsi="Arial" w:cs="Arial"/>
                <w:b/>
                <w:color w:val="000000"/>
                <w:sz w:val="18"/>
                <w:szCs w:val="18"/>
              </w:rPr>
              <w:t>Long item descriptor</w:t>
            </w:r>
          </w:p>
        </w:tc>
        <w:tc>
          <w:tcPr>
            <w:tcW w:w="1180" w:type="dxa"/>
            <w:shd w:val="clear" w:color="auto" w:fill="F2F2F2" w:themeFill="background1" w:themeFillShade="F2"/>
            <w:vAlign w:val="bottom"/>
            <w:hideMark/>
          </w:tcPr>
          <w:p w14:paraId="3AF82D64" w14:textId="77777777" w:rsidR="008732E9" w:rsidRPr="0091107C" w:rsidRDefault="008732E9" w:rsidP="006D3B55">
            <w:pPr>
              <w:rPr>
                <w:rFonts w:ascii="Arial" w:hAnsi="Arial" w:cs="Arial"/>
                <w:b/>
                <w:color w:val="000000"/>
                <w:sz w:val="18"/>
                <w:szCs w:val="18"/>
              </w:rPr>
            </w:pPr>
            <w:r w:rsidRPr="0091107C">
              <w:rPr>
                <w:rFonts w:ascii="Arial" w:hAnsi="Arial" w:cs="Arial"/>
                <w:b/>
                <w:color w:val="000000"/>
                <w:sz w:val="18"/>
                <w:szCs w:val="18"/>
              </w:rPr>
              <w:t>Schedule</w:t>
            </w:r>
            <w:r>
              <w:rPr>
                <w:rFonts w:ascii="Arial" w:hAnsi="Arial" w:cs="Arial"/>
                <w:b/>
                <w:color w:val="000000"/>
                <w:sz w:val="18"/>
                <w:szCs w:val="18"/>
              </w:rPr>
              <w:br/>
            </w:r>
            <w:r w:rsidRPr="0091107C">
              <w:rPr>
                <w:rFonts w:ascii="Arial" w:hAnsi="Arial" w:cs="Arial"/>
                <w:b/>
                <w:color w:val="000000"/>
                <w:sz w:val="18"/>
                <w:szCs w:val="18"/>
              </w:rPr>
              <w:t>fee</w:t>
            </w:r>
          </w:p>
        </w:tc>
        <w:tc>
          <w:tcPr>
            <w:tcW w:w="1233" w:type="dxa"/>
            <w:shd w:val="clear" w:color="auto" w:fill="F2F2F2" w:themeFill="background1" w:themeFillShade="F2"/>
            <w:vAlign w:val="bottom"/>
            <w:hideMark/>
          </w:tcPr>
          <w:p w14:paraId="5DF21EAE" w14:textId="77777777" w:rsidR="008732E9" w:rsidRPr="0091107C" w:rsidRDefault="008732E9" w:rsidP="006D3B55">
            <w:pPr>
              <w:rPr>
                <w:rFonts w:ascii="Arial" w:hAnsi="Arial" w:cs="Arial"/>
                <w:b/>
                <w:color w:val="000000"/>
                <w:sz w:val="18"/>
                <w:szCs w:val="18"/>
              </w:rPr>
            </w:pPr>
            <w:r w:rsidRPr="0091107C">
              <w:rPr>
                <w:rFonts w:ascii="Arial" w:hAnsi="Arial" w:cs="Arial"/>
                <w:b/>
                <w:color w:val="000000"/>
                <w:sz w:val="18"/>
                <w:szCs w:val="18"/>
              </w:rPr>
              <w:t xml:space="preserve">Services </w:t>
            </w:r>
            <w:r>
              <w:rPr>
                <w:rFonts w:ascii="Arial" w:hAnsi="Arial" w:cs="Arial"/>
                <w:b/>
                <w:color w:val="000000"/>
                <w:sz w:val="18"/>
                <w:szCs w:val="18"/>
              </w:rPr>
              <w:br/>
            </w:r>
            <w:r w:rsidRPr="0091107C">
              <w:rPr>
                <w:rFonts w:ascii="Arial" w:hAnsi="Arial" w:cs="Arial"/>
                <w:b/>
                <w:color w:val="000000"/>
                <w:sz w:val="18"/>
                <w:szCs w:val="18"/>
              </w:rPr>
              <w:t>FY</w:t>
            </w:r>
            <w:r>
              <w:rPr>
                <w:rFonts w:ascii="Arial" w:hAnsi="Arial" w:cs="Arial"/>
                <w:b/>
                <w:color w:val="000000"/>
                <w:sz w:val="18"/>
                <w:szCs w:val="18"/>
              </w:rPr>
              <w:t xml:space="preserve"> </w:t>
            </w:r>
            <w:r w:rsidRPr="0091107C">
              <w:rPr>
                <w:rFonts w:ascii="Arial" w:hAnsi="Arial" w:cs="Arial"/>
                <w:b/>
                <w:color w:val="000000"/>
                <w:sz w:val="18"/>
                <w:szCs w:val="18"/>
              </w:rPr>
              <w:t>2014</w:t>
            </w:r>
            <w:r>
              <w:rPr>
                <w:rFonts w:ascii="Arial" w:hAnsi="Arial" w:cs="Arial"/>
                <w:b/>
                <w:color w:val="000000"/>
                <w:sz w:val="18"/>
                <w:szCs w:val="18"/>
              </w:rPr>
              <w:t>–</w:t>
            </w:r>
            <w:r w:rsidRPr="0091107C">
              <w:rPr>
                <w:rFonts w:ascii="Arial" w:hAnsi="Arial" w:cs="Arial"/>
                <w:b/>
                <w:color w:val="000000"/>
                <w:sz w:val="18"/>
                <w:szCs w:val="18"/>
              </w:rPr>
              <w:t>15</w:t>
            </w:r>
          </w:p>
        </w:tc>
        <w:tc>
          <w:tcPr>
            <w:tcW w:w="1318" w:type="dxa"/>
            <w:shd w:val="clear" w:color="auto" w:fill="F2F2F2" w:themeFill="background1" w:themeFillShade="F2"/>
            <w:vAlign w:val="bottom"/>
          </w:tcPr>
          <w:p w14:paraId="2C8FF2BF" w14:textId="77777777" w:rsidR="008732E9" w:rsidRPr="0091107C" w:rsidRDefault="008732E9" w:rsidP="006D3B55">
            <w:pPr>
              <w:rPr>
                <w:rFonts w:ascii="Arial" w:hAnsi="Arial" w:cs="Arial"/>
                <w:b/>
                <w:color w:val="000000"/>
                <w:sz w:val="18"/>
                <w:szCs w:val="18"/>
              </w:rPr>
            </w:pPr>
            <w:r w:rsidRPr="0091107C">
              <w:rPr>
                <w:rFonts w:ascii="Arial" w:hAnsi="Arial" w:cs="Arial"/>
                <w:b/>
                <w:color w:val="000000"/>
                <w:sz w:val="18"/>
                <w:szCs w:val="18"/>
              </w:rPr>
              <w:t xml:space="preserve">Benefits </w:t>
            </w:r>
            <w:r>
              <w:rPr>
                <w:rFonts w:ascii="Arial" w:hAnsi="Arial" w:cs="Arial"/>
                <w:b/>
                <w:color w:val="000000"/>
                <w:sz w:val="18"/>
                <w:szCs w:val="18"/>
              </w:rPr>
              <w:br/>
            </w:r>
            <w:r w:rsidRPr="0091107C">
              <w:rPr>
                <w:rFonts w:ascii="Arial" w:hAnsi="Arial" w:cs="Arial"/>
                <w:b/>
                <w:color w:val="000000"/>
                <w:sz w:val="18"/>
                <w:szCs w:val="18"/>
              </w:rPr>
              <w:t>FY</w:t>
            </w:r>
            <w:r>
              <w:rPr>
                <w:rFonts w:ascii="Arial" w:hAnsi="Arial" w:cs="Arial"/>
                <w:b/>
                <w:color w:val="000000"/>
                <w:sz w:val="18"/>
                <w:szCs w:val="18"/>
              </w:rPr>
              <w:t xml:space="preserve"> </w:t>
            </w:r>
            <w:r w:rsidRPr="0091107C">
              <w:rPr>
                <w:rFonts w:ascii="Arial" w:hAnsi="Arial" w:cs="Arial"/>
                <w:b/>
                <w:color w:val="000000"/>
                <w:sz w:val="18"/>
                <w:szCs w:val="18"/>
              </w:rPr>
              <w:t>2014</w:t>
            </w:r>
            <w:r>
              <w:rPr>
                <w:rFonts w:ascii="Arial" w:hAnsi="Arial" w:cs="Arial"/>
                <w:b/>
                <w:color w:val="000000"/>
                <w:sz w:val="18"/>
                <w:szCs w:val="18"/>
              </w:rPr>
              <w:t>–</w:t>
            </w:r>
            <w:r w:rsidRPr="0091107C">
              <w:rPr>
                <w:rFonts w:ascii="Arial" w:hAnsi="Arial" w:cs="Arial"/>
                <w:b/>
                <w:color w:val="000000"/>
                <w:sz w:val="18"/>
                <w:szCs w:val="18"/>
              </w:rPr>
              <w:t>15</w:t>
            </w:r>
          </w:p>
        </w:tc>
        <w:tc>
          <w:tcPr>
            <w:tcW w:w="1134" w:type="dxa"/>
            <w:shd w:val="clear" w:color="auto" w:fill="F2F2F2" w:themeFill="background1" w:themeFillShade="F2"/>
            <w:vAlign w:val="bottom"/>
            <w:hideMark/>
          </w:tcPr>
          <w:p w14:paraId="296054B1" w14:textId="77777777" w:rsidR="008732E9" w:rsidRPr="0091107C" w:rsidRDefault="008732E9" w:rsidP="006D3B55">
            <w:pPr>
              <w:rPr>
                <w:rFonts w:ascii="Arial" w:hAnsi="Arial" w:cs="Arial"/>
                <w:b/>
                <w:color w:val="000000"/>
                <w:sz w:val="18"/>
                <w:szCs w:val="18"/>
              </w:rPr>
            </w:pPr>
            <w:r w:rsidRPr="0091107C">
              <w:rPr>
                <w:rFonts w:ascii="Arial" w:hAnsi="Arial" w:cs="Arial"/>
                <w:b/>
                <w:color w:val="000000"/>
                <w:sz w:val="18"/>
                <w:szCs w:val="18"/>
              </w:rPr>
              <w:t>Patient count 2014</w:t>
            </w:r>
            <w:r>
              <w:rPr>
                <w:rFonts w:ascii="Arial" w:hAnsi="Arial" w:cs="Arial"/>
                <w:b/>
                <w:color w:val="000000"/>
                <w:sz w:val="18"/>
                <w:szCs w:val="18"/>
              </w:rPr>
              <w:t>–</w:t>
            </w:r>
            <w:r w:rsidRPr="0091107C">
              <w:rPr>
                <w:rFonts w:ascii="Arial" w:hAnsi="Arial" w:cs="Arial"/>
                <w:b/>
                <w:color w:val="000000"/>
                <w:sz w:val="18"/>
                <w:szCs w:val="18"/>
              </w:rPr>
              <w:t>15</w:t>
            </w:r>
          </w:p>
        </w:tc>
        <w:tc>
          <w:tcPr>
            <w:tcW w:w="1083" w:type="dxa"/>
            <w:shd w:val="clear" w:color="auto" w:fill="F2F2F2" w:themeFill="background1" w:themeFillShade="F2"/>
            <w:vAlign w:val="bottom"/>
            <w:hideMark/>
          </w:tcPr>
          <w:p w14:paraId="6F9DD2D4" w14:textId="77777777" w:rsidR="008732E9" w:rsidRPr="0091107C" w:rsidRDefault="008732E9" w:rsidP="006D3B55">
            <w:pPr>
              <w:rPr>
                <w:rFonts w:ascii="Arial" w:hAnsi="Arial" w:cs="Arial"/>
                <w:b/>
                <w:color w:val="000000"/>
                <w:sz w:val="18"/>
                <w:szCs w:val="18"/>
              </w:rPr>
            </w:pPr>
            <w:r w:rsidRPr="0091107C">
              <w:rPr>
                <w:rFonts w:ascii="Arial" w:hAnsi="Arial" w:cs="Arial"/>
                <w:b/>
                <w:color w:val="000000"/>
                <w:sz w:val="18"/>
                <w:szCs w:val="18"/>
              </w:rPr>
              <w:t>5</w:t>
            </w:r>
            <w:r>
              <w:rPr>
                <w:rFonts w:ascii="Arial" w:hAnsi="Arial" w:cs="Arial"/>
                <w:b/>
                <w:color w:val="000000"/>
                <w:sz w:val="18"/>
                <w:szCs w:val="18"/>
              </w:rPr>
              <w:t>-</w:t>
            </w:r>
            <w:r w:rsidRPr="0091107C">
              <w:rPr>
                <w:rFonts w:ascii="Arial" w:hAnsi="Arial" w:cs="Arial"/>
                <w:b/>
                <w:color w:val="000000"/>
                <w:sz w:val="18"/>
                <w:szCs w:val="18"/>
              </w:rPr>
              <w:t>year service change (CAGR)</w:t>
            </w:r>
          </w:p>
        </w:tc>
      </w:tr>
      <w:tr w:rsidR="008732E9" w:rsidRPr="0091107C" w14:paraId="5ABECB2B" w14:textId="77777777" w:rsidTr="006D3B55">
        <w:trPr>
          <w:trHeight w:val="300"/>
        </w:trPr>
        <w:tc>
          <w:tcPr>
            <w:tcW w:w="776" w:type="dxa"/>
            <w:noWrap/>
            <w:hideMark/>
          </w:tcPr>
          <w:p w14:paraId="738DB478" w14:textId="77777777" w:rsidR="008732E9" w:rsidRPr="0091107C" w:rsidRDefault="008732E9" w:rsidP="006D3B55">
            <w:pPr>
              <w:rPr>
                <w:rFonts w:ascii="Arial" w:hAnsi="Arial" w:cs="Arial"/>
                <w:color w:val="000000"/>
                <w:sz w:val="18"/>
                <w:szCs w:val="18"/>
              </w:rPr>
            </w:pPr>
            <w:r w:rsidRPr="0091107C">
              <w:rPr>
                <w:rFonts w:ascii="Arial" w:hAnsi="Arial" w:cs="Arial"/>
                <w:color w:val="000000"/>
                <w:sz w:val="18"/>
                <w:szCs w:val="18"/>
              </w:rPr>
              <w:t>65070</w:t>
            </w:r>
          </w:p>
        </w:tc>
        <w:tc>
          <w:tcPr>
            <w:tcW w:w="2292" w:type="dxa"/>
            <w:noWrap/>
            <w:hideMark/>
          </w:tcPr>
          <w:p w14:paraId="1E515156" w14:textId="77777777" w:rsidR="008732E9" w:rsidRPr="0091107C" w:rsidRDefault="008732E9" w:rsidP="006D3B55">
            <w:pPr>
              <w:rPr>
                <w:rFonts w:ascii="Arial" w:hAnsi="Arial" w:cs="Arial"/>
                <w:color w:val="000000"/>
                <w:sz w:val="18"/>
                <w:szCs w:val="18"/>
              </w:rPr>
            </w:pPr>
            <w:r w:rsidRPr="0091107C">
              <w:rPr>
                <w:rFonts w:ascii="Arial" w:hAnsi="Arial" w:cs="Arial"/>
                <w:color w:val="000000"/>
                <w:sz w:val="18"/>
                <w:szCs w:val="18"/>
              </w:rPr>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 of results from a single sample; and (if performed) (a) a morphological assessment of a blood film; (b) any service in item 65060 or 65072</w:t>
            </w:r>
          </w:p>
        </w:tc>
        <w:tc>
          <w:tcPr>
            <w:tcW w:w="1180" w:type="dxa"/>
            <w:noWrap/>
            <w:hideMark/>
          </w:tcPr>
          <w:p w14:paraId="30AA1FE4" w14:textId="77777777" w:rsidR="008732E9" w:rsidRPr="0091107C" w:rsidRDefault="008732E9" w:rsidP="006D3B55">
            <w:pPr>
              <w:rPr>
                <w:rFonts w:ascii="Arial" w:hAnsi="Arial" w:cs="Arial"/>
                <w:color w:val="000000"/>
                <w:sz w:val="18"/>
                <w:szCs w:val="18"/>
              </w:rPr>
            </w:pPr>
            <w:r w:rsidRPr="0091107C">
              <w:rPr>
                <w:rFonts w:ascii="Arial" w:hAnsi="Arial" w:cs="Arial"/>
                <w:color w:val="000000"/>
                <w:sz w:val="18"/>
                <w:szCs w:val="18"/>
              </w:rPr>
              <w:t>$16.95</w:t>
            </w:r>
          </w:p>
        </w:tc>
        <w:tc>
          <w:tcPr>
            <w:tcW w:w="1233" w:type="dxa"/>
            <w:noWrap/>
            <w:hideMark/>
          </w:tcPr>
          <w:p w14:paraId="09964AE5" w14:textId="77777777" w:rsidR="008732E9" w:rsidRPr="0091107C" w:rsidRDefault="008732E9" w:rsidP="006D3B55">
            <w:pPr>
              <w:rPr>
                <w:rFonts w:ascii="Arial" w:hAnsi="Arial" w:cs="Arial"/>
                <w:color w:val="000000"/>
                <w:sz w:val="18"/>
                <w:szCs w:val="18"/>
              </w:rPr>
            </w:pPr>
            <w:r w:rsidRPr="0091107C">
              <w:rPr>
                <w:rFonts w:ascii="Arial" w:hAnsi="Arial" w:cs="Arial"/>
                <w:color w:val="000000"/>
                <w:sz w:val="18"/>
                <w:szCs w:val="18"/>
              </w:rPr>
              <w:t>11,363,746</w:t>
            </w:r>
          </w:p>
        </w:tc>
        <w:tc>
          <w:tcPr>
            <w:tcW w:w="1318" w:type="dxa"/>
          </w:tcPr>
          <w:p w14:paraId="65C3D73B" w14:textId="77777777" w:rsidR="008732E9" w:rsidRPr="0091107C" w:rsidRDefault="008732E9" w:rsidP="006D3B55">
            <w:pPr>
              <w:rPr>
                <w:rFonts w:ascii="Arial" w:hAnsi="Arial" w:cs="Arial"/>
                <w:color w:val="000000"/>
                <w:sz w:val="18"/>
                <w:szCs w:val="18"/>
              </w:rPr>
            </w:pPr>
            <w:r w:rsidRPr="0091107C">
              <w:rPr>
                <w:rFonts w:ascii="Arial" w:hAnsi="Arial" w:cs="Arial"/>
                <w:color w:val="000000"/>
                <w:sz w:val="18"/>
                <w:szCs w:val="18"/>
              </w:rPr>
              <w:t>$160,594,803</w:t>
            </w:r>
          </w:p>
        </w:tc>
        <w:tc>
          <w:tcPr>
            <w:tcW w:w="1134" w:type="dxa"/>
            <w:noWrap/>
            <w:hideMark/>
          </w:tcPr>
          <w:p w14:paraId="2524DA70" w14:textId="77777777" w:rsidR="008732E9" w:rsidRPr="0091107C" w:rsidRDefault="008732E9" w:rsidP="006D3B55">
            <w:pPr>
              <w:rPr>
                <w:rFonts w:ascii="Arial" w:hAnsi="Arial" w:cs="Arial"/>
                <w:color w:val="000000"/>
                <w:sz w:val="18"/>
                <w:szCs w:val="18"/>
              </w:rPr>
            </w:pPr>
            <w:r w:rsidRPr="0091107C">
              <w:rPr>
                <w:rFonts w:ascii="Arial" w:hAnsi="Arial" w:cs="Arial"/>
                <w:color w:val="000000"/>
                <w:sz w:val="18"/>
                <w:szCs w:val="18"/>
              </w:rPr>
              <w:t>5,188,994</w:t>
            </w:r>
          </w:p>
        </w:tc>
        <w:tc>
          <w:tcPr>
            <w:tcW w:w="1083" w:type="dxa"/>
            <w:noWrap/>
            <w:hideMark/>
          </w:tcPr>
          <w:p w14:paraId="11DCB2A9" w14:textId="77777777" w:rsidR="008732E9" w:rsidRPr="0091107C" w:rsidRDefault="008732E9" w:rsidP="006D3B55">
            <w:pPr>
              <w:rPr>
                <w:rFonts w:ascii="Arial" w:hAnsi="Arial" w:cs="Arial"/>
                <w:color w:val="000000"/>
                <w:sz w:val="18"/>
                <w:szCs w:val="18"/>
              </w:rPr>
            </w:pPr>
            <w:r w:rsidRPr="0091107C">
              <w:rPr>
                <w:rFonts w:ascii="Arial" w:hAnsi="Arial" w:cs="Arial"/>
                <w:color w:val="000000"/>
                <w:sz w:val="18"/>
                <w:szCs w:val="18"/>
              </w:rPr>
              <w:t>4.4</w:t>
            </w:r>
          </w:p>
        </w:tc>
      </w:tr>
    </w:tbl>
    <w:p w14:paraId="64851F4A" w14:textId="77777777" w:rsidR="008732E9" w:rsidRPr="00ED0F00" w:rsidRDefault="008732E9" w:rsidP="00367716">
      <w:pPr>
        <w:pStyle w:val="Heading3"/>
      </w:pPr>
      <w:bookmarkStart w:id="109" w:name="_Toc495403408"/>
      <w:r w:rsidRPr="00ED0F00">
        <w:t xml:space="preserve">Recommendation </w:t>
      </w:r>
      <w:r w:rsidR="00AF1ED5">
        <w:t>7</w:t>
      </w:r>
      <w:bookmarkEnd w:id="109"/>
    </w:p>
    <w:p w14:paraId="620E3E96" w14:textId="77777777" w:rsidR="008732E9" w:rsidRPr="00ED0F00" w:rsidRDefault="008732E9" w:rsidP="008732E9">
      <w:pPr>
        <w:pStyle w:val="01squarebullet"/>
      </w:pPr>
      <w:r w:rsidRPr="00ED0F00">
        <w:t>No change</w:t>
      </w:r>
      <w:r w:rsidR="00D06099">
        <w:t xml:space="preserve"> to item 65070.</w:t>
      </w:r>
    </w:p>
    <w:p w14:paraId="5783DF20" w14:textId="77777777" w:rsidR="008732E9" w:rsidRPr="00ED0F00" w:rsidRDefault="008732E9" w:rsidP="00367716">
      <w:pPr>
        <w:pStyle w:val="Heading3"/>
      </w:pPr>
      <w:bookmarkStart w:id="110" w:name="_Toc495403409"/>
      <w:r w:rsidRPr="00ED0F00">
        <w:t>Rationale</w:t>
      </w:r>
      <w:bookmarkEnd w:id="110"/>
      <w:r w:rsidRPr="00ED0F00">
        <w:t xml:space="preserve"> </w:t>
      </w:r>
      <w:r w:rsidR="00E733F6">
        <w:t>7</w:t>
      </w:r>
    </w:p>
    <w:p w14:paraId="7913B845" w14:textId="77777777" w:rsidR="008732E9" w:rsidRDefault="008732E9" w:rsidP="008732E9">
      <w:pPr>
        <w:pStyle w:val="Normalpara"/>
      </w:pPr>
      <w:r>
        <w:t>The Committee discussed this item at length before resolving to recommend no change.</w:t>
      </w:r>
    </w:p>
    <w:p w14:paraId="0491339E" w14:textId="77777777" w:rsidR="008732E9" w:rsidRPr="00842CA5" w:rsidRDefault="008732E9" w:rsidP="008732E9">
      <w:pPr>
        <w:pStyle w:val="01squarebullet"/>
      </w:pPr>
      <w:r>
        <w:t xml:space="preserve">The Committee’s preferred option focused on </w:t>
      </w:r>
      <w:proofErr w:type="spellStart"/>
      <w:r>
        <w:t>modernising</w:t>
      </w:r>
      <w:proofErr w:type="spellEnd"/>
      <w:r>
        <w:t xml:space="preserve"> the MBS by splitting the</w:t>
      </w:r>
      <w:r w:rsidRPr="005C5281">
        <w:t xml:space="preserve"> </w:t>
      </w:r>
      <w:r>
        <w:t xml:space="preserve">current </w:t>
      </w:r>
      <w:r w:rsidRPr="005C5281">
        <w:t xml:space="preserve">item </w:t>
      </w:r>
      <w:r>
        <w:t>into two items: (a</w:t>
      </w:r>
      <w:r w:rsidRPr="00BD2A34">
        <w:t xml:space="preserve">) </w:t>
      </w:r>
      <w:r>
        <w:t xml:space="preserve">a </w:t>
      </w:r>
      <w:r w:rsidRPr="00BD2A34">
        <w:t xml:space="preserve">full blood count—quantitative, </w:t>
      </w:r>
      <w:r>
        <w:t xml:space="preserve">and (b) a blood film examination—for qualitative abnormalities. For reasons outlined below, </w:t>
      </w:r>
      <w:r w:rsidRPr="00842CA5">
        <w:t>this was</w:t>
      </w:r>
      <w:r>
        <w:t xml:space="preserve"> </w:t>
      </w:r>
      <w:r w:rsidRPr="00842CA5">
        <w:t>n</w:t>
      </w:r>
      <w:r>
        <w:t>o</w:t>
      </w:r>
      <w:r w:rsidRPr="00842CA5">
        <w:t xml:space="preserve">t progressed to a </w:t>
      </w:r>
      <w:r w:rsidRPr="00842CA5">
        <w:lastRenderedPageBreak/>
        <w:t xml:space="preserve">recommendation because </w:t>
      </w:r>
      <w:r>
        <w:t xml:space="preserve">of the complex processes that would be required to ensure </w:t>
      </w:r>
      <w:r w:rsidRPr="00842CA5">
        <w:t>appropriate use</w:t>
      </w:r>
      <w:r>
        <w:t>,</w:t>
      </w:r>
      <w:r w:rsidRPr="00842CA5">
        <w:t xml:space="preserve"> </w:t>
      </w:r>
      <w:r>
        <w:t>without which</w:t>
      </w:r>
      <w:r w:rsidRPr="00842CA5">
        <w:t xml:space="preserve"> there </w:t>
      </w:r>
      <w:r>
        <w:t>c</w:t>
      </w:r>
      <w:r w:rsidRPr="00842CA5">
        <w:t xml:space="preserve">ould be a risk of </w:t>
      </w:r>
      <w:r>
        <w:t xml:space="preserve">increased </w:t>
      </w:r>
      <w:proofErr w:type="spellStart"/>
      <w:r>
        <w:t>utilisation</w:t>
      </w:r>
      <w:proofErr w:type="spellEnd"/>
      <w:r w:rsidRPr="00842CA5">
        <w:t>.</w:t>
      </w:r>
    </w:p>
    <w:p w14:paraId="5175F450" w14:textId="77777777" w:rsidR="008732E9" w:rsidRDefault="008732E9" w:rsidP="008732E9">
      <w:pPr>
        <w:pStyle w:val="01squarebullet"/>
      </w:pPr>
      <w:r>
        <w:t>The current</w:t>
      </w:r>
      <w:r w:rsidRPr="00A11A7F">
        <w:t xml:space="preserve"> item covers two separate processes—a count of blood components (erythrocyte count, </w:t>
      </w:r>
      <w:proofErr w:type="spellStart"/>
      <w:r w:rsidRPr="00A11A7F">
        <w:t>haematocrit</w:t>
      </w:r>
      <w:proofErr w:type="spellEnd"/>
      <w:r w:rsidRPr="00A11A7F">
        <w:t xml:space="preserve">, </w:t>
      </w:r>
      <w:proofErr w:type="spellStart"/>
      <w:r w:rsidRPr="00A11A7F">
        <w:t>haemoglobin</w:t>
      </w:r>
      <w:proofErr w:type="spellEnd"/>
      <w:r w:rsidRPr="00A11A7F">
        <w:t>, calculation or measurement of red cell index or indices, platelet count, leucocyte count and manual or instrument</w:t>
      </w:r>
      <w:r w:rsidR="005E1D43">
        <w:t>-</w:t>
      </w:r>
      <w:r w:rsidRPr="00A11A7F">
        <w:t>generated differential count) and</w:t>
      </w:r>
      <w:r>
        <w:t>,</w:t>
      </w:r>
      <w:r w:rsidRPr="00A11A7F">
        <w:t xml:space="preserve"> if required, a morphological assessment</w:t>
      </w:r>
      <w:r>
        <w:t xml:space="preserve"> (also known as a blood film)</w:t>
      </w:r>
      <w:r w:rsidRPr="00A11A7F">
        <w:t xml:space="preserve">. A </w:t>
      </w:r>
      <w:r>
        <w:t>blood film</w:t>
      </w:r>
      <w:r w:rsidRPr="00A11A7F">
        <w:t xml:space="preserve"> is not required for every </w:t>
      </w:r>
      <w:r>
        <w:t>sample</w:t>
      </w:r>
      <w:r w:rsidRPr="00A11A7F">
        <w:t xml:space="preserve"> and it is estimated</w:t>
      </w:r>
      <w:r>
        <w:t xml:space="preserve"> from members’ data</w:t>
      </w:r>
      <w:r w:rsidRPr="00A11A7F">
        <w:t xml:space="preserve"> that </w:t>
      </w:r>
      <w:r>
        <w:t>about 10–12 per cent</w:t>
      </w:r>
      <w:r w:rsidRPr="00A11A7F">
        <w:t xml:space="preserve"> of </w:t>
      </w:r>
      <w:r>
        <w:t xml:space="preserve">general practice </w:t>
      </w:r>
      <w:r w:rsidRPr="00A11A7F">
        <w:t xml:space="preserve">requests will require a </w:t>
      </w:r>
      <w:r>
        <w:t xml:space="preserve">blood film. The rate is about 25 per cent in laboratories servicing </w:t>
      </w:r>
      <w:proofErr w:type="spellStart"/>
      <w:r>
        <w:t>haematology</w:t>
      </w:r>
      <w:proofErr w:type="spellEnd"/>
      <w:r>
        <w:t xml:space="preserve"> and oncology practices, where higher rates of abnormal counts are to be expected.</w:t>
      </w:r>
    </w:p>
    <w:p w14:paraId="352A7894" w14:textId="77777777" w:rsidR="008732E9" w:rsidRDefault="008732E9" w:rsidP="008732E9">
      <w:pPr>
        <w:pStyle w:val="01squarebullet"/>
      </w:pPr>
      <w:r>
        <w:t xml:space="preserve">In practice, most blood counts are now automated. </w:t>
      </w:r>
      <w:r w:rsidRPr="0059114B">
        <w:t xml:space="preserve">However, if the presence of abnormal </w:t>
      </w:r>
      <w:r>
        <w:t>cells</w:t>
      </w:r>
      <w:r w:rsidRPr="0059114B">
        <w:t xml:space="preserve"> is </w:t>
      </w:r>
      <w:r>
        <w:t xml:space="preserve">identified or </w:t>
      </w:r>
      <w:r w:rsidRPr="0059114B">
        <w:t xml:space="preserve">suspected, a blood film examined by a trained professional is </w:t>
      </w:r>
      <w:r>
        <w:t>required</w:t>
      </w:r>
      <w:r w:rsidRPr="0059114B">
        <w:t xml:space="preserve"> </w:t>
      </w:r>
      <w:r>
        <w:t>to definitively evaluate and identify</w:t>
      </w:r>
      <w:r w:rsidRPr="0059114B">
        <w:t xml:space="preserve"> immature and abnormal cells.</w:t>
      </w:r>
      <w:r>
        <w:t xml:space="preserve"> This is a manual process involving the preparation of slides and examination by staff ranging from scientists to consultant </w:t>
      </w:r>
      <w:proofErr w:type="spellStart"/>
      <w:r>
        <w:t>haematologists</w:t>
      </w:r>
      <w:proofErr w:type="spellEnd"/>
      <w:r>
        <w:t>.</w:t>
      </w:r>
    </w:p>
    <w:p w14:paraId="3960A59A" w14:textId="77777777" w:rsidR="008732E9" w:rsidRDefault="008732E9" w:rsidP="008732E9">
      <w:pPr>
        <w:pStyle w:val="01squarebullet"/>
      </w:pPr>
      <w:r>
        <w:t>The Committee agreed that the fee attached to the current item 65070 does not reflect the skill, time and cost of reagents required to perform a blood film, and that s</w:t>
      </w:r>
      <w:r w:rsidRPr="00A11A7F">
        <w:t xml:space="preserve">plitting the item </w:t>
      </w:r>
      <w:r>
        <w:t>would provide</w:t>
      </w:r>
      <w:r w:rsidRPr="00A11A7F">
        <w:t xml:space="preserve"> the opportunity to review the costs </w:t>
      </w:r>
      <w:r>
        <w:t>associated with</w:t>
      </w:r>
      <w:r w:rsidRPr="00A11A7F">
        <w:t xml:space="preserve"> both </w:t>
      </w:r>
      <w:r>
        <w:t>processes</w:t>
      </w:r>
      <w:r w:rsidRPr="00A11A7F">
        <w:t xml:space="preserve">. Film review rates will </w:t>
      </w:r>
      <w:r>
        <w:t xml:space="preserve">possibly </w:t>
      </w:r>
      <w:r w:rsidRPr="00A11A7F">
        <w:t xml:space="preserve">decrease over time as machine technology improves, but the complexity of those requiring </w:t>
      </w:r>
      <w:r>
        <w:t>assessment</w:t>
      </w:r>
      <w:r w:rsidRPr="00A11A7F">
        <w:t xml:space="preserve"> will</w:t>
      </w:r>
      <w:r>
        <w:t xml:space="preserve"> likely</w:t>
      </w:r>
      <w:r w:rsidRPr="00A11A7F">
        <w:t xml:space="preserve"> increase. </w:t>
      </w:r>
      <w:r>
        <w:t>Splitting the items would</w:t>
      </w:r>
      <w:r w:rsidRPr="00A11A7F">
        <w:t xml:space="preserve"> </w:t>
      </w:r>
      <w:r>
        <w:t xml:space="preserve">provide better data to inform </w:t>
      </w:r>
      <w:r w:rsidRPr="00A11A7F">
        <w:t>future review</w:t>
      </w:r>
      <w:r>
        <w:t>s</w:t>
      </w:r>
      <w:r w:rsidRPr="00A11A7F">
        <w:t>.</w:t>
      </w:r>
      <w:r>
        <w:t xml:space="preserve"> </w:t>
      </w:r>
    </w:p>
    <w:p w14:paraId="4BBDC4A2" w14:textId="77777777" w:rsidR="008732E9" w:rsidRDefault="008732E9" w:rsidP="008732E9">
      <w:pPr>
        <w:pStyle w:val="01squarebullet"/>
      </w:pPr>
      <w:r>
        <w:t xml:space="preserve">To support the recommendation to split the item, it would be necessary to define the criteria for when a blood film is appropriate, to avoid unintended or inappropriate growth. </w:t>
      </w:r>
      <w:r w:rsidRPr="00A11A7F">
        <w:t>In</w:t>
      </w:r>
      <w:r>
        <w:t xml:space="preserve"> practice, appropriate indications include:</w:t>
      </w:r>
    </w:p>
    <w:p w14:paraId="4A2D63D3" w14:textId="77777777" w:rsidR="008732E9" w:rsidRDefault="008732E9" w:rsidP="008732E9">
      <w:pPr>
        <w:pStyle w:val="02dash"/>
        <w:numPr>
          <w:ilvl w:val="1"/>
          <w:numId w:val="16"/>
        </w:numPr>
        <w:tabs>
          <w:tab w:val="clear" w:pos="646"/>
        </w:tabs>
        <w:ind w:left="709"/>
      </w:pPr>
      <w:r w:rsidRPr="00A11A7F">
        <w:t>automated machine flags for quantitative and qualitative parameters</w:t>
      </w:r>
      <w:r>
        <w:t>,</w:t>
      </w:r>
      <w:r w:rsidRPr="00A11A7F">
        <w:t xml:space="preserve"> for example</w:t>
      </w:r>
      <w:r>
        <w:t>,</w:t>
      </w:r>
      <w:r w:rsidRPr="00A11A7F">
        <w:t xml:space="preserve"> </w:t>
      </w:r>
      <w:proofErr w:type="spellStart"/>
      <w:r w:rsidRPr="00A11A7F">
        <w:t>cytope</w:t>
      </w:r>
      <w:r>
        <w:t>nias</w:t>
      </w:r>
      <w:proofErr w:type="spellEnd"/>
      <w:r>
        <w:t>, blasts, nucleated red cells, immature granulocytes</w:t>
      </w:r>
    </w:p>
    <w:p w14:paraId="4A5B81D9" w14:textId="77777777" w:rsidR="008732E9" w:rsidRDefault="008732E9" w:rsidP="008732E9">
      <w:pPr>
        <w:pStyle w:val="02dash"/>
        <w:numPr>
          <w:ilvl w:val="1"/>
          <w:numId w:val="16"/>
        </w:numPr>
        <w:tabs>
          <w:tab w:val="clear" w:pos="646"/>
        </w:tabs>
        <w:ind w:left="709"/>
      </w:pPr>
      <w:r>
        <w:t>automated</w:t>
      </w:r>
      <w:r w:rsidRPr="00A11A7F">
        <w:t xml:space="preserve"> delta checks that flag significant changes compared with results obtained on previou</w:t>
      </w:r>
      <w:r>
        <w:t>s samples from the same patient</w:t>
      </w:r>
    </w:p>
    <w:p w14:paraId="339146C3" w14:textId="77777777" w:rsidR="008732E9" w:rsidRDefault="008732E9" w:rsidP="008732E9">
      <w:pPr>
        <w:pStyle w:val="02dash"/>
        <w:numPr>
          <w:ilvl w:val="1"/>
          <w:numId w:val="16"/>
        </w:numPr>
        <w:tabs>
          <w:tab w:val="clear" w:pos="646"/>
        </w:tabs>
        <w:ind w:left="709"/>
      </w:pPr>
      <w:r w:rsidRPr="00A11A7F">
        <w:t xml:space="preserve"> co-requested tests</w:t>
      </w:r>
      <w:r>
        <w:t>,</w:t>
      </w:r>
      <w:r w:rsidRPr="00A11A7F">
        <w:t xml:space="preserve"> whe</w:t>
      </w:r>
      <w:r>
        <w:t>n</w:t>
      </w:r>
      <w:r w:rsidRPr="00A11A7F">
        <w:t xml:space="preserve"> a film review will </w:t>
      </w:r>
      <w:r>
        <w:t xml:space="preserve">add </w:t>
      </w:r>
      <w:r w:rsidRPr="00A11A7F">
        <w:t>value to the clinical qu</w:t>
      </w:r>
      <w:r>
        <w:t xml:space="preserve">estion, </w:t>
      </w:r>
      <w:r w:rsidRPr="00A11A7F">
        <w:t>for example</w:t>
      </w:r>
      <w:r>
        <w:t>,</w:t>
      </w:r>
      <w:r w:rsidRPr="00A11A7F">
        <w:t xml:space="preserve"> lymphocytes markers, bone marrow</w:t>
      </w:r>
      <w:r w:rsidR="001978DE">
        <w:t xml:space="preserve"> </w:t>
      </w:r>
      <w:r w:rsidR="007C358D">
        <w:t>investigations,</w:t>
      </w:r>
      <w:r w:rsidRPr="00A11A7F">
        <w:t xml:space="preserve"> haemoglobinopathy</w:t>
      </w:r>
    </w:p>
    <w:p w14:paraId="67547404" w14:textId="77777777" w:rsidR="008732E9" w:rsidRDefault="008732E9" w:rsidP="008732E9">
      <w:pPr>
        <w:pStyle w:val="02dash"/>
        <w:numPr>
          <w:ilvl w:val="1"/>
          <w:numId w:val="16"/>
        </w:numPr>
        <w:tabs>
          <w:tab w:val="clear" w:pos="646"/>
        </w:tabs>
        <w:ind w:left="709"/>
      </w:pPr>
      <w:r w:rsidRPr="00A11A7F">
        <w:t>clinical</w:t>
      </w:r>
      <w:r>
        <w:t xml:space="preserve"> notes accompanying the request that may </w:t>
      </w:r>
      <w:r w:rsidRPr="00A11A7F">
        <w:t xml:space="preserve">indicate that a film review will </w:t>
      </w:r>
      <w:r>
        <w:t xml:space="preserve">add </w:t>
      </w:r>
      <w:r w:rsidRPr="00A11A7F">
        <w:t>val</w:t>
      </w:r>
      <w:r>
        <w:t>ue to the clinical question.</w:t>
      </w:r>
    </w:p>
    <w:p w14:paraId="2DF39ABE" w14:textId="77777777" w:rsidR="008732E9" w:rsidRDefault="008732E9" w:rsidP="007C358D">
      <w:pPr>
        <w:pStyle w:val="01squarebullet"/>
        <w:rPr>
          <w:color w:val="000000"/>
          <w:shd w:val="clear" w:color="auto" w:fill="FFFFFF"/>
        </w:rPr>
      </w:pPr>
      <w:r>
        <w:t>While consensus g</w:t>
      </w:r>
      <w:r w:rsidR="003778E1">
        <w:t>uidelines are available</w:t>
      </w:r>
      <w:r>
        <w:t xml:space="preserve">, </w:t>
      </w:r>
      <w:r w:rsidR="00B83872">
        <w:fldChar w:fldCharType="begin"/>
      </w:r>
      <w:r w:rsidR="00B83872">
        <w:instrText xml:space="preserve"> REF _Ref488758671 \r \h </w:instrText>
      </w:r>
      <w:r w:rsidR="00B83872">
        <w:fldChar w:fldCharType="separate"/>
      </w:r>
      <w:r w:rsidR="005C3364">
        <w:t>[9]</w:t>
      </w:r>
      <w:r w:rsidR="00B83872">
        <w:fldChar w:fldCharType="end"/>
      </w:r>
      <w:r w:rsidR="00F977AB">
        <w:t xml:space="preserve"> </w:t>
      </w:r>
      <w:r>
        <w:t xml:space="preserve">the Committee agreed that it would be difficult to specifically define the </w:t>
      </w:r>
      <w:proofErr w:type="spellStart"/>
      <w:r w:rsidR="001978DE">
        <w:t>haemato</w:t>
      </w:r>
      <w:r>
        <w:t>logical</w:t>
      </w:r>
      <w:proofErr w:type="spellEnd"/>
      <w:r>
        <w:t xml:space="preserve"> parameters within an MBS item descriptor. </w:t>
      </w:r>
      <w:proofErr w:type="spellStart"/>
      <w:r>
        <w:t>H</w:t>
      </w:r>
      <w:r w:rsidRPr="0082475F">
        <w:rPr>
          <w:color w:val="000000"/>
          <w:shd w:val="clear" w:color="auto" w:fill="FFFFFF"/>
        </w:rPr>
        <w:t>aematological</w:t>
      </w:r>
      <w:proofErr w:type="spellEnd"/>
      <w:r w:rsidRPr="0082475F">
        <w:rPr>
          <w:color w:val="000000"/>
          <w:shd w:val="clear" w:color="auto" w:fill="FFFFFF"/>
        </w:rPr>
        <w:t xml:space="preserve"> parameters are influenced by various factors</w:t>
      </w:r>
      <w:r>
        <w:rPr>
          <w:color w:val="000000"/>
          <w:shd w:val="clear" w:color="auto" w:fill="FFFFFF"/>
        </w:rPr>
        <w:t>,</w:t>
      </w:r>
      <w:r w:rsidRPr="0082475F">
        <w:rPr>
          <w:color w:val="000000"/>
          <w:shd w:val="clear" w:color="auto" w:fill="FFFFFF"/>
        </w:rPr>
        <w:t xml:space="preserve"> including age, ethnicity, diet, genetic and gender differences and it would </w:t>
      </w:r>
      <w:r>
        <w:t xml:space="preserve">require an extensive set of rules </w:t>
      </w:r>
      <w:r w:rsidRPr="0082475F">
        <w:rPr>
          <w:color w:val="000000"/>
          <w:shd w:val="clear" w:color="auto" w:fill="FFFFFF"/>
        </w:rPr>
        <w:t xml:space="preserve">to define the specific reference values. </w:t>
      </w:r>
      <w:r>
        <w:t xml:space="preserve">There are also differences in the equipment used, which would make </w:t>
      </w:r>
      <w:proofErr w:type="spellStart"/>
      <w:r>
        <w:t>standardising</w:t>
      </w:r>
      <w:proofErr w:type="spellEnd"/>
      <w:r>
        <w:t xml:space="preserve"> tests between laboratories an issue</w:t>
      </w:r>
      <w:r w:rsidRPr="0082475F">
        <w:rPr>
          <w:color w:val="000000"/>
          <w:shd w:val="clear" w:color="auto" w:fill="FFFFFF"/>
        </w:rPr>
        <w:t>.</w:t>
      </w:r>
      <w:r>
        <w:rPr>
          <w:color w:val="000000"/>
          <w:shd w:val="clear" w:color="auto" w:fill="FFFFFF"/>
        </w:rPr>
        <w:t xml:space="preserve"> The Committee </w:t>
      </w:r>
      <w:proofErr w:type="spellStart"/>
      <w:r>
        <w:rPr>
          <w:color w:val="000000"/>
          <w:shd w:val="clear" w:color="auto" w:fill="FFFFFF"/>
        </w:rPr>
        <w:t>recognised</w:t>
      </w:r>
      <w:proofErr w:type="spellEnd"/>
      <w:r>
        <w:rPr>
          <w:color w:val="000000"/>
          <w:shd w:val="clear" w:color="auto" w:fill="FFFFFF"/>
        </w:rPr>
        <w:t xml:space="preserve"> that this change would need to be auditable to ensure appropriate use, and currently this would be impractical to implement.</w:t>
      </w:r>
    </w:p>
    <w:p w14:paraId="758423F7" w14:textId="77777777" w:rsidR="008732E9" w:rsidRPr="00ED0F00" w:rsidRDefault="008732E9" w:rsidP="008732E9">
      <w:pPr>
        <w:pStyle w:val="01squarebullet"/>
      </w:pPr>
      <w:r w:rsidRPr="00ED0F00">
        <w:rPr>
          <w:shd w:val="clear" w:color="auto" w:fill="FFFFFF"/>
        </w:rPr>
        <w:t xml:space="preserve">The Committee considered the option of limiting the review of films </w:t>
      </w:r>
      <w:r w:rsidRPr="00ED0F00">
        <w:t>to senior staff</w:t>
      </w:r>
      <w:r>
        <w:t xml:space="preserve"> only,</w:t>
      </w:r>
      <w:r w:rsidRPr="00ED0F00">
        <w:t xml:space="preserve"> i.e. </w:t>
      </w:r>
      <w:proofErr w:type="spellStart"/>
      <w:r w:rsidRPr="00ED0F00">
        <w:t>hae</w:t>
      </w:r>
      <w:r>
        <w:t>matologists</w:t>
      </w:r>
      <w:proofErr w:type="spellEnd"/>
      <w:r>
        <w:t xml:space="preserve"> or pathologists</w:t>
      </w:r>
      <w:r w:rsidRPr="00ED0F00">
        <w:t>, to limit potential ‘creep’ in the number</w:t>
      </w:r>
      <w:r>
        <w:t xml:space="preserve"> of blood films reviewed. In theory</w:t>
      </w:r>
      <w:r w:rsidR="001014EC">
        <w:t>,</w:t>
      </w:r>
      <w:r>
        <w:t xml:space="preserve"> this w</w:t>
      </w:r>
      <w:r w:rsidRPr="00ED0F00">
        <w:t>ould be more e</w:t>
      </w:r>
      <w:r>
        <w:t xml:space="preserve">asily audited, but in practice </w:t>
      </w:r>
      <w:r w:rsidRPr="00ED0F00">
        <w:t>would be impractical.</w:t>
      </w:r>
    </w:p>
    <w:p w14:paraId="6964BCBB" w14:textId="77777777" w:rsidR="008732E9" w:rsidRDefault="008732E9" w:rsidP="008732E9">
      <w:pPr>
        <w:pStyle w:val="01squarebullet"/>
      </w:pPr>
      <w:r>
        <w:t xml:space="preserve">The Committee considered some initial cost models, with the understanding that any funding changes should remain cost neutral. Initial indications were that a review of costs of the </w:t>
      </w:r>
      <w:r>
        <w:lastRenderedPageBreak/>
        <w:t xml:space="preserve">proposed new items could have enabled a funding shift to </w:t>
      </w:r>
      <w:proofErr w:type="spellStart"/>
      <w:r>
        <w:t>recognise</w:t>
      </w:r>
      <w:proofErr w:type="spellEnd"/>
      <w:r>
        <w:t xml:space="preserve"> the more complex film review component.</w:t>
      </w:r>
    </w:p>
    <w:p w14:paraId="58A93177" w14:textId="77777777" w:rsidR="008732E9" w:rsidRDefault="008732E9" w:rsidP="00D06099">
      <w:pPr>
        <w:pStyle w:val="01squarebullet"/>
        <w:numPr>
          <w:ilvl w:val="0"/>
          <w:numId w:val="0"/>
        </w:numPr>
        <w:ind w:left="360"/>
      </w:pPr>
      <w:r>
        <w:t>After much discussion</w:t>
      </w:r>
      <w:r w:rsidR="001014EC">
        <w:t>,</w:t>
      </w:r>
      <w:r>
        <w:t xml:space="preserve"> the Committee resolved that in consideration of the systems change</w:t>
      </w:r>
      <w:r w:rsidR="00D06099">
        <w:t xml:space="preserve">s </w:t>
      </w:r>
      <w:r>
        <w:t>required to implement the change and the audit capability needed to ensure the appropriate use of these items, that this option was not a practical recommendation.</w:t>
      </w:r>
    </w:p>
    <w:p w14:paraId="6DDB92C5" w14:textId="77777777" w:rsidR="008732E9" w:rsidRDefault="008732E9" w:rsidP="00D06099">
      <w:pPr>
        <w:pStyle w:val="Heading2"/>
      </w:pPr>
      <w:bookmarkStart w:id="111" w:name="_Toc495403410"/>
      <w:r>
        <w:t xml:space="preserve">Thrombophilia </w:t>
      </w:r>
      <w:r w:rsidR="00C77285">
        <w:t xml:space="preserve">tests: </w:t>
      </w:r>
      <w:r w:rsidR="008B09CF">
        <w:t>i</w:t>
      </w:r>
      <w:r w:rsidR="00C77285">
        <w:t xml:space="preserve">tems </w:t>
      </w:r>
      <w:r w:rsidR="00C77285" w:rsidRPr="00C77285">
        <w:rPr>
          <w:lang w:val="en-GB"/>
        </w:rPr>
        <w:t>65171, 65175, 65176, 65177, 65178, 65179, 65180 and 65181</w:t>
      </w:r>
      <w:bookmarkEnd w:id="111"/>
    </w:p>
    <w:p w14:paraId="1B9A8907" w14:textId="77777777" w:rsidR="008732E9" w:rsidRPr="00156FEF" w:rsidRDefault="008732E9" w:rsidP="00C702A9">
      <w:pPr>
        <w:pStyle w:val="Caption"/>
      </w:pPr>
      <w:bookmarkStart w:id="112" w:name="_Toc481493782"/>
      <w:r w:rsidRPr="008F7F21">
        <w:t xml:space="preserve">Table </w:t>
      </w:r>
      <w:r w:rsidR="002C0890">
        <w:t>15</w:t>
      </w:r>
      <w:r>
        <w:t xml:space="preserve">: </w:t>
      </w:r>
      <w:r w:rsidRPr="00FC1976">
        <w:t xml:space="preserve">Item introduction table for items </w:t>
      </w:r>
      <w:r>
        <w:t>65171, 65175, 65176, 65177, 65178, 65179, 65180 and 65181</w:t>
      </w:r>
      <w:bookmarkEnd w:id="112"/>
    </w:p>
    <w:tbl>
      <w:tblPr>
        <w:tblStyle w:val="TableGrid1"/>
        <w:tblW w:w="8703" w:type="dxa"/>
        <w:tblLook w:val="04A0" w:firstRow="1" w:lastRow="0" w:firstColumn="1" w:lastColumn="0" w:noHBand="0" w:noVBand="1"/>
        <w:tblCaption w:val="Table 15, Item introduction table for thrombophilia items 65171, 65175, 65176, 65177, 65178, 65179, 65180 and 65181"/>
        <w:tblDescription w:val="This table shows selected MBS Schedule information for thrombophilia items 65171, 65175, 65176, 65177, 65178, 65179, 65180 and 65181. There are 7 columns – column 1: item number, column 2: long item descriptor, column 3: schedule fee, column 4: services for the 2014–15 financial year, column 5: total benefits for the 2014–15 financial year, column 6: total patient count for the 2014–15 financial year, and column 7: 5-year compound annual growth rate of the service."/>
      </w:tblPr>
      <w:tblGrid>
        <w:gridCol w:w="740"/>
        <w:gridCol w:w="2407"/>
        <w:gridCol w:w="1020"/>
        <w:gridCol w:w="1204"/>
        <w:gridCol w:w="1200"/>
        <w:gridCol w:w="997"/>
        <w:gridCol w:w="1135"/>
      </w:tblGrid>
      <w:tr w:rsidR="008732E9" w:rsidRPr="00DE12C2" w14:paraId="4B1221CE" w14:textId="77777777" w:rsidTr="00D06099">
        <w:trPr>
          <w:trHeight w:val="729"/>
          <w:tblHeader/>
        </w:trPr>
        <w:tc>
          <w:tcPr>
            <w:tcW w:w="740" w:type="dxa"/>
            <w:shd w:val="clear" w:color="auto" w:fill="F2F2F2" w:themeFill="background1" w:themeFillShade="F2"/>
            <w:vAlign w:val="bottom"/>
            <w:hideMark/>
          </w:tcPr>
          <w:p w14:paraId="128795F5" w14:textId="77777777" w:rsidR="008732E9" w:rsidRPr="00DE12C2" w:rsidRDefault="008732E9" w:rsidP="006D3B55">
            <w:pPr>
              <w:rPr>
                <w:rFonts w:ascii="Arial" w:hAnsi="Arial" w:cs="Arial"/>
                <w:b/>
                <w:color w:val="000000"/>
                <w:sz w:val="18"/>
                <w:szCs w:val="18"/>
              </w:rPr>
            </w:pPr>
            <w:r w:rsidRPr="00DE12C2">
              <w:rPr>
                <w:rFonts w:ascii="Arial" w:hAnsi="Arial" w:cs="Arial"/>
                <w:b/>
                <w:color w:val="000000"/>
                <w:sz w:val="18"/>
                <w:szCs w:val="18"/>
              </w:rPr>
              <w:t>Item</w:t>
            </w:r>
          </w:p>
        </w:tc>
        <w:tc>
          <w:tcPr>
            <w:tcW w:w="2407" w:type="dxa"/>
            <w:shd w:val="clear" w:color="auto" w:fill="F2F2F2" w:themeFill="background1" w:themeFillShade="F2"/>
            <w:vAlign w:val="bottom"/>
            <w:hideMark/>
          </w:tcPr>
          <w:p w14:paraId="76908542" w14:textId="77777777" w:rsidR="008732E9" w:rsidRPr="00DE12C2" w:rsidRDefault="008732E9" w:rsidP="006D3B55">
            <w:pPr>
              <w:rPr>
                <w:rFonts w:ascii="Arial" w:hAnsi="Arial" w:cs="Arial"/>
                <w:b/>
                <w:color w:val="000000"/>
                <w:sz w:val="18"/>
                <w:szCs w:val="18"/>
              </w:rPr>
            </w:pPr>
            <w:r w:rsidRPr="00DE12C2">
              <w:rPr>
                <w:rFonts w:ascii="Arial" w:hAnsi="Arial" w:cs="Arial"/>
                <w:b/>
                <w:color w:val="000000"/>
                <w:sz w:val="18"/>
                <w:szCs w:val="18"/>
              </w:rPr>
              <w:t>Long item descriptor</w:t>
            </w:r>
          </w:p>
        </w:tc>
        <w:tc>
          <w:tcPr>
            <w:tcW w:w="1020" w:type="dxa"/>
            <w:shd w:val="clear" w:color="auto" w:fill="F2F2F2" w:themeFill="background1" w:themeFillShade="F2"/>
            <w:vAlign w:val="bottom"/>
            <w:hideMark/>
          </w:tcPr>
          <w:p w14:paraId="21552A17" w14:textId="77777777" w:rsidR="008732E9" w:rsidRPr="00DE12C2" w:rsidRDefault="008732E9" w:rsidP="006D3B55">
            <w:pPr>
              <w:rPr>
                <w:rFonts w:ascii="Arial" w:hAnsi="Arial" w:cs="Arial"/>
                <w:b/>
                <w:color w:val="000000"/>
                <w:sz w:val="18"/>
                <w:szCs w:val="18"/>
              </w:rPr>
            </w:pPr>
            <w:r w:rsidRPr="00DE12C2">
              <w:rPr>
                <w:rFonts w:ascii="Arial" w:hAnsi="Arial" w:cs="Arial"/>
                <w:b/>
                <w:color w:val="000000"/>
                <w:sz w:val="18"/>
                <w:szCs w:val="18"/>
              </w:rPr>
              <w:t>Schedule</w:t>
            </w:r>
            <w:r>
              <w:rPr>
                <w:rFonts w:ascii="Arial" w:hAnsi="Arial" w:cs="Arial"/>
                <w:b/>
                <w:color w:val="000000"/>
                <w:sz w:val="18"/>
                <w:szCs w:val="18"/>
              </w:rPr>
              <w:br/>
            </w:r>
            <w:r w:rsidRPr="00DE12C2">
              <w:rPr>
                <w:rFonts w:ascii="Arial" w:hAnsi="Arial" w:cs="Arial"/>
                <w:b/>
                <w:color w:val="000000"/>
                <w:sz w:val="18"/>
                <w:szCs w:val="18"/>
              </w:rPr>
              <w:t>fee</w:t>
            </w:r>
          </w:p>
        </w:tc>
        <w:tc>
          <w:tcPr>
            <w:tcW w:w="1204" w:type="dxa"/>
            <w:shd w:val="clear" w:color="auto" w:fill="F2F2F2" w:themeFill="background1" w:themeFillShade="F2"/>
            <w:vAlign w:val="bottom"/>
          </w:tcPr>
          <w:p w14:paraId="5B3C8A99" w14:textId="77777777" w:rsidR="008732E9" w:rsidRPr="00DE12C2" w:rsidRDefault="008732E9" w:rsidP="006D3B55">
            <w:pPr>
              <w:rPr>
                <w:rFonts w:ascii="Arial" w:hAnsi="Arial" w:cs="Arial"/>
                <w:b/>
                <w:color w:val="000000"/>
                <w:sz w:val="18"/>
                <w:szCs w:val="18"/>
              </w:rPr>
            </w:pPr>
            <w:r w:rsidRPr="00DE12C2">
              <w:rPr>
                <w:rFonts w:ascii="Arial" w:hAnsi="Arial" w:cs="Arial"/>
                <w:b/>
                <w:color w:val="000000"/>
                <w:sz w:val="18"/>
                <w:szCs w:val="18"/>
              </w:rPr>
              <w:t>Services FY</w:t>
            </w:r>
            <w:r>
              <w:rPr>
                <w:rFonts w:ascii="Arial" w:hAnsi="Arial" w:cs="Arial"/>
                <w:b/>
                <w:color w:val="000000"/>
                <w:sz w:val="18"/>
                <w:szCs w:val="18"/>
              </w:rPr>
              <w:t xml:space="preserve"> </w:t>
            </w:r>
            <w:r w:rsidRPr="00DE12C2">
              <w:rPr>
                <w:rFonts w:ascii="Arial" w:hAnsi="Arial" w:cs="Arial"/>
                <w:b/>
                <w:color w:val="000000"/>
                <w:sz w:val="18"/>
                <w:szCs w:val="18"/>
              </w:rPr>
              <w:t>2014</w:t>
            </w:r>
            <w:r>
              <w:rPr>
                <w:rFonts w:ascii="Arial" w:hAnsi="Arial" w:cs="Arial"/>
                <w:b/>
                <w:color w:val="000000"/>
                <w:sz w:val="18"/>
                <w:szCs w:val="18"/>
              </w:rPr>
              <w:t>–</w:t>
            </w:r>
            <w:r w:rsidRPr="00DE12C2">
              <w:rPr>
                <w:rFonts w:ascii="Arial" w:hAnsi="Arial" w:cs="Arial"/>
                <w:b/>
                <w:color w:val="000000"/>
                <w:sz w:val="18"/>
                <w:szCs w:val="18"/>
              </w:rPr>
              <w:t>15</w:t>
            </w:r>
          </w:p>
        </w:tc>
        <w:tc>
          <w:tcPr>
            <w:tcW w:w="1200" w:type="dxa"/>
            <w:shd w:val="clear" w:color="auto" w:fill="F2F2F2" w:themeFill="background1" w:themeFillShade="F2"/>
            <w:vAlign w:val="bottom"/>
          </w:tcPr>
          <w:p w14:paraId="3C9DEC0B" w14:textId="77777777" w:rsidR="008732E9" w:rsidRPr="00DE12C2" w:rsidRDefault="008732E9" w:rsidP="006D3B55">
            <w:pPr>
              <w:rPr>
                <w:rFonts w:ascii="Arial" w:hAnsi="Arial" w:cs="Arial"/>
                <w:b/>
                <w:color w:val="000000"/>
                <w:sz w:val="18"/>
                <w:szCs w:val="18"/>
              </w:rPr>
            </w:pPr>
            <w:r w:rsidRPr="00DE12C2">
              <w:rPr>
                <w:rFonts w:ascii="Arial" w:hAnsi="Arial" w:cs="Arial"/>
                <w:b/>
                <w:color w:val="000000"/>
                <w:sz w:val="18"/>
                <w:szCs w:val="18"/>
              </w:rPr>
              <w:t xml:space="preserve">Benefits </w:t>
            </w:r>
            <w:r>
              <w:rPr>
                <w:rFonts w:ascii="Arial" w:hAnsi="Arial" w:cs="Arial"/>
                <w:b/>
                <w:color w:val="000000"/>
                <w:sz w:val="18"/>
                <w:szCs w:val="18"/>
              </w:rPr>
              <w:br/>
            </w:r>
            <w:r w:rsidRPr="00DE12C2">
              <w:rPr>
                <w:rFonts w:ascii="Arial" w:hAnsi="Arial" w:cs="Arial"/>
                <w:b/>
                <w:color w:val="000000"/>
                <w:sz w:val="18"/>
                <w:szCs w:val="18"/>
              </w:rPr>
              <w:t>FY</w:t>
            </w:r>
            <w:r>
              <w:rPr>
                <w:rFonts w:ascii="Arial" w:hAnsi="Arial" w:cs="Arial"/>
                <w:b/>
                <w:color w:val="000000"/>
                <w:sz w:val="18"/>
                <w:szCs w:val="18"/>
              </w:rPr>
              <w:t xml:space="preserve"> </w:t>
            </w:r>
            <w:r w:rsidRPr="00DE12C2">
              <w:rPr>
                <w:rFonts w:ascii="Arial" w:hAnsi="Arial" w:cs="Arial"/>
                <w:b/>
                <w:color w:val="000000"/>
                <w:sz w:val="18"/>
                <w:szCs w:val="18"/>
              </w:rPr>
              <w:t>2014</w:t>
            </w:r>
            <w:r>
              <w:rPr>
                <w:rFonts w:ascii="Arial" w:hAnsi="Arial" w:cs="Arial"/>
                <w:b/>
                <w:color w:val="000000"/>
                <w:sz w:val="18"/>
                <w:szCs w:val="18"/>
              </w:rPr>
              <w:t>–</w:t>
            </w:r>
            <w:r w:rsidRPr="00DE12C2">
              <w:rPr>
                <w:rFonts w:ascii="Arial" w:hAnsi="Arial" w:cs="Arial"/>
                <w:b/>
                <w:color w:val="000000"/>
                <w:sz w:val="18"/>
                <w:szCs w:val="18"/>
              </w:rPr>
              <w:t>15</w:t>
            </w:r>
          </w:p>
        </w:tc>
        <w:tc>
          <w:tcPr>
            <w:tcW w:w="997" w:type="dxa"/>
            <w:shd w:val="clear" w:color="auto" w:fill="F2F2F2" w:themeFill="background1" w:themeFillShade="F2"/>
            <w:vAlign w:val="bottom"/>
            <w:hideMark/>
          </w:tcPr>
          <w:p w14:paraId="11754162" w14:textId="77777777" w:rsidR="008732E9" w:rsidRPr="00DE12C2" w:rsidRDefault="008732E9" w:rsidP="006D3B55">
            <w:pPr>
              <w:rPr>
                <w:rFonts w:ascii="Arial" w:hAnsi="Arial" w:cs="Arial"/>
                <w:b/>
                <w:color w:val="000000"/>
                <w:sz w:val="18"/>
                <w:szCs w:val="18"/>
              </w:rPr>
            </w:pPr>
            <w:r w:rsidRPr="00DE12C2">
              <w:rPr>
                <w:rFonts w:ascii="Arial" w:hAnsi="Arial" w:cs="Arial"/>
                <w:b/>
                <w:color w:val="000000"/>
                <w:sz w:val="18"/>
                <w:szCs w:val="18"/>
              </w:rPr>
              <w:t>Patient count 2014</w:t>
            </w:r>
            <w:r>
              <w:rPr>
                <w:rFonts w:ascii="Arial" w:hAnsi="Arial" w:cs="Arial"/>
                <w:b/>
                <w:color w:val="000000"/>
                <w:sz w:val="18"/>
                <w:szCs w:val="18"/>
              </w:rPr>
              <w:t>–</w:t>
            </w:r>
            <w:r w:rsidRPr="00DE12C2">
              <w:rPr>
                <w:rFonts w:ascii="Arial" w:hAnsi="Arial" w:cs="Arial"/>
                <w:b/>
                <w:color w:val="000000"/>
                <w:sz w:val="18"/>
                <w:szCs w:val="18"/>
              </w:rPr>
              <w:t>15</w:t>
            </w:r>
          </w:p>
        </w:tc>
        <w:tc>
          <w:tcPr>
            <w:tcW w:w="1135" w:type="dxa"/>
            <w:shd w:val="clear" w:color="auto" w:fill="F2F2F2" w:themeFill="background1" w:themeFillShade="F2"/>
            <w:vAlign w:val="bottom"/>
            <w:hideMark/>
          </w:tcPr>
          <w:p w14:paraId="5A5A08D8" w14:textId="77777777" w:rsidR="008732E9" w:rsidRPr="00DE12C2" w:rsidRDefault="008732E9" w:rsidP="006D3B55">
            <w:pPr>
              <w:rPr>
                <w:rFonts w:ascii="Arial" w:hAnsi="Arial" w:cs="Arial"/>
                <w:b/>
                <w:color w:val="000000"/>
                <w:sz w:val="18"/>
                <w:szCs w:val="18"/>
              </w:rPr>
            </w:pPr>
            <w:r w:rsidRPr="00DE12C2">
              <w:rPr>
                <w:rFonts w:ascii="Arial" w:hAnsi="Arial" w:cs="Arial"/>
                <w:b/>
                <w:color w:val="000000"/>
                <w:sz w:val="18"/>
                <w:szCs w:val="18"/>
              </w:rPr>
              <w:t>5</w:t>
            </w:r>
            <w:r>
              <w:rPr>
                <w:rFonts w:ascii="Arial" w:hAnsi="Arial" w:cs="Arial"/>
                <w:b/>
                <w:color w:val="000000"/>
                <w:sz w:val="18"/>
                <w:szCs w:val="18"/>
              </w:rPr>
              <w:t>-</w:t>
            </w:r>
            <w:r w:rsidRPr="00DE12C2">
              <w:rPr>
                <w:rFonts w:ascii="Arial" w:hAnsi="Arial" w:cs="Arial"/>
                <w:b/>
                <w:color w:val="000000"/>
                <w:sz w:val="18"/>
                <w:szCs w:val="18"/>
              </w:rPr>
              <w:t>year service change (CAGR)</w:t>
            </w:r>
          </w:p>
        </w:tc>
      </w:tr>
      <w:tr w:rsidR="008732E9" w:rsidRPr="00DE12C2" w14:paraId="236CB211" w14:textId="77777777" w:rsidTr="006D3B55">
        <w:trPr>
          <w:trHeight w:val="300"/>
        </w:trPr>
        <w:tc>
          <w:tcPr>
            <w:tcW w:w="740" w:type="dxa"/>
            <w:noWrap/>
            <w:hideMark/>
          </w:tcPr>
          <w:p w14:paraId="11A7C5CA"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65171</w:t>
            </w:r>
          </w:p>
        </w:tc>
        <w:tc>
          <w:tcPr>
            <w:tcW w:w="2407" w:type="dxa"/>
            <w:noWrap/>
            <w:hideMark/>
          </w:tcPr>
          <w:p w14:paraId="6C5B83B6"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Test for the presence of antithrombin III deficiency, protein C deficiency, protein S deficiency or activated protein C resistance in a first degree relative of a person who has a proven defect of any of the above - 1 or more tests</w:t>
            </w:r>
          </w:p>
        </w:tc>
        <w:tc>
          <w:tcPr>
            <w:tcW w:w="1020" w:type="dxa"/>
            <w:noWrap/>
            <w:hideMark/>
          </w:tcPr>
          <w:p w14:paraId="0DD8D934"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 xml:space="preserve">$25.35 </w:t>
            </w:r>
          </w:p>
        </w:tc>
        <w:tc>
          <w:tcPr>
            <w:tcW w:w="1204" w:type="dxa"/>
            <w:noWrap/>
            <w:hideMark/>
          </w:tcPr>
          <w:p w14:paraId="53114B93"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807</w:t>
            </w:r>
          </w:p>
        </w:tc>
        <w:tc>
          <w:tcPr>
            <w:tcW w:w="1200" w:type="dxa"/>
          </w:tcPr>
          <w:p w14:paraId="598D1C45"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$17,453</w:t>
            </w:r>
          </w:p>
        </w:tc>
        <w:tc>
          <w:tcPr>
            <w:tcW w:w="997" w:type="dxa"/>
            <w:noWrap/>
            <w:hideMark/>
          </w:tcPr>
          <w:p w14:paraId="1582630D"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797</w:t>
            </w:r>
          </w:p>
        </w:tc>
        <w:tc>
          <w:tcPr>
            <w:tcW w:w="1135" w:type="dxa"/>
            <w:noWrap/>
            <w:hideMark/>
          </w:tcPr>
          <w:p w14:paraId="461EB759" w14:textId="77777777" w:rsidR="008732E9" w:rsidRPr="00DE12C2" w:rsidRDefault="008732E9" w:rsidP="006D3B55">
            <w:pPr>
              <w:rPr>
                <w:rFonts w:ascii="Arial" w:hAnsi="Arial" w:cs="Arial"/>
                <w:color w:val="000000"/>
                <w:sz w:val="18"/>
                <w:szCs w:val="18"/>
              </w:rPr>
            </w:pPr>
            <w:r>
              <w:rPr>
                <w:rFonts w:ascii="Arial" w:hAnsi="Arial" w:cs="Arial"/>
                <w:color w:val="000000"/>
                <w:sz w:val="18"/>
                <w:szCs w:val="18"/>
              </w:rPr>
              <w:t>–</w:t>
            </w:r>
            <w:r w:rsidRPr="00DE12C2">
              <w:rPr>
                <w:rFonts w:ascii="Arial" w:hAnsi="Arial" w:cs="Arial"/>
                <w:color w:val="000000"/>
                <w:sz w:val="18"/>
                <w:szCs w:val="18"/>
              </w:rPr>
              <w:t>5.6%</w:t>
            </w:r>
          </w:p>
        </w:tc>
      </w:tr>
      <w:tr w:rsidR="008732E9" w:rsidRPr="00DE12C2" w14:paraId="7D81005D" w14:textId="77777777" w:rsidTr="006D3B55">
        <w:trPr>
          <w:trHeight w:val="300"/>
        </w:trPr>
        <w:tc>
          <w:tcPr>
            <w:tcW w:w="740" w:type="dxa"/>
            <w:noWrap/>
            <w:hideMark/>
          </w:tcPr>
          <w:p w14:paraId="1BF7FCC3"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65175</w:t>
            </w:r>
          </w:p>
        </w:tc>
        <w:tc>
          <w:tcPr>
            <w:tcW w:w="2407" w:type="dxa"/>
            <w:noWrap/>
            <w:hideMark/>
          </w:tcPr>
          <w:p w14:paraId="13A87C5D"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Test for the presence of antithrombin III deficiency, protein C deficiency, protein S deficiency, lupus anticoagulant, activated protein C resistance - where the request for the test(s) specifically identifies that the patient has a history of venous thromboembolism - quantitation by 1 or more techniques - 1 test</w:t>
            </w:r>
            <w:r w:rsidRPr="00DE12C2">
              <w:rPr>
                <w:rFonts w:ascii="Arial" w:hAnsi="Arial" w:cs="Arial"/>
                <w:color w:val="000000"/>
                <w:sz w:val="18"/>
                <w:szCs w:val="18"/>
              </w:rPr>
              <w:br/>
              <w:t>(Item is subject to Rule 6)</w:t>
            </w:r>
          </w:p>
        </w:tc>
        <w:tc>
          <w:tcPr>
            <w:tcW w:w="1020" w:type="dxa"/>
            <w:noWrap/>
            <w:hideMark/>
          </w:tcPr>
          <w:p w14:paraId="41B7C61D"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 xml:space="preserve">$25.35 </w:t>
            </w:r>
          </w:p>
        </w:tc>
        <w:tc>
          <w:tcPr>
            <w:tcW w:w="1204" w:type="dxa"/>
            <w:noWrap/>
            <w:hideMark/>
          </w:tcPr>
          <w:p w14:paraId="42382791"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5,778</w:t>
            </w:r>
          </w:p>
        </w:tc>
        <w:tc>
          <w:tcPr>
            <w:tcW w:w="1200" w:type="dxa"/>
          </w:tcPr>
          <w:p w14:paraId="7F52C821"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$123,337</w:t>
            </w:r>
          </w:p>
        </w:tc>
        <w:tc>
          <w:tcPr>
            <w:tcW w:w="997" w:type="dxa"/>
            <w:noWrap/>
            <w:hideMark/>
          </w:tcPr>
          <w:p w14:paraId="25D48DC1"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5,128</w:t>
            </w:r>
          </w:p>
        </w:tc>
        <w:tc>
          <w:tcPr>
            <w:tcW w:w="1135" w:type="dxa"/>
            <w:noWrap/>
            <w:hideMark/>
          </w:tcPr>
          <w:p w14:paraId="664EF103"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1.3%</w:t>
            </w:r>
          </w:p>
        </w:tc>
      </w:tr>
      <w:tr w:rsidR="008732E9" w:rsidRPr="00DE12C2" w14:paraId="76EFE18B" w14:textId="77777777" w:rsidTr="006D3B55">
        <w:trPr>
          <w:trHeight w:val="300"/>
        </w:trPr>
        <w:tc>
          <w:tcPr>
            <w:tcW w:w="740" w:type="dxa"/>
            <w:noWrap/>
            <w:hideMark/>
          </w:tcPr>
          <w:p w14:paraId="58F7EECA"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65176</w:t>
            </w:r>
          </w:p>
        </w:tc>
        <w:tc>
          <w:tcPr>
            <w:tcW w:w="2407" w:type="dxa"/>
            <w:noWrap/>
            <w:hideMark/>
          </w:tcPr>
          <w:p w14:paraId="3A9090BA"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2 tests described in item 65175</w:t>
            </w:r>
            <w:r w:rsidRPr="00DE12C2">
              <w:rPr>
                <w:rFonts w:ascii="Arial" w:hAnsi="Arial" w:cs="Arial"/>
                <w:color w:val="000000"/>
                <w:sz w:val="18"/>
                <w:szCs w:val="18"/>
              </w:rPr>
              <w:br/>
              <w:t>(Item is subject to rule 6)</w:t>
            </w:r>
          </w:p>
        </w:tc>
        <w:tc>
          <w:tcPr>
            <w:tcW w:w="1020" w:type="dxa"/>
            <w:noWrap/>
            <w:hideMark/>
          </w:tcPr>
          <w:p w14:paraId="570D0523"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 xml:space="preserve">$48.65 </w:t>
            </w:r>
          </w:p>
        </w:tc>
        <w:tc>
          <w:tcPr>
            <w:tcW w:w="1204" w:type="dxa"/>
            <w:noWrap/>
            <w:hideMark/>
          </w:tcPr>
          <w:p w14:paraId="298AFA31"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4,724</w:t>
            </w:r>
          </w:p>
        </w:tc>
        <w:tc>
          <w:tcPr>
            <w:tcW w:w="1200" w:type="dxa"/>
          </w:tcPr>
          <w:p w14:paraId="53ACE18C"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$193,671</w:t>
            </w:r>
          </w:p>
        </w:tc>
        <w:tc>
          <w:tcPr>
            <w:tcW w:w="997" w:type="dxa"/>
            <w:noWrap/>
            <w:hideMark/>
          </w:tcPr>
          <w:p w14:paraId="2A559718"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4,297</w:t>
            </w:r>
          </w:p>
        </w:tc>
        <w:tc>
          <w:tcPr>
            <w:tcW w:w="1135" w:type="dxa"/>
            <w:noWrap/>
            <w:hideMark/>
          </w:tcPr>
          <w:p w14:paraId="30924864"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4.8%</w:t>
            </w:r>
          </w:p>
        </w:tc>
      </w:tr>
      <w:tr w:rsidR="008732E9" w:rsidRPr="00DE12C2" w14:paraId="392841AE" w14:textId="77777777" w:rsidTr="006D3B55">
        <w:trPr>
          <w:trHeight w:val="300"/>
        </w:trPr>
        <w:tc>
          <w:tcPr>
            <w:tcW w:w="740" w:type="dxa"/>
            <w:noWrap/>
            <w:hideMark/>
          </w:tcPr>
          <w:p w14:paraId="6BAC7AB1"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65177</w:t>
            </w:r>
          </w:p>
        </w:tc>
        <w:tc>
          <w:tcPr>
            <w:tcW w:w="2407" w:type="dxa"/>
            <w:noWrap/>
            <w:hideMark/>
          </w:tcPr>
          <w:p w14:paraId="52EBD967"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3 tests described in item 65175</w:t>
            </w:r>
            <w:r w:rsidRPr="00DE12C2">
              <w:rPr>
                <w:rFonts w:ascii="Arial" w:hAnsi="Arial" w:cs="Arial"/>
                <w:color w:val="000000"/>
                <w:sz w:val="18"/>
                <w:szCs w:val="18"/>
              </w:rPr>
              <w:br/>
              <w:t>(Item is subject to rule 6)</w:t>
            </w:r>
          </w:p>
        </w:tc>
        <w:tc>
          <w:tcPr>
            <w:tcW w:w="1020" w:type="dxa"/>
            <w:noWrap/>
            <w:hideMark/>
          </w:tcPr>
          <w:p w14:paraId="3D001D0F"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 xml:space="preserve">$71.95 </w:t>
            </w:r>
          </w:p>
        </w:tc>
        <w:tc>
          <w:tcPr>
            <w:tcW w:w="1204" w:type="dxa"/>
            <w:noWrap/>
            <w:hideMark/>
          </w:tcPr>
          <w:p w14:paraId="48679DB8"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3,949</w:t>
            </w:r>
          </w:p>
        </w:tc>
        <w:tc>
          <w:tcPr>
            <w:tcW w:w="1200" w:type="dxa"/>
          </w:tcPr>
          <w:p w14:paraId="4A1A6A71"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$239,052</w:t>
            </w:r>
          </w:p>
        </w:tc>
        <w:tc>
          <w:tcPr>
            <w:tcW w:w="997" w:type="dxa"/>
            <w:noWrap/>
            <w:hideMark/>
          </w:tcPr>
          <w:p w14:paraId="72725FA4"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3,801</w:t>
            </w:r>
          </w:p>
        </w:tc>
        <w:tc>
          <w:tcPr>
            <w:tcW w:w="1135" w:type="dxa"/>
            <w:noWrap/>
            <w:hideMark/>
          </w:tcPr>
          <w:p w14:paraId="28CC1AAE"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0.3%</w:t>
            </w:r>
          </w:p>
        </w:tc>
      </w:tr>
      <w:tr w:rsidR="008732E9" w:rsidRPr="00DE12C2" w14:paraId="44591B26" w14:textId="77777777" w:rsidTr="006D3B55">
        <w:trPr>
          <w:trHeight w:val="300"/>
        </w:trPr>
        <w:tc>
          <w:tcPr>
            <w:tcW w:w="740" w:type="dxa"/>
            <w:noWrap/>
            <w:hideMark/>
          </w:tcPr>
          <w:p w14:paraId="586C7A17"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65178</w:t>
            </w:r>
          </w:p>
        </w:tc>
        <w:tc>
          <w:tcPr>
            <w:tcW w:w="2407" w:type="dxa"/>
            <w:noWrap/>
            <w:hideMark/>
          </w:tcPr>
          <w:p w14:paraId="5494A1F1"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4 tests described in item 65175 (Item is subject to rule 6)</w:t>
            </w:r>
          </w:p>
        </w:tc>
        <w:tc>
          <w:tcPr>
            <w:tcW w:w="1020" w:type="dxa"/>
            <w:noWrap/>
            <w:hideMark/>
          </w:tcPr>
          <w:p w14:paraId="65156F5E"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 xml:space="preserve">$95.20 </w:t>
            </w:r>
          </w:p>
        </w:tc>
        <w:tc>
          <w:tcPr>
            <w:tcW w:w="1204" w:type="dxa"/>
            <w:noWrap/>
            <w:hideMark/>
          </w:tcPr>
          <w:p w14:paraId="025E5AAB"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7,237</w:t>
            </w:r>
          </w:p>
        </w:tc>
        <w:tc>
          <w:tcPr>
            <w:tcW w:w="1200" w:type="dxa"/>
          </w:tcPr>
          <w:p w14:paraId="78C90CB6"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$581,565</w:t>
            </w:r>
          </w:p>
        </w:tc>
        <w:tc>
          <w:tcPr>
            <w:tcW w:w="997" w:type="dxa"/>
            <w:noWrap/>
            <w:hideMark/>
          </w:tcPr>
          <w:p w14:paraId="53F9A3F8"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7,119</w:t>
            </w:r>
          </w:p>
        </w:tc>
        <w:tc>
          <w:tcPr>
            <w:tcW w:w="1135" w:type="dxa"/>
            <w:noWrap/>
            <w:hideMark/>
          </w:tcPr>
          <w:p w14:paraId="2B14499F"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0.2%</w:t>
            </w:r>
          </w:p>
        </w:tc>
      </w:tr>
      <w:tr w:rsidR="008732E9" w:rsidRPr="00DE12C2" w14:paraId="20CA908F" w14:textId="77777777" w:rsidTr="006D3B55">
        <w:trPr>
          <w:trHeight w:val="300"/>
        </w:trPr>
        <w:tc>
          <w:tcPr>
            <w:tcW w:w="740" w:type="dxa"/>
            <w:noWrap/>
            <w:hideMark/>
          </w:tcPr>
          <w:p w14:paraId="29735819"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65179</w:t>
            </w:r>
          </w:p>
        </w:tc>
        <w:tc>
          <w:tcPr>
            <w:tcW w:w="2407" w:type="dxa"/>
            <w:noWrap/>
            <w:hideMark/>
          </w:tcPr>
          <w:p w14:paraId="49078203"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5 tests described in item 65175 (Item is subject to rule 6)</w:t>
            </w:r>
          </w:p>
        </w:tc>
        <w:tc>
          <w:tcPr>
            <w:tcW w:w="1020" w:type="dxa"/>
            <w:noWrap/>
            <w:hideMark/>
          </w:tcPr>
          <w:p w14:paraId="40137924"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 xml:space="preserve">$118.50 </w:t>
            </w:r>
          </w:p>
        </w:tc>
        <w:tc>
          <w:tcPr>
            <w:tcW w:w="1204" w:type="dxa"/>
            <w:noWrap/>
            <w:hideMark/>
          </w:tcPr>
          <w:p w14:paraId="461B41EE"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10,254</w:t>
            </w:r>
          </w:p>
        </w:tc>
        <w:tc>
          <w:tcPr>
            <w:tcW w:w="1200" w:type="dxa"/>
          </w:tcPr>
          <w:p w14:paraId="1EBD17DD"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$1,039,842</w:t>
            </w:r>
          </w:p>
        </w:tc>
        <w:tc>
          <w:tcPr>
            <w:tcW w:w="997" w:type="dxa"/>
            <w:noWrap/>
            <w:hideMark/>
          </w:tcPr>
          <w:p w14:paraId="574928F0"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10,079</w:t>
            </w:r>
          </w:p>
        </w:tc>
        <w:tc>
          <w:tcPr>
            <w:tcW w:w="1135" w:type="dxa"/>
            <w:noWrap/>
            <w:hideMark/>
          </w:tcPr>
          <w:p w14:paraId="2CB46D1C"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12.4%</w:t>
            </w:r>
          </w:p>
        </w:tc>
      </w:tr>
      <w:tr w:rsidR="008732E9" w:rsidRPr="00DE12C2" w14:paraId="4F49A4E9" w14:textId="77777777" w:rsidTr="006D3B55">
        <w:trPr>
          <w:trHeight w:val="300"/>
        </w:trPr>
        <w:tc>
          <w:tcPr>
            <w:tcW w:w="740" w:type="dxa"/>
            <w:noWrap/>
            <w:hideMark/>
          </w:tcPr>
          <w:p w14:paraId="16187912"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65180</w:t>
            </w:r>
          </w:p>
        </w:tc>
        <w:tc>
          <w:tcPr>
            <w:tcW w:w="2407" w:type="dxa"/>
            <w:noWrap/>
            <w:hideMark/>
          </w:tcPr>
          <w:p w14:paraId="43E96714"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 xml:space="preserve">A test described in item 65175, if rendered by a receiving APA, where no </w:t>
            </w:r>
            <w:r w:rsidRPr="00DE12C2">
              <w:rPr>
                <w:rFonts w:ascii="Arial" w:hAnsi="Arial" w:cs="Arial"/>
                <w:color w:val="000000"/>
                <w:sz w:val="18"/>
                <w:szCs w:val="18"/>
              </w:rPr>
              <w:lastRenderedPageBreak/>
              <w:t xml:space="preserve">tests in the item have been rendered by the referring APA - 1 test </w:t>
            </w:r>
            <w:r>
              <w:rPr>
                <w:rFonts w:ascii="Arial" w:hAnsi="Arial" w:cs="Arial"/>
                <w:color w:val="000000"/>
                <w:sz w:val="18"/>
                <w:szCs w:val="18"/>
              </w:rPr>
              <w:t>(Item is subject to rule</w:t>
            </w:r>
            <w:r w:rsidRPr="00DE12C2">
              <w:rPr>
                <w:rFonts w:ascii="Arial" w:hAnsi="Arial" w:cs="Arial"/>
                <w:color w:val="000000"/>
                <w:sz w:val="18"/>
                <w:szCs w:val="18"/>
              </w:rPr>
              <w:t xml:space="preserve"> 6 and 18)</w:t>
            </w:r>
          </w:p>
        </w:tc>
        <w:tc>
          <w:tcPr>
            <w:tcW w:w="1020" w:type="dxa"/>
            <w:noWrap/>
            <w:hideMark/>
          </w:tcPr>
          <w:p w14:paraId="6C24454D"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lastRenderedPageBreak/>
              <w:t xml:space="preserve">$25.35 </w:t>
            </w:r>
          </w:p>
        </w:tc>
        <w:tc>
          <w:tcPr>
            <w:tcW w:w="1204" w:type="dxa"/>
            <w:noWrap/>
            <w:hideMark/>
          </w:tcPr>
          <w:p w14:paraId="46838F69"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1,293</w:t>
            </w:r>
          </w:p>
        </w:tc>
        <w:tc>
          <w:tcPr>
            <w:tcW w:w="1200" w:type="dxa"/>
          </w:tcPr>
          <w:p w14:paraId="40219379"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$27,684</w:t>
            </w:r>
          </w:p>
        </w:tc>
        <w:tc>
          <w:tcPr>
            <w:tcW w:w="997" w:type="dxa"/>
            <w:noWrap/>
            <w:hideMark/>
          </w:tcPr>
          <w:p w14:paraId="63236B1C"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1,233</w:t>
            </w:r>
          </w:p>
        </w:tc>
        <w:tc>
          <w:tcPr>
            <w:tcW w:w="1135" w:type="dxa"/>
            <w:noWrap/>
            <w:hideMark/>
          </w:tcPr>
          <w:p w14:paraId="60D10F6D"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6.3%</w:t>
            </w:r>
          </w:p>
        </w:tc>
      </w:tr>
      <w:tr w:rsidR="008732E9" w:rsidRPr="00DE12C2" w14:paraId="19520C31" w14:textId="77777777" w:rsidTr="006D3B55">
        <w:trPr>
          <w:trHeight w:val="300"/>
        </w:trPr>
        <w:tc>
          <w:tcPr>
            <w:tcW w:w="740" w:type="dxa"/>
            <w:noWrap/>
            <w:hideMark/>
          </w:tcPr>
          <w:p w14:paraId="57485017"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65181</w:t>
            </w:r>
          </w:p>
        </w:tc>
        <w:tc>
          <w:tcPr>
            <w:tcW w:w="2407" w:type="dxa"/>
            <w:noWrap/>
            <w:hideMark/>
          </w:tcPr>
          <w:p w14:paraId="0C356D35"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Tests described in item 65175, other than that described in 65180, if rendered by a receiving APA - each test to a maximum of 4 tests (Item is subject to rule 6 and 18)</w:t>
            </w:r>
          </w:p>
        </w:tc>
        <w:tc>
          <w:tcPr>
            <w:tcW w:w="1020" w:type="dxa"/>
            <w:noWrap/>
            <w:hideMark/>
          </w:tcPr>
          <w:p w14:paraId="78AB3E7A"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 xml:space="preserve">$23.30 </w:t>
            </w:r>
          </w:p>
        </w:tc>
        <w:tc>
          <w:tcPr>
            <w:tcW w:w="1204" w:type="dxa"/>
            <w:noWrap/>
            <w:hideMark/>
          </w:tcPr>
          <w:p w14:paraId="5C88BF50"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2,725</w:t>
            </w:r>
          </w:p>
        </w:tc>
        <w:tc>
          <w:tcPr>
            <w:tcW w:w="1200" w:type="dxa"/>
          </w:tcPr>
          <w:p w14:paraId="0520369C"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$53,694</w:t>
            </w:r>
          </w:p>
        </w:tc>
        <w:tc>
          <w:tcPr>
            <w:tcW w:w="997" w:type="dxa"/>
            <w:noWrap/>
            <w:hideMark/>
          </w:tcPr>
          <w:p w14:paraId="3FDBAA48"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1,017</w:t>
            </w:r>
          </w:p>
        </w:tc>
        <w:tc>
          <w:tcPr>
            <w:tcW w:w="1135" w:type="dxa"/>
            <w:noWrap/>
            <w:hideMark/>
          </w:tcPr>
          <w:p w14:paraId="69205B0E" w14:textId="77777777" w:rsidR="008732E9" w:rsidRPr="00DE12C2" w:rsidRDefault="008732E9" w:rsidP="006D3B55">
            <w:pPr>
              <w:rPr>
                <w:rFonts w:ascii="Arial" w:hAnsi="Arial" w:cs="Arial"/>
                <w:color w:val="000000"/>
                <w:sz w:val="18"/>
                <w:szCs w:val="18"/>
              </w:rPr>
            </w:pPr>
            <w:r w:rsidRPr="00DE12C2">
              <w:rPr>
                <w:rFonts w:ascii="Arial" w:hAnsi="Arial" w:cs="Arial"/>
                <w:color w:val="000000"/>
                <w:sz w:val="18"/>
                <w:szCs w:val="18"/>
              </w:rPr>
              <w:t>-1.3%</w:t>
            </w:r>
          </w:p>
        </w:tc>
      </w:tr>
    </w:tbl>
    <w:p w14:paraId="7BAA810C" w14:textId="77777777" w:rsidR="008732E9" w:rsidRDefault="00AF1ED5" w:rsidP="00367716">
      <w:pPr>
        <w:pStyle w:val="Heading3"/>
      </w:pPr>
      <w:bookmarkStart w:id="113" w:name="_Toc495403411"/>
      <w:r>
        <w:t>Recommendation 8</w:t>
      </w:r>
      <w:bookmarkEnd w:id="113"/>
    </w:p>
    <w:p w14:paraId="5725B3FA" w14:textId="77777777" w:rsidR="00D95981" w:rsidRPr="00D95981" w:rsidRDefault="008732E9" w:rsidP="00D95981">
      <w:pPr>
        <w:pStyle w:val="01squarebullet"/>
      </w:pPr>
      <w:r>
        <w:t xml:space="preserve">No change to items </w:t>
      </w:r>
      <w:r w:rsidR="00D95981" w:rsidRPr="00D95981">
        <w:t>65171, 65176, 65177, 65178, 65179, 65180 and 65181</w:t>
      </w:r>
      <w:r w:rsidR="00D06099">
        <w:t>.</w:t>
      </w:r>
    </w:p>
    <w:p w14:paraId="5C765928" w14:textId="77777777" w:rsidR="008732E9" w:rsidRDefault="00B9530D" w:rsidP="00D95981">
      <w:pPr>
        <w:pStyle w:val="01squarebullet"/>
      </w:pPr>
      <w:r>
        <w:t xml:space="preserve">Amend the </w:t>
      </w:r>
      <w:r w:rsidR="00D95981">
        <w:t xml:space="preserve">item </w:t>
      </w:r>
      <w:r>
        <w:t xml:space="preserve">descriptor for </w:t>
      </w:r>
      <w:r w:rsidR="00D95981">
        <w:t>65175 to i</w:t>
      </w:r>
      <w:r w:rsidR="008732E9">
        <w:t>nclude an explanatory note describing the a</w:t>
      </w:r>
      <w:r w:rsidR="00D95981">
        <w:t xml:space="preserve">ppropriate indications for use. </w:t>
      </w:r>
      <w:r w:rsidR="008732E9">
        <w:t>The proposed explanatory note is as follows:</w:t>
      </w:r>
    </w:p>
    <w:p w14:paraId="43473D7B" w14:textId="77777777" w:rsidR="008732E9" w:rsidRDefault="008732E9" w:rsidP="008732E9">
      <w:pPr>
        <w:pStyle w:val="02dash"/>
      </w:pPr>
      <w:r>
        <w:t xml:space="preserve">For use in patients with </w:t>
      </w:r>
      <w:r w:rsidRPr="001953C0">
        <w:rPr>
          <w:lang w:val="en-AU"/>
        </w:rPr>
        <w:t xml:space="preserve">a history of unprovoked </w:t>
      </w:r>
      <w:r>
        <w:rPr>
          <w:lang w:val="en-AU"/>
        </w:rPr>
        <w:t>venous thromboembolism (</w:t>
      </w:r>
      <w:r w:rsidRPr="001953C0">
        <w:rPr>
          <w:lang w:val="en-AU"/>
        </w:rPr>
        <w:t>VTE</w:t>
      </w:r>
      <w:r>
        <w:rPr>
          <w:lang w:val="en-AU"/>
        </w:rPr>
        <w:t>)</w:t>
      </w:r>
      <w:r w:rsidRPr="001953C0">
        <w:rPr>
          <w:lang w:val="en-AU"/>
        </w:rPr>
        <w:t>, life</w:t>
      </w:r>
      <w:r>
        <w:rPr>
          <w:lang w:val="en-AU"/>
        </w:rPr>
        <w:t>-</w:t>
      </w:r>
      <w:r w:rsidRPr="001953C0">
        <w:rPr>
          <w:lang w:val="en-AU"/>
        </w:rPr>
        <w:t xml:space="preserve">threatening VTE, VTE in unusual sites, VTE in pregnancy or a strong family history of </w:t>
      </w:r>
      <w:r>
        <w:rPr>
          <w:lang w:val="en-AU"/>
        </w:rPr>
        <w:t>VTE</w:t>
      </w:r>
      <w:r w:rsidRPr="001953C0">
        <w:rPr>
          <w:lang w:val="en-AU"/>
        </w:rPr>
        <w:t xml:space="preserve"> (</w:t>
      </w:r>
      <w:r>
        <w:rPr>
          <w:lang w:val="en-AU"/>
        </w:rPr>
        <w:t>more than one</w:t>
      </w:r>
      <w:r w:rsidRPr="001953C0">
        <w:rPr>
          <w:lang w:val="en-AU"/>
        </w:rPr>
        <w:t xml:space="preserve"> relative VTE or VTE at young </w:t>
      </w:r>
      <w:r>
        <w:rPr>
          <w:lang w:val="en-AU"/>
        </w:rPr>
        <w:t>age in first-degree relative).</w:t>
      </w:r>
    </w:p>
    <w:p w14:paraId="1F0E6B61" w14:textId="77777777" w:rsidR="008732E9" w:rsidRPr="00FC1976" w:rsidRDefault="008732E9" w:rsidP="00367716">
      <w:pPr>
        <w:pStyle w:val="Heading3"/>
      </w:pPr>
      <w:bookmarkStart w:id="114" w:name="_Toc495403412"/>
      <w:r w:rsidRPr="00FC1976">
        <w:t>Rationale</w:t>
      </w:r>
      <w:r w:rsidR="00D95981">
        <w:t xml:space="preserve"> 8</w:t>
      </w:r>
      <w:bookmarkEnd w:id="114"/>
    </w:p>
    <w:p w14:paraId="073A3DF6" w14:textId="77777777" w:rsidR="008732E9" w:rsidRDefault="00D95981" w:rsidP="008732E9">
      <w:r>
        <w:t xml:space="preserve">The Committee discussed these items at length before resolving to </w:t>
      </w:r>
      <w:r w:rsidR="00B9530D">
        <w:t>only amend item 65175</w:t>
      </w:r>
      <w:r>
        <w:t xml:space="preserve">. </w:t>
      </w:r>
      <w:r w:rsidR="008732E9">
        <w:t>The recommendations</w:t>
      </w:r>
      <w:r>
        <w:t xml:space="preserve"> made</w:t>
      </w:r>
      <w:r w:rsidR="008732E9">
        <w:t xml:space="preserve"> focus on encouraging appropriate use and are based on the following observations.</w:t>
      </w:r>
    </w:p>
    <w:p w14:paraId="6067B20C" w14:textId="77777777" w:rsidR="008732E9" w:rsidRDefault="008732E9" w:rsidP="008732E9">
      <w:pPr>
        <w:pStyle w:val="01squarebullet"/>
      </w:pPr>
      <w:r w:rsidRPr="00197727">
        <w:t xml:space="preserve">The Committee </w:t>
      </w:r>
      <w:r>
        <w:t xml:space="preserve">reviewed the MBS data and </w:t>
      </w:r>
      <w:r w:rsidRPr="00197727">
        <w:t>noted</w:t>
      </w:r>
      <w:r>
        <w:t xml:space="preserve"> state variation in testing patterns in terms of the number of tests requested. They agreed that this is a very complicated area of practice, with potential for tests to be over-ordered and incorrectly used. </w:t>
      </w:r>
      <w:r>
        <w:br/>
        <w:t xml:space="preserve">They noted that general practice guidelines are </w:t>
      </w:r>
      <w:proofErr w:type="gramStart"/>
      <w:r>
        <w:t>limited</w:t>
      </w:r>
      <w:proofErr w:type="gramEnd"/>
      <w:r>
        <w:t xml:space="preserve"> and many GP requesters do not know which specific thrombophilia tests to order and often order a ‘thrombophilia screen’. In these circumstances, the laboratory would determine which tests are performed based on the clinical information provided with the request.</w:t>
      </w:r>
      <w:r>
        <w:br/>
        <w:t>This is challenging, as adequate clinical information is often not provided, potentially resulting in more tests being performed than clinically required. In complicated investigations</w:t>
      </w:r>
      <w:r w:rsidR="007C358D">
        <w:t>,</w:t>
      </w:r>
      <w:r>
        <w:t xml:space="preserve"> the laboratory would determine which tests need to be performed and these would legitimately account for some of ordering of four and five tests.</w:t>
      </w:r>
    </w:p>
    <w:p w14:paraId="05267298" w14:textId="77777777" w:rsidR="00F268D2" w:rsidRDefault="00F268D2" w:rsidP="008732E9">
      <w:pPr>
        <w:pStyle w:val="01squarebullet"/>
      </w:pPr>
      <w:r>
        <w:t xml:space="preserve">The concept of </w:t>
      </w:r>
      <w:proofErr w:type="spellStart"/>
      <w:r>
        <w:t>standardised</w:t>
      </w:r>
      <w:proofErr w:type="spellEnd"/>
      <w:r>
        <w:t xml:space="preserve"> panels of coagulation tests being ordered for the appropriate indications was briefly discussed, and if supported by appropriate education/decision support tools, may be a practical consideration.  </w:t>
      </w:r>
    </w:p>
    <w:p w14:paraId="2F06EAD7" w14:textId="77777777" w:rsidR="008732E9" w:rsidRDefault="008732E9" w:rsidP="008732E9">
      <w:pPr>
        <w:pStyle w:val="01squarebullet"/>
      </w:pPr>
      <w:r>
        <w:t xml:space="preserve">The Committee discussed restricting the ordering of these tests to specialists but agreed that it is necessary for GPs to order these tests, particularly on behalf of specialists and in regional areas where access to specialists is limited. </w:t>
      </w:r>
      <w:r>
        <w:br/>
        <w:t>They agreed that there needs to be a review of guidelines to ensure evidence-based recommendations are available to guide requesters to order the most appropriate tests for specific clinical circumstances. The Committee suggested a Position Statement from the R</w:t>
      </w:r>
      <w:r w:rsidR="00A437FE">
        <w:t>CPA</w:t>
      </w:r>
      <w:r>
        <w:t xml:space="preserve">, co-badged with Australian Society of Thrombosis and </w:t>
      </w:r>
      <w:proofErr w:type="spellStart"/>
      <w:r>
        <w:t>Haemostasis</w:t>
      </w:r>
      <w:proofErr w:type="spellEnd"/>
      <w:r>
        <w:t xml:space="preserve"> (ASTH) would be </w:t>
      </w:r>
      <w:r>
        <w:lastRenderedPageBreak/>
        <w:t xml:space="preserve">advantageous. The Committee strongly recommended that VTE diagnosis and management requires </w:t>
      </w:r>
      <w:r w:rsidR="00672C05">
        <w:t xml:space="preserve">education and </w:t>
      </w:r>
      <w:r>
        <w:t>decision support to guide the appropriate ordering of tests.</w:t>
      </w:r>
    </w:p>
    <w:p w14:paraId="376C07BB" w14:textId="77777777" w:rsidR="008732E9" w:rsidRPr="007C358D" w:rsidRDefault="008732E9" w:rsidP="008732E9">
      <w:pPr>
        <w:pStyle w:val="01squarebullet"/>
      </w:pPr>
      <w:r>
        <w:t>The Committee considered changing the descriptor of item 65175, limiting the contexts in which these tests should be ordered to: ‘a personal history of unprovoked VTE, a life</w:t>
      </w:r>
      <w:r w:rsidR="00E124E2">
        <w:t>-</w:t>
      </w:r>
      <w:r>
        <w:t>threatening VTE, VTE in unusual sites, VTE in pregnancy, a strong family history of VTE (more than one relative with a VTE or VTE at a young age in one first-degree relative)’.</w:t>
      </w:r>
      <w:r>
        <w:br/>
        <w:t xml:space="preserve">It was agreed that the aim of this information was to guide requesters, and in the absence of decision support links to the MBS items, the information at this stage would be better placed in an explanatory note rather than the </w:t>
      </w:r>
      <w:r w:rsidRPr="007C358D">
        <w:t>descriptor.</w:t>
      </w:r>
    </w:p>
    <w:p w14:paraId="467171AA" w14:textId="77777777" w:rsidR="008732E9" w:rsidRDefault="008732E9" w:rsidP="008732E9">
      <w:pPr>
        <w:pStyle w:val="01squarebullet"/>
      </w:pPr>
      <w:r>
        <w:t xml:space="preserve">The Committee discussed the tests that should be included in item 65175 and recommended that the test panel include antithrombin (AT), protein C (PC), protein S (PS) and activated protein C resistance (APCR). </w:t>
      </w:r>
      <w:r>
        <w:br/>
        <w:t xml:space="preserve">They noted that lupus anticoagulant is also currently listed under a separate MBS item number 65137. They discussed removing lupus from the thrombophilia item, as technically it is not a thrombophilia test. In practice, however, it is performed with the thrombophilia tests and changing this may lead to confusion and the risk that the test </w:t>
      </w:r>
      <w:proofErr w:type="gramStart"/>
      <w:r>
        <w:t>not be</w:t>
      </w:r>
      <w:proofErr w:type="gramEnd"/>
      <w:r>
        <w:t xml:space="preserve"> performed when it is appropriate.</w:t>
      </w:r>
    </w:p>
    <w:p w14:paraId="092273B5" w14:textId="77777777" w:rsidR="0033420E" w:rsidRDefault="0033420E" w:rsidP="0033420E">
      <w:pPr>
        <w:pStyle w:val="Heading2"/>
      </w:pPr>
      <w:bookmarkStart w:id="115" w:name="_Toc495403413"/>
      <w:r w:rsidRPr="00D12976">
        <w:t>Erythrocyte</w:t>
      </w:r>
      <w:r>
        <w:t xml:space="preserve"> </w:t>
      </w:r>
      <w:r w:rsidRPr="0033420E">
        <w:t>sedimentation</w:t>
      </w:r>
      <w:r>
        <w:t xml:space="preserve"> rate (ESR)</w:t>
      </w:r>
      <w:r w:rsidR="00C77285">
        <w:t xml:space="preserve">: </w:t>
      </w:r>
      <w:r w:rsidR="008B09CF">
        <w:t>i</w:t>
      </w:r>
      <w:r w:rsidR="00C77285">
        <w:t>tem 65060</w:t>
      </w:r>
      <w:bookmarkEnd w:id="115"/>
      <w:r>
        <w:t xml:space="preserve"> </w:t>
      </w:r>
    </w:p>
    <w:p w14:paraId="09BD9E48" w14:textId="77777777" w:rsidR="0033420E" w:rsidRPr="002C6688" w:rsidRDefault="00B13FD9" w:rsidP="00C702A9">
      <w:pPr>
        <w:pStyle w:val="Caption"/>
      </w:pPr>
      <w:bookmarkStart w:id="116" w:name="_Toc481493783"/>
      <w:r w:rsidRPr="008F7F21">
        <w:t xml:space="preserve">Table </w:t>
      </w:r>
      <w:r w:rsidR="002C0890">
        <w:t>16</w:t>
      </w:r>
      <w:r w:rsidRPr="008F7F21">
        <w:t xml:space="preserve">: </w:t>
      </w:r>
      <w:r w:rsidR="0033420E" w:rsidRPr="008F7F21">
        <w:t>Item introduction</w:t>
      </w:r>
      <w:r w:rsidR="0033420E">
        <w:t xml:space="preserve"> table for item 65060</w:t>
      </w:r>
      <w:bookmarkEnd w:id="116"/>
    </w:p>
    <w:tbl>
      <w:tblPr>
        <w:tblStyle w:val="TableGrid1"/>
        <w:tblW w:w="8861" w:type="dxa"/>
        <w:tblLook w:val="04A0" w:firstRow="1" w:lastRow="0" w:firstColumn="1" w:lastColumn="0" w:noHBand="0" w:noVBand="1"/>
        <w:tblCaption w:val="Table 16, Item introduction table for item 65060"/>
        <w:tblDescription w:val="This table shows selected current MBS Schedule information for item 65060. There are 7 columns – column 1: item number, column 2: long item descriptor, column 3: schedule fee, column 4: services for the 2014–15 financial year, column 5: total benefits for the 2014–15 financial year, column 6: total patient count for the 2014–15 financial year, and column 7: 5-year compound annual growth rate of the service."/>
      </w:tblPr>
      <w:tblGrid>
        <w:gridCol w:w="745"/>
        <w:gridCol w:w="2427"/>
        <w:gridCol w:w="1107"/>
        <w:gridCol w:w="1217"/>
        <w:gridCol w:w="1217"/>
        <w:gridCol w:w="1079"/>
        <w:gridCol w:w="1069"/>
      </w:tblGrid>
      <w:tr w:rsidR="0033420E" w:rsidRPr="00AE7072" w14:paraId="7CC7B359" w14:textId="77777777" w:rsidTr="003E65EF">
        <w:trPr>
          <w:trHeight w:val="729"/>
          <w:tblHeader/>
        </w:trPr>
        <w:tc>
          <w:tcPr>
            <w:tcW w:w="745" w:type="dxa"/>
            <w:shd w:val="clear" w:color="auto" w:fill="F2F2F2" w:themeFill="background1" w:themeFillShade="F2"/>
            <w:vAlign w:val="bottom"/>
            <w:hideMark/>
          </w:tcPr>
          <w:p w14:paraId="4A6DD41F" w14:textId="77777777" w:rsidR="0033420E" w:rsidRPr="00AE7072" w:rsidRDefault="0033420E" w:rsidP="00795693">
            <w:pPr>
              <w:rPr>
                <w:rFonts w:ascii="Arial" w:hAnsi="Arial" w:cs="Arial"/>
                <w:b/>
                <w:color w:val="000000"/>
                <w:sz w:val="18"/>
                <w:szCs w:val="18"/>
              </w:rPr>
            </w:pPr>
            <w:r w:rsidRPr="00AE7072">
              <w:rPr>
                <w:rFonts w:ascii="Arial" w:hAnsi="Arial" w:cs="Arial"/>
                <w:b/>
                <w:color w:val="000000"/>
                <w:sz w:val="18"/>
                <w:szCs w:val="18"/>
              </w:rPr>
              <w:t>Item</w:t>
            </w:r>
          </w:p>
        </w:tc>
        <w:tc>
          <w:tcPr>
            <w:tcW w:w="2427" w:type="dxa"/>
            <w:shd w:val="clear" w:color="auto" w:fill="F2F2F2" w:themeFill="background1" w:themeFillShade="F2"/>
            <w:vAlign w:val="bottom"/>
            <w:hideMark/>
          </w:tcPr>
          <w:p w14:paraId="726F8A4B" w14:textId="77777777" w:rsidR="0033420E" w:rsidRPr="00AE7072" w:rsidRDefault="0033420E" w:rsidP="00795693">
            <w:pPr>
              <w:rPr>
                <w:rFonts w:ascii="Arial" w:hAnsi="Arial" w:cs="Arial"/>
                <w:b/>
                <w:color w:val="000000"/>
                <w:sz w:val="18"/>
                <w:szCs w:val="18"/>
              </w:rPr>
            </w:pPr>
            <w:r w:rsidRPr="00AE7072">
              <w:rPr>
                <w:rFonts w:ascii="Arial" w:hAnsi="Arial" w:cs="Arial"/>
                <w:b/>
                <w:color w:val="000000"/>
                <w:sz w:val="18"/>
                <w:szCs w:val="18"/>
              </w:rPr>
              <w:t>Long item descriptor</w:t>
            </w:r>
          </w:p>
        </w:tc>
        <w:tc>
          <w:tcPr>
            <w:tcW w:w="1107" w:type="dxa"/>
            <w:shd w:val="clear" w:color="auto" w:fill="F2F2F2" w:themeFill="background1" w:themeFillShade="F2"/>
            <w:vAlign w:val="bottom"/>
            <w:hideMark/>
          </w:tcPr>
          <w:p w14:paraId="3C1941B4" w14:textId="77777777" w:rsidR="0033420E" w:rsidRPr="00AE7072" w:rsidRDefault="0033420E">
            <w:pPr>
              <w:rPr>
                <w:rFonts w:ascii="Arial" w:hAnsi="Arial" w:cs="Arial"/>
                <w:b/>
                <w:color w:val="000000"/>
                <w:sz w:val="18"/>
                <w:szCs w:val="18"/>
              </w:rPr>
            </w:pPr>
            <w:r w:rsidRPr="00AE7072">
              <w:rPr>
                <w:rFonts w:ascii="Arial" w:hAnsi="Arial" w:cs="Arial"/>
                <w:b/>
                <w:color w:val="000000"/>
                <w:sz w:val="18"/>
                <w:szCs w:val="18"/>
              </w:rPr>
              <w:t>Schedule</w:t>
            </w:r>
            <w:r w:rsidR="00B13FD9" w:rsidRPr="00AE7072">
              <w:rPr>
                <w:rFonts w:ascii="Arial" w:hAnsi="Arial" w:cs="Arial"/>
                <w:b/>
                <w:color w:val="000000"/>
                <w:sz w:val="18"/>
                <w:szCs w:val="18"/>
              </w:rPr>
              <w:br/>
            </w:r>
            <w:r w:rsidRPr="00AE7072">
              <w:rPr>
                <w:rFonts w:ascii="Arial" w:hAnsi="Arial" w:cs="Arial"/>
                <w:b/>
                <w:color w:val="000000"/>
                <w:sz w:val="18"/>
                <w:szCs w:val="18"/>
              </w:rPr>
              <w:t>fee</w:t>
            </w:r>
          </w:p>
        </w:tc>
        <w:tc>
          <w:tcPr>
            <w:tcW w:w="1217" w:type="dxa"/>
            <w:shd w:val="clear" w:color="auto" w:fill="F2F2F2" w:themeFill="background1" w:themeFillShade="F2"/>
            <w:vAlign w:val="bottom"/>
          </w:tcPr>
          <w:p w14:paraId="2FFA63F1" w14:textId="77777777" w:rsidR="0033420E" w:rsidRPr="00AE7072" w:rsidRDefault="0033420E">
            <w:pPr>
              <w:rPr>
                <w:rFonts w:ascii="Arial" w:hAnsi="Arial" w:cs="Arial"/>
                <w:b/>
                <w:color w:val="000000"/>
                <w:sz w:val="18"/>
                <w:szCs w:val="18"/>
              </w:rPr>
            </w:pPr>
            <w:r w:rsidRPr="00AE7072">
              <w:rPr>
                <w:rFonts w:ascii="Arial" w:hAnsi="Arial" w:cs="Arial"/>
                <w:b/>
                <w:color w:val="000000"/>
                <w:sz w:val="18"/>
                <w:szCs w:val="18"/>
              </w:rPr>
              <w:t xml:space="preserve">Services </w:t>
            </w:r>
            <w:r w:rsidR="00B13FD9" w:rsidRPr="00AE7072">
              <w:rPr>
                <w:rFonts w:ascii="Arial" w:hAnsi="Arial" w:cs="Arial"/>
                <w:b/>
                <w:color w:val="000000"/>
                <w:sz w:val="18"/>
                <w:szCs w:val="18"/>
              </w:rPr>
              <w:br/>
            </w:r>
            <w:r w:rsidRPr="00AE7072">
              <w:rPr>
                <w:rFonts w:ascii="Arial" w:hAnsi="Arial" w:cs="Arial"/>
                <w:b/>
                <w:color w:val="000000"/>
                <w:sz w:val="18"/>
                <w:szCs w:val="18"/>
              </w:rPr>
              <w:t>FY</w:t>
            </w:r>
            <w:r w:rsidR="00B13FD9" w:rsidRPr="00AE7072">
              <w:rPr>
                <w:rFonts w:ascii="Arial" w:hAnsi="Arial" w:cs="Arial"/>
                <w:b/>
                <w:color w:val="000000"/>
                <w:sz w:val="18"/>
                <w:szCs w:val="18"/>
              </w:rPr>
              <w:t xml:space="preserve"> </w:t>
            </w:r>
            <w:r w:rsidRPr="00AE7072">
              <w:rPr>
                <w:rFonts w:ascii="Arial" w:hAnsi="Arial" w:cs="Arial"/>
                <w:b/>
                <w:color w:val="000000"/>
                <w:sz w:val="18"/>
                <w:szCs w:val="18"/>
              </w:rPr>
              <w:t>2014</w:t>
            </w:r>
            <w:r w:rsidR="00B13FD9" w:rsidRPr="00AE7072">
              <w:rPr>
                <w:rFonts w:ascii="Arial" w:hAnsi="Arial" w:cs="Arial"/>
                <w:b/>
                <w:color w:val="000000"/>
                <w:sz w:val="18"/>
                <w:szCs w:val="18"/>
              </w:rPr>
              <w:t>–</w:t>
            </w:r>
            <w:r w:rsidRPr="00AE7072">
              <w:rPr>
                <w:rFonts w:ascii="Arial" w:hAnsi="Arial" w:cs="Arial"/>
                <w:b/>
                <w:color w:val="000000"/>
                <w:sz w:val="18"/>
                <w:szCs w:val="18"/>
              </w:rPr>
              <w:t>15</w:t>
            </w:r>
          </w:p>
        </w:tc>
        <w:tc>
          <w:tcPr>
            <w:tcW w:w="1217" w:type="dxa"/>
            <w:shd w:val="clear" w:color="auto" w:fill="F2F2F2" w:themeFill="background1" w:themeFillShade="F2"/>
            <w:vAlign w:val="bottom"/>
          </w:tcPr>
          <w:p w14:paraId="33D8EE51" w14:textId="77777777" w:rsidR="0033420E" w:rsidRPr="00AE7072" w:rsidRDefault="0033420E">
            <w:pPr>
              <w:rPr>
                <w:rFonts w:ascii="Arial" w:hAnsi="Arial" w:cs="Arial"/>
                <w:b/>
                <w:color w:val="000000"/>
                <w:sz w:val="18"/>
                <w:szCs w:val="18"/>
              </w:rPr>
            </w:pPr>
            <w:r w:rsidRPr="00AE7072">
              <w:rPr>
                <w:rFonts w:ascii="Arial" w:hAnsi="Arial" w:cs="Arial"/>
                <w:b/>
                <w:color w:val="000000"/>
                <w:sz w:val="18"/>
                <w:szCs w:val="18"/>
              </w:rPr>
              <w:t xml:space="preserve">Benefits </w:t>
            </w:r>
            <w:r w:rsidR="00B13FD9" w:rsidRPr="00AE7072">
              <w:rPr>
                <w:rFonts w:ascii="Arial" w:hAnsi="Arial" w:cs="Arial"/>
                <w:b/>
                <w:color w:val="000000"/>
                <w:sz w:val="18"/>
                <w:szCs w:val="18"/>
              </w:rPr>
              <w:br/>
            </w:r>
            <w:r w:rsidRPr="00AE7072">
              <w:rPr>
                <w:rFonts w:ascii="Arial" w:hAnsi="Arial" w:cs="Arial"/>
                <w:b/>
                <w:color w:val="000000"/>
                <w:sz w:val="18"/>
                <w:szCs w:val="18"/>
              </w:rPr>
              <w:t>FY</w:t>
            </w:r>
            <w:r w:rsidR="00B13FD9" w:rsidRPr="00AE7072">
              <w:rPr>
                <w:rFonts w:ascii="Arial" w:hAnsi="Arial" w:cs="Arial"/>
                <w:b/>
                <w:color w:val="000000"/>
                <w:sz w:val="18"/>
                <w:szCs w:val="18"/>
              </w:rPr>
              <w:t xml:space="preserve"> </w:t>
            </w:r>
            <w:r w:rsidRPr="00AE7072">
              <w:rPr>
                <w:rFonts w:ascii="Arial" w:hAnsi="Arial" w:cs="Arial"/>
                <w:b/>
                <w:color w:val="000000"/>
                <w:sz w:val="18"/>
                <w:szCs w:val="18"/>
              </w:rPr>
              <w:t>2014</w:t>
            </w:r>
            <w:r w:rsidR="00B13FD9" w:rsidRPr="00AE7072">
              <w:rPr>
                <w:rFonts w:ascii="Arial" w:hAnsi="Arial" w:cs="Arial"/>
                <w:b/>
                <w:color w:val="000000"/>
                <w:sz w:val="18"/>
                <w:szCs w:val="18"/>
              </w:rPr>
              <w:t>–</w:t>
            </w:r>
            <w:r w:rsidRPr="00AE7072">
              <w:rPr>
                <w:rFonts w:ascii="Arial" w:hAnsi="Arial" w:cs="Arial"/>
                <w:b/>
                <w:color w:val="000000"/>
                <w:sz w:val="18"/>
                <w:szCs w:val="18"/>
              </w:rPr>
              <w:t>15</w:t>
            </w:r>
          </w:p>
        </w:tc>
        <w:tc>
          <w:tcPr>
            <w:tcW w:w="1079" w:type="dxa"/>
            <w:shd w:val="clear" w:color="auto" w:fill="F2F2F2" w:themeFill="background1" w:themeFillShade="F2"/>
            <w:vAlign w:val="bottom"/>
            <w:hideMark/>
          </w:tcPr>
          <w:p w14:paraId="243B6422" w14:textId="77777777" w:rsidR="0033420E" w:rsidRPr="00AE7072" w:rsidRDefault="0033420E">
            <w:pPr>
              <w:rPr>
                <w:rFonts w:ascii="Arial" w:hAnsi="Arial" w:cs="Arial"/>
                <w:b/>
                <w:color w:val="000000"/>
                <w:sz w:val="18"/>
                <w:szCs w:val="18"/>
              </w:rPr>
            </w:pPr>
            <w:r w:rsidRPr="00AE7072">
              <w:rPr>
                <w:rFonts w:ascii="Arial" w:hAnsi="Arial" w:cs="Arial"/>
                <w:b/>
                <w:color w:val="000000"/>
                <w:sz w:val="18"/>
                <w:szCs w:val="18"/>
              </w:rPr>
              <w:t>Patient count 2014</w:t>
            </w:r>
            <w:r w:rsidR="00B13FD9" w:rsidRPr="00AE7072">
              <w:rPr>
                <w:rFonts w:ascii="Arial" w:hAnsi="Arial" w:cs="Arial"/>
                <w:b/>
                <w:color w:val="000000"/>
                <w:sz w:val="18"/>
                <w:szCs w:val="18"/>
              </w:rPr>
              <w:t>–</w:t>
            </w:r>
            <w:r w:rsidRPr="00AE7072">
              <w:rPr>
                <w:rFonts w:ascii="Arial" w:hAnsi="Arial" w:cs="Arial"/>
                <w:b/>
                <w:color w:val="000000"/>
                <w:sz w:val="18"/>
                <w:szCs w:val="18"/>
              </w:rPr>
              <w:t>15</w:t>
            </w:r>
          </w:p>
        </w:tc>
        <w:tc>
          <w:tcPr>
            <w:tcW w:w="1069" w:type="dxa"/>
            <w:shd w:val="clear" w:color="auto" w:fill="F2F2F2" w:themeFill="background1" w:themeFillShade="F2"/>
            <w:vAlign w:val="bottom"/>
            <w:hideMark/>
          </w:tcPr>
          <w:p w14:paraId="157D2380" w14:textId="77777777" w:rsidR="0033420E" w:rsidRPr="00AE7072" w:rsidRDefault="0033420E" w:rsidP="00795693">
            <w:pPr>
              <w:rPr>
                <w:rFonts w:ascii="Arial" w:hAnsi="Arial" w:cs="Arial"/>
                <w:b/>
                <w:color w:val="000000"/>
                <w:sz w:val="18"/>
                <w:szCs w:val="18"/>
              </w:rPr>
            </w:pPr>
            <w:r w:rsidRPr="00AE7072">
              <w:rPr>
                <w:rFonts w:ascii="Arial" w:hAnsi="Arial" w:cs="Arial"/>
                <w:b/>
                <w:color w:val="000000"/>
                <w:sz w:val="18"/>
                <w:szCs w:val="18"/>
              </w:rPr>
              <w:t>5</w:t>
            </w:r>
            <w:r w:rsidR="00B13FD9" w:rsidRPr="00AE7072">
              <w:rPr>
                <w:rFonts w:ascii="Arial" w:hAnsi="Arial" w:cs="Arial"/>
                <w:b/>
                <w:color w:val="000000"/>
                <w:sz w:val="18"/>
                <w:szCs w:val="18"/>
              </w:rPr>
              <w:t>-</w:t>
            </w:r>
            <w:r w:rsidR="00AE7072">
              <w:rPr>
                <w:rFonts w:ascii="Arial" w:hAnsi="Arial" w:cs="Arial"/>
                <w:b/>
                <w:color w:val="000000"/>
                <w:sz w:val="18"/>
                <w:szCs w:val="18"/>
              </w:rPr>
              <w:t xml:space="preserve">year service change </w:t>
            </w:r>
            <w:r w:rsidRPr="00AE7072">
              <w:rPr>
                <w:rFonts w:ascii="Arial" w:hAnsi="Arial" w:cs="Arial"/>
                <w:b/>
                <w:color w:val="000000"/>
                <w:sz w:val="18"/>
                <w:szCs w:val="18"/>
              </w:rPr>
              <w:t>(CAGR)</w:t>
            </w:r>
          </w:p>
        </w:tc>
      </w:tr>
      <w:tr w:rsidR="0033420E" w:rsidRPr="00AE7072" w14:paraId="3B7742AB" w14:textId="77777777" w:rsidTr="007C358D">
        <w:trPr>
          <w:trHeight w:val="300"/>
        </w:trPr>
        <w:tc>
          <w:tcPr>
            <w:tcW w:w="745" w:type="dxa"/>
            <w:noWrap/>
            <w:hideMark/>
          </w:tcPr>
          <w:p w14:paraId="143852F9" w14:textId="77777777" w:rsidR="0033420E" w:rsidRPr="00AE7072" w:rsidRDefault="0033420E" w:rsidP="00795693">
            <w:pPr>
              <w:rPr>
                <w:rFonts w:ascii="Arial" w:hAnsi="Arial" w:cs="Arial"/>
                <w:color w:val="000000"/>
                <w:sz w:val="18"/>
                <w:szCs w:val="18"/>
              </w:rPr>
            </w:pPr>
            <w:r w:rsidRPr="00AE7072">
              <w:rPr>
                <w:rFonts w:ascii="Arial" w:hAnsi="Arial" w:cs="Arial"/>
                <w:color w:val="000000"/>
                <w:sz w:val="18"/>
                <w:szCs w:val="18"/>
              </w:rPr>
              <w:t>65060</w:t>
            </w:r>
          </w:p>
        </w:tc>
        <w:tc>
          <w:tcPr>
            <w:tcW w:w="2427" w:type="dxa"/>
            <w:noWrap/>
            <w:hideMark/>
          </w:tcPr>
          <w:p w14:paraId="4FD3D4D3" w14:textId="77777777" w:rsidR="0033420E" w:rsidRPr="00AE7072" w:rsidRDefault="0033420E" w:rsidP="00795693">
            <w:pPr>
              <w:rPr>
                <w:rFonts w:ascii="Arial" w:hAnsi="Arial" w:cs="Arial"/>
                <w:color w:val="000000"/>
                <w:sz w:val="18"/>
                <w:szCs w:val="18"/>
              </w:rPr>
            </w:pPr>
            <w:r w:rsidRPr="00AE7072">
              <w:rPr>
                <w:rFonts w:ascii="Arial" w:hAnsi="Arial" w:cs="Arial"/>
                <w:color w:val="000000"/>
                <w:sz w:val="18"/>
                <w:szCs w:val="18"/>
              </w:rPr>
              <w:t>Haemoglobin, erythrocyte sedimentation rate, blood viscosity -</w:t>
            </w:r>
            <w:r w:rsidR="00B13FD9" w:rsidRPr="00AE7072">
              <w:rPr>
                <w:rFonts w:ascii="Arial" w:hAnsi="Arial" w:cs="Arial"/>
                <w:color w:val="000000"/>
                <w:sz w:val="18"/>
                <w:szCs w:val="18"/>
              </w:rPr>
              <w:t xml:space="preserve"> </w:t>
            </w:r>
            <w:r w:rsidRPr="00AE7072">
              <w:rPr>
                <w:rFonts w:ascii="Arial" w:hAnsi="Arial" w:cs="Arial"/>
                <w:color w:val="000000"/>
                <w:sz w:val="18"/>
                <w:szCs w:val="18"/>
              </w:rPr>
              <w:t>1 or more tests</w:t>
            </w:r>
          </w:p>
        </w:tc>
        <w:tc>
          <w:tcPr>
            <w:tcW w:w="1107" w:type="dxa"/>
            <w:noWrap/>
            <w:hideMark/>
          </w:tcPr>
          <w:p w14:paraId="0C988F9A" w14:textId="77777777" w:rsidR="0033420E" w:rsidRPr="00AE7072" w:rsidRDefault="0033420E" w:rsidP="00AE7072">
            <w:pPr>
              <w:rPr>
                <w:rFonts w:ascii="Arial" w:hAnsi="Arial" w:cs="Arial"/>
                <w:color w:val="000000"/>
                <w:sz w:val="18"/>
                <w:szCs w:val="18"/>
              </w:rPr>
            </w:pPr>
            <w:r w:rsidRPr="00AE7072">
              <w:rPr>
                <w:rFonts w:ascii="Arial" w:hAnsi="Arial" w:cs="Arial"/>
                <w:color w:val="000000"/>
                <w:sz w:val="18"/>
                <w:szCs w:val="18"/>
              </w:rPr>
              <w:t xml:space="preserve">$7.85 </w:t>
            </w:r>
          </w:p>
        </w:tc>
        <w:tc>
          <w:tcPr>
            <w:tcW w:w="1217" w:type="dxa"/>
            <w:noWrap/>
            <w:hideMark/>
          </w:tcPr>
          <w:p w14:paraId="53C9BE77" w14:textId="77777777" w:rsidR="0033420E" w:rsidRPr="00AE7072" w:rsidRDefault="0033420E" w:rsidP="00AE7072">
            <w:pPr>
              <w:rPr>
                <w:rFonts w:ascii="Arial" w:hAnsi="Arial" w:cs="Arial"/>
                <w:color w:val="000000"/>
                <w:sz w:val="18"/>
                <w:szCs w:val="18"/>
              </w:rPr>
            </w:pPr>
            <w:r w:rsidRPr="00AE7072">
              <w:rPr>
                <w:rFonts w:ascii="Arial" w:hAnsi="Arial" w:cs="Arial"/>
                <w:color w:val="000000"/>
                <w:sz w:val="18"/>
                <w:szCs w:val="18"/>
              </w:rPr>
              <w:t>175,678</w:t>
            </w:r>
          </w:p>
        </w:tc>
        <w:tc>
          <w:tcPr>
            <w:tcW w:w="1217" w:type="dxa"/>
            <w:noWrap/>
            <w:hideMark/>
          </w:tcPr>
          <w:p w14:paraId="7D9CCBEB" w14:textId="77777777" w:rsidR="0033420E" w:rsidRPr="00AE7072" w:rsidRDefault="0033420E" w:rsidP="00AE7072">
            <w:pPr>
              <w:rPr>
                <w:rFonts w:ascii="Arial" w:hAnsi="Arial" w:cs="Arial"/>
                <w:color w:val="000000"/>
                <w:sz w:val="18"/>
                <w:szCs w:val="18"/>
              </w:rPr>
            </w:pPr>
            <w:r w:rsidRPr="00AE7072">
              <w:rPr>
                <w:rFonts w:ascii="Arial" w:hAnsi="Arial" w:cs="Arial"/>
                <w:color w:val="000000"/>
                <w:sz w:val="18"/>
                <w:szCs w:val="18"/>
              </w:rPr>
              <w:t>$1,153,004</w:t>
            </w:r>
          </w:p>
        </w:tc>
        <w:tc>
          <w:tcPr>
            <w:tcW w:w="1079" w:type="dxa"/>
            <w:noWrap/>
            <w:hideMark/>
          </w:tcPr>
          <w:p w14:paraId="0347FDC5" w14:textId="77777777" w:rsidR="0033420E" w:rsidRPr="00AE7072" w:rsidRDefault="0033420E" w:rsidP="00AE7072">
            <w:pPr>
              <w:rPr>
                <w:rFonts w:ascii="Arial" w:hAnsi="Arial" w:cs="Arial"/>
                <w:color w:val="000000"/>
                <w:sz w:val="18"/>
                <w:szCs w:val="18"/>
              </w:rPr>
            </w:pPr>
            <w:r w:rsidRPr="00AE7072">
              <w:rPr>
                <w:rFonts w:ascii="Arial" w:hAnsi="Arial" w:cs="Arial"/>
                <w:color w:val="000000"/>
                <w:sz w:val="18"/>
                <w:szCs w:val="18"/>
              </w:rPr>
              <w:t>137,360</w:t>
            </w:r>
          </w:p>
        </w:tc>
        <w:tc>
          <w:tcPr>
            <w:tcW w:w="1069" w:type="dxa"/>
            <w:noWrap/>
            <w:hideMark/>
          </w:tcPr>
          <w:p w14:paraId="7BDF2ABB" w14:textId="77777777" w:rsidR="0033420E" w:rsidRPr="00AE7072" w:rsidRDefault="00B13FD9" w:rsidP="00AE7072">
            <w:pPr>
              <w:rPr>
                <w:rFonts w:ascii="Arial" w:hAnsi="Arial" w:cs="Arial"/>
                <w:color w:val="000000"/>
                <w:sz w:val="18"/>
                <w:szCs w:val="18"/>
              </w:rPr>
            </w:pPr>
            <w:r w:rsidRPr="00AE7072">
              <w:rPr>
                <w:rFonts w:ascii="Arial" w:hAnsi="Arial" w:cs="Arial"/>
                <w:color w:val="000000"/>
                <w:sz w:val="18"/>
                <w:szCs w:val="18"/>
              </w:rPr>
              <w:t>–</w:t>
            </w:r>
            <w:r w:rsidR="0033420E" w:rsidRPr="00AE7072">
              <w:rPr>
                <w:rFonts w:ascii="Arial" w:hAnsi="Arial" w:cs="Arial"/>
                <w:color w:val="000000"/>
                <w:sz w:val="18"/>
                <w:szCs w:val="18"/>
              </w:rPr>
              <w:t>3.2</w:t>
            </w:r>
            <w:r w:rsidR="00AE7072">
              <w:rPr>
                <w:rFonts w:ascii="Arial" w:hAnsi="Arial" w:cs="Arial"/>
                <w:color w:val="000000"/>
                <w:sz w:val="18"/>
                <w:szCs w:val="18"/>
              </w:rPr>
              <w:t>%</w:t>
            </w:r>
          </w:p>
        </w:tc>
      </w:tr>
    </w:tbl>
    <w:p w14:paraId="694578E7" w14:textId="77777777" w:rsidR="0033420E" w:rsidRPr="00435D7F" w:rsidRDefault="0033420E" w:rsidP="00285EED">
      <w:pPr>
        <w:pStyle w:val="Heading3"/>
      </w:pPr>
      <w:bookmarkStart w:id="117" w:name="_Toc456613787"/>
      <w:bookmarkStart w:id="118" w:name="_Toc464049757"/>
      <w:bookmarkStart w:id="119" w:name="_Toc495403414"/>
      <w:r w:rsidRPr="00435D7F">
        <w:t>Recommendation</w:t>
      </w:r>
      <w:bookmarkEnd w:id="117"/>
      <w:r w:rsidRPr="00435D7F">
        <w:t xml:space="preserve"> </w:t>
      </w:r>
      <w:bookmarkEnd w:id="118"/>
      <w:r w:rsidR="00AF1ED5">
        <w:t>9</w:t>
      </w:r>
      <w:bookmarkEnd w:id="119"/>
    </w:p>
    <w:p w14:paraId="293C2D81" w14:textId="77777777" w:rsidR="00B212AF" w:rsidRPr="003B178C" w:rsidRDefault="00B212AF" w:rsidP="0033420E">
      <w:pPr>
        <w:pStyle w:val="01squarebullet"/>
        <w:rPr>
          <w:b/>
          <w:color w:val="000000" w:themeColor="text1"/>
        </w:rPr>
      </w:pPr>
      <w:r w:rsidRPr="003B178C">
        <w:rPr>
          <w:color w:val="000000" w:themeColor="text1"/>
        </w:rPr>
        <w:t xml:space="preserve">Remove blood viscosity from the </w:t>
      </w:r>
      <w:r w:rsidR="00E06B76" w:rsidRPr="003B178C">
        <w:rPr>
          <w:color w:val="000000" w:themeColor="text1"/>
        </w:rPr>
        <w:t>descriptor</w:t>
      </w:r>
      <w:r w:rsidR="003B178C">
        <w:rPr>
          <w:color w:val="000000" w:themeColor="text1"/>
        </w:rPr>
        <w:t>.</w:t>
      </w:r>
    </w:p>
    <w:p w14:paraId="04AA83CF" w14:textId="77777777" w:rsidR="0033420E" w:rsidRDefault="0033420E" w:rsidP="0033420E">
      <w:pPr>
        <w:pStyle w:val="01squarebullet"/>
        <w:rPr>
          <w:b/>
        </w:rPr>
      </w:pPr>
      <w:r>
        <w:t>N</w:t>
      </w:r>
      <w:r w:rsidRPr="009B67BF">
        <w:t>o change</w:t>
      </w:r>
      <w:r>
        <w:t xml:space="preserve"> to </w:t>
      </w:r>
      <w:r w:rsidR="00B212AF">
        <w:t>erythrocyte sedimentation rate (ESR)</w:t>
      </w:r>
      <w:r w:rsidR="00D95981">
        <w:t xml:space="preserve"> test</w:t>
      </w:r>
      <w:r w:rsidR="00B212AF">
        <w:t xml:space="preserve"> </w:t>
      </w:r>
      <w:r>
        <w:t xml:space="preserve">within </w:t>
      </w:r>
      <w:r w:rsidR="00B212AF">
        <w:t>the</w:t>
      </w:r>
      <w:r w:rsidRPr="009B67BF">
        <w:t xml:space="preserve"> descriptor</w:t>
      </w:r>
      <w:r>
        <w:t>.</w:t>
      </w:r>
    </w:p>
    <w:p w14:paraId="1C8F5CCA" w14:textId="77777777" w:rsidR="0033420E" w:rsidRDefault="0033420E" w:rsidP="0033420E">
      <w:pPr>
        <w:pStyle w:val="01squarebullet"/>
        <w:rPr>
          <w:b/>
        </w:rPr>
      </w:pPr>
      <w:r>
        <w:t>Develop e</w:t>
      </w:r>
      <w:r w:rsidRPr="009B67BF">
        <w:t xml:space="preserve">ducation programs </w:t>
      </w:r>
      <w:r>
        <w:t xml:space="preserve">for </w:t>
      </w:r>
      <w:r w:rsidR="00FF736E">
        <w:t>requester</w:t>
      </w:r>
      <w:r>
        <w:t xml:space="preserve">s </w:t>
      </w:r>
      <w:r w:rsidRPr="009B67BF">
        <w:t>to highlight the issues with ESR</w:t>
      </w:r>
      <w:r>
        <w:t xml:space="preserve"> and promote appropriate testing</w:t>
      </w:r>
      <w:r w:rsidRPr="009B67BF">
        <w:t>.</w:t>
      </w:r>
    </w:p>
    <w:p w14:paraId="42E77AE3" w14:textId="77777777" w:rsidR="00A02670" w:rsidRPr="00D8641D" w:rsidRDefault="005A2BA9" w:rsidP="0033420E">
      <w:pPr>
        <w:pStyle w:val="01squarebullet"/>
      </w:pPr>
      <w:r>
        <w:t xml:space="preserve">Review </w:t>
      </w:r>
      <w:r w:rsidR="00B212AF">
        <w:t>ESR</w:t>
      </w:r>
      <w:r>
        <w:t xml:space="preserve"> again</w:t>
      </w:r>
      <w:r w:rsidR="00D95981">
        <w:t xml:space="preserve"> in </w:t>
      </w:r>
      <w:r w:rsidR="000E5945">
        <w:t xml:space="preserve">5 </w:t>
      </w:r>
      <w:r>
        <w:t>years.</w:t>
      </w:r>
    </w:p>
    <w:p w14:paraId="45623792" w14:textId="77777777" w:rsidR="0033420E" w:rsidRPr="00285EED" w:rsidRDefault="0033420E" w:rsidP="00285EED">
      <w:pPr>
        <w:pStyle w:val="Heading3"/>
      </w:pPr>
      <w:bookmarkStart w:id="120" w:name="_Toc495403415"/>
      <w:r w:rsidRPr="00285EED">
        <w:t>Rationale</w:t>
      </w:r>
      <w:r w:rsidR="00D95981" w:rsidRPr="00285EED">
        <w:t xml:space="preserve"> 9</w:t>
      </w:r>
      <w:bookmarkEnd w:id="120"/>
    </w:p>
    <w:p w14:paraId="63FAC576" w14:textId="77777777" w:rsidR="00F74A07" w:rsidRDefault="00F74A07" w:rsidP="00F74A07">
      <w:r>
        <w:t>The recommendation</w:t>
      </w:r>
      <w:r w:rsidR="00A02670">
        <w:t>s are</w:t>
      </w:r>
      <w:r>
        <w:t xml:space="preserve"> based on</w:t>
      </w:r>
      <w:r w:rsidR="005A2BA9">
        <w:t xml:space="preserve"> </w:t>
      </w:r>
      <w:r w:rsidR="006352B2">
        <w:t>several</w:t>
      </w:r>
      <w:r w:rsidR="00A02670">
        <w:t xml:space="preserve"> </w:t>
      </w:r>
      <w:r w:rsidR="00EF6435">
        <w:t xml:space="preserve">external </w:t>
      </w:r>
      <w:r w:rsidR="005A2BA9">
        <w:t>factors</w:t>
      </w:r>
      <w:r w:rsidR="00EF6435">
        <w:t xml:space="preserve"> currently beyond the control of the </w:t>
      </w:r>
      <w:r w:rsidR="00A02670">
        <w:t>Committee</w:t>
      </w:r>
      <w:r w:rsidR="00B13FD9">
        <w:t>,</w:t>
      </w:r>
      <w:r w:rsidR="006352B2">
        <w:t xml:space="preserve"> and</w:t>
      </w:r>
      <w:r w:rsidR="00A02670">
        <w:t xml:space="preserve"> the following observations.</w:t>
      </w:r>
    </w:p>
    <w:p w14:paraId="26762F83" w14:textId="77777777" w:rsidR="003B178C" w:rsidRDefault="003B178C" w:rsidP="003B178C">
      <w:pPr>
        <w:pStyle w:val="01squarebullet"/>
      </w:pPr>
      <w:r>
        <w:t>Blood viscosity is an obsolete test infrequently used and its remova</w:t>
      </w:r>
      <w:r w:rsidR="007C358D">
        <w:t>l will not impact patient care.</w:t>
      </w:r>
    </w:p>
    <w:p w14:paraId="1F0980CB" w14:textId="77777777" w:rsidR="0033420E" w:rsidRDefault="0033420E" w:rsidP="0033420E">
      <w:pPr>
        <w:pStyle w:val="01squarebullet"/>
      </w:pPr>
      <w:bookmarkStart w:id="121" w:name="_Toc456613786"/>
      <w:r w:rsidRPr="009B67BF">
        <w:t>The</w:t>
      </w:r>
      <w:r>
        <w:t xml:space="preserve"> Committee agreed that there </w:t>
      </w:r>
      <w:r w:rsidRPr="009B67BF">
        <w:t xml:space="preserve">is significant over-ordering of ESR and </w:t>
      </w:r>
      <w:r>
        <w:t xml:space="preserve">a </w:t>
      </w:r>
      <w:r w:rsidRPr="009B67BF">
        <w:t xml:space="preserve">lack of understanding of </w:t>
      </w:r>
      <w:r>
        <w:t>the limitations of the test. ESR has doubtful utility and in most</w:t>
      </w:r>
      <w:r w:rsidRPr="009B67BF">
        <w:t xml:space="preserve"> cases </w:t>
      </w:r>
      <w:r w:rsidRPr="00FF7AC0">
        <w:t>C-reactive protein (CRP)</w:t>
      </w:r>
      <w:r w:rsidRPr="009B67BF">
        <w:t xml:space="preserve"> is more appropriate.</w:t>
      </w:r>
      <w:r w:rsidRPr="00FF7AC0">
        <w:t xml:space="preserve"> </w:t>
      </w:r>
      <w:r>
        <w:t>Evidence</w:t>
      </w:r>
      <w:r w:rsidR="00B13FD9">
        <w:t>,</w:t>
      </w:r>
      <w:r>
        <w:t xml:space="preserve"> however, does support a small number of indications </w:t>
      </w:r>
      <w:r w:rsidR="00B13FD9">
        <w:t xml:space="preserve">in which </w:t>
      </w:r>
      <w:r>
        <w:t>ESR may have value, for example, Hodgkin’s lymphoma, polymyalgia rheumatic</w:t>
      </w:r>
      <w:r w:rsidR="00B13FD9">
        <w:t>a</w:t>
      </w:r>
      <w:r>
        <w:t xml:space="preserve"> and systemic lupus erythematosus. </w:t>
      </w:r>
      <w:r w:rsidR="00B13FD9">
        <w:br/>
      </w:r>
      <w:r>
        <w:t>Reference to ESR remains in many clinical</w:t>
      </w:r>
      <w:r w:rsidR="003E65EF">
        <w:t xml:space="preserve"> guidelines.</w:t>
      </w:r>
      <w:r>
        <w:t xml:space="preserve"> </w:t>
      </w:r>
      <w:r w:rsidR="00B83872">
        <w:fldChar w:fldCharType="begin"/>
      </w:r>
      <w:r w:rsidR="00B83872">
        <w:instrText xml:space="preserve"> REF _Ref488758705 \r \h </w:instrText>
      </w:r>
      <w:r w:rsidR="00B83872">
        <w:fldChar w:fldCharType="separate"/>
      </w:r>
      <w:r w:rsidR="005C3364">
        <w:t>[10]</w:t>
      </w:r>
      <w:r w:rsidR="00B83872">
        <w:fldChar w:fldCharType="end"/>
      </w:r>
      <w:r w:rsidR="00C755A7">
        <w:t xml:space="preserve">, </w:t>
      </w:r>
      <w:r w:rsidR="00B83872">
        <w:fldChar w:fldCharType="begin"/>
      </w:r>
      <w:r w:rsidR="00B83872">
        <w:instrText xml:space="preserve"> REF _Ref488758723 \r \h </w:instrText>
      </w:r>
      <w:r w:rsidR="00B83872">
        <w:fldChar w:fldCharType="separate"/>
      </w:r>
      <w:r w:rsidR="005C3364">
        <w:t>[11]</w:t>
      </w:r>
      <w:r w:rsidR="00B83872">
        <w:fldChar w:fldCharType="end"/>
      </w:r>
      <w:r w:rsidR="00C755A7">
        <w:t xml:space="preserve"> </w:t>
      </w:r>
      <w:r w:rsidR="003E65EF">
        <w:t xml:space="preserve"> </w:t>
      </w:r>
      <w:r>
        <w:t xml:space="preserve">ESR is also linked to the </w:t>
      </w:r>
      <w:r>
        <w:lastRenderedPageBreak/>
        <w:t>eligibility and maintenance criteria for biologic</w:t>
      </w:r>
      <w:r w:rsidR="00B13FD9">
        <w:t>al</w:t>
      </w:r>
      <w:r>
        <w:t xml:space="preserve"> d</w:t>
      </w:r>
      <w:r w:rsidRPr="001C2B3F">
        <w:t>isease-modifying anti</w:t>
      </w:r>
      <w:r w:rsidR="000E5945">
        <w:t>-</w:t>
      </w:r>
      <w:r w:rsidRPr="001C2B3F">
        <w:t>rheumatic drugs (</w:t>
      </w:r>
      <w:r w:rsidRPr="001C2B3F">
        <w:rPr>
          <w:bCs/>
        </w:rPr>
        <w:t>DMARDs</w:t>
      </w:r>
      <w:r w:rsidRPr="001C2B3F">
        <w:t>)</w:t>
      </w:r>
      <w:r>
        <w:t xml:space="preserve"> on the Pharmaceutical Benefits Scheme. Removal would have a substantial impact on PBS processes and would require a submission to PBAC</w:t>
      </w:r>
      <w:r w:rsidR="00B13FD9">
        <w:t>,</w:t>
      </w:r>
      <w:r>
        <w:t xml:space="preserve"> as clinical trials for many of these drugs have used ESR as a measure of response.</w:t>
      </w:r>
    </w:p>
    <w:p w14:paraId="4A9EBB2B" w14:textId="77777777" w:rsidR="0033420E" w:rsidRDefault="0033420E" w:rsidP="0033420E">
      <w:pPr>
        <w:pStyle w:val="01squarebullet"/>
      </w:pPr>
      <w:r>
        <w:t xml:space="preserve">The Committee noted that ESR is usually bundled as part of other tests such as a blood count or </w:t>
      </w:r>
      <w:proofErr w:type="spellStart"/>
      <w:r>
        <w:t>haemoglobin</w:t>
      </w:r>
      <w:proofErr w:type="spellEnd"/>
      <w:r w:rsidR="00B13FD9">
        <w:t>,</w:t>
      </w:r>
      <w:r>
        <w:t xml:space="preserve"> and removing the ESR items will have little impact on costs to the MBS</w:t>
      </w:r>
      <w:r w:rsidR="00B13FD9">
        <w:t>,</w:t>
      </w:r>
      <w:r>
        <w:t xml:space="preserve"> as the </w:t>
      </w:r>
      <w:r w:rsidRPr="009B67BF">
        <w:t>ES</w:t>
      </w:r>
      <w:r>
        <w:t>R test would be coned out</w:t>
      </w:r>
      <w:r w:rsidRPr="009B67BF">
        <w:t xml:space="preserve"> and the cost borne by the laboratory.</w:t>
      </w:r>
    </w:p>
    <w:p w14:paraId="467F4F24" w14:textId="77777777" w:rsidR="0033420E" w:rsidRDefault="0033420E" w:rsidP="0033420E">
      <w:pPr>
        <w:pStyle w:val="01squarebullet"/>
      </w:pPr>
      <w:r>
        <w:t>The Committee agreed that e</w:t>
      </w:r>
      <w:r w:rsidRPr="009B67BF">
        <w:t xml:space="preserve">ducation </w:t>
      </w:r>
      <w:r>
        <w:t>about</w:t>
      </w:r>
      <w:r w:rsidR="009C5CBA">
        <w:t xml:space="preserve"> rational test ordering</w:t>
      </w:r>
      <w:r>
        <w:t xml:space="preserve"> </w:t>
      </w:r>
      <w:r w:rsidR="009C5CBA">
        <w:t xml:space="preserve">is </w:t>
      </w:r>
      <w:r>
        <w:t>challenging</w:t>
      </w:r>
      <w:r w:rsidR="009C5CBA">
        <w:t xml:space="preserve"> but very important</w:t>
      </w:r>
      <w:r w:rsidRPr="009B67BF">
        <w:t>, part</w:t>
      </w:r>
      <w:r>
        <w:t xml:space="preserve">icularly in </w:t>
      </w:r>
      <w:r w:rsidR="009C5CBA">
        <w:t>practice for</w:t>
      </w:r>
      <w:r>
        <w:t xml:space="preserve"> junior and </w:t>
      </w:r>
      <w:r w:rsidRPr="009B67BF">
        <w:t>registrar medical staff</w:t>
      </w:r>
      <w:r w:rsidR="00634C51">
        <w:t>.</w:t>
      </w:r>
      <w:r>
        <w:t xml:space="preserve"> </w:t>
      </w:r>
    </w:p>
    <w:p w14:paraId="1D0BEED9" w14:textId="77777777" w:rsidR="007125E9" w:rsidRPr="00A44920" w:rsidRDefault="007125E9" w:rsidP="007125E9">
      <w:pPr>
        <w:pStyle w:val="Heading2"/>
      </w:pPr>
      <w:bookmarkStart w:id="122" w:name="_Toc495403416"/>
      <w:bookmarkEnd w:id="121"/>
      <w:r w:rsidRPr="007125E9">
        <w:t>Minor</w:t>
      </w:r>
      <w:r>
        <w:t xml:space="preserve"> changes</w:t>
      </w:r>
      <w:bookmarkEnd w:id="122"/>
    </w:p>
    <w:p w14:paraId="6DD6BB58" w14:textId="77777777" w:rsidR="007125E9" w:rsidRDefault="007125E9" w:rsidP="007125E9">
      <w:r>
        <w:t>The Committee has made recommendations for minor changes to the items in the following table. The changes relate to removing redundant methods, simplifying wor</w:t>
      </w:r>
      <w:r w:rsidR="00D95981">
        <w:t>ding and updating terminology</w:t>
      </w:r>
      <w:r w:rsidR="00AE5FD1">
        <w:t>, or adding an explanatory note</w:t>
      </w:r>
      <w:r w:rsidR="00D95981">
        <w:t>. The p</w:t>
      </w:r>
      <w:r>
        <w:t>roposed changes are underlined.</w:t>
      </w:r>
    </w:p>
    <w:p w14:paraId="61DE07DE" w14:textId="77777777" w:rsidR="007125E9" w:rsidRPr="005C1F3D" w:rsidRDefault="007125E9" w:rsidP="00C702A9">
      <w:pPr>
        <w:pStyle w:val="Caption"/>
      </w:pPr>
      <w:bookmarkStart w:id="123" w:name="_Toc481493784"/>
      <w:r>
        <w:t xml:space="preserve">Table </w:t>
      </w:r>
      <w:r w:rsidR="002C0890">
        <w:t>17</w:t>
      </w:r>
      <w:r>
        <w:t xml:space="preserve">: Minor changes </w:t>
      </w:r>
      <w:r w:rsidRPr="00FA0DEA">
        <w:t>recommended</w:t>
      </w:r>
      <w:bookmarkEnd w:id="123"/>
      <w:r w:rsidRPr="00FA0DEA">
        <w:t xml:space="preserve"> </w:t>
      </w:r>
    </w:p>
    <w:tbl>
      <w:tblPr>
        <w:tblStyle w:val="TableGrid"/>
        <w:tblW w:w="9209" w:type="dxa"/>
        <w:tblLook w:val="04A0" w:firstRow="1" w:lastRow="0" w:firstColumn="1" w:lastColumn="0" w:noHBand="0" w:noVBand="1"/>
        <w:tblCaption w:val="Table 17, Minor changes recommended"/>
        <w:tblDescription w:val="This table lists the item numbers, current descriptors and proposed amendments for items for which only minor changes were recommended."/>
      </w:tblPr>
      <w:tblGrid>
        <w:gridCol w:w="987"/>
        <w:gridCol w:w="4253"/>
        <w:gridCol w:w="3969"/>
      </w:tblGrid>
      <w:tr w:rsidR="007125E9" w:rsidRPr="00A57A02" w14:paraId="7350D1DC" w14:textId="77777777" w:rsidTr="003E65EF">
        <w:trPr>
          <w:tblHeader/>
        </w:trPr>
        <w:tc>
          <w:tcPr>
            <w:tcW w:w="987" w:type="dxa"/>
            <w:shd w:val="clear" w:color="auto" w:fill="F2F2F2" w:themeFill="background1" w:themeFillShade="F2"/>
            <w:vAlign w:val="bottom"/>
          </w:tcPr>
          <w:p w14:paraId="1DE0B4E1" w14:textId="77777777" w:rsidR="007125E9" w:rsidRPr="00D9763F" w:rsidRDefault="007125E9" w:rsidP="004904C7">
            <w:pPr>
              <w:rPr>
                <w:rFonts w:ascii="Arial" w:hAnsi="Arial" w:cs="Arial"/>
                <w:b/>
                <w:sz w:val="18"/>
                <w:szCs w:val="18"/>
              </w:rPr>
            </w:pPr>
            <w:r w:rsidRPr="00D9763F">
              <w:rPr>
                <w:rFonts w:ascii="Arial" w:hAnsi="Arial" w:cs="Arial"/>
                <w:b/>
                <w:sz w:val="18"/>
                <w:szCs w:val="18"/>
              </w:rPr>
              <w:t>Item</w:t>
            </w:r>
          </w:p>
        </w:tc>
        <w:tc>
          <w:tcPr>
            <w:tcW w:w="4253" w:type="dxa"/>
            <w:shd w:val="clear" w:color="auto" w:fill="F2F2F2" w:themeFill="background1" w:themeFillShade="F2"/>
            <w:vAlign w:val="bottom"/>
          </w:tcPr>
          <w:p w14:paraId="5087DE6C" w14:textId="77777777" w:rsidR="007125E9" w:rsidRPr="00D9763F" w:rsidRDefault="007125E9" w:rsidP="004904C7">
            <w:pPr>
              <w:rPr>
                <w:rFonts w:ascii="Arial" w:hAnsi="Arial" w:cs="Arial"/>
                <w:b/>
                <w:sz w:val="18"/>
                <w:szCs w:val="18"/>
              </w:rPr>
            </w:pPr>
            <w:r w:rsidRPr="00D9763F">
              <w:rPr>
                <w:rFonts w:ascii="Arial" w:hAnsi="Arial" w:cs="Arial"/>
                <w:b/>
                <w:sz w:val="18"/>
                <w:szCs w:val="18"/>
              </w:rPr>
              <w:t>Item descriptor</w:t>
            </w:r>
          </w:p>
        </w:tc>
        <w:tc>
          <w:tcPr>
            <w:tcW w:w="3969" w:type="dxa"/>
            <w:shd w:val="clear" w:color="auto" w:fill="F2F2F2" w:themeFill="background1" w:themeFillShade="F2"/>
            <w:vAlign w:val="bottom"/>
          </w:tcPr>
          <w:p w14:paraId="076CC867" w14:textId="77777777" w:rsidR="007125E9" w:rsidRPr="00D9763F" w:rsidRDefault="007125E9" w:rsidP="004904C7">
            <w:pPr>
              <w:rPr>
                <w:rFonts w:ascii="Arial" w:hAnsi="Arial" w:cs="Arial"/>
                <w:b/>
                <w:sz w:val="18"/>
                <w:szCs w:val="18"/>
              </w:rPr>
            </w:pPr>
            <w:r w:rsidRPr="00D9763F">
              <w:rPr>
                <w:rFonts w:ascii="Arial" w:hAnsi="Arial" w:cs="Arial"/>
                <w:b/>
                <w:sz w:val="18"/>
                <w:szCs w:val="18"/>
              </w:rPr>
              <w:t>Proposed amendment</w:t>
            </w:r>
          </w:p>
        </w:tc>
      </w:tr>
      <w:tr w:rsidR="007125E9" w:rsidRPr="00A57A02" w14:paraId="64C39DCE" w14:textId="77777777" w:rsidTr="004904C7">
        <w:trPr>
          <w:trHeight w:val="300"/>
        </w:trPr>
        <w:tc>
          <w:tcPr>
            <w:tcW w:w="987" w:type="dxa"/>
            <w:noWrap/>
          </w:tcPr>
          <w:p w14:paraId="7E8FD8D5" w14:textId="77777777" w:rsidR="007125E9" w:rsidRPr="00D9763F" w:rsidRDefault="007125E9" w:rsidP="004904C7">
            <w:pPr>
              <w:rPr>
                <w:rFonts w:ascii="Arial" w:hAnsi="Arial" w:cs="Arial"/>
                <w:color w:val="000000"/>
                <w:sz w:val="18"/>
                <w:szCs w:val="18"/>
              </w:rPr>
            </w:pPr>
            <w:r w:rsidRPr="00D620ED">
              <w:rPr>
                <w:rFonts w:ascii="Arial" w:hAnsi="Arial" w:cs="Arial"/>
                <w:color w:val="000000"/>
                <w:sz w:val="18"/>
                <w:szCs w:val="18"/>
              </w:rPr>
              <w:t>65066</w:t>
            </w:r>
          </w:p>
        </w:tc>
        <w:tc>
          <w:tcPr>
            <w:tcW w:w="4253" w:type="dxa"/>
            <w:noWrap/>
          </w:tcPr>
          <w:p w14:paraId="6F7E6394" w14:textId="77777777" w:rsidR="007125E9" w:rsidRPr="004623F8" w:rsidRDefault="007125E9" w:rsidP="004904C7">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140" w:after="40"/>
              <w:rPr>
                <w:rFonts w:ascii="Arial" w:hAnsi="Arial" w:cs="Arial"/>
                <w:color w:val="000000"/>
                <w:sz w:val="18"/>
                <w:szCs w:val="18"/>
              </w:rPr>
            </w:pPr>
            <w:r w:rsidRPr="00D620ED">
              <w:rPr>
                <w:rFonts w:ascii="Arial" w:hAnsi="Arial" w:cs="Arial"/>
                <w:color w:val="000000"/>
                <w:sz w:val="18"/>
                <w:szCs w:val="18"/>
              </w:rPr>
              <w:t xml:space="preserve">Examination of: (a) a blood film by special stains to demonstrate Heinz bodies, parasites or iron; or (b) </w:t>
            </w:r>
            <w:r w:rsidRPr="0033404F">
              <w:rPr>
                <w:rFonts w:ascii="Arial" w:hAnsi="Arial" w:cs="Arial"/>
                <w:color w:val="000000"/>
                <w:sz w:val="18"/>
                <w:szCs w:val="18"/>
                <w:u w:val="single"/>
              </w:rPr>
              <w:t xml:space="preserve">a blood film by enzyme cytochemistry for neutrophil alkaline phosphatase, </w:t>
            </w:r>
            <w:proofErr w:type="spellStart"/>
            <w:r w:rsidRPr="0033404F">
              <w:rPr>
                <w:rFonts w:ascii="Arial" w:hAnsi="Arial" w:cs="Arial"/>
                <w:color w:val="000000"/>
                <w:sz w:val="18"/>
                <w:szCs w:val="18"/>
                <w:u w:val="single"/>
              </w:rPr>
              <w:t>alphanaphthyl</w:t>
            </w:r>
            <w:proofErr w:type="spellEnd"/>
            <w:r w:rsidRPr="0033404F">
              <w:rPr>
                <w:rFonts w:ascii="Arial" w:hAnsi="Arial" w:cs="Arial"/>
                <w:color w:val="000000"/>
                <w:sz w:val="18"/>
                <w:szCs w:val="18"/>
                <w:u w:val="single"/>
              </w:rPr>
              <w:t xml:space="preserve"> acetate esterase or chloroacetate esterase;</w:t>
            </w:r>
            <w:r w:rsidRPr="00D620ED">
              <w:rPr>
                <w:rFonts w:ascii="Arial" w:hAnsi="Arial" w:cs="Arial"/>
                <w:color w:val="000000"/>
                <w:sz w:val="18"/>
                <w:szCs w:val="18"/>
              </w:rPr>
              <w:t xml:space="preserve"> </w:t>
            </w:r>
            <w:r w:rsidRPr="0033404F">
              <w:rPr>
                <w:rFonts w:ascii="Arial" w:hAnsi="Arial" w:cs="Arial"/>
                <w:color w:val="000000"/>
                <w:sz w:val="18"/>
                <w:szCs w:val="18"/>
                <w:u w:val="single"/>
              </w:rPr>
              <w:t xml:space="preserve">or (c) a blood film using any other special staining methods including periodic acid Schiff and Sudan Black; or </w:t>
            </w:r>
            <w:r w:rsidRPr="00D620ED">
              <w:rPr>
                <w:rFonts w:ascii="Arial" w:hAnsi="Arial" w:cs="Arial"/>
                <w:color w:val="000000"/>
                <w:sz w:val="18"/>
                <w:szCs w:val="18"/>
              </w:rPr>
              <w:t>(d) a urinary sediment for haemosiderin including a service described in item 65072</w:t>
            </w:r>
          </w:p>
        </w:tc>
        <w:tc>
          <w:tcPr>
            <w:tcW w:w="3969" w:type="dxa"/>
            <w:noWrap/>
          </w:tcPr>
          <w:p w14:paraId="5EBF1CE0" w14:textId="77777777" w:rsidR="007125E9" w:rsidRPr="00D9763F" w:rsidRDefault="007125E9" w:rsidP="004904C7">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140" w:after="40"/>
              <w:rPr>
                <w:rFonts w:ascii="Arial" w:hAnsi="Arial" w:cs="Arial"/>
                <w:color w:val="000000"/>
                <w:sz w:val="18"/>
                <w:szCs w:val="18"/>
                <w:u w:val="single"/>
              </w:rPr>
            </w:pPr>
            <w:r w:rsidRPr="00D620ED">
              <w:rPr>
                <w:rFonts w:ascii="Arial" w:hAnsi="Arial" w:cs="Arial"/>
                <w:color w:val="000000"/>
                <w:sz w:val="18"/>
                <w:szCs w:val="18"/>
              </w:rPr>
              <w:t xml:space="preserve">Examination of: (a) a blood film by special stains to demonstrate Heinz bodies, parasites or iron; or (b) </w:t>
            </w:r>
            <w:r w:rsidRPr="0033404F">
              <w:rPr>
                <w:rFonts w:ascii="Arial" w:hAnsi="Arial" w:cs="Arial"/>
                <w:color w:val="000000"/>
                <w:sz w:val="18"/>
                <w:szCs w:val="18"/>
                <w:u w:val="single"/>
              </w:rPr>
              <w:t xml:space="preserve">use of cytochemical stains to aid the diagnosis of </w:t>
            </w:r>
            <w:proofErr w:type="spellStart"/>
            <w:r w:rsidRPr="0033404F">
              <w:rPr>
                <w:rFonts w:ascii="Arial" w:hAnsi="Arial" w:cs="Arial"/>
                <w:color w:val="000000"/>
                <w:sz w:val="18"/>
                <w:szCs w:val="18"/>
                <w:u w:val="single"/>
              </w:rPr>
              <w:t>leukaemias</w:t>
            </w:r>
            <w:proofErr w:type="spellEnd"/>
            <w:r w:rsidRPr="0033404F">
              <w:rPr>
                <w:rFonts w:ascii="Arial" w:hAnsi="Arial" w:cs="Arial"/>
                <w:color w:val="000000"/>
                <w:sz w:val="18"/>
                <w:szCs w:val="18"/>
                <w:u w:val="single"/>
              </w:rPr>
              <w:t xml:space="preserve"> </w:t>
            </w:r>
            <w:r>
              <w:rPr>
                <w:rFonts w:ascii="Arial" w:hAnsi="Arial" w:cs="Arial"/>
                <w:color w:val="000000"/>
                <w:sz w:val="18"/>
                <w:szCs w:val="18"/>
              </w:rPr>
              <w:t>or (c</w:t>
            </w:r>
            <w:r w:rsidRPr="00D620ED">
              <w:rPr>
                <w:rFonts w:ascii="Arial" w:hAnsi="Arial" w:cs="Arial"/>
                <w:color w:val="000000"/>
                <w:sz w:val="18"/>
                <w:szCs w:val="18"/>
              </w:rPr>
              <w:t>) a urinary sediment for haemosiderin</w:t>
            </w:r>
            <w:r>
              <w:rPr>
                <w:rFonts w:ascii="Arial" w:hAnsi="Arial" w:cs="Arial"/>
                <w:color w:val="000000"/>
                <w:sz w:val="18"/>
                <w:szCs w:val="18"/>
              </w:rPr>
              <w:t>,</w:t>
            </w:r>
            <w:r w:rsidRPr="00D620ED">
              <w:rPr>
                <w:rFonts w:ascii="Arial" w:hAnsi="Arial" w:cs="Arial"/>
                <w:color w:val="000000"/>
                <w:sz w:val="18"/>
                <w:szCs w:val="18"/>
              </w:rPr>
              <w:t xml:space="preserve"> including a service described in item 65072</w:t>
            </w:r>
          </w:p>
        </w:tc>
      </w:tr>
      <w:tr w:rsidR="007125E9" w:rsidRPr="00A57A02" w14:paraId="0783EC13" w14:textId="77777777" w:rsidTr="004904C7">
        <w:trPr>
          <w:trHeight w:val="300"/>
        </w:trPr>
        <w:tc>
          <w:tcPr>
            <w:tcW w:w="987" w:type="dxa"/>
            <w:noWrap/>
            <w:hideMark/>
          </w:tcPr>
          <w:p w14:paraId="3F89DF46" w14:textId="77777777" w:rsidR="007125E9" w:rsidRPr="00D9763F" w:rsidRDefault="007125E9" w:rsidP="004904C7">
            <w:pPr>
              <w:rPr>
                <w:rFonts w:ascii="Arial" w:hAnsi="Arial" w:cs="Arial"/>
                <w:color w:val="000000"/>
                <w:sz w:val="18"/>
                <w:szCs w:val="18"/>
              </w:rPr>
            </w:pPr>
            <w:r w:rsidRPr="00D9763F">
              <w:rPr>
                <w:rFonts w:ascii="Arial" w:hAnsi="Arial" w:cs="Arial"/>
                <w:color w:val="000000"/>
                <w:sz w:val="18"/>
                <w:szCs w:val="18"/>
              </w:rPr>
              <w:t>65081</w:t>
            </w:r>
          </w:p>
        </w:tc>
        <w:tc>
          <w:tcPr>
            <w:tcW w:w="4253" w:type="dxa"/>
            <w:noWrap/>
            <w:hideMark/>
          </w:tcPr>
          <w:p w14:paraId="27474870" w14:textId="77777777" w:rsidR="007125E9" w:rsidRPr="00D9763F" w:rsidRDefault="007125E9" w:rsidP="004904C7">
            <w:pPr>
              <w:rPr>
                <w:rFonts w:ascii="Arial" w:hAnsi="Arial" w:cs="Arial"/>
                <w:color w:val="000000"/>
                <w:sz w:val="18"/>
                <w:szCs w:val="18"/>
              </w:rPr>
            </w:pPr>
            <w:r w:rsidRPr="00D9763F">
              <w:rPr>
                <w:rFonts w:ascii="Arial" w:hAnsi="Arial" w:cs="Arial"/>
                <w:color w:val="000000"/>
                <w:sz w:val="18"/>
                <w:szCs w:val="18"/>
                <w:u w:val="single"/>
              </w:rPr>
              <w:t>Tests for the investigation of haemoglobinopathy consisting</w:t>
            </w:r>
            <w:r w:rsidRPr="00D9763F">
              <w:rPr>
                <w:rFonts w:ascii="Arial" w:hAnsi="Arial" w:cs="Arial"/>
                <w:color w:val="000000"/>
                <w:sz w:val="18"/>
                <w:szCs w:val="18"/>
              </w:rPr>
              <w:t xml:space="preserve"> of haemoglobin electrophoresis or chromatography and at least 1 of: </w:t>
            </w:r>
            <w:r w:rsidRPr="00D9763F">
              <w:rPr>
                <w:rFonts w:ascii="Arial" w:hAnsi="Arial" w:cs="Arial"/>
                <w:color w:val="000000"/>
                <w:sz w:val="18"/>
                <w:szCs w:val="18"/>
                <w:u w:val="single"/>
              </w:rPr>
              <w:t>(a) heat denaturation test; or (b) isopropanol precipitation test;</w:t>
            </w:r>
            <w:r w:rsidRPr="00D9763F">
              <w:rPr>
                <w:rFonts w:ascii="Arial" w:hAnsi="Arial" w:cs="Arial"/>
                <w:color w:val="000000"/>
                <w:sz w:val="18"/>
                <w:szCs w:val="18"/>
              </w:rPr>
              <w:t xml:space="preserve"> or (c) tests for the presence of haemoglobin S; or (d) quantitation of any haemoglobin fraction (including S, C, D, E) including (if performed) any service described in item </w:t>
            </w:r>
            <w:r w:rsidRPr="00D9763F">
              <w:rPr>
                <w:rFonts w:ascii="Arial" w:hAnsi="Arial" w:cs="Arial"/>
                <w:color w:val="000000"/>
                <w:sz w:val="18"/>
                <w:szCs w:val="18"/>
                <w:u w:val="single"/>
              </w:rPr>
              <w:t>65060</w:t>
            </w:r>
            <w:r w:rsidRPr="00D9763F">
              <w:rPr>
                <w:rFonts w:ascii="Arial" w:hAnsi="Arial" w:cs="Arial"/>
                <w:color w:val="000000"/>
                <w:sz w:val="18"/>
                <w:szCs w:val="18"/>
              </w:rPr>
              <w:t>, 65070 or 65078</w:t>
            </w:r>
          </w:p>
        </w:tc>
        <w:tc>
          <w:tcPr>
            <w:tcW w:w="3969" w:type="dxa"/>
            <w:noWrap/>
          </w:tcPr>
          <w:p w14:paraId="74B2B984" w14:textId="77777777" w:rsidR="007125E9" w:rsidRPr="00D9763F" w:rsidRDefault="007125E9" w:rsidP="004904C7">
            <w:pPr>
              <w:rPr>
                <w:rFonts w:ascii="Arial" w:hAnsi="Arial" w:cs="Arial"/>
                <w:color w:val="000000"/>
                <w:sz w:val="18"/>
                <w:szCs w:val="18"/>
              </w:rPr>
            </w:pPr>
            <w:r w:rsidRPr="00D9763F">
              <w:rPr>
                <w:rFonts w:ascii="Arial" w:hAnsi="Arial" w:cs="Arial"/>
                <w:color w:val="000000"/>
                <w:sz w:val="18"/>
                <w:szCs w:val="18"/>
                <w:u w:val="single"/>
              </w:rPr>
              <w:t xml:space="preserve">Tests for </w:t>
            </w:r>
            <w:proofErr w:type="spellStart"/>
            <w:r w:rsidRPr="00D9763F">
              <w:rPr>
                <w:rFonts w:ascii="Arial" w:hAnsi="Arial" w:cs="Arial"/>
                <w:color w:val="000000"/>
                <w:sz w:val="18"/>
                <w:szCs w:val="18"/>
                <w:u w:val="single"/>
              </w:rPr>
              <w:t>haemglobinopathy</w:t>
            </w:r>
            <w:proofErr w:type="spellEnd"/>
            <w:r w:rsidRPr="00D9763F">
              <w:rPr>
                <w:rFonts w:ascii="Arial" w:hAnsi="Arial" w:cs="Arial"/>
                <w:color w:val="000000"/>
                <w:sz w:val="18"/>
                <w:szCs w:val="18"/>
                <w:u w:val="single"/>
              </w:rPr>
              <w:t xml:space="preserve"> disorders </w:t>
            </w:r>
            <w:r w:rsidRPr="00D9763F">
              <w:rPr>
                <w:rFonts w:ascii="Arial" w:hAnsi="Arial" w:cs="Arial"/>
                <w:color w:val="000000"/>
                <w:sz w:val="18"/>
                <w:szCs w:val="18"/>
              </w:rPr>
              <w:t>by electrophoresis or chromatography and at least 1 of: (a) tests for the presence of haemoglobin S; or (b) quantitation of any haemoglobin fraction (including S, C, D, E) including (if performed) any service described in item 65070 or 65078</w:t>
            </w:r>
          </w:p>
        </w:tc>
      </w:tr>
      <w:tr w:rsidR="007125E9" w:rsidRPr="00A57A02" w14:paraId="61C0C784" w14:textId="77777777" w:rsidTr="004904C7">
        <w:trPr>
          <w:trHeight w:val="300"/>
        </w:trPr>
        <w:tc>
          <w:tcPr>
            <w:tcW w:w="987" w:type="dxa"/>
            <w:noWrap/>
          </w:tcPr>
          <w:p w14:paraId="6B0456C3" w14:textId="77777777" w:rsidR="007125E9" w:rsidRPr="00D9763F" w:rsidRDefault="007125E9" w:rsidP="004904C7">
            <w:pPr>
              <w:rPr>
                <w:rFonts w:ascii="Arial" w:hAnsi="Arial" w:cs="Arial"/>
                <w:color w:val="000000"/>
                <w:sz w:val="18"/>
                <w:szCs w:val="18"/>
              </w:rPr>
            </w:pPr>
            <w:r w:rsidRPr="00D9763F">
              <w:rPr>
                <w:rFonts w:ascii="Arial" w:hAnsi="Arial" w:cs="Arial"/>
                <w:color w:val="000000"/>
                <w:sz w:val="18"/>
                <w:szCs w:val="18"/>
              </w:rPr>
              <w:t>65147</w:t>
            </w:r>
          </w:p>
        </w:tc>
        <w:tc>
          <w:tcPr>
            <w:tcW w:w="4253" w:type="dxa"/>
            <w:noWrap/>
          </w:tcPr>
          <w:p w14:paraId="20816A15" w14:textId="77777777" w:rsidR="007125E9" w:rsidRPr="00D9763F" w:rsidRDefault="007125E9" w:rsidP="004904C7">
            <w:pPr>
              <w:rPr>
                <w:rFonts w:ascii="Arial" w:hAnsi="Arial" w:cs="Arial"/>
                <w:color w:val="000000"/>
                <w:sz w:val="18"/>
                <w:szCs w:val="18"/>
              </w:rPr>
            </w:pPr>
            <w:r w:rsidRPr="00D9763F">
              <w:rPr>
                <w:rFonts w:ascii="Arial" w:hAnsi="Arial" w:cs="Arial"/>
                <w:color w:val="000000"/>
                <w:sz w:val="18"/>
                <w:szCs w:val="18"/>
              </w:rPr>
              <w:t>Quantitation of anti-</w:t>
            </w:r>
            <w:proofErr w:type="spellStart"/>
            <w:r w:rsidRPr="00D9763F">
              <w:rPr>
                <w:rFonts w:ascii="Arial" w:hAnsi="Arial" w:cs="Arial"/>
                <w:color w:val="000000"/>
                <w:sz w:val="18"/>
                <w:szCs w:val="18"/>
              </w:rPr>
              <w:t>Xa</w:t>
            </w:r>
            <w:proofErr w:type="spellEnd"/>
            <w:r w:rsidRPr="00D9763F">
              <w:rPr>
                <w:rFonts w:ascii="Arial" w:hAnsi="Arial" w:cs="Arial"/>
                <w:color w:val="000000"/>
                <w:sz w:val="18"/>
                <w:szCs w:val="18"/>
              </w:rPr>
              <w:t xml:space="preserve"> activity when monitoring is required for a patient </w:t>
            </w:r>
            <w:r w:rsidRPr="00D9763F">
              <w:rPr>
                <w:rFonts w:ascii="Arial" w:hAnsi="Arial" w:cs="Arial"/>
                <w:color w:val="000000"/>
                <w:sz w:val="18"/>
                <w:szCs w:val="18"/>
                <w:u w:val="single"/>
              </w:rPr>
              <w:t>receiving a low molecular weight heparin or heparinoid</w:t>
            </w:r>
            <w:r w:rsidRPr="00D9763F">
              <w:rPr>
                <w:rFonts w:ascii="Arial" w:hAnsi="Arial" w:cs="Arial"/>
                <w:color w:val="000000"/>
                <w:sz w:val="18"/>
                <w:szCs w:val="18"/>
              </w:rPr>
              <w:t xml:space="preserve"> - 1 test</w:t>
            </w:r>
          </w:p>
        </w:tc>
        <w:tc>
          <w:tcPr>
            <w:tcW w:w="3969" w:type="dxa"/>
            <w:noWrap/>
          </w:tcPr>
          <w:p w14:paraId="1FCF6932" w14:textId="77777777" w:rsidR="007125E9" w:rsidRDefault="007125E9" w:rsidP="004904C7">
            <w:pPr>
              <w:rPr>
                <w:rFonts w:ascii="Arial" w:hAnsi="Arial" w:cs="Arial"/>
                <w:color w:val="000000"/>
                <w:sz w:val="18"/>
                <w:szCs w:val="18"/>
              </w:rPr>
            </w:pPr>
            <w:r w:rsidRPr="00D9763F">
              <w:rPr>
                <w:rFonts w:ascii="Arial" w:hAnsi="Arial" w:cs="Arial"/>
                <w:color w:val="000000"/>
                <w:sz w:val="18"/>
                <w:szCs w:val="18"/>
              </w:rPr>
              <w:t>Quantitation of anti-</w:t>
            </w:r>
            <w:proofErr w:type="spellStart"/>
            <w:r w:rsidRPr="00D9763F">
              <w:rPr>
                <w:rFonts w:ascii="Arial" w:hAnsi="Arial" w:cs="Arial"/>
                <w:color w:val="000000"/>
                <w:sz w:val="18"/>
                <w:szCs w:val="18"/>
              </w:rPr>
              <w:t>Xa</w:t>
            </w:r>
            <w:proofErr w:type="spellEnd"/>
            <w:r w:rsidRPr="00D9763F">
              <w:rPr>
                <w:rFonts w:ascii="Arial" w:hAnsi="Arial" w:cs="Arial"/>
                <w:color w:val="000000"/>
                <w:sz w:val="18"/>
                <w:szCs w:val="18"/>
              </w:rPr>
              <w:t xml:space="preserve"> activity when monitoring is required for a patient </w:t>
            </w:r>
            <w:r w:rsidRPr="00D9763F">
              <w:rPr>
                <w:rFonts w:ascii="Arial" w:hAnsi="Arial" w:cs="Arial"/>
                <w:color w:val="000000"/>
                <w:sz w:val="18"/>
                <w:szCs w:val="18"/>
                <w:u w:val="single"/>
              </w:rPr>
              <w:t>receiving relevant anticoagulation with known anti</w:t>
            </w:r>
            <w:r>
              <w:rPr>
                <w:rFonts w:ascii="Arial" w:hAnsi="Arial" w:cs="Arial"/>
                <w:color w:val="000000"/>
                <w:sz w:val="18"/>
                <w:szCs w:val="18"/>
                <w:u w:val="single"/>
              </w:rPr>
              <w:t>-</w:t>
            </w:r>
            <w:proofErr w:type="spellStart"/>
            <w:r w:rsidRPr="00D9763F">
              <w:rPr>
                <w:rFonts w:ascii="Arial" w:hAnsi="Arial" w:cs="Arial"/>
                <w:color w:val="000000"/>
                <w:sz w:val="18"/>
                <w:szCs w:val="18"/>
                <w:u w:val="single"/>
              </w:rPr>
              <w:t>Xa</w:t>
            </w:r>
            <w:proofErr w:type="spellEnd"/>
            <w:r w:rsidRPr="00D9763F">
              <w:rPr>
                <w:rFonts w:ascii="Arial" w:hAnsi="Arial" w:cs="Arial"/>
                <w:color w:val="000000"/>
                <w:sz w:val="18"/>
                <w:szCs w:val="18"/>
                <w:u w:val="single"/>
              </w:rPr>
              <w:t xml:space="preserve"> effect</w:t>
            </w:r>
            <w:r>
              <w:rPr>
                <w:rFonts w:ascii="Arial" w:hAnsi="Arial" w:cs="Arial"/>
                <w:color w:val="000000"/>
                <w:sz w:val="18"/>
                <w:szCs w:val="18"/>
                <w:u w:val="single"/>
              </w:rPr>
              <w:t xml:space="preserve"> </w:t>
            </w:r>
            <w:r>
              <w:rPr>
                <w:rFonts w:ascii="Arial" w:hAnsi="Arial" w:cs="Arial"/>
                <w:color w:val="000000"/>
                <w:sz w:val="18"/>
                <w:szCs w:val="18"/>
              </w:rPr>
              <w:t>- 1 test</w:t>
            </w:r>
          </w:p>
          <w:p w14:paraId="7303542A" w14:textId="77777777" w:rsidR="003B178C" w:rsidRPr="00AE5FD1" w:rsidRDefault="003B178C" w:rsidP="004904C7">
            <w:pPr>
              <w:rPr>
                <w:rFonts w:ascii="Arial" w:hAnsi="Arial" w:cs="Arial"/>
                <w:color w:val="000000"/>
                <w:sz w:val="18"/>
                <w:szCs w:val="18"/>
                <w:u w:val="single"/>
              </w:rPr>
            </w:pPr>
            <w:r w:rsidRPr="00AE5FD1">
              <w:rPr>
                <w:rFonts w:ascii="Arial" w:hAnsi="Arial" w:cs="Arial"/>
                <w:color w:val="000000"/>
                <w:sz w:val="18"/>
                <w:szCs w:val="18"/>
                <w:u w:val="single"/>
              </w:rPr>
              <w:t>Explanatory note: Include the name of the relevant anticoagulant medication in the request</w:t>
            </w:r>
          </w:p>
        </w:tc>
      </w:tr>
      <w:tr w:rsidR="00AE5FD1" w:rsidRPr="00A57A02" w14:paraId="79B3D0AE" w14:textId="77777777" w:rsidTr="004904C7">
        <w:trPr>
          <w:trHeight w:val="300"/>
        </w:trPr>
        <w:tc>
          <w:tcPr>
            <w:tcW w:w="987" w:type="dxa"/>
            <w:noWrap/>
          </w:tcPr>
          <w:p w14:paraId="3BB30153" w14:textId="77777777" w:rsidR="00AE5FD1" w:rsidRPr="00D9763F" w:rsidRDefault="00AE5FD1" w:rsidP="00AE5FD1">
            <w:pPr>
              <w:rPr>
                <w:rFonts w:ascii="Arial" w:hAnsi="Arial" w:cs="Arial"/>
                <w:color w:val="000000"/>
                <w:sz w:val="18"/>
                <w:szCs w:val="18"/>
              </w:rPr>
            </w:pPr>
            <w:r>
              <w:rPr>
                <w:rFonts w:ascii="Arial" w:hAnsi="Arial" w:cs="Arial"/>
                <w:color w:val="000000"/>
                <w:sz w:val="18"/>
                <w:szCs w:val="18"/>
              </w:rPr>
              <w:t>65175</w:t>
            </w:r>
          </w:p>
        </w:tc>
        <w:tc>
          <w:tcPr>
            <w:tcW w:w="4253" w:type="dxa"/>
            <w:noWrap/>
          </w:tcPr>
          <w:p w14:paraId="5D4695FB" w14:textId="77777777" w:rsidR="00AE5FD1" w:rsidRPr="00D9763F" w:rsidRDefault="00AE5FD1" w:rsidP="00AE5FD1">
            <w:pPr>
              <w:rPr>
                <w:rFonts w:ascii="Arial" w:hAnsi="Arial" w:cs="Arial"/>
                <w:color w:val="000000"/>
                <w:sz w:val="18"/>
                <w:szCs w:val="18"/>
              </w:rPr>
            </w:pPr>
            <w:r w:rsidRPr="00AE5FD1">
              <w:rPr>
                <w:rFonts w:ascii="Arial" w:hAnsi="Arial" w:cs="Arial"/>
                <w:color w:val="000000"/>
                <w:sz w:val="18"/>
                <w:szCs w:val="18"/>
              </w:rPr>
              <w:t>Test for the presence of antithrombin III deficiency, protein C deficiency, protein S deficiency, lupus anticoagulant, activated protein C resistance - where the request for the test(s) specifically identifies that the patient has a history of venous thromboembolism - quantitation b</w:t>
            </w:r>
            <w:r>
              <w:rPr>
                <w:rFonts w:ascii="Arial" w:hAnsi="Arial" w:cs="Arial"/>
                <w:color w:val="000000"/>
                <w:sz w:val="18"/>
                <w:szCs w:val="18"/>
              </w:rPr>
              <w:t xml:space="preserve">y 1 or more techniques - 1 test </w:t>
            </w:r>
            <w:r w:rsidRPr="00AE5FD1">
              <w:rPr>
                <w:rFonts w:ascii="Arial" w:hAnsi="Arial" w:cs="Arial"/>
                <w:color w:val="000000"/>
                <w:sz w:val="18"/>
                <w:szCs w:val="18"/>
              </w:rPr>
              <w:t>(Item is subject to Rule 6)</w:t>
            </w:r>
          </w:p>
        </w:tc>
        <w:tc>
          <w:tcPr>
            <w:tcW w:w="3969" w:type="dxa"/>
            <w:noWrap/>
          </w:tcPr>
          <w:p w14:paraId="77F4AD4D" w14:textId="77777777" w:rsidR="00AE5FD1" w:rsidRDefault="00AE5FD1" w:rsidP="00AE5FD1">
            <w:pPr>
              <w:rPr>
                <w:rFonts w:ascii="Arial" w:hAnsi="Arial" w:cs="Arial"/>
                <w:color w:val="000000"/>
                <w:sz w:val="18"/>
                <w:szCs w:val="18"/>
              </w:rPr>
            </w:pPr>
            <w:r w:rsidRPr="00AE5FD1">
              <w:rPr>
                <w:rFonts w:ascii="Arial" w:hAnsi="Arial" w:cs="Arial"/>
                <w:color w:val="000000"/>
                <w:sz w:val="18"/>
                <w:szCs w:val="18"/>
              </w:rPr>
              <w:t xml:space="preserve">Test for the presence of antithrombin III deficiency, protein C deficiency, protein S deficiency, lupus anticoagulant, activated protein C resistance - </w:t>
            </w:r>
            <w:r w:rsidRPr="0033404F">
              <w:rPr>
                <w:rFonts w:ascii="Arial" w:hAnsi="Arial" w:cs="Arial"/>
                <w:color w:val="000000"/>
                <w:sz w:val="18"/>
                <w:szCs w:val="18"/>
                <w:u w:val="single"/>
              </w:rPr>
              <w:t>whe</w:t>
            </w:r>
            <w:r w:rsidR="00F81288" w:rsidRPr="0033404F">
              <w:rPr>
                <w:rFonts w:ascii="Arial" w:hAnsi="Arial" w:cs="Arial"/>
                <w:color w:val="000000"/>
                <w:sz w:val="18"/>
                <w:szCs w:val="18"/>
                <w:u w:val="single"/>
              </w:rPr>
              <w:t>n</w:t>
            </w:r>
            <w:r w:rsidRPr="00AE5FD1">
              <w:rPr>
                <w:rFonts w:ascii="Arial" w:hAnsi="Arial" w:cs="Arial"/>
                <w:color w:val="000000"/>
                <w:sz w:val="18"/>
                <w:szCs w:val="18"/>
              </w:rPr>
              <w:t xml:space="preserve"> the request for the test(s) specifically identifies that the patient has a history of venous thromboembolism </w:t>
            </w:r>
            <w:r w:rsidR="00F81288">
              <w:rPr>
                <w:rFonts w:ascii="Arial" w:hAnsi="Arial" w:cs="Arial"/>
                <w:color w:val="000000"/>
                <w:sz w:val="18"/>
                <w:szCs w:val="18"/>
              </w:rPr>
              <w:t>–</w:t>
            </w:r>
            <w:r w:rsidR="00F81288" w:rsidRPr="00AE5FD1">
              <w:rPr>
                <w:rFonts w:ascii="Arial" w:hAnsi="Arial" w:cs="Arial"/>
                <w:color w:val="000000"/>
                <w:sz w:val="18"/>
                <w:szCs w:val="18"/>
              </w:rPr>
              <w:t xml:space="preserve"> </w:t>
            </w:r>
            <w:r w:rsidRPr="00AE5FD1">
              <w:rPr>
                <w:rFonts w:ascii="Arial" w:hAnsi="Arial" w:cs="Arial"/>
                <w:color w:val="000000"/>
                <w:sz w:val="18"/>
                <w:szCs w:val="18"/>
              </w:rPr>
              <w:t>quantitation b</w:t>
            </w:r>
            <w:r>
              <w:rPr>
                <w:rFonts w:ascii="Arial" w:hAnsi="Arial" w:cs="Arial"/>
                <w:color w:val="000000"/>
                <w:sz w:val="18"/>
                <w:szCs w:val="18"/>
              </w:rPr>
              <w:t xml:space="preserve">y 1 or more techniques </w:t>
            </w:r>
            <w:r w:rsidR="00F81288">
              <w:rPr>
                <w:rFonts w:ascii="Arial" w:hAnsi="Arial" w:cs="Arial"/>
                <w:color w:val="000000"/>
                <w:sz w:val="18"/>
                <w:szCs w:val="18"/>
              </w:rPr>
              <w:t xml:space="preserve">– </w:t>
            </w:r>
            <w:r>
              <w:rPr>
                <w:rFonts w:ascii="Arial" w:hAnsi="Arial" w:cs="Arial"/>
                <w:color w:val="000000"/>
                <w:sz w:val="18"/>
                <w:szCs w:val="18"/>
              </w:rPr>
              <w:t xml:space="preserve">1 test </w:t>
            </w:r>
            <w:r w:rsidRPr="00AE5FD1">
              <w:rPr>
                <w:rFonts w:ascii="Arial" w:hAnsi="Arial" w:cs="Arial"/>
                <w:color w:val="000000"/>
                <w:sz w:val="18"/>
                <w:szCs w:val="18"/>
              </w:rPr>
              <w:t>(Item is subject to Rule 6)</w:t>
            </w:r>
          </w:p>
          <w:p w14:paraId="00A94B21" w14:textId="77777777" w:rsidR="00AE5FD1" w:rsidRPr="00AE5FD1" w:rsidRDefault="00AE5FD1" w:rsidP="00AE5FD1">
            <w:pPr>
              <w:rPr>
                <w:rFonts w:ascii="Arial" w:hAnsi="Arial" w:cs="Arial"/>
                <w:color w:val="000000"/>
                <w:sz w:val="18"/>
                <w:szCs w:val="18"/>
                <w:u w:val="single"/>
              </w:rPr>
            </w:pPr>
            <w:r w:rsidRPr="00AE5FD1">
              <w:rPr>
                <w:rFonts w:ascii="Arial" w:hAnsi="Arial" w:cs="Arial"/>
                <w:color w:val="000000"/>
                <w:sz w:val="18"/>
                <w:szCs w:val="18"/>
                <w:u w:val="single"/>
              </w:rPr>
              <w:t xml:space="preserve">Explanatory note: </w:t>
            </w:r>
            <w:r w:rsidRPr="00AE5FD1">
              <w:rPr>
                <w:rFonts w:ascii="Arial" w:hAnsi="Arial" w:cs="Arial"/>
                <w:color w:val="000000"/>
                <w:sz w:val="18"/>
                <w:szCs w:val="18"/>
                <w:u w:val="single"/>
                <w:lang w:val="en-US"/>
              </w:rPr>
              <w:t xml:space="preserve">For use in patients with </w:t>
            </w:r>
            <w:r w:rsidRPr="00AE5FD1">
              <w:rPr>
                <w:rFonts w:ascii="Arial" w:hAnsi="Arial" w:cs="Arial"/>
                <w:color w:val="000000"/>
                <w:sz w:val="18"/>
                <w:szCs w:val="18"/>
                <w:u w:val="single"/>
                <w:lang w:val="en-AU"/>
              </w:rPr>
              <w:t xml:space="preserve">a history of unprovoked venous thromboembolism (VTE), life-threatening VTE, VTE in unusual sites, VTE in pregnancy or a </w:t>
            </w:r>
            <w:r w:rsidRPr="00AE5FD1">
              <w:rPr>
                <w:rFonts w:ascii="Arial" w:hAnsi="Arial" w:cs="Arial"/>
                <w:color w:val="000000"/>
                <w:sz w:val="18"/>
                <w:szCs w:val="18"/>
                <w:u w:val="single"/>
                <w:lang w:val="en-AU"/>
              </w:rPr>
              <w:lastRenderedPageBreak/>
              <w:t>strong family history of VTE (more than one relative VTE or VTE at young age in first-degree relative).</w:t>
            </w:r>
          </w:p>
        </w:tc>
      </w:tr>
    </w:tbl>
    <w:p w14:paraId="02599D0D" w14:textId="77777777" w:rsidR="007125E9" w:rsidRPr="00F63085" w:rsidRDefault="007125E9" w:rsidP="007125E9">
      <w:pPr>
        <w:rPr>
          <w:lang w:val="en-US"/>
        </w:rPr>
      </w:pPr>
    </w:p>
    <w:p w14:paraId="42EAA1B6" w14:textId="77777777" w:rsidR="007125E9" w:rsidRDefault="007125E9" w:rsidP="007125E9">
      <w:pPr>
        <w:pStyle w:val="Heading2"/>
      </w:pPr>
      <w:bookmarkStart w:id="124" w:name="_Toc495403417"/>
      <w:r>
        <w:t xml:space="preserve">Items to be </w:t>
      </w:r>
      <w:r w:rsidR="00375E33">
        <w:t>deleted</w:t>
      </w:r>
      <w:bookmarkEnd w:id="124"/>
    </w:p>
    <w:p w14:paraId="3E4AA07B" w14:textId="77777777" w:rsidR="00A95DE1" w:rsidRDefault="00A95DE1" w:rsidP="00A95DE1">
      <w:r>
        <w:rPr>
          <w:lang w:val="en-US" w:eastAsia="en-US"/>
        </w:rPr>
        <w:t xml:space="preserve">The </w:t>
      </w:r>
      <w:r w:rsidR="00CF044D">
        <w:rPr>
          <w:lang w:val="en-US" w:eastAsia="en-US"/>
        </w:rPr>
        <w:t xml:space="preserve">Committee </w:t>
      </w:r>
      <w:r w:rsidR="00CF044D" w:rsidRPr="001F0952">
        <w:t xml:space="preserve">recommends that </w:t>
      </w:r>
      <w:r w:rsidR="00CF044D">
        <w:t xml:space="preserve">the MBS items listed </w:t>
      </w:r>
      <w:r w:rsidR="00CF044D" w:rsidRPr="00AE5FD1">
        <w:t xml:space="preserve">in </w:t>
      </w:r>
      <w:r w:rsidR="00CF044D" w:rsidRPr="00AE5FD1">
        <w:fldChar w:fldCharType="begin"/>
      </w:r>
      <w:r w:rsidR="00CF044D" w:rsidRPr="00AE5FD1">
        <w:instrText xml:space="preserve"> REF _Ref457115861 \h  \* MERGEFORMAT </w:instrText>
      </w:r>
      <w:r w:rsidR="00CF044D" w:rsidRPr="00AE5FD1">
        <w:fldChar w:fldCharType="separate"/>
      </w:r>
      <w:r w:rsidR="005C3364" w:rsidRPr="00162420">
        <w:t xml:space="preserve">Table </w:t>
      </w:r>
      <w:r w:rsidR="00CF044D" w:rsidRPr="00AE5FD1">
        <w:fldChar w:fldCharType="end"/>
      </w:r>
      <w:r w:rsidR="00AE5FD1" w:rsidRPr="00AE5FD1">
        <w:t>1</w:t>
      </w:r>
      <w:r w:rsidR="008C1601">
        <w:t>8</w:t>
      </w:r>
      <w:r w:rsidR="00AE5FD1" w:rsidRPr="00AE5FD1">
        <w:t xml:space="preserve"> </w:t>
      </w:r>
      <w:r w:rsidR="00CF044D">
        <w:t xml:space="preserve">should be removed from the </w:t>
      </w:r>
      <w:r w:rsidR="002A1F89">
        <w:t>s</w:t>
      </w:r>
      <w:r w:rsidR="00CF044D">
        <w:t>chedule.</w:t>
      </w:r>
    </w:p>
    <w:p w14:paraId="4FFB659A" w14:textId="77777777" w:rsidR="00CF044D" w:rsidRDefault="00CF044D" w:rsidP="00CF044D">
      <w:pPr>
        <w:pStyle w:val="01squarebullet"/>
      </w:pPr>
      <w:r>
        <w:t>Item 65117 is a test no longer relevant due to the availability of alternat</w:t>
      </w:r>
      <w:r w:rsidR="00F81288">
        <w:t>iv</w:t>
      </w:r>
      <w:r>
        <w:t>e methods.</w:t>
      </w:r>
    </w:p>
    <w:p w14:paraId="7A759364" w14:textId="77777777" w:rsidR="00CF044D" w:rsidRDefault="00CF044D" w:rsidP="00CF044D">
      <w:pPr>
        <w:pStyle w:val="01squarebullet"/>
      </w:pPr>
      <w:r>
        <w:t>Items 65102, 65105 and 65108 have been made redundant following the recommendation to revise the compatibility items (see section 4.2).</w:t>
      </w:r>
    </w:p>
    <w:p w14:paraId="0BA46A5A" w14:textId="77777777" w:rsidR="00CF044D" w:rsidRPr="00CF044D" w:rsidRDefault="00CF044D" w:rsidP="00CF044D">
      <w:pPr>
        <w:pStyle w:val="01squarebullet"/>
      </w:pPr>
      <w:r>
        <w:t>Item 65129 is redundant following the recommendation to limit the number of coagulation tests funded (see section 4.3).</w:t>
      </w:r>
    </w:p>
    <w:p w14:paraId="3D90BE76" w14:textId="77777777" w:rsidR="007125E9" w:rsidRPr="0055490E" w:rsidRDefault="007125E9" w:rsidP="00C702A9">
      <w:pPr>
        <w:pStyle w:val="Caption"/>
      </w:pPr>
      <w:bookmarkStart w:id="125" w:name="_Toc481493785"/>
      <w:r>
        <w:t xml:space="preserve">Table </w:t>
      </w:r>
      <w:r w:rsidR="002C0890">
        <w:t>18</w:t>
      </w:r>
      <w:r>
        <w:t>: Items recommended for removal from the MBS</w:t>
      </w:r>
      <w:bookmarkEnd w:id="125"/>
    </w:p>
    <w:tbl>
      <w:tblPr>
        <w:tblStyle w:val="TableGrid"/>
        <w:tblW w:w="9322" w:type="dxa"/>
        <w:tblLayout w:type="fixed"/>
        <w:tblLook w:val="04A0" w:firstRow="1" w:lastRow="0" w:firstColumn="1" w:lastColumn="0" w:noHBand="0" w:noVBand="1"/>
        <w:tblCaption w:val="Table 18, Items to be removed"/>
        <w:tblDescription w:val="This table lists the item numbers, descriptors, schedule fees and numbers of services provided in 2014-15 for items recommended to be removed from the MBS."/>
      </w:tblPr>
      <w:tblGrid>
        <w:gridCol w:w="965"/>
        <w:gridCol w:w="5522"/>
        <w:gridCol w:w="1451"/>
        <w:gridCol w:w="1384"/>
      </w:tblGrid>
      <w:tr w:rsidR="007125E9" w:rsidRPr="00D620ED" w14:paraId="34DD5E28" w14:textId="77777777" w:rsidTr="008C1601">
        <w:trPr>
          <w:tblHeader/>
        </w:trPr>
        <w:tc>
          <w:tcPr>
            <w:tcW w:w="965" w:type="dxa"/>
            <w:shd w:val="clear" w:color="auto" w:fill="F2F2F2" w:themeFill="background1" w:themeFillShade="F2"/>
            <w:vAlign w:val="bottom"/>
          </w:tcPr>
          <w:p w14:paraId="74E77E72" w14:textId="77777777" w:rsidR="007125E9" w:rsidRPr="00D620ED" w:rsidRDefault="007125E9" w:rsidP="004904C7">
            <w:pPr>
              <w:spacing w:before="60" w:after="40"/>
              <w:rPr>
                <w:rFonts w:ascii="Arial" w:hAnsi="Arial" w:cs="Arial"/>
                <w:b/>
                <w:sz w:val="18"/>
                <w:szCs w:val="18"/>
                <w:lang w:val="en-US"/>
              </w:rPr>
            </w:pPr>
            <w:r w:rsidRPr="00D620ED">
              <w:rPr>
                <w:rFonts w:ascii="Arial" w:hAnsi="Arial" w:cs="Arial"/>
                <w:b/>
                <w:sz w:val="18"/>
                <w:szCs w:val="18"/>
                <w:lang w:val="en-US"/>
              </w:rPr>
              <w:t>Item</w:t>
            </w:r>
          </w:p>
        </w:tc>
        <w:tc>
          <w:tcPr>
            <w:tcW w:w="5522" w:type="dxa"/>
            <w:shd w:val="clear" w:color="auto" w:fill="F2F2F2" w:themeFill="background1" w:themeFillShade="F2"/>
            <w:vAlign w:val="bottom"/>
          </w:tcPr>
          <w:p w14:paraId="6FEAC37D" w14:textId="77777777" w:rsidR="007125E9" w:rsidRPr="00D620ED" w:rsidRDefault="007125E9" w:rsidP="004904C7">
            <w:pPr>
              <w:spacing w:before="60" w:after="40"/>
              <w:rPr>
                <w:rFonts w:ascii="Arial" w:hAnsi="Arial" w:cs="Arial"/>
                <w:sz w:val="18"/>
                <w:szCs w:val="18"/>
                <w:lang w:val="en-US"/>
              </w:rPr>
            </w:pPr>
            <w:r w:rsidRPr="00D620ED">
              <w:rPr>
                <w:rFonts w:ascii="Arial" w:hAnsi="Arial" w:cs="Arial"/>
                <w:b/>
                <w:sz w:val="18"/>
                <w:szCs w:val="18"/>
                <w:lang w:val="en-US"/>
              </w:rPr>
              <w:t>Item descriptor</w:t>
            </w:r>
          </w:p>
        </w:tc>
        <w:tc>
          <w:tcPr>
            <w:tcW w:w="1451" w:type="dxa"/>
            <w:shd w:val="clear" w:color="auto" w:fill="F2F2F2" w:themeFill="background1" w:themeFillShade="F2"/>
            <w:vAlign w:val="bottom"/>
          </w:tcPr>
          <w:p w14:paraId="1C5A77CA" w14:textId="77777777" w:rsidR="007125E9" w:rsidRPr="00D620ED" w:rsidRDefault="007125E9" w:rsidP="004904C7">
            <w:pPr>
              <w:spacing w:before="60" w:after="40"/>
              <w:rPr>
                <w:rFonts w:ascii="Arial" w:hAnsi="Arial" w:cs="Arial"/>
                <w:sz w:val="18"/>
                <w:szCs w:val="18"/>
                <w:lang w:val="en-US"/>
              </w:rPr>
            </w:pPr>
            <w:r w:rsidRPr="00D620ED">
              <w:rPr>
                <w:rFonts w:ascii="Arial" w:hAnsi="Arial" w:cs="Arial"/>
                <w:b/>
                <w:sz w:val="18"/>
                <w:szCs w:val="18"/>
                <w:lang w:val="en-US"/>
              </w:rPr>
              <w:t xml:space="preserve">Schedule fee </w:t>
            </w:r>
          </w:p>
        </w:tc>
        <w:tc>
          <w:tcPr>
            <w:tcW w:w="1384" w:type="dxa"/>
            <w:shd w:val="clear" w:color="auto" w:fill="F2F2F2" w:themeFill="background1" w:themeFillShade="F2"/>
            <w:vAlign w:val="bottom"/>
          </w:tcPr>
          <w:p w14:paraId="55B25114" w14:textId="77777777" w:rsidR="007125E9" w:rsidRPr="00D620ED" w:rsidRDefault="007125E9" w:rsidP="004904C7">
            <w:pPr>
              <w:spacing w:before="60" w:after="40"/>
              <w:rPr>
                <w:rFonts w:ascii="Arial" w:hAnsi="Arial" w:cs="Arial"/>
                <w:sz w:val="18"/>
                <w:szCs w:val="18"/>
                <w:lang w:val="en-US"/>
              </w:rPr>
            </w:pPr>
            <w:r w:rsidRPr="00D620ED">
              <w:rPr>
                <w:rFonts w:ascii="Arial" w:hAnsi="Arial" w:cs="Arial"/>
                <w:b/>
                <w:sz w:val="18"/>
                <w:szCs w:val="18"/>
                <w:lang w:val="en-US"/>
              </w:rPr>
              <w:t xml:space="preserve">Services </w:t>
            </w:r>
            <w:r>
              <w:rPr>
                <w:rFonts w:ascii="Arial" w:hAnsi="Arial" w:cs="Arial"/>
                <w:b/>
                <w:sz w:val="18"/>
                <w:szCs w:val="18"/>
                <w:lang w:val="en-US"/>
              </w:rPr>
              <w:br/>
            </w:r>
            <w:r w:rsidRPr="00D620ED">
              <w:rPr>
                <w:rFonts w:ascii="Arial" w:hAnsi="Arial" w:cs="Arial"/>
                <w:b/>
                <w:sz w:val="18"/>
                <w:szCs w:val="18"/>
                <w:lang w:val="en-US"/>
              </w:rPr>
              <w:t>(</w:t>
            </w:r>
            <w:r>
              <w:rPr>
                <w:rFonts w:ascii="Arial" w:hAnsi="Arial" w:cs="Arial"/>
                <w:b/>
                <w:sz w:val="18"/>
                <w:szCs w:val="18"/>
                <w:lang w:val="en-US"/>
              </w:rPr>
              <w:t xml:space="preserve">FY </w:t>
            </w:r>
            <w:r w:rsidRPr="00D620ED">
              <w:rPr>
                <w:rFonts w:ascii="Arial" w:hAnsi="Arial" w:cs="Arial"/>
                <w:b/>
                <w:sz w:val="18"/>
                <w:szCs w:val="18"/>
                <w:lang w:val="en-US"/>
              </w:rPr>
              <w:t>2014–15)</w:t>
            </w:r>
          </w:p>
        </w:tc>
      </w:tr>
      <w:tr w:rsidR="007125E9" w:rsidRPr="00D620ED" w14:paraId="174594F9" w14:textId="77777777" w:rsidTr="004904C7">
        <w:tc>
          <w:tcPr>
            <w:tcW w:w="965" w:type="dxa"/>
          </w:tcPr>
          <w:p w14:paraId="2B7201F8" w14:textId="77777777" w:rsidR="007125E9" w:rsidRPr="00D620ED" w:rsidRDefault="007125E9" w:rsidP="004904C7">
            <w:pPr>
              <w:spacing w:before="140" w:after="40"/>
              <w:rPr>
                <w:rFonts w:ascii="Arial" w:hAnsi="Arial" w:cs="Arial"/>
                <w:b/>
                <w:sz w:val="18"/>
                <w:szCs w:val="18"/>
                <w:lang w:val="en-US"/>
              </w:rPr>
            </w:pPr>
            <w:r w:rsidRPr="00FB024B">
              <w:rPr>
                <w:rFonts w:ascii="Arial" w:hAnsi="Arial" w:cs="Arial"/>
                <w:color w:val="000000"/>
                <w:sz w:val="18"/>
                <w:szCs w:val="18"/>
                <w:lang w:val="en-AU"/>
              </w:rPr>
              <w:t>65117</w:t>
            </w:r>
          </w:p>
        </w:tc>
        <w:tc>
          <w:tcPr>
            <w:tcW w:w="5522" w:type="dxa"/>
          </w:tcPr>
          <w:p w14:paraId="4FC24DFA" w14:textId="77777777" w:rsidR="007125E9" w:rsidRPr="00D620ED" w:rsidRDefault="007125E9" w:rsidP="004904C7">
            <w:pPr>
              <w:spacing w:before="140" w:after="40"/>
              <w:rPr>
                <w:rFonts w:ascii="Arial" w:hAnsi="Arial" w:cs="Arial"/>
                <w:sz w:val="18"/>
                <w:szCs w:val="18"/>
                <w:lang w:val="en-US"/>
              </w:rPr>
            </w:pPr>
            <w:r w:rsidRPr="00FB024B">
              <w:rPr>
                <w:rFonts w:ascii="Arial" w:hAnsi="Arial" w:cs="Arial"/>
                <w:color w:val="000000"/>
                <w:sz w:val="18"/>
                <w:szCs w:val="18"/>
                <w:lang w:val="en-AU"/>
              </w:rPr>
              <w:t xml:space="preserve">1 or more of the following tests: (a) spectroscopic examination of blood for chemically altered haemoglobins; (b) detection of </w:t>
            </w:r>
            <w:proofErr w:type="spellStart"/>
            <w:r w:rsidRPr="00FB024B">
              <w:rPr>
                <w:rFonts w:ascii="Arial" w:hAnsi="Arial" w:cs="Arial"/>
                <w:color w:val="000000"/>
                <w:sz w:val="18"/>
                <w:szCs w:val="18"/>
                <w:lang w:val="en-AU"/>
              </w:rPr>
              <w:t>methaemalbumin</w:t>
            </w:r>
            <w:proofErr w:type="spellEnd"/>
            <w:r w:rsidRPr="00FB024B">
              <w:rPr>
                <w:rFonts w:ascii="Arial" w:hAnsi="Arial" w:cs="Arial"/>
                <w:color w:val="000000"/>
                <w:sz w:val="18"/>
                <w:szCs w:val="18"/>
                <w:lang w:val="en-AU"/>
              </w:rPr>
              <w:t xml:space="preserve"> (Schumm's test)</w:t>
            </w:r>
          </w:p>
        </w:tc>
        <w:tc>
          <w:tcPr>
            <w:tcW w:w="1451" w:type="dxa"/>
          </w:tcPr>
          <w:p w14:paraId="6C364337" w14:textId="77777777" w:rsidR="007125E9" w:rsidRPr="00D620ED" w:rsidRDefault="007125E9" w:rsidP="004904C7">
            <w:pPr>
              <w:spacing w:before="140" w:after="40"/>
              <w:rPr>
                <w:rFonts w:ascii="Arial" w:hAnsi="Arial" w:cs="Arial"/>
                <w:sz w:val="18"/>
                <w:szCs w:val="18"/>
                <w:lang w:val="en-US"/>
              </w:rPr>
            </w:pPr>
            <w:r>
              <w:rPr>
                <w:rFonts w:ascii="Arial" w:hAnsi="Arial" w:cs="Arial"/>
                <w:sz w:val="18"/>
                <w:szCs w:val="18"/>
                <w:lang w:val="en-US"/>
              </w:rPr>
              <w:t>$20.25</w:t>
            </w:r>
          </w:p>
        </w:tc>
        <w:tc>
          <w:tcPr>
            <w:tcW w:w="1384" w:type="dxa"/>
          </w:tcPr>
          <w:p w14:paraId="78BD752F" w14:textId="77777777" w:rsidR="007125E9" w:rsidRPr="00D620ED" w:rsidRDefault="007125E9" w:rsidP="004904C7">
            <w:pPr>
              <w:spacing w:before="140" w:after="40"/>
              <w:rPr>
                <w:rFonts w:ascii="Arial" w:hAnsi="Arial" w:cs="Arial"/>
                <w:sz w:val="18"/>
                <w:szCs w:val="18"/>
                <w:lang w:val="en-US"/>
              </w:rPr>
            </w:pPr>
            <w:r>
              <w:rPr>
                <w:rFonts w:ascii="Arial" w:hAnsi="Arial" w:cs="Arial"/>
                <w:sz w:val="18"/>
                <w:szCs w:val="18"/>
                <w:lang w:val="en-US"/>
              </w:rPr>
              <w:t>4,598</w:t>
            </w:r>
          </w:p>
        </w:tc>
      </w:tr>
      <w:tr w:rsidR="00C77285" w:rsidRPr="00D620ED" w14:paraId="2FFEFF33" w14:textId="77777777" w:rsidTr="004904C7">
        <w:tc>
          <w:tcPr>
            <w:tcW w:w="965" w:type="dxa"/>
          </w:tcPr>
          <w:p w14:paraId="6370C289" w14:textId="77777777" w:rsidR="00C77285" w:rsidRPr="00FB024B" w:rsidRDefault="00C77285" w:rsidP="00C77285">
            <w:pPr>
              <w:spacing w:before="140" w:after="40"/>
              <w:rPr>
                <w:rFonts w:ascii="Arial" w:hAnsi="Arial" w:cs="Arial"/>
                <w:color w:val="000000"/>
                <w:sz w:val="18"/>
                <w:szCs w:val="18"/>
                <w:lang w:val="en-AU"/>
              </w:rPr>
            </w:pPr>
            <w:r>
              <w:rPr>
                <w:rFonts w:ascii="Arial" w:hAnsi="Arial" w:cs="Arial"/>
                <w:color w:val="000000"/>
                <w:sz w:val="18"/>
                <w:szCs w:val="18"/>
                <w:lang w:val="en-AU"/>
              </w:rPr>
              <w:t>65102</w:t>
            </w:r>
          </w:p>
        </w:tc>
        <w:tc>
          <w:tcPr>
            <w:tcW w:w="5522" w:type="dxa"/>
          </w:tcPr>
          <w:p w14:paraId="77E3F6CE" w14:textId="77777777" w:rsidR="00C77285" w:rsidRPr="00FB024B" w:rsidRDefault="00C77285" w:rsidP="00C77285">
            <w:pPr>
              <w:spacing w:before="140" w:after="40"/>
              <w:rPr>
                <w:rFonts w:ascii="Arial" w:hAnsi="Arial" w:cs="Arial"/>
                <w:color w:val="000000"/>
                <w:sz w:val="18"/>
                <w:szCs w:val="18"/>
                <w:lang w:val="en-AU"/>
              </w:rPr>
            </w:pPr>
            <w:r w:rsidRPr="00AE484D">
              <w:rPr>
                <w:rFonts w:ascii="Arial" w:hAnsi="Arial" w:cs="Arial"/>
                <w:color w:val="000000"/>
                <w:sz w:val="18"/>
                <w:szCs w:val="18"/>
              </w:rPr>
              <w:t>Compatibility tests by crossmatch - all tests performed on any one day in excess of 6 units, including: (a) all grouping checks of the patient and donor; and (b) examination for antibodies, and if necessary identification of any antibodies detected; and (c) (if performed) any tests described in item 65060, 65070, 65090, 65096, 65099 or 65105 (Item is subject rule 5)</w:t>
            </w:r>
          </w:p>
        </w:tc>
        <w:tc>
          <w:tcPr>
            <w:tcW w:w="1451" w:type="dxa"/>
          </w:tcPr>
          <w:p w14:paraId="7F803265" w14:textId="77777777" w:rsidR="00C77285" w:rsidRDefault="00C77285" w:rsidP="00C77285">
            <w:pPr>
              <w:spacing w:before="140" w:after="40"/>
              <w:rPr>
                <w:rFonts w:ascii="Arial" w:hAnsi="Arial" w:cs="Arial"/>
                <w:sz w:val="18"/>
                <w:szCs w:val="18"/>
                <w:lang w:val="en-US"/>
              </w:rPr>
            </w:pPr>
            <w:r w:rsidRPr="00AE484D">
              <w:rPr>
                <w:rFonts w:ascii="Arial" w:hAnsi="Arial" w:cs="Arial"/>
                <w:color w:val="000000"/>
                <w:sz w:val="18"/>
                <w:szCs w:val="18"/>
              </w:rPr>
              <w:t>$164.60</w:t>
            </w:r>
          </w:p>
        </w:tc>
        <w:tc>
          <w:tcPr>
            <w:tcW w:w="1384" w:type="dxa"/>
          </w:tcPr>
          <w:p w14:paraId="741A4CBE" w14:textId="77777777" w:rsidR="00C77285" w:rsidRDefault="00C77285" w:rsidP="00C77285">
            <w:pPr>
              <w:spacing w:before="140" w:after="40"/>
              <w:rPr>
                <w:rFonts w:ascii="Arial" w:hAnsi="Arial" w:cs="Arial"/>
                <w:sz w:val="18"/>
                <w:szCs w:val="18"/>
                <w:lang w:val="en-US"/>
              </w:rPr>
            </w:pPr>
            <w:r w:rsidRPr="00AE484D">
              <w:rPr>
                <w:rFonts w:ascii="Arial" w:hAnsi="Arial" w:cs="Arial"/>
                <w:color w:val="000000"/>
                <w:sz w:val="18"/>
                <w:szCs w:val="18"/>
              </w:rPr>
              <w:t>343</w:t>
            </w:r>
          </w:p>
        </w:tc>
      </w:tr>
      <w:tr w:rsidR="00C77285" w:rsidRPr="00D620ED" w14:paraId="28B53494" w14:textId="77777777" w:rsidTr="004904C7">
        <w:tc>
          <w:tcPr>
            <w:tcW w:w="965" w:type="dxa"/>
          </w:tcPr>
          <w:p w14:paraId="649109D6" w14:textId="77777777" w:rsidR="00C77285" w:rsidRPr="00FB024B" w:rsidRDefault="00C77285" w:rsidP="00C77285">
            <w:pPr>
              <w:spacing w:before="140" w:after="40"/>
              <w:rPr>
                <w:rFonts w:ascii="Arial" w:hAnsi="Arial" w:cs="Arial"/>
                <w:color w:val="000000"/>
                <w:sz w:val="18"/>
                <w:szCs w:val="18"/>
                <w:lang w:val="en-AU"/>
              </w:rPr>
            </w:pPr>
            <w:r>
              <w:rPr>
                <w:rFonts w:ascii="Arial" w:hAnsi="Arial" w:cs="Arial"/>
                <w:color w:val="000000"/>
                <w:sz w:val="18"/>
                <w:szCs w:val="18"/>
                <w:lang w:val="en-AU"/>
              </w:rPr>
              <w:t>65105</w:t>
            </w:r>
          </w:p>
        </w:tc>
        <w:tc>
          <w:tcPr>
            <w:tcW w:w="5522" w:type="dxa"/>
          </w:tcPr>
          <w:p w14:paraId="2B334D6E" w14:textId="77777777" w:rsidR="00C77285" w:rsidRPr="00FB024B" w:rsidRDefault="00C77285" w:rsidP="00C77285">
            <w:pPr>
              <w:spacing w:before="140" w:after="40"/>
              <w:rPr>
                <w:rFonts w:ascii="Arial" w:hAnsi="Arial" w:cs="Arial"/>
                <w:color w:val="000000"/>
                <w:sz w:val="18"/>
                <w:szCs w:val="18"/>
                <w:lang w:val="en-AU"/>
              </w:rPr>
            </w:pPr>
            <w:r w:rsidRPr="00AE484D">
              <w:rPr>
                <w:rFonts w:ascii="Arial" w:hAnsi="Arial" w:cs="Arial"/>
                <w:color w:val="000000"/>
                <w:sz w:val="18"/>
                <w:szCs w:val="18"/>
              </w:rPr>
              <w:t>Compatibi</w:t>
            </w:r>
            <w:r w:rsidR="00A95DE1">
              <w:rPr>
                <w:rFonts w:ascii="Arial" w:hAnsi="Arial" w:cs="Arial"/>
                <w:color w:val="000000"/>
                <w:sz w:val="18"/>
                <w:szCs w:val="18"/>
              </w:rPr>
              <w:t>lity testing using at least a 3-</w:t>
            </w:r>
            <w:r w:rsidRPr="00AE484D">
              <w:rPr>
                <w:rFonts w:ascii="Arial" w:hAnsi="Arial" w:cs="Arial"/>
                <w:color w:val="000000"/>
                <w:sz w:val="18"/>
                <w:szCs w:val="18"/>
              </w:rPr>
              <w:t>cell panel and issue of red cells for transfusion - all 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w:t>
            </w:r>
          </w:p>
        </w:tc>
        <w:tc>
          <w:tcPr>
            <w:tcW w:w="1451" w:type="dxa"/>
          </w:tcPr>
          <w:p w14:paraId="6A2E4402" w14:textId="77777777" w:rsidR="00C77285" w:rsidRDefault="00C77285" w:rsidP="00C77285">
            <w:pPr>
              <w:spacing w:before="140" w:after="40"/>
              <w:rPr>
                <w:rFonts w:ascii="Arial" w:hAnsi="Arial" w:cs="Arial"/>
                <w:sz w:val="18"/>
                <w:szCs w:val="18"/>
                <w:lang w:val="en-US"/>
              </w:rPr>
            </w:pPr>
            <w:r w:rsidRPr="00AE484D">
              <w:rPr>
                <w:rFonts w:ascii="Arial" w:hAnsi="Arial" w:cs="Arial"/>
                <w:color w:val="000000"/>
                <w:sz w:val="18"/>
                <w:szCs w:val="18"/>
              </w:rPr>
              <w:t>$108.90</w:t>
            </w:r>
          </w:p>
        </w:tc>
        <w:tc>
          <w:tcPr>
            <w:tcW w:w="1384" w:type="dxa"/>
          </w:tcPr>
          <w:p w14:paraId="0BF3F2C5" w14:textId="77777777" w:rsidR="00C77285" w:rsidRDefault="00C77285" w:rsidP="00C77285">
            <w:pPr>
              <w:spacing w:before="140" w:after="40"/>
              <w:rPr>
                <w:rFonts w:ascii="Arial" w:hAnsi="Arial" w:cs="Arial"/>
                <w:sz w:val="18"/>
                <w:szCs w:val="18"/>
                <w:lang w:val="en-US"/>
              </w:rPr>
            </w:pPr>
            <w:r w:rsidRPr="00AE484D">
              <w:rPr>
                <w:rFonts w:ascii="Arial" w:hAnsi="Arial" w:cs="Arial"/>
                <w:color w:val="000000"/>
                <w:sz w:val="18"/>
                <w:szCs w:val="18"/>
              </w:rPr>
              <w:t>121,637</w:t>
            </w:r>
          </w:p>
        </w:tc>
      </w:tr>
      <w:tr w:rsidR="00C77285" w:rsidRPr="00D620ED" w14:paraId="5CBCA24B" w14:textId="77777777" w:rsidTr="004904C7">
        <w:tc>
          <w:tcPr>
            <w:tcW w:w="965" w:type="dxa"/>
          </w:tcPr>
          <w:p w14:paraId="4AAED068" w14:textId="77777777" w:rsidR="00C77285" w:rsidRPr="00FB024B" w:rsidRDefault="00C77285" w:rsidP="00C77285">
            <w:pPr>
              <w:spacing w:before="140" w:after="40"/>
              <w:rPr>
                <w:rFonts w:ascii="Arial" w:hAnsi="Arial" w:cs="Arial"/>
                <w:color w:val="000000"/>
                <w:sz w:val="18"/>
                <w:szCs w:val="18"/>
                <w:lang w:val="en-AU"/>
              </w:rPr>
            </w:pPr>
            <w:r>
              <w:rPr>
                <w:rFonts w:ascii="Arial" w:hAnsi="Arial" w:cs="Arial"/>
                <w:color w:val="000000"/>
                <w:sz w:val="18"/>
                <w:szCs w:val="18"/>
                <w:lang w:val="en-AU"/>
              </w:rPr>
              <w:t>65108</w:t>
            </w:r>
          </w:p>
        </w:tc>
        <w:tc>
          <w:tcPr>
            <w:tcW w:w="5522" w:type="dxa"/>
          </w:tcPr>
          <w:p w14:paraId="2F7DF9ED" w14:textId="77777777" w:rsidR="00C77285" w:rsidRPr="00FB024B" w:rsidRDefault="00C77285" w:rsidP="00C77285">
            <w:pPr>
              <w:spacing w:before="140" w:after="40"/>
              <w:rPr>
                <w:rFonts w:ascii="Arial" w:hAnsi="Arial" w:cs="Arial"/>
                <w:color w:val="000000"/>
                <w:sz w:val="18"/>
                <w:szCs w:val="18"/>
                <w:lang w:val="en-AU"/>
              </w:rPr>
            </w:pPr>
            <w:r w:rsidRPr="00AE484D">
              <w:rPr>
                <w:rFonts w:ascii="Arial" w:hAnsi="Arial" w:cs="Arial"/>
                <w:color w:val="000000"/>
                <w:sz w:val="18"/>
                <w:szCs w:val="18"/>
              </w:rPr>
              <w:t>Compatibi</w:t>
            </w:r>
            <w:r w:rsidR="00A95DE1">
              <w:rPr>
                <w:rFonts w:ascii="Arial" w:hAnsi="Arial" w:cs="Arial"/>
                <w:color w:val="000000"/>
                <w:sz w:val="18"/>
                <w:szCs w:val="18"/>
              </w:rPr>
              <w:t>lity testing using at least a 3-</w:t>
            </w:r>
            <w:r w:rsidRPr="00AE484D">
              <w:rPr>
                <w:rFonts w:ascii="Arial" w:hAnsi="Arial" w:cs="Arial"/>
                <w:color w:val="000000"/>
                <w:sz w:val="18"/>
                <w:szCs w:val="18"/>
              </w:rPr>
              <w:t>cell panel and issue of red cells for transfusion - all tests performed on any one day in excess of 6 units, including: (a) all grouping checks of the patient and donor; and (b) examination for antibodies and, if necessary, identification of any antibodies detected; and(c) (if performed) any tests described in item 65060, 65070, 65090, 65096, 65099 or 65105 (Item is subject to rule 5)</w:t>
            </w:r>
          </w:p>
        </w:tc>
        <w:tc>
          <w:tcPr>
            <w:tcW w:w="1451" w:type="dxa"/>
          </w:tcPr>
          <w:p w14:paraId="0EE9D244" w14:textId="77777777" w:rsidR="00C77285" w:rsidRDefault="00C77285" w:rsidP="00C77285">
            <w:pPr>
              <w:spacing w:before="140" w:after="40"/>
              <w:rPr>
                <w:rFonts w:ascii="Arial" w:hAnsi="Arial" w:cs="Arial"/>
                <w:sz w:val="18"/>
                <w:szCs w:val="18"/>
                <w:lang w:val="en-US"/>
              </w:rPr>
            </w:pPr>
            <w:r w:rsidRPr="00AE484D">
              <w:rPr>
                <w:rFonts w:ascii="Arial" w:hAnsi="Arial" w:cs="Arial"/>
                <w:color w:val="000000"/>
                <w:sz w:val="18"/>
                <w:szCs w:val="18"/>
              </w:rPr>
              <w:t>$164.60</w:t>
            </w:r>
          </w:p>
        </w:tc>
        <w:tc>
          <w:tcPr>
            <w:tcW w:w="1384" w:type="dxa"/>
          </w:tcPr>
          <w:p w14:paraId="3B343406" w14:textId="77777777" w:rsidR="00C77285" w:rsidRDefault="00C77285" w:rsidP="00C77285">
            <w:pPr>
              <w:spacing w:before="140" w:after="40"/>
              <w:rPr>
                <w:rFonts w:ascii="Arial" w:hAnsi="Arial" w:cs="Arial"/>
                <w:sz w:val="18"/>
                <w:szCs w:val="18"/>
                <w:lang w:val="en-US"/>
              </w:rPr>
            </w:pPr>
            <w:r w:rsidRPr="00AE484D">
              <w:rPr>
                <w:rFonts w:ascii="Arial" w:hAnsi="Arial" w:cs="Arial"/>
                <w:color w:val="000000"/>
                <w:sz w:val="18"/>
                <w:szCs w:val="18"/>
              </w:rPr>
              <w:t>2,039</w:t>
            </w:r>
          </w:p>
        </w:tc>
      </w:tr>
      <w:tr w:rsidR="00C77285" w:rsidRPr="00D620ED" w14:paraId="7FAC56A7" w14:textId="77777777" w:rsidTr="004904C7">
        <w:tc>
          <w:tcPr>
            <w:tcW w:w="965" w:type="dxa"/>
          </w:tcPr>
          <w:p w14:paraId="4BAB0876" w14:textId="77777777" w:rsidR="00C77285" w:rsidRPr="00FB024B" w:rsidRDefault="00C77285" w:rsidP="00C77285">
            <w:pPr>
              <w:spacing w:before="140" w:after="40"/>
              <w:rPr>
                <w:rFonts w:ascii="Arial" w:hAnsi="Arial" w:cs="Arial"/>
                <w:color w:val="000000"/>
                <w:sz w:val="18"/>
                <w:szCs w:val="18"/>
                <w:lang w:val="en-AU"/>
              </w:rPr>
            </w:pPr>
            <w:r>
              <w:rPr>
                <w:rFonts w:ascii="Arial" w:hAnsi="Arial" w:cs="Arial"/>
                <w:color w:val="000000"/>
                <w:sz w:val="18"/>
                <w:szCs w:val="18"/>
                <w:lang w:val="en-AU"/>
              </w:rPr>
              <w:t>65129</w:t>
            </w:r>
          </w:p>
        </w:tc>
        <w:tc>
          <w:tcPr>
            <w:tcW w:w="5522" w:type="dxa"/>
          </w:tcPr>
          <w:p w14:paraId="7B708250" w14:textId="77777777" w:rsidR="00C77285" w:rsidRPr="00FB024B" w:rsidRDefault="00C77285" w:rsidP="00C77285">
            <w:pPr>
              <w:spacing w:before="140" w:after="40"/>
              <w:rPr>
                <w:rFonts w:ascii="Arial" w:hAnsi="Arial" w:cs="Arial"/>
                <w:color w:val="000000"/>
                <w:sz w:val="18"/>
                <w:szCs w:val="18"/>
                <w:lang w:val="en-AU"/>
              </w:rPr>
            </w:pPr>
            <w:r w:rsidRPr="006966FB">
              <w:rPr>
                <w:rFonts w:ascii="Arial" w:hAnsi="Arial" w:cs="Arial"/>
                <w:color w:val="000000"/>
                <w:sz w:val="18"/>
                <w:szCs w:val="18"/>
              </w:rPr>
              <w:t>4 or more tests described in item 65120</w:t>
            </w:r>
          </w:p>
        </w:tc>
        <w:tc>
          <w:tcPr>
            <w:tcW w:w="1451" w:type="dxa"/>
          </w:tcPr>
          <w:p w14:paraId="26442309" w14:textId="77777777" w:rsidR="00C77285" w:rsidRDefault="00C77285" w:rsidP="00C77285">
            <w:pPr>
              <w:spacing w:before="140" w:after="40"/>
              <w:rPr>
                <w:rFonts w:ascii="Arial" w:hAnsi="Arial" w:cs="Arial"/>
                <w:sz w:val="18"/>
                <w:szCs w:val="18"/>
                <w:lang w:val="en-US"/>
              </w:rPr>
            </w:pPr>
            <w:r w:rsidRPr="006966FB">
              <w:rPr>
                <w:rFonts w:ascii="Arial" w:hAnsi="Arial" w:cs="Arial"/>
                <w:color w:val="000000"/>
                <w:sz w:val="18"/>
                <w:szCs w:val="18"/>
              </w:rPr>
              <w:t xml:space="preserve">$35.50 </w:t>
            </w:r>
          </w:p>
        </w:tc>
        <w:tc>
          <w:tcPr>
            <w:tcW w:w="1384" w:type="dxa"/>
          </w:tcPr>
          <w:p w14:paraId="1F00E05F" w14:textId="77777777" w:rsidR="00C77285" w:rsidRDefault="00C77285" w:rsidP="00C77285">
            <w:pPr>
              <w:spacing w:before="140" w:after="40"/>
              <w:rPr>
                <w:rFonts w:ascii="Arial" w:hAnsi="Arial" w:cs="Arial"/>
                <w:sz w:val="18"/>
                <w:szCs w:val="18"/>
                <w:lang w:val="en-US"/>
              </w:rPr>
            </w:pPr>
            <w:r w:rsidRPr="006966FB">
              <w:rPr>
                <w:rFonts w:ascii="Arial" w:hAnsi="Arial" w:cs="Arial"/>
                <w:color w:val="000000"/>
                <w:sz w:val="18"/>
                <w:szCs w:val="18"/>
              </w:rPr>
              <w:t>341,961</w:t>
            </w:r>
          </w:p>
        </w:tc>
      </w:tr>
    </w:tbl>
    <w:p w14:paraId="11854313" w14:textId="77777777" w:rsidR="007125E9" w:rsidRPr="00FC1976" w:rsidRDefault="007125E9" w:rsidP="007125E9">
      <w:pPr>
        <w:rPr>
          <w:rFonts w:eastAsiaTheme="minorHAnsi" w:cs="Arial"/>
          <w:kern w:val="32"/>
          <w:sz w:val="32"/>
          <w:szCs w:val="28"/>
          <w:lang w:val="en-AU" w:eastAsia="en-US"/>
        </w:rPr>
      </w:pPr>
      <w:r w:rsidRPr="00FC1976">
        <w:rPr>
          <w:lang w:val="en-AU"/>
        </w:rPr>
        <w:br w:type="page"/>
      </w:r>
    </w:p>
    <w:p w14:paraId="406AF3DD" w14:textId="77777777" w:rsidR="0033420E" w:rsidRDefault="0033420E" w:rsidP="007125E9">
      <w:pPr>
        <w:pStyle w:val="Heading2"/>
      </w:pPr>
      <w:bookmarkStart w:id="126" w:name="_Toc495403418"/>
      <w:r>
        <w:lastRenderedPageBreak/>
        <w:t>No changes</w:t>
      </w:r>
      <w:bookmarkEnd w:id="126"/>
      <w:r>
        <w:t xml:space="preserve"> </w:t>
      </w:r>
    </w:p>
    <w:p w14:paraId="621A3575" w14:textId="77777777" w:rsidR="0033420E" w:rsidRPr="001F0952" w:rsidRDefault="0033420E" w:rsidP="0033420E">
      <w:r w:rsidRPr="001F0952">
        <w:t xml:space="preserve">The Committee recommends that </w:t>
      </w:r>
      <w:r>
        <w:t xml:space="preserve">the MBS items listed </w:t>
      </w:r>
      <w:r w:rsidRPr="002345FA">
        <w:t xml:space="preserve">in </w:t>
      </w:r>
      <w:r w:rsidRPr="00897265">
        <w:fldChar w:fldCharType="begin"/>
      </w:r>
      <w:r w:rsidRPr="00897265">
        <w:instrText xml:space="preserve"> REF _Ref457115861 \h  \* MERGEFORMAT </w:instrText>
      </w:r>
      <w:r w:rsidRPr="00897265">
        <w:fldChar w:fldCharType="separate"/>
      </w:r>
      <w:r w:rsidR="005C3364" w:rsidRPr="00162420">
        <w:t xml:space="preserve">Table </w:t>
      </w:r>
      <w:r w:rsidRPr="00897265">
        <w:fldChar w:fldCharType="end"/>
      </w:r>
      <w:r w:rsidR="008C1601" w:rsidRPr="00897265">
        <w:t>1</w:t>
      </w:r>
      <w:r w:rsidR="008C1601">
        <w:t xml:space="preserve">9 </w:t>
      </w:r>
      <w:r w:rsidRPr="001F0952">
        <w:t>do not require amendment, as t</w:t>
      </w:r>
      <w:r w:rsidR="000367A3">
        <w:t>hey are clinically appropriate.</w:t>
      </w:r>
    </w:p>
    <w:p w14:paraId="2281B0FB" w14:textId="77777777" w:rsidR="0033420E" w:rsidRDefault="0033420E" w:rsidP="00C702A9">
      <w:pPr>
        <w:pStyle w:val="Caption"/>
      </w:pPr>
      <w:bookmarkStart w:id="127" w:name="_Ref457115861"/>
      <w:bookmarkStart w:id="128" w:name="_Toc454956803"/>
      <w:bookmarkStart w:id="129" w:name="_Toc456708894"/>
      <w:bookmarkStart w:id="130" w:name="_Toc464051061"/>
      <w:bookmarkStart w:id="131" w:name="_Toc481493786"/>
      <w:r w:rsidRPr="00162420">
        <w:t xml:space="preserve">Table </w:t>
      </w:r>
      <w:bookmarkEnd w:id="127"/>
      <w:r w:rsidR="002C0890">
        <w:t>19</w:t>
      </w:r>
      <w:r w:rsidRPr="00162420">
        <w:t xml:space="preserve">: MBS items that do not require </w:t>
      </w:r>
      <w:bookmarkEnd w:id="128"/>
      <w:bookmarkEnd w:id="129"/>
      <w:bookmarkEnd w:id="130"/>
      <w:r w:rsidR="000367A3">
        <w:t>change</w:t>
      </w:r>
      <w:bookmarkEnd w:id="131"/>
    </w:p>
    <w:tbl>
      <w:tblPr>
        <w:tblStyle w:val="TableGrid"/>
        <w:tblW w:w="9322" w:type="dxa"/>
        <w:tblLayout w:type="fixed"/>
        <w:tblLook w:val="04A0" w:firstRow="1" w:lastRow="0" w:firstColumn="1" w:lastColumn="0" w:noHBand="0" w:noVBand="1"/>
        <w:tblCaption w:val="Table 19, MBS items that do not require amendment"/>
        <w:tblDescription w:val="This table lists the item numbers, descriptors, schedule fees and numbers of services provided in 2014-15 for items that do not require amendment."/>
      </w:tblPr>
      <w:tblGrid>
        <w:gridCol w:w="965"/>
        <w:gridCol w:w="5522"/>
        <w:gridCol w:w="1451"/>
        <w:gridCol w:w="1384"/>
      </w:tblGrid>
      <w:tr w:rsidR="0033420E" w:rsidRPr="00E35EA2" w14:paraId="59D85E72" w14:textId="77777777" w:rsidTr="008C1601">
        <w:trPr>
          <w:tblHeader/>
        </w:trPr>
        <w:tc>
          <w:tcPr>
            <w:tcW w:w="965" w:type="dxa"/>
            <w:shd w:val="clear" w:color="auto" w:fill="F2F2F2" w:themeFill="background1" w:themeFillShade="F2"/>
            <w:vAlign w:val="bottom"/>
          </w:tcPr>
          <w:p w14:paraId="646F611A" w14:textId="77777777" w:rsidR="0033420E" w:rsidRPr="00D620ED" w:rsidRDefault="0033420E" w:rsidP="00795693">
            <w:pPr>
              <w:spacing w:before="60" w:after="40"/>
              <w:rPr>
                <w:rFonts w:ascii="Arial" w:hAnsi="Arial" w:cs="Arial"/>
                <w:b/>
                <w:sz w:val="18"/>
                <w:szCs w:val="18"/>
                <w:lang w:val="en-US"/>
              </w:rPr>
            </w:pPr>
            <w:r w:rsidRPr="00D620ED">
              <w:rPr>
                <w:rFonts w:ascii="Arial" w:hAnsi="Arial" w:cs="Arial"/>
                <w:b/>
                <w:sz w:val="18"/>
                <w:szCs w:val="18"/>
                <w:lang w:val="en-US"/>
              </w:rPr>
              <w:t>Item</w:t>
            </w:r>
          </w:p>
        </w:tc>
        <w:tc>
          <w:tcPr>
            <w:tcW w:w="5522" w:type="dxa"/>
            <w:shd w:val="clear" w:color="auto" w:fill="F2F2F2" w:themeFill="background1" w:themeFillShade="F2"/>
            <w:vAlign w:val="bottom"/>
          </w:tcPr>
          <w:p w14:paraId="1FED0D12" w14:textId="77777777" w:rsidR="0033420E" w:rsidRPr="00D620ED" w:rsidRDefault="0033420E" w:rsidP="00795693">
            <w:pPr>
              <w:spacing w:before="60" w:after="40"/>
              <w:rPr>
                <w:rFonts w:ascii="Arial" w:hAnsi="Arial" w:cs="Arial"/>
                <w:sz w:val="18"/>
                <w:szCs w:val="18"/>
                <w:lang w:val="en-US"/>
              </w:rPr>
            </w:pPr>
            <w:r w:rsidRPr="00D620ED">
              <w:rPr>
                <w:rFonts w:ascii="Arial" w:hAnsi="Arial" w:cs="Arial"/>
                <w:b/>
                <w:sz w:val="18"/>
                <w:szCs w:val="18"/>
                <w:lang w:val="en-US"/>
              </w:rPr>
              <w:t>Item descriptor</w:t>
            </w:r>
          </w:p>
        </w:tc>
        <w:tc>
          <w:tcPr>
            <w:tcW w:w="1451" w:type="dxa"/>
            <w:shd w:val="clear" w:color="auto" w:fill="F2F2F2" w:themeFill="background1" w:themeFillShade="F2"/>
            <w:vAlign w:val="bottom"/>
          </w:tcPr>
          <w:p w14:paraId="641B3138" w14:textId="77777777" w:rsidR="0033420E" w:rsidRPr="00D620ED" w:rsidRDefault="0033420E" w:rsidP="00795693">
            <w:pPr>
              <w:spacing w:before="60" w:after="40"/>
              <w:rPr>
                <w:rFonts w:ascii="Arial" w:hAnsi="Arial" w:cs="Arial"/>
                <w:sz w:val="18"/>
                <w:szCs w:val="18"/>
                <w:lang w:val="en-US"/>
              </w:rPr>
            </w:pPr>
            <w:r w:rsidRPr="00D620ED">
              <w:rPr>
                <w:rFonts w:ascii="Arial" w:hAnsi="Arial" w:cs="Arial"/>
                <w:b/>
                <w:sz w:val="18"/>
                <w:szCs w:val="18"/>
                <w:lang w:val="en-US"/>
              </w:rPr>
              <w:t xml:space="preserve">Schedule fee </w:t>
            </w:r>
          </w:p>
        </w:tc>
        <w:tc>
          <w:tcPr>
            <w:tcW w:w="1384" w:type="dxa"/>
            <w:shd w:val="clear" w:color="auto" w:fill="F2F2F2" w:themeFill="background1" w:themeFillShade="F2"/>
            <w:vAlign w:val="bottom"/>
          </w:tcPr>
          <w:p w14:paraId="023C2EB4" w14:textId="77777777" w:rsidR="0033420E" w:rsidRPr="00D620ED" w:rsidRDefault="0033420E">
            <w:pPr>
              <w:spacing w:before="60" w:after="40"/>
              <w:rPr>
                <w:rFonts w:ascii="Arial" w:hAnsi="Arial" w:cs="Arial"/>
                <w:sz w:val="18"/>
                <w:szCs w:val="18"/>
                <w:lang w:val="en-US"/>
              </w:rPr>
            </w:pPr>
            <w:r w:rsidRPr="00D620ED">
              <w:rPr>
                <w:rFonts w:ascii="Arial" w:hAnsi="Arial" w:cs="Arial"/>
                <w:b/>
                <w:sz w:val="18"/>
                <w:szCs w:val="18"/>
                <w:lang w:val="en-US"/>
              </w:rPr>
              <w:t xml:space="preserve">Services </w:t>
            </w:r>
            <w:r w:rsidR="00C30B94">
              <w:rPr>
                <w:rFonts w:ascii="Arial" w:hAnsi="Arial" w:cs="Arial"/>
                <w:b/>
                <w:sz w:val="18"/>
                <w:szCs w:val="18"/>
                <w:lang w:val="en-US"/>
              </w:rPr>
              <w:br/>
              <w:t xml:space="preserve">FY </w:t>
            </w:r>
            <w:r w:rsidRPr="00D620ED">
              <w:rPr>
                <w:rFonts w:ascii="Arial" w:hAnsi="Arial" w:cs="Arial"/>
                <w:b/>
                <w:sz w:val="18"/>
                <w:szCs w:val="18"/>
                <w:lang w:val="en-US"/>
              </w:rPr>
              <w:t>2014–15</w:t>
            </w:r>
          </w:p>
        </w:tc>
      </w:tr>
      <w:tr w:rsidR="008C1601" w:rsidRPr="00E35EA2" w14:paraId="4921474C" w14:textId="77777777" w:rsidTr="005C47CA">
        <w:tc>
          <w:tcPr>
            <w:tcW w:w="965" w:type="dxa"/>
          </w:tcPr>
          <w:p w14:paraId="5CAC17F4" w14:textId="77777777" w:rsidR="008C1601" w:rsidRPr="00D620ED" w:rsidRDefault="008C1601" w:rsidP="00726584">
            <w:pPr>
              <w:spacing w:before="140" w:after="40"/>
              <w:rPr>
                <w:rFonts w:ascii="Arial" w:hAnsi="Arial" w:cs="Arial"/>
                <w:color w:val="000000"/>
                <w:sz w:val="18"/>
                <w:szCs w:val="18"/>
              </w:rPr>
            </w:pPr>
            <w:r>
              <w:rPr>
                <w:rFonts w:ascii="Arial" w:hAnsi="Arial" w:cs="Arial"/>
                <w:color w:val="000000"/>
                <w:sz w:val="18"/>
                <w:szCs w:val="18"/>
              </w:rPr>
              <w:t>65070</w:t>
            </w:r>
          </w:p>
        </w:tc>
        <w:tc>
          <w:tcPr>
            <w:tcW w:w="5522" w:type="dxa"/>
          </w:tcPr>
          <w:p w14:paraId="511FC2A2" w14:textId="77777777" w:rsidR="008C1601" w:rsidRPr="00D620ED" w:rsidRDefault="008C1601" w:rsidP="00726584">
            <w:pPr>
              <w:spacing w:before="140" w:after="40"/>
              <w:rPr>
                <w:rFonts w:ascii="Arial" w:hAnsi="Arial" w:cs="Arial"/>
                <w:color w:val="000000"/>
                <w:sz w:val="18"/>
                <w:szCs w:val="18"/>
              </w:rPr>
            </w:pPr>
            <w:r w:rsidRPr="008C1601">
              <w:rPr>
                <w:rFonts w:ascii="Arial" w:hAnsi="Arial" w:cs="Arial"/>
                <w:color w:val="000000"/>
                <w:sz w:val="18"/>
                <w:szCs w:val="18"/>
              </w:rPr>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 of results from a single sample; and (if performed) (a) a morphological assessment of a blood film; (b) any service in item 65060 or 65072</w:t>
            </w:r>
          </w:p>
        </w:tc>
        <w:tc>
          <w:tcPr>
            <w:tcW w:w="1451" w:type="dxa"/>
          </w:tcPr>
          <w:p w14:paraId="4A7A9645" w14:textId="77777777" w:rsidR="008C1601" w:rsidRDefault="008C1601" w:rsidP="00726584">
            <w:pPr>
              <w:spacing w:before="140" w:after="40"/>
              <w:rPr>
                <w:rFonts w:ascii="Arial" w:hAnsi="Arial" w:cs="Arial"/>
                <w:color w:val="000000"/>
                <w:sz w:val="18"/>
                <w:szCs w:val="18"/>
              </w:rPr>
            </w:pPr>
            <w:r w:rsidRPr="008C1601">
              <w:rPr>
                <w:rFonts w:ascii="Arial" w:hAnsi="Arial" w:cs="Arial"/>
                <w:color w:val="000000"/>
                <w:sz w:val="18"/>
                <w:szCs w:val="18"/>
              </w:rPr>
              <w:t>$16.95</w:t>
            </w:r>
          </w:p>
        </w:tc>
        <w:tc>
          <w:tcPr>
            <w:tcW w:w="1384" w:type="dxa"/>
          </w:tcPr>
          <w:p w14:paraId="5BE3B19A" w14:textId="77777777" w:rsidR="008C1601" w:rsidRPr="00D620ED" w:rsidRDefault="008C1601" w:rsidP="00726584">
            <w:pPr>
              <w:spacing w:before="140" w:after="40"/>
              <w:rPr>
                <w:rFonts w:ascii="Arial" w:hAnsi="Arial" w:cs="Arial"/>
                <w:color w:val="000000"/>
                <w:sz w:val="18"/>
                <w:szCs w:val="18"/>
              </w:rPr>
            </w:pPr>
            <w:r w:rsidRPr="008C1601">
              <w:rPr>
                <w:rFonts w:ascii="Arial" w:hAnsi="Arial" w:cs="Arial"/>
                <w:color w:val="000000"/>
                <w:sz w:val="18"/>
                <w:szCs w:val="18"/>
              </w:rPr>
              <w:t>11,363,746</w:t>
            </w:r>
          </w:p>
        </w:tc>
      </w:tr>
      <w:tr w:rsidR="00726584" w:rsidRPr="00E35EA2" w14:paraId="309EB977" w14:textId="77777777" w:rsidTr="005C47CA">
        <w:tc>
          <w:tcPr>
            <w:tcW w:w="965" w:type="dxa"/>
          </w:tcPr>
          <w:p w14:paraId="1CB90D19" w14:textId="77777777" w:rsidR="00726584" w:rsidRPr="00D620ED" w:rsidRDefault="00726584" w:rsidP="00726584">
            <w:pPr>
              <w:spacing w:before="140" w:after="40"/>
              <w:rPr>
                <w:rFonts w:ascii="Arial" w:hAnsi="Arial" w:cs="Arial"/>
                <w:b/>
                <w:sz w:val="18"/>
                <w:szCs w:val="18"/>
                <w:lang w:val="en-US"/>
              </w:rPr>
            </w:pPr>
            <w:r w:rsidRPr="00D620ED">
              <w:rPr>
                <w:rFonts w:ascii="Arial" w:hAnsi="Arial" w:cs="Arial"/>
                <w:color w:val="000000"/>
                <w:sz w:val="18"/>
                <w:szCs w:val="18"/>
              </w:rPr>
              <w:t>65072</w:t>
            </w:r>
          </w:p>
        </w:tc>
        <w:tc>
          <w:tcPr>
            <w:tcW w:w="5522" w:type="dxa"/>
          </w:tcPr>
          <w:p w14:paraId="02382D6F"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Examination for reticulocytes including a reticulocyte count by any method – 1 or more tests</w:t>
            </w:r>
          </w:p>
        </w:tc>
        <w:tc>
          <w:tcPr>
            <w:tcW w:w="1451" w:type="dxa"/>
          </w:tcPr>
          <w:p w14:paraId="4033BB63" w14:textId="77777777" w:rsidR="00726584" w:rsidRPr="00D620ED" w:rsidRDefault="00726584" w:rsidP="00726584">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10.20</w:t>
            </w:r>
          </w:p>
        </w:tc>
        <w:tc>
          <w:tcPr>
            <w:tcW w:w="1384" w:type="dxa"/>
          </w:tcPr>
          <w:p w14:paraId="1BA8AA6C"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4,458</w:t>
            </w:r>
          </w:p>
        </w:tc>
      </w:tr>
      <w:tr w:rsidR="00726584" w:rsidRPr="00E35EA2" w14:paraId="618A7E94" w14:textId="77777777" w:rsidTr="005C47CA">
        <w:tc>
          <w:tcPr>
            <w:tcW w:w="965" w:type="dxa"/>
          </w:tcPr>
          <w:p w14:paraId="543DE7F7" w14:textId="77777777" w:rsidR="00726584" w:rsidRPr="00D620ED" w:rsidRDefault="00726584" w:rsidP="00726584">
            <w:pPr>
              <w:spacing w:before="140" w:after="40"/>
              <w:rPr>
                <w:rFonts w:ascii="Arial" w:hAnsi="Arial" w:cs="Arial"/>
                <w:b/>
                <w:sz w:val="18"/>
                <w:szCs w:val="18"/>
                <w:lang w:val="en-US"/>
              </w:rPr>
            </w:pPr>
            <w:r w:rsidRPr="00D620ED">
              <w:rPr>
                <w:rFonts w:ascii="Arial" w:hAnsi="Arial" w:cs="Arial"/>
                <w:color w:val="000000"/>
                <w:sz w:val="18"/>
                <w:szCs w:val="18"/>
              </w:rPr>
              <w:t>65078</w:t>
            </w:r>
          </w:p>
        </w:tc>
        <w:tc>
          <w:tcPr>
            <w:tcW w:w="5522" w:type="dxa"/>
          </w:tcPr>
          <w:p w14:paraId="65F8D17C"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 xml:space="preserve">Tests for the diagnosis of thalassaemia consisting of haemoglobin electrophoresis or chromatography and at least 2 of: (a) examination for </w:t>
            </w:r>
            <w:proofErr w:type="spellStart"/>
            <w:r w:rsidRPr="00D620ED">
              <w:rPr>
                <w:rFonts w:ascii="Arial" w:hAnsi="Arial" w:cs="Arial"/>
                <w:color w:val="000000"/>
                <w:sz w:val="18"/>
                <w:szCs w:val="18"/>
              </w:rPr>
              <w:t>HbH</w:t>
            </w:r>
            <w:proofErr w:type="spellEnd"/>
            <w:r w:rsidRPr="00D620ED">
              <w:rPr>
                <w:rFonts w:ascii="Arial" w:hAnsi="Arial" w:cs="Arial"/>
                <w:color w:val="000000"/>
                <w:sz w:val="18"/>
                <w:szCs w:val="18"/>
              </w:rPr>
              <w:t>; or (b) quantitation of HbA</w:t>
            </w:r>
            <w:r w:rsidRPr="0033404F">
              <w:rPr>
                <w:rFonts w:ascii="Arial" w:hAnsi="Arial" w:cs="Arial"/>
                <w:color w:val="000000"/>
                <w:sz w:val="18"/>
                <w:szCs w:val="18"/>
                <w:vertAlign w:val="subscript"/>
              </w:rPr>
              <w:t>2</w:t>
            </w:r>
            <w:r w:rsidRPr="00D620ED">
              <w:rPr>
                <w:rFonts w:ascii="Arial" w:hAnsi="Arial" w:cs="Arial"/>
                <w:color w:val="000000"/>
                <w:sz w:val="18"/>
                <w:szCs w:val="18"/>
              </w:rPr>
              <w:t xml:space="preserve">; or (c) quantitation of </w:t>
            </w:r>
            <w:proofErr w:type="spellStart"/>
            <w:r w:rsidRPr="00D620ED">
              <w:rPr>
                <w:rFonts w:ascii="Arial" w:hAnsi="Arial" w:cs="Arial"/>
                <w:color w:val="000000"/>
                <w:sz w:val="18"/>
                <w:szCs w:val="18"/>
              </w:rPr>
              <w:t>HbF</w:t>
            </w:r>
            <w:proofErr w:type="spellEnd"/>
            <w:r w:rsidRPr="00D620ED">
              <w:rPr>
                <w:rFonts w:ascii="Arial" w:hAnsi="Arial" w:cs="Arial"/>
                <w:color w:val="000000"/>
                <w:sz w:val="18"/>
                <w:szCs w:val="18"/>
              </w:rPr>
              <w:t>; including (if performed) any service described in item 65060 or 65070</w:t>
            </w:r>
          </w:p>
        </w:tc>
        <w:tc>
          <w:tcPr>
            <w:tcW w:w="1451" w:type="dxa"/>
          </w:tcPr>
          <w:p w14:paraId="15896B53" w14:textId="77777777" w:rsidR="00726584" w:rsidRPr="00D620ED" w:rsidRDefault="00726584" w:rsidP="00726584">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90.20</w:t>
            </w:r>
          </w:p>
        </w:tc>
        <w:tc>
          <w:tcPr>
            <w:tcW w:w="1384" w:type="dxa"/>
          </w:tcPr>
          <w:p w14:paraId="53E70A7F"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88,000</w:t>
            </w:r>
          </w:p>
        </w:tc>
      </w:tr>
      <w:tr w:rsidR="00726584" w:rsidRPr="00E35EA2" w14:paraId="34ACEA30" w14:textId="77777777" w:rsidTr="005C47CA">
        <w:tc>
          <w:tcPr>
            <w:tcW w:w="965" w:type="dxa"/>
          </w:tcPr>
          <w:p w14:paraId="1926E8CE" w14:textId="77777777" w:rsidR="00726584" w:rsidRPr="00D620ED" w:rsidRDefault="00726584" w:rsidP="00726584">
            <w:pPr>
              <w:spacing w:before="140" w:after="40"/>
              <w:rPr>
                <w:rFonts w:ascii="Arial" w:hAnsi="Arial" w:cs="Arial"/>
                <w:b/>
                <w:sz w:val="18"/>
                <w:szCs w:val="18"/>
                <w:lang w:val="en-US"/>
              </w:rPr>
            </w:pPr>
            <w:r w:rsidRPr="00D620ED">
              <w:rPr>
                <w:rFonts w:ascii="Arial" w:hAnsi="Arial" w:cs="Arial"/>
                <w:color w:val="000000"/>
                <w:sz w:val="18"/>
                <w:szCs w:val="18"/>
              </w:rPr>
              <w:t>65079</w:t>
            </w:r>
          </w:p>
        </w:tc>
        <w:tc>
          <w:tcPr>
            <w:tcW w:w="5522" w:type="dxa"/>
          </w:tcPr>
          <w:p w14:paraId="04BDF60A" w14:textId="77777777" w:rsidR="00726584" w:rsidRPr="00D620ED" w:rsidRDefault="00726584">
            <w:pPr>
              <w:spacing w:before="140" w:after="40"/>
              <w:rPr>
                <w:rFonts w:ascii="Arial" w:hAnsi="Arial" w:cs="Arial"/>
                <w:sz w:val="18"/>
                <w:szCs w:val="18"/>
                <w:lang w:val="en-US"/>
              </w:rPr>
            </w:pPr>
            <w:r w:rsidRPr="00D620ED">
              <w:rPr>
                <w:rFonts w:ascii="Arial" w:hAnsi="Arial" w:cs="Arial"/>
                <w:color w:val="000000"/>
                <w:sz w:val="18"/>
                <w:szCs w:val="18"/>
              </w:rPr>
              <w:t xml:space="preserve">Tests described in item 65078 if rendered by a receiving APP – </w:t>
            </w:r>
            <w:r w:rsidR="00F81288" w:rsidRPr="00D620ED">
              <w:rPr>
                <w:rFonts w:ascii="Arial" w:hAnsi="Arial" w:cs="Arial"/>
                <w:color w:val="000000"/>
                <w:sz w:val="18"/>
                <w:szCs w:val="18"/>
              </w:rPr>
              <w:t>1</w:t>
            </w:r>
            <w:r w:rsidR="00F81288">
              <w:rPr>
                <w:rFonts w:ascii="Arial" w:hAnsi="Arial" w:cs="Arial"/>
                <w:color w:val="000000"/>
                <w:sz w:val="18"/>
                <w:szCs w:val="18"/>
              </w:rPr>
              <w:t> </w:t>
            </w:r>
            <w:r w:rsidRPr="00D620ED">
              <w:rPr>
                <w:rFonts w:ascii="Arial" w:hAnsi="Arial" w:cs="Arial"/>
                <w:color w:val="000000"/>
                <w:sz w:val="18"/>
                <w:szCs w:val="18"/>
              </w:rPr>
              <w:t>or more tests (Item is subject to rule 18)</w:t>
            </w:r>
          </w:p>
        </w:tc>
        <w:tc>
          <w:tcPr>
            <w:tcW w:w="1451" w:type="dxa"/>
          </w:tcPr>
          <w:p w14:paraId="069490E3" w14:textId="77777777" w:rsidR="00726584" w:rsidRPr="00D620ED" w:rsidRDefault="00726584" w:rsidP="00726584">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90.20</w:t>
            </w:r>
          </w:p>
        </w:tc>
        <w:tc>
          <w:tcPr>
            <w:tcW w:w="1384" w:type="dxa"/>
          </w:tcPr>
          <w:p w14:paraId="0C87113C"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1,817</w:t>
            </w:r>
          </w:p>
        </w:tc>
      </w:tr>
      <w:tr w:rsidR="00726584" w:rsidRPr="00E35EA2" w14:paraId="65B8B215" w14:textId="77777777" w:rsidTr="005C47CA">
        <w:tc>
          <w:tcPr>
            <w:tcW w:w="965" w:type="dxa"/>
          </w:tcPr>
          <w:p w14:paraId="68A10089" w14:textId="77777777" w:rsidR="00726584" w:rsidRPr="00D620ED" w:rsidRDefault="00726584" w:rsidP="00726584">
            <w:pPr>
              <w:spacing w:before="140" w:after="40"/>
              <w:rPr>
                <w:rFonts w:ascii="Arial" w:hAnsi="Arial" w:cs="Arial"/>
                <w:color w:val="000000"/>
                <w:sz w:val="18"/>
                <w:szCs w:val="18"/>
              </w:rPr>
            </w:pPr>
            <w:r>
              <w:rPr>
                <w:rFonts w:ascii="Arial" w:hAnsi="Arial" w:cs="Arial"/>
                <w:color w:val="000000"/>
                <w:sz w:val="18"/>
                <w:szCs w:val="18"/>
              </w:rPr>
              <w:t>65082</w:t>
            </w:r>
          </w:p>
        </w:tc>
        <w:tc>
          <w:tcPr>
            <w:tcW w:w="5522" w:type="dxa"/>
          </w:tcPr>
          <w:p w14:paraId="039E8474" w14:textId="77777777" w:rsidR="00726584" w:rsidRPr="00D620ED" w:rsidRDefault="00726584">
            <w:pPr>
              <w:spacing w:before="140" w:after="40"/>
              <w:rPr>
                <w:rFonts w:ascii="Arial" w:hAnsi="Arial" w:cs="Arial"/>
                <w:color w:val="000000"/>
                <w:sz w:val="18"/>
                <w:szCs w:val="18"/>
              </w:rPr>
            </w:pPr>
            <w:r w:rsidRPr="00D9763F">
              <w:rPr>
                <w:rFonts w:ascii="Arial" w:hAnsi="Arial" w:cs="Arial"/>
                <w:color w:val="000000"/>
                <w:sz w:val="18"/>
                <w:szCs w:val="18"/>
              </w:rPr>
              <w:t xml:space="preserve">Tests described in item 65081 if rendered by a receiving APP </w:t>
            </w:r>
            <w:r w:rsidR="00F81288">
              <w:rPr>
                <w:rFonts w:ascii="Arial" w:hAnsi="Arial" w:cs="Arial"/>
                <w:color w:val="000000"/>
                <w:sz w:val="18"/>
                <w:szCs w:val="18"/>
              </w:rPr>
              <w:t>–</w:t>
            </w:r>
            <w:r w:rsidR="00F81288" w:rsidRPr="00D9763F">
              <w:rPr>
                <w:rFonts w:ascii="Arial" w:hAnsi="Arial" w:cs="Arial"/>
                <w:color w:val="000000"/>
                <w:sz w:val="18"/>
                <w:szCs w:val="18"/>
              </w:rPr>
              <w:t xml:space="preserve"> 1</w:t>
            </w:r>
            <w:r w:rsidR="00F81288">
              <w:rPr>
                <w:rFonts w:ascii="Arial" w:hAnsi="Arial" w:cs="Arial"/>
                <w:color w:val="000000"/>
                <w:sz w:val="18"/>
                <w:szCs w:val="18"/>
              </w:rPr>
              <w:t> </w:t>
            </w:r>
            <w:r w:rsidRPr="00D9763F">
              <w:rPr>
                <w:rFonts w:ascii="Arial" w:hAnsi="Arial" w:cs="Arial"/>
                <w:color w:val="000000"/>
                <w:sz w:val="18"/>
                <w:szCs w:val="18"/>
              </w:rPr>
              <w:t>or more tests (Item is subject to rule 18)</w:t>
            </w:r>
          </w:p>
        </w:tc>
        <w:tc>
          <w:tcPr>
            <w:tcW w:w="1451" w:type="dxa"/>
          </w:tcPr>
          <w:p w14:paraId="734C1334" w14:textId="77777777" w:rsidR="00726584" w:rsidRDefault="00726584" w:rsidP="00726584">
            <w:pPr>
              <w:spacing w:before="140" w:after="40"/>
              <w:rPr>
                <w:rFonts w:ascii="Arial" w:hAnsi="Arial" w:cs="Arial"/>
                <w:color w:val="000000"/>
                <w:sz w:val="18"/>
                <w:szCs w:val="18"/>
              </w:rPr>
            </w:pPr>
            <w:r>
              <w:rPr>
                <w:rFonts w:ascii="Arial" w:hAnsi="Arial" w:cs="Arial"/>
                <w:color w:val="000000"/>
                <w:sz w:val="18"/>
                <w:szCs w:val="18"/>
              </w:rPr>
              <w:t>$96.60</w:t>
            </w:r>
          </w:p>
        </w:tc>
        <w:tc>
          <w:tcPr>
            <w:tcW w:w="1384" w:type="dxa"/>
          </w:tcPr>
          <w:p w14:paraId="4889B384" w14:textId="77777777" w:rsidR="00726584" w:rsidRPr="00D620ED" w:rsidRDefault="00726584" w:rsidP="00726584">
            <w:pPr>
              <w:spacing w:before="140" w:after="40"/>
              <w:rPr>
                <w:rFonts w:ascii="Arial" w:hAnsi="Arial" w:cs="Arial"/>
                <w:color w:val="000000"/>
                <w:sz w:val="18"/>
                <w:szCs w:val="18"/>
              </w:rPr>
            </w:pPr>
            <w:r>
              <w:rPr>
                <w:rFonts w:ascii="Arial" w:hAnsi="Arial" w:cs="Arial"/>
                <w:color w:val="000000"/>
                <w:sz w:val="18"/>
                <w:szCs w:val="18"/>
              </w:rPr>
              <w:t>570</w:t>
            </w:r>
          </w:p>
        </w:tc>
      </w:tr>
      <w:tr w:rsidR="00726584" w:rsidRPr="00E35EA2" w14:paraId="6A0E1F3A" w14:textId="77777777" w:rsidTr="005C47CA">
        <w:tc>
          <w:tcPr>
            <w:tcW w:w="965" w:type="dxa"/>
          </w:tcPr>
          <w:p w14:paraId="7994B561" w14:textId="77777777" w:rsidR="00726584" w:rsidRPr="00D620ED" w:rsidRDefault="00726584" w:rsidP="00726584">
            <w:pPr>
              <w:spacing w:before="140" w:after="40"/>
              <w:rPr>
                <w:rFonts w:ascii="Arial" w:hAnsi="Arial" w:cs="Arial"/>
                <w:b/>
                <w:sz w:val="18"/>
                <w:szCs w:val="18"/>
                <w:lang w:val="en-US"/>
              </w:rPr>
            </w:pPr>
            <w:r w:rsidRPr="00D620ED">
              <w:rPr>
                <w:rFonts w:ascii="Arial" w:hAnsi="Arial" w:cs="Arial"/>
                <w:color w:val="000000"/>
                <w:sz w:val="18"/>
                <w:szCs w:val="18"/>
              </w:rPr>
              <w:t>65084</w:t>
            </w:r>
          </w:p>
        </w:tc>
        <w:tc>
          <w:tcPr>
            <w:tcW w:w="5522" w:type="dxa"/>
          </w:tcPr>
          <w:p w14:paraId="58FF3DB4"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Bone marrow trephine biopsy – histopathological examination of sections of bone marrow and examination of aspirated material (including clot sections where necessary), including (if performed): any test described in item 65060, 65066 or 65070</w:t>
            </w:r>
          </w:p>
        </w:tc>
        <w:tc>
          <w:tcPr>
            <w:tcW w:w="1451" w:type="dxa"/>
          </w:tcPr>
          <w:p w14:paraId="52EEF8C8" w14:textId="77777777" w:rsidR="00726584" w:rsidRPr="00D620ED" w:rsidRDefault="00726584" w:rsidP="00726584">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165.85</w:t>
            </w:r>
          </w:p>
        </w:tc>
        <w:tc>
          <w:tcPr>
            <w:tcW w:w="1384" w:type="dxa"/>
          </w:tcPr>
          <w:p w14:paraId="34CAFB0E"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15,455</w:t>
            </w:r>
          </w:p>
        </w:tc>
      </w:tr>
      <w:tr w:rsidR="00726584" w:rsidRPr="00E35EA2" w14:paraId="7B1000C8" w14:textId="77777777" w:rsidTr="005C47CA">
        <w:tc>
          <w:tcPr>
            <w:tcW w:w="965" w:type="dxa"/>
          </w:tcPr>
          <w:p w14:paraId="3AD0D76D" w14:textId="77777777" w:rsidR="00726584" w:rsidRPr="00D620ED" w:rsidRDefault="00726584" w:rsidP="00726584">
            <w:pPr>
              <w:spacing w:before="140" w:after="40"/>
              <w:rPr>
                <w:rFonts w:ascii="Arial" w:hAnsi="Arial" w:cs="Arial"/>
                <w:b/>
                <w:sz w:val="18"/>
                <w:szCs w:val="18"/>
                <w:lang w:val="en-US"/>
              </w:rPr>
            </w:pPr>
            <w:r w:rsidRPr="00D620ED">
              <w:rPr>
                <w:rFonts w:ascii="Arial" w:hAnsi="Arial" w:cs="Arial"/>
                <w:color w:val="000000"/>
                <w:sz w:val="18"/>
                <w:szCs w:val="18"/>
              </w:rPr>
              <w:t>65087</w:t>
            </w:r>
          </w:p>
        </w:tc>
        <w:tc>
          <w:tcPr>
            <w:tcW w:w="5522" w:type="dxa"/>
          </w:tcPr>
          <w:p w14:paraId="78E544E4"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Bone marrow – examination of aspirated material (including clot sections whe</w:t>
            </w:r>
            <w:r w:rsidR="00F81288">
              <w:rPr>
                <w:rFonts w:ascii="Arial" w:hAnsi="Arial" w:cs="Arial"/>
                <w:color w:val="000000"/>
                <w:sz w:val="18"/>
                <w:szCs w:val="18"/>
              </w:rPr>
              <w:t>n</w:t>
            </w:r>
            <w:r w:rsidRPr="00D620ED">
              <w:rPr>
                <w:rFonts w:ascii="Arial" w:hAnsi="Arial" w:cs="Arial"/>
                <w:color w:val="000000"/>
                <w:sz w:val="18"/>
                <w:szCs w:val="18"/>
              </w:rPr>
              <w:t xml:space="preserve"> necessary), including (if performed): any test described in item 65060, 65066 or 65070</w:t>
            </w:r>
          </w:p>
        </w:tc>
        <w:tc>
          <w:tcPr>
            <w:tcW w:w="1451" w:type="dxa"/>
          </w:tcPr>
          <w:p w14:paraId="0E90C5EF" w14:textId="77777777" w:rsidR="00726584" w:rsidRPr="00D620ED" w:rsidRDefault="00726584" w:rsidP="00726584">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83.10</w:t>
            </w:r>
          </w:p>
        </w:tc>
        <w:tc>
          <w:tcPr>
            <w:tcW w:w="1384" w:type="dxa"/>
          </w:tcPr>
          <w:p w14:paraId="630612E7"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2,315</w:t>
            </w:r>
          </w:p>
        </w:tc>
      </w:tr>
      <w:tr w:rsidR="00726584" w:rsidRPr="00E35EA2" w14:paraId="566EF806" w14:textId="77777777" w:rsidTr="005C47CA">
        <w:tc>
          <w:tcPr>
            <w:tcW w:w="965" w:type="dxa"/>
          </w:tcPr>
          <w:p w14:paraId="2FFAE2D5" w14:textId="77777777" w:rsidR="00726584" w:rsidRPr="00D620ED" w:rsidRDefault="00726584" w:rsidP="00726584">
            <w:pPr>
              <w:spacing w:before="140" w:after="40"/>
              <w:rPr>
                <w:rFonts w:ascii="Arial" w:hAnsi="Arial" w:cs="Arial"/>
                <w:color w:val="000000"/>
                <w:sz w:val="18"/>
                <w:szCs w:val="18"/>
              </w:rPr>
            </w:pPr>
            <w:r>
              <w:rPr>
                <w:rFonts w:ascii="Arial" w:hAnsi="Arial" w:cs="Arial"/>
                <w:color w:val="000000"/>
                <w:sz w:val="18"/>
                <w:szCs w:val="18"/>
              </w:rPr>
              <w:t>65090</w:t>
            </w:r>
          </w:p>
        </w:tc>
        <w:tc>
          <w:tcPr>
            <w:tcW w:w="5522" w:type="dxa"/>
          </w:tcPr>
          <w:p w14:paraId="46DCC7B1" w14:textId="77777777" w:rsidR="00726584" w:rsidRPr="00D620ED" w:rsidRDefault="00726584">
            <w:pPr>
              <w:spacing w:before="140" w:after="40"/>
              <w:rPr>
                <w:rFonts w:ascii="Arial" w:hAnsi="Arial" w:cs="Arial"/>
                <w:color w:val="000000"/>
                <w:sz w:val="18"/>
                <w:szCs w:val="18"/>
              </w:rPr>
            </w:pPr>
            <w:r w:rsidRPr="00B24C47">
              <w:rPr>
                <w:rFonts w:ascii="Arial" w:hAnsi="Arial" w:cs="Arial"/>
                <w:color w:val="000000"/>
                <w:sz w:val="18"/>
                <w:szCs w:val="18"/>
              </w:rPr>
              <w:t xml:space="preserve">Blood grouping (including back-grouping if performed) </w:t>
            </w:r>
            <w:r w:rsidR="00F81288">
              <w:rPr>
                <w:rFonts w:ascii="Arial" w:hAnsi="Arial" w:cs="Arial"/>
                <w:color w:val="000000"/>
                <w:sz w:val="18"/>
                <w:szCs w:val="18"/>
              </w:rPr>
              <w:t>–</w:t>
            </w:r>
            <w:r w:rsidR="00F81288" w:rsidRPr="00B24C47">
              <w:rPr>
                <w:rFonts w:ascii="Arial" w:hAnsi="Arial" w:cs="Arial"/>
                <w:color w:val="000000"/>
                <w:sz w:val="18"/>
                <w:szCs w:val="18"/>
              </w:rPr>
              <w:t xml:space="preserve"> </w:t>
            </w:r>
            <w:r w:rsidRPr="00B24C47">
              <w:rPr>
                <w:rFonts w:ascii="Arial" w:hAnsi="Arial" w:cs="Arial"/>
                <w:color w:val="000000"/>
                <w:sz w:val="18"/>
                <w:szCs w:val="18"/>
              </w:rPr>
              <w:t>ABO and Rh (D antigen)</w:t>
            </w:r>
          </w:p>
        </w:tc>
        <w:tc>
          <w:tcPr>
            <w:tcW w:w="1451" w:type="dxa"/>
          </w:tcPr>
          <w:p w14:paraId="1EE5A1A0" w14:textId="77777777" w:rsidR="00726584" w:rsidRDefault="00726584" w:rsidP="00726584">
            <w:pPr>
              <w:spacing w:before="140" w:after="40"/>
              <w:rPr>
                <w:rFonts w:ascii="Arial" w:hAnsi="Arial" w:cs="Arial"/>
                <w:color w:val="000000"/>
                <w:sz w:val="18"/>
                <w:szCs w:val="18"/>
              </w:rPr>
            </w:pPr>
            <w:r w:rsidRPr="00B24C47">
              <w:rPr>
                <w:rFonts w:ascii="Arial" w:hAnsi="Arial" w:cs="Arial"/>
                <w:color w:val="000000"/>
                <w:sz w:val="18"/>
                <w:szCs w:val="18"/>
              </w:rPr>
              <w:t>$11.15</w:t>
            </w:r>
          </w:p>
        </w:tc>
        <w:tc>
          <w:tcPr>
            <w:tcW w:w="1384" w:type="dxa"/>
          </w:tcPr>
          <w:p w14:paraId="6A76462C" w14:textId="77777777" w:rsidR="00726584" w:rsidRPr="00D620ED" w:rsidRDefault="00726584" w:rsidP="00726584">
            <w:pPr>
              <w:spacing w:before="140" w:after="40"/>
              <w:rPr>
                <w:rFonts w:ascii="Arial" w:hAnsi="Arial" w:cs="Arial"/>
                <w:color w:val="000000"/>
                <w:sz w:val="18"/>
                <w:szCs w:val="18"/>
              </w:rPr>
            </w:pPr>
            <w:r w:rsidRPr="00B24C47">
              <w:rPr>
                <w:rFonts w:ascii="Arial" w:hAnsi="Arial" w:cs="Arial"/>
                <w:color w:val="000000"/>
                <w:sz w:val="18"/>
                <w:szCs w:val="18"/>
              </w:rPr>
              <w:t>83,316</w:t>
            </w:r>
          </w:p>
        </w:tc>
      </w:tr>
      <w:tr w:rsidR="00726584" w:rsidRPr="00E35EA2" w14:paraId="5BD08A20" w14:textId="77777777" w:rsidTr="005C47CA">
        <w:tc>
          <w:tcPr>
            <w:tcW w:w="965" w:type="dxa"/>
          </w:tcPr>
          <w:p w14:paraId="7A2DE98C" w14:textId="77777777" w:rsidR="00726584" w:rsidRDefault="00726584" w:rsidP="00726584">
            <w:pPr>
              <w:spacing w:before="140" w:after="40"/>
              <w:rPr>
                <w:rFonts w:ascii="Arial" w:hAnsi="Arial" w:cs="Arial"/>
                <w:color w:val="000000"/>
                <w:sz w:val="18"/>
                <w:szCs w:val="18"/>
              </w:rPr>
            </w:pPr>
            <w:r>
              <w:rPr>
                <w:rFonts w:ascii="Arial" w:hAnsi="Arial" w:cs="Arial"/>
                <w:color w:val="000000"/>
                <w:sz w:val="18"/>
                <w:szCs w:val="18"/>
              </w:rPr>
              <w:t>65093</w:t>
            </w:r>
          </w:p>
        </w:tc>
        <w:tc>
          <w:tcPr>
            <w:tcW w:w="5522" w:type="dxa"/>
          </w:tcPr>
          <w:p w14:paraId="4E65AB3A" w14:textId="77777777" w:rsidR="00726584" w:rsidRPr="00D620ED" w:rsidRDefault="00726584">
            <w:pPr>
              <w:spacing w:before="140" w:after="40"/>
              <w:rPr>
                <w:rFonts w:ascii="Arial" w:hAnsi="Arial" w:cs="Arial"/>
                <w:color w:val="000000"/>
                <w:sz w:val="18"/>
                <w:szCs w:val="18"/>
              </w:rPr>
            </w:pPr>
            <w:r w:rsidRPr="00B24C47">
              <w:rPr>
                <w:rFonts w:ascii="Arial" w:hAnsi="Arial" w:cs="Arial"/>
                <w:color w:val="000000"/>
                <w:sz w:val="18"/>
                <w:szCs w:val="18"/>
              </w:rPr>
              <w:t xml:space="preserve">Blood grouping </w:t>
            </w:r>
            <w:r w:rsidR="00F81288">
              <w:rPr>
                <w:rFonts w:ascii="Arial" w:hAnsi="Arial" w:cs="Arial"/>
                <w:color w:val="000000"/>
                <w:sz w:val="18"/>
                <w:szCs w:val="18"/>
              </w:rPr>
              <w:t>–</w:t>
            </w:r>
            <w:r w:rsidR="00F81288" w:rsidRPr="00B24C47">
              <w:rPr>
                <w:rFonts w:ascii="Arial" w:hAnsi="Arial" w:cs="Arial"/>
                <w:color w:val="000000"/>
                <w:sz w:val="18"/>
                <w:szCs w:val="18"/>
              </w:rPr>
              <w:t xml:space="preserve"> </w:t>
            </w:r>
            <w:r w:rsidRPr="00B24C47">
              <w:rPr>
                <w:rFonts w:ascii="Arial" w:hAnsi="Arial" w:cs="Arial"/>
                <w:color w:val="000000"/>
                <w:sz w:val="18"/>
                <w:szCs w:val="18"/>
              </w:rPr>
              <w:t xml:space="preserve">Rh phenotypes, Kell system, Duffy system, M and N factors or any other blood group system </w:t>
            </w:r>
            <w:r w:rsidR="00F81288">
              <w:rPr>
                <w:rFonts w:ascii="Arial" w:hAnsi="Arial" w:cs="Arial"/>
                <w:color w:val="000000"/>
                <w:sz w:val="18"/>
                <w:szCs w:val="18"/>
              </w:rPr>
              <w:t>–</w:t>
            </w:r>
            <w:r w:rsidR="00F81288" w:rsidRPr="00B24C47">
              <w:rPr>
                <w:rFonts w:ascii="Arial" w:hAnsi="Arial" w:cs="Arial"/>
                <w:color w:val="000000"/>
                <w:sz w:val="18"/>
                <w:szCs w:val="18"/>
              </w:rPr>
              <w:t xml:space="preserve"> </w:t>
            </w:r>
            <w:r w:rsidRPr="00B24C47">
              <w:rPr>
                <w:rFonts w:ascii="Arial" w:hAnsi="Arial" w:cs="Arial"/>
                <w:color w:val="000000"/>
                <w:sz w:val="18"/>
                <w:szCs w:val="18"/>
              </w:rPr>
              <w:t>1 or more systems, including item 65090 (if performed)</w:t>
            </w:r>
          </w:p>
        </w:tc>
        <w:tc>
          <w:tcPr>
            <w:tcW w:w="1451" w:type="dxa"/>
          </w:tcPr>
          <w:p w14:paraId="2D66A437" w14:textId="77777777" w:rsidR="00726584" w:rsidRDefault="00726584" w:rsidP="00726584">
            <w:pPr>
              <w:spacing w:before="140" w:after="40"/>
              <w:rPr>
                <w:rFonts w:ascii="Arial" w:hAnsi="Arial" w:cs="Arial"/>
                <w:color w:val="000000"/>
                <w:sz w:val="18"/>
                <w:szCs w:val="18"/>
              </w:rPr>
            </w:pPr>
            <w:r w:rsidRPr="00B24C47">
              <w:rPr>
                <w:rFonts w:ascii="Arial" w:hAnsi="Arial" w:cs="Arial"/>
                <w:color w:val="000000"/>
                <w:sz w:val="18"/>
                <w:szCs w:val="18"/>
              </w:rPr>
              <w:t>$22.00</w:t>
            </w:r>
          </w:p>
        </w:tc>
        <w:tc>
          <w:tcPr>
            <w:tcW w:w="1384" w:type="dxa"/>
          </w:tcPr>
          <w:p w14:paraId="55B6AB25" w14:textId="77777777" w:rsidR="00726584" w:rsidRPr="00D620ED" w:rsidRDefault="00726584" w:rsidP="00726584">
            <w:pPr>
              <w:spacing w:before="140" w:after="40"/>
              <w:rPr>
                <w:rFonts w:ascii="Arial" w:hAnsi="Arial" w:cs="Arial"/>
                <w:color w:val="000000"/>
                <w:sz w:val="18"/>
                <w:szCs w:val="18"/>
              </w:rPr>
            </w:pPr>
            <w:r w:rsidRPr="00B24C47">
              <w:rPr>
                <w:rFonts w:ascii="Arial" w:hAnsi="Arial" w:cs="Arial"/>
                <w:color w:val="000000"/>
                <w:sz w:val="18"/>
                <w:szCs w:val="18"/>
              </w:rPr>
              <w:t>4,742</w:t>
            </w:r>
          </w:p>
        </w:tc>
      </w:tr>
      <w:tr w:rsidR="00726584" w:rsidRPr="00E35EA2" w14:paraId="3EA3AE70" w14:textId="77777777" w:rsidTr="005C47CA">
        <w:tc>
          <w:tcPr>
            <w:tcW w:w="965" w:type="dxa"/>
          </w:tcPr>
          <w:p w14:paraId="6A4FC5BD" w14:textId="77777777" w:rsidR="00726584" w:rsidRPr="00D620ED" w:rsidRDefault="00726584" w:rsidP="00726584">
            <w:pPr>
              <w:spacing w:before="140" w:after="40"/>
              <w:rPr>
                <w:rFonts w:ascii="Arial" w:hAnsi="Arial" w:cs="Arial"/>
                <w:b/>
                <w:sz w:val="18"/>
                <w:szCs w:val="18"/>
                <w:lang w:val="en-US"/>
              </w:rPr>
            </w:pPr>
            <w:r w:rsidRPr="00D620ED">
              <w:rPr>
                <w:rFonts w:ascii="Arial" w:hAnsi="Arial" w:cs="Arial"/>
                <w:color w:val="000000"/>
                <w:sz w:val="18"/>
                <w:szCs w:val="18"/>
              </w:rPr>
              <w:t>65109</w:t>
            </w:r>
          </w:p>
        </w:tc>
        <w:tc>
          <w:tcPr>
            <w:tcW w:w="5522" w:type="dxa"/>
          </w:tcPr>
          <w:p w14:paraId="1161D4E1"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Release of fresh frozen plasma or cryoprecipitate for the use in a patient for the correction of a coagulopathy – 1 release</w:t>
            </w:r>
          </w:p>
        </w:tc>
        <w:tc>
          <w:tcPr>
            <w:tcW w:w="1451" w:type="dxa"/>
          </w:tcPr>
          <w:p w14:paraId="713080D2" w14:textId="77777777" w:rsidR="00726584" w:rsidRPr="00D620ED" w:rsidRDefault="00726584" w:rsidP="00726584">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12.90</w:t>
            </w:r>
          </w:p>
        </w:tc>
        <w:tc>
          <w:tcPr>
            <w:tcW w:w="1384" w:type="dxa"/>
          </w:tcPr>
          <w:p w14:paraId="6CCAE442"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17,359</w:t>
            </w:r>
          </w:p>
        </w:tc>
      </w:tr>
      <w:tr w:rsidR="00726584" w:rsidRPr="00E35EA2" w14:paraId="36261D20" w14:textId="77777777" w:rsidTr="005C47CA">
        <w:tc>
          <w:tcPr>
            <w:tcW w:w="965" w:type="dxa"/>
          </w:tcPr>
          <w:p w14:paraId="2867DF46" w14:textId="77777777" w:rsidR="00726584" w:rsidRPr="00D620ED" w:rsidRDefault="00726584" w:rsidP="00726584">
            <w:pPr>
              <w:spacing w:before="140" w:after="40"/>
              <w:rPr>
                <w:rFonts w:ascii="Arial" w:hAnsi="Arial" w:cs="Arial"/>
                <w:b/>
                <w:sz w:val="18"/>
                <w:szCs w:val="18"/>
                <w:lang w:val="en-US"/>
              </w:rPr>
            </w:pPr>
            <w:r w:rsidRPr="00D620ED">
              <w:rPr>
                <w:rFonts w:ascii="Arial" w:hAnsi="Arial" w:cs="Arial"/>
                <w:color w:val="000000"/>
                <w:sz w:val="18"/>
                <w:szCs w:val="18"/>
              </w:rPr>
              <w:t>65110</w:t>
            </w:r>
          </w:p>
        </w:tc>
        <w:tc>
          <w:tcPr>
            <w:tcW w:w="5522" w:type="dxa"/>
          </w:tcPr>
          <w:p w14:paraId="33ED3914"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Release of compatible fresh platelets for the use in a patient for platelet support as prophylaxis to minimise bleeding or during active bleeding – 1 release</w:t>
            </w:r>
          </w:p>
        </w:tc>
        <w:tc>
          <w:tcPr>
            <w:tcW w:w="1451" w:type="dxa"/>
          </w:tcPr>
          <w:p w14:paraId="2EB37408" w14:textId="77777777" w:rsidR="00726584" w:rsidRPr="00D620ED" w:rsidRDefault="00726584" w:rsidP="00726584">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12.90</w:t>
            </w:r>
          </w:p>
        </w:tc>
        <w:tc>
          <w:tcPr>
            <w:tcW w:w="1384" w:type="dxa"/>
          </w:tcPr>
          <w:p w14:paraId="3577207D"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22,748</w:t>
            </w:r>
          </w:p>
        </w:tc>
      </w:tr>
      <w:tr w:rsidR="00726584" w:rsidRPr="00E35EA2" w14:paraId="5CFC836B" w14:textId="77777777" w:rsidTr="005C47CA">
        <w:tc>
          <w:tcPr>
            <w:tcW w:w="965" w:type="dxa"/>
          </w:tcPr>
          <w:p w14:paraId="6F381390" w14:textId="77777777" w:rsidR="00726584" w:rsidRPr="00D620ED" w:rsidRDefault="00726584" w:rsidP="00726584">
            <w:pPr>
              <w:spacing w:before="140" w:after="40"/>
              <w:rPr>
                <w:rFonts w:ascii="Arial" w:hAnsi="Arial" w:cs="Arial"/>
                <w:b/>
                <w:sz w:val="18"/>
                <w:szCs w:val="18"/>
                <w:lang w:val="en-US"/>
              </w:rPr>
            </w:pPr>
            <w:r w:rsidRPr="00D620ED">
              <w:rPr>
                <w:rFonts w:ascii="Arial" w:hAnsi="Arial" w:cs="Arial"/>
                <w:color w:val="000000"/>
                <w:sz w:val="18"/>
                <w:szCs w:val="18"/>
              </w:rPr>
              <w:t>65114</w:t>
            </w:r>
          </w:p>
        </w:tc>
        <w:tc>
          <w:tcPr>
            <w:tcW w:w="5522" w:type="dxa"/>
          </w:tcPr>
          <w:p w14:paraId="55536B54"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1 or more of the following tests: (a) direct Coombs (antiglobulin) test; (b) qualitative or quantitative test for cold agglutinins or heterophil antibodies</w:t>
            </w:r>
          </w:p>
        </w:tc>
        <w:tc>
          <w:tcPr>
            <w:tcW w:w="1451" w:type="dxa"/>
          </w:tcPr>
          <w:p w14:paraId="7C4964A2" w14:textId="77777777" w:rsidR="00726584" w:rsidRPr="00D620ED" w:rsidRDefault="00726584" w:rsidP="00726584">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9.10</w:t>
            </w:r>
          </w:p>
        </w:tc>
        <w:tc>
          <w:tcPr>
            <w:tcW w:w="1384" w:type="dxa"/>
          </w:tcPr>
          <w:p w14:paraId="26A68301" w14:textId="77777777" w:rsidR="00726584" w:rsidRPr="00D620ED" w:rsidRDefault="00726584" w:rsidP="00726584">
            <w:pPr>
              <w:spacing w:before="140" w:after="40"/>
              <w:rPr>
                <w:rFonts w:ascii="Arial" w:hAnsi="Arial" w:cs="Arial"/>
                <w:sz w:val="18"/>
                <w:szCs w:val="18"/>
                <w:lang w:val="en-US"/>
              </w:rPr>
            </w:pPr>
            <w:r w:rsidRPr="00D620ED">
              <w:rPr>
                <w:rFonts w:ascii="Arial" w:hAnsi="Arial" w:cs="Arial"/>
                <w:color w:val="000000"/>
                <w:sz w:val="18"/>
                <w:szCs w:val="18"/>
              </w:rPr>
              <w:t>58,390</w:t>
            </w:r>
          </w:p>
        </w:tc>
      </w:tr>
      <w:tr w:rsidR="00726584" w:rsidRPr="00E35EA2" w14:paraId="422120D8" w14:textId="77777777" w:rsidTr="005C47CA">
        <w:tc>
          <w:tcPr>
            <w:tcW w:w="965" w:type="dxa"/>
          </w:tcPr>
          <w:p w14:paraId="5E4A99B4" w14:textId="77777777" w:rsidR="00726584" w:rsidRPr="00D620ED" w:rsidRDefault="00726584" w:rsidP="00726584">
            <w:pPr>
              <w:spacing w:before="140" w:after="40"/>
              <w:rPr>
                <w:rFonts w:ascii="Arial" w:hAnsi="Arial" w:cs="Arial"/>
                <w:color w:val="000000"/>
                <w:sz w:val="18"/>
                <w:szCs w:val="18"/>
              </w:rPr>
            </w:pPr>
            <w:r>
              <w:rPr>
                <w:rFonts w:ascii="Arial" w:hAnsi="Arial" w:cs="Arial"/>
                <w:color w:val="000000"/>
                <w:sz w:val="18"/>
                <w:szCs w:val="18"/>
              </w:rPr>
              <w:t>65123</w:t>
            </w:r>
          </w:p>
        </w:tc>
        <w:tc>
          <w:tcPr>
            <w:tcW w:w="5522" w:type="dxa"/>
          </w:tcPr>
          <w:p w14:paraId="6EF77590" w14:textId="77777777" w:rsidR="00726584" w:rsidRPr="00D620ED" w:rsidRDefault="00726584" w:rsidP="00726584">
            <w:pPr>
              <w:spacing w:before="140" w:after="40"/>
              <w:rPr>
                <w:rFonts w:ascii="Arial" w:hAnsi="Arial" w:cs="Arial"/>
                <w:color w:val="000000"/>
                <w:sz w:val="18"/>
                <w:szCs w:val="18"/>
              </w:rPr>
            </w:pPr>
            <w:r w:rsidRPr="006966FB">
              <w:rPr>
                <w:rFonts w:ascii="Arial" w:hAnsi="Arial" w:cs="Arial"/>
                <w:color w:val="000000"/>
                <w:sz w:val="18"/>
                <w:szCs w:val="18"/>
              </w:rPr>
              <w:t>2 tests described in item 65120</w:t>
            </w:r>
          </w:p>
        </w:tc>
        <w:tc>
          <w:tcPr>
            <w:tcW w:w="1451" w:type="dxa"/>
          </w:tcPr>
          <w:p w14:paraId="26661A16" w14:textId="77777777" w:rsidR="00726584" w:rsidRDefault="00726584" w:rsidP="00726584">
            <w:pPr>
              <w:spacing w:before="140" w:after="40"/>
              <w:rPr>
                <w:rFonts w:ascii="Arial" w:hAnsi="Arial" w:cs="Arial"/>
                <w:color w:val="000000"/>
                <w:sz w:val="18"/>
                <w:szCs w:val="18"/>
              </w:rPr>
            </w:pPr>
            <w:r w:rsidRPr="006966FB">
              <w:rPr>
                <w:rFonts w:ascii="Arial" w:hAnsi="Arial" w:cs="Arial"/>
                <w:color w:val="000000"/>
                <w:sz w:val="18"/>
                <w:szCs w:val="18"/>
              </w:rPr>
              <w:t xml:space="preserve">$20.35 </w:t>
            </w:r>
          </w:p>
        </w:tc>
        <w:tc>
          <w:tcPr>
            <w:tcW w:w="1384" w:type="dxa"/>
          </w:tcPr>
          <w:p w14:paraId="360392BD" w14:textId="77777777" w:rsidR="00726584" w:rsidRPr="00D620ED" w:rsidRDefault="00726584" w:rsidP="00726584">
            <w:pPr>
              <w:spacing w:before="140" w:after="40"/>
              <w:rPr>
                <w:rFonts w:ascii="Arial" w:hAnsi="Arial" w:cs="Arial"/>
                <w:color w:val="000000"/>
                <w:sz w:val="18"/>
                <w:szCs w:val="18"/>
              </w:rPr>
            </w:pPr>
            <w:r w:rsidRPr="006966FB">
              <w:rPr>
                <w:rFonts w:ascii="Arial" w:hAnsi="Arial" w:cs="Arial"/>
                <w:color w:val="000000"/>
                <w:sz w:val="18"/>
                <w:szCs w:val="18"/>
              </w:rPr>
              <w:t>391,044</w:t>
            </w:r>
          </w:p>
        </w:tc>
      </w:tr>
      <w:tr w:rsidR="00A35B0D" w:rsidRPr="00E35EA2" w14:paraId="49B2C16A" w14:textId="77777777" w:rsidTr="005C47CA">
        <w:tc>
          <w:tcPr>
            <w:tcW w:w="965" w:type="dxa"/>
          </w:tcPr>
          <w:p w14:paraId="0BF5E38D" w14:textId="77777777" w:rsidR="00A35B0D" w:rsidRPr="00D620ED" w:rsidRDefault="00A35B0D" w:rsidP="00A35B0D">
            <w:pPr>
              <w:spacing w:before="140" w:after="40"/>
              <w:rPr>
                <w:rFonts w:ascii="Arial" w:hAnsi="Arial" w:cs="Arial"/>
                <w:color w:val="000000"/>
                <w:sz w:val="18"/>
                <w:szCs w:val="18"/>
              </w:rPr>
            </w:pPr>
            <w:r>
              <w:rPr>
                <w:rFonts w:ascii="Arial" w:hAnsi="Arial" w:cs="Arial"/>
                <w:color w:val="000000"/>
                <w:sz w:val="18"/>
                <w:szCs w:val="18"/>
              </w:rPr>
              <w:t>65137</w:t>
            </w:r>
          </w:p>
        </w:tc>
        <w:tc>
          <w:tcPr>
            <w:tcW w:w="5522" w:type="dxa"/>
          </w:tcPr>
          <w:p w14:paraId="73274CF8" w14:textId="77777777" w:rsidR="00A35B0D" w:rsidRPr="00D620ED" w:rsidRDefault="00A35B0D" w:rsidP="00A35B0D">
            <w:pPr>
              <w:spacing w:before="140" w:after="40"/>
              <w:rPr>
                <w:rFonts w:ascii="Arial" w:hAnsi="Arial" w:cs="Arial"/>
                <w:color w:val="000000"/>
                <w:sz w:val="18"/>
                <w:szCs w:val="18"/>
              </w:rPr>
            </w:pPr>
            <w:r w:rsidRPr="007C0066">
              <w:rPr>
                <w:rFonts w:ascii="Arial" w:hAnsi="Arial" w:cs="Arial"/>
                <w:color w:val="000000"/>
                <w:sz w:val="18"/>
                <w:szCs w:val="18"/>
                <w:lang w:val="en-AU"/>
              </w:rPr>
              <w:t>Test for the presence of lupus anticoagulant not being a service associated with any service to which items 65175, 65176, 65177, 65178 and 65179 apply</w:t>
            </w:r>
          </w:p>
        </w:tc>
        <w:tc>
          <w:tcPr>
            <w:tcW w:w="1451" w:type="dxa"/>
          </w:tcPr>
          <w:p w14:paraId="45C0C180" w14:textId="77777777" w:rsidR="00A35B0D" w:rsidRDefault="00A35B0D" w:rsidP="00A35B0D">
            <w:pPr>
              <w:spacing w:before="140" w:after="40"/>
              <w:rPr>
                <w:rFonts w:ascii="Arial" w:hAnsi="Arial" w:cs="Arial"/>
                <w:color w:val="000000"/>
                <w:sz w:val="18"/>
                <w:szCs w:val="18"/>
              </w:rPr>
            </w:pPr>
            <w:r>
              <w:rPr>
                <w:rFonts w:ascii="Arial" w:hAnsi="Arial" w:cs="Arial"/>
                <w:color w:val="000000"/>
                <w:sz w:val="18"/>
                <w:szCs w:val="18"/>
                <w:lang w:val="en-AU"/>
              </w:rPr>
              <w:t>$</w:t>
            </w:r>
            <w:r w:rsidRPr="007C0066">
              <w:rPr>
                <w:rFonts w:ascii="Arial" w:hAnsi="Arial" w:cs="Arial"/>
                <w:color w:val="000000"/>
                <w:sz w:val="18"/>
                <w:szCs w:val="18"/>
                <w:lang w:val="en-AU"/>
              </w:rPr>
              <w:t xml:space="preserve">25.35 </w:t>
            </w:r>
          </w:p>
        </w:tc>
        <w:tc>
          <w:tcPr>
            <w:tcW w:w="1384" w:type="dxa"/>
          </w:tcPr>
          <w:p w14:paraId="0ECC2BA3" w14:textId="77777777" w:rsidR="00A35B0D" w:rsidRPr="00D620ED" w:rsidRDefault="00AF1ED5" w:rsidP="00A35B0D">
            <w:pPr>
              <w:spacing w:before="140" w:after="40"/>
              <w:rPr>
                <w:rFonts w:ascii="Arial" w:hAnsi="Arial" w:cs="Arial"/>
                <w:color w:val="000000"/>
                <w:sz w:val="18"/>
                <w:szCs w:val="18"/>
              </w:rPr>
            </w:pPr>
            <w:r w:rsidRPr="007C0066">
              <w:rPr>
                <w:rFonts w:ascii="Arial" w:hAnsi="Arial" w:cs="Arial"/>
                <w:color w:val="000000"/>
                <w:sz w:val="18"/>
                <w:szCs w:val="18"/>
                <w:lang w:val="en-AU"/>
              </w:rPr>
              <w:t>32,907</w:t>
            </w:r>
          </w:p>
        </w:tc>
      </w:tr>
      <w:tr w:rsidR="00A35B0D" w:rsidRPr="00E35EA2" w14:paraId="191B6AB9" w14:textId="77777777" w:rsidTr="005C47CA">
        <w:tc>
          <w:tcPr>
            <w:tcW w:w="965" w:type="dxa"/>
          </w:tcPr>
          <w:p w14:paraId="69B2D7FF" w14:textId="77777777" w:rsidR="00A35B0D" w:rsidRPr="00D620ED" w:rsidRDefault="00A35B0D" w:rsidP="00A35B0D">
            <w:pPr>
              <w:spacing w:before="140" w:after="40"/>
              <w:rPr>
                <w:rFonts w:ascii="Arial" w:hAnsi="Arial" w:cs="Arial"/>
                <w:b/>
                <w:sz w:val="18"/>
                <w:szCs w:val="18"/>
                <w:lang w:val="en-US"/>
              </w:rPr>
            </w:pPr>
            <w:r w:rsidRPr="00D620ED">
              <w:rPr>
                <w:rFonts w:ascii="Arial" w:hAnsi="Arial" w:cs="Arial"/>
                <w:color w:val="000000"/>
                <w:sz w:val="18"/>
                <w:szCs w:val="18"/>
              </w:rPr>
              <w:lastRenderedPageBreak/>
              <w:t>65142</w:t>
            </w:r>
          </w:p>
        </w:tc>
        <w:tc>
          <w:tcPr>
            <w:tcW w:w="5522" w:type="dxa"/>
          </w:tcPr>
          <w:p w14:paraId="0D153F56"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Confirmation or clarification of an abnormal or indeterminate result from a test described in item 65175, by testing a specimen collected on a different day – 1 or more tests</w:t>
            </w:r>
          </w:p>
        </w:tc>
        <w:tc>
          <w:tcPr>
            <w:tcW w:w="1451" w:type="dxa"/>
          </w:tcPr>
          <w:p w14:paraId="032B76BA"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25.35</w:t>
            </w:r>
          </w:p>
        </w:tc>
        <w:tc>
          <w:tcPr>
            <w:tcW w:w="1384" w:type="dxa"/>
          </w:tcPr>
          <w:p w14:paraId="35765EB1"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339</w:t>
            </w:r>
          </w:p>
        </w:tc>
      </w:tr>
      <w:tr w:rsidR="00A35B0D" w:rsidRPr="00E35EA2" w14:paraId="138049DD" w14:textId="77777777" w:rsidTr="005C47CA">
        <w:tc>
          <w:tcPr>
            <w:tcW w:w="965" w:type="dxa"/>
          </w:tcPr>
          <w:p w14:paraId="4BD9EB16" w14:textId="77777777" w:rsidR="00A35B0D" w:rsidRPr="00D620ED" w:rsidRDefault="00A35B0D" w:rsidP="00A35B0D">
            <w:pPr>
              <w:spacing w:before="140" w:after="40"/>
              <w:rPr>
                <w:rFonts w:ascii="Arial" w:hAnsi="Arial" w:cs="Arial"/>
                <w:b/>
                <w:sz w:val="18"/>
                <w:szCs w:val="18"/>
                <w:lang w:val="en-US"/>
              </w:rPr>
            </w:pPr>
            <w:r w:rsidRPr="00D620ED">
              <w:rPr>
                <w:rFonts w:ascii="Arial" w:hAnsi="Arial" w:cs="Arial"/>
                <w:color w:val="000000"/>
                <w:sz w:val="18"/>
                <w:szCs w:val="18"/>
              </w:rPr>
              <w:t>65150</w:t>
            </w:r>
          </w:p>
        </w:tc>
        <w:tc>
          <w:tcPr>
            <w:tcW w:w="5522" w:type="dxa"/>
          </w:tcPr>
          <w:p w14:paraId="021C8775"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Quantitation of von Willebrand factor antigen, von Willebrand factor activity (</w:t>
            </w:r>
            <w:proofErr w:type="spellStart"/>
            <w:r w:rsidRPr="00D620ED">
              <w:rPr>
                <w:rFonts w:ascii="Arial" w:hAnsi="Arial" w:cs="Arial"/>
                <w:color w:val="000000"/>
                <w:sz w:val="18"/>
                <w:szCs w:val="18"/>
              </w:rPr>
              <w:t>ristocetin</w:t>
            </w:r>
            <w:proofErr w:type="spellEnd"/>
            <w:r w:rsidRPr="00D620ED">
              <w:rPr>
                <w:rFonts w:ascii="Arial" w:hAnsi="Arial" w:cs="Arial"/>
                <w:color w:val="000000"/>
                <w:sz w:val="18"/>
                <w:szCs w:val="18"/>
              </w:rPr>
              <w:t xml:space="preserve"> cofactor assay), von Willebrand factor collagen binding activity, factor II, factor V, factor VII, factor VIII, factor IX, factor X, factor XI, factor XII, factor XIII, Fletcher factor, Fitzgerald factor, circulating coagulation factor inhibitors other than by Bethesda assay – 1 test (Item is subject to rule 6)</w:t>
            </w:r>
          </w:p>
        </w:tc>
        <w:tc>
          <w:tcPr>
            <w:tcW w:w="1451" w:type="dxa"/>
          </w:tcPr>
          <w:p w14:paraId="1B854C87"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70.90</w:t>
            </w:r>
          </w:p>
        </w:tc>
        <w:tc>
          <w:tcPr>
            <w:tcW w:w="1384" w:type="dxa"/>
          </w:tcPr>
          <w:p w14:paraId="63D59349"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4,322</w:t>
            </w:r>
          </w:p>
        </w:tc>
      </w:tr>
      <w:tr w:rsidR="00A35B0D" w:rsidRPr="00E35EA2" w14:paraId="7270AD94" w14:textId="77777777" w:rsidTr="005C47CA">
        <w:tc>
          <w:tcPr>
            <w:tcW w:w="965" w:type="dxa"/>
          </w:tcPr>
          <w:p w14:paraId="3B9E5DCE" w14:textId="77777777" w:rsidR="00A35B0D" w:rsidRPr="00D620ED" w:rsidRDefault="00A35B0D" w:rsidP="00A35B0D">
            <w:pPr>
              <w:spacing w:before="140" w:after="40"/>
              <w:rPr>
                <w:rFonts w:ascii="Arial" w:hAnsi="Arial" w:cs="Arial"/>
                <w:b/>
                <w:sz w:val="18"/>
                <w:szCs w:val="18"/>
                <w:lang w:val="en-US"/>
              </w:rPr>
            </w:pPr>
            <w:r w:rsidRPr="00D620ED">
              <w:rPr>
                <w:rFonts w:ascii="Arial" w:hAnsi="Arial" w:cs="Arial"/>
                <w:color w:val="000000"/>
                <w:sz w:val="18"/>
                <w:szCs w:val="18"/>
              </w:rPr>
              <w:t>65153</w:t>
            </w:r>
          </w:p>
        </w:tc>
        <w:tc>
          <w:tcPr>
            <w:tcW w:w="5522" w:type="dxa"/>
          </w:tcPr>
          <w:p w14:paraId="45817C5B"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2 tests described in item 65150 (Item is subject to rule 6)</w:t>
            </w:r>
          </w:p>
        </w:tc>
        <w:tc>
          <w:tcPr>
            <w:tcW w:w="1451" w:type="dxa"/>
          </w:tcPr>
          <w:p w14:paraId="138C84B4"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141.85</w:t>
            </w:r>
          </w:p>
        </w:tc>
        <w:tc>
          <w:tcPr>
            <w:tcW w:w="1384" w:type="dxa"/>
          </w:tcPr>
          <w:p w14:paraId="10CBB879"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1,299</w:t>
            </w:r>
          </w:p>
        </w:tc>
      </w:tr>
      <w:tr w:rsidR="00A35B0D" w:rsidRPr="00E35EA2" w14:paraId="30488E95" w14:textId="77777777" w:rsidTr="005C47CA">
        <w:tc>
          <w:tcPr>
            <w:tcW w:w="965" w:type="dxa"/>
          </w:tcPr>
          <w:p w14:paraId="67C00CBC" w14:textId="77777777" w:rsidR="00A35B0D" w:rsidRPr="00D620ED" w:rsidRDefault="00A35B0D" w:rsidP="00A35B0D">
            <w:pPr>
              <w:spacing w:before="140" w:after="40"/>
              <w:rPr>
                <w:rFonts w:ascii="Arial" w:hAnsi="Arial" w:cs="Arial"/>
                <w:color w:val="000000"/>
                <w:sz w:val="18"/>
                <w:szCs w:val="18"/>
              </w:rPr>
            </w:pPr>
            <w:r w:rsidRPr="00D620ED">
              <w:rPr>
                <w:rFonts w:ascii="Arial" w:hAnsi="Arial" w:cs="Arial"/>
                <w:color w:val="000000"/>
                <w:sz w:val="18"/>
                <w:szCs w:val="18"/>
              </w:rPr>
              <w:t>65156</w:t>
            </w:r>
          </w:p>
        </w:tc>
        <w:tc>
          <w:tcPr>
            <w:tcW w:w="5522" w:type="dxa"/>
          </w:tcPr>
          <w:p w14:paraId="4DB57FCF"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3 or more tests described in item 65150 (Item is subject to rule 6)</w:t>
            </w:r>
          </w:p>
        </w:tc>
        <w:tc>
          <w:tcPr>
            <w:tcW w:w="1451" w:type="dxa"/>
          </w:tcPr>
          <w:p w14:paraId="46F4F72C"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212.75</w:t>
            </w:r>
          </w:p>
        </w:tc>
        <w:tc>
          <w:tcPr>
            <w:tcW w:w="1384" w:type="dxa"/>
          </w:tcPr>
          <w:p w14:paraId="3EBB3E0F"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15,582</w:t>
            </w:r>
          </w:p>
        </w:tc>
      </w:tr>
      <w:tr w:rsidR="00A35B0D" w:rsidRPr="00E35EA2" w14:paraId="62C97C60" w14:textId="77777777" w:rsidTr="005C47CA">
        <w:tc>
          <w:tcPr>
            <w:tcW w:w="965" w:type="dxa"/>
          </w:tcPr>
          <w:p w14:paraId="6A92A864" w14:textId="77777777" w:rsidR="00A35B0D" w:rsidRPr="00D620ED" w:rsidRDefault="00A35B0D" w:rsidP="00A35B0D">
            <w:pPr>
              <w:spacing w:before="140" w:after="40"/>
              <w:rPr>
                <w:rFonts w:ascii="Arial" w:hAnsi="Arial" w:cs="Arial"/>
                <w:color w:val="000000"/>
                <w:sz w:val="18"/>
                <w:szCs w:val="18"/>
              </w:rPr>
            </w:pPr>
            <w:r w:rsidRPr="00D620ED">
              <w:rPr>
                <w:rFonts w:ascii="Arial" w:hAnsi="Arial" w:cs="Arial"/>
                <w:color w:val="000000"/>
                <w:sz w:val="18"/>
                <w:szCs w:val="18"/>
              </w:rPr>
              <w:t>65157</w:t>
            </w:r>
          </w:p>
        </w:tc>
        <w:tc>
          <w:tcPr>
            <w:tcW w:w="5522" w:type="dxa"/>
          </w:tcPr>
          <w:p w14:paraId="1753025C"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A test described in item 65150, if rendered by a receiving APP, where no tests in the item have been rendered by the referring APP – 1 test (Item is subject to rules 6 and 18)</w:t>
            </w:r>
          </w:p>
        </w:tc>
        <w:tc>
          <w:tcPr>
            <w:tcW w:w="1451" w:type="dxa"/>
          </w:tcPr>
          <w:p w14:paraId="668E4AD4"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70.90</w:t>
            </w:r>
          </w:p>
        </w:tc>
        <w:tc>
          <w:tcPr>
            <w:tcW w:w="1384" w:type="dxa"/>
          </w:tcPr>
          <w:p w14:paraId="7BD984D3"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1,174</w:t>
            </w:r>
          </w:p>
        </w:tc>
      </w:tr>
      <w:tr w:rsidR="00A35B0D" w:rsidRPr="00E35EA2" w14:paraId="74762D2F" w14:textId="77777777" w:rsidTr="005C47CA">
        <w:tc>
          <w:tcPr>
            <w:tcW w:w="965" w:type="dxa"/>
          </w:tcPr>
          <w:p w14:paraId="66B5541A" w14:textId="77777777" w:rsidR="00A35B0D" w:rsidRPr="00D620ED" w:rsidRDefault="00A35B0D" w:rsidP="00A35B0D">
            <w:pPr>
              <w:spacing w:before="140" w:after="40"/>
              <w:rPr>
                <w:rFonts w:ascii="Arial" w:hAnsi="Arial" w:cs="Arial"/>
                <w:color w:val="000000"/>
                <w:sz w:val="18"/>
                <w:szCs w:val="18"/>
              </w:rPr>
            </w:pPr>
            <w:r w:rsidRPr="00D620ED">
              <w:rPr>
                <w:rFonts w:ascii="Arial" w:hAnsi="Arial" w:cs="Arial"/>
                <w:color w:val="000000"/>
                <w:sz w:val="18"/>
                <w:szCs w:val="18"/>
              </w:rPr>
              <w:t>65158</w:t>
            </w:r>
          </w:p>
        </w:tc>
        <w:tc>
          <w:tcPr>
            <w:tcW w:w="5522" w:type="dxa"/>
          </w:tcPr>
          <w:p w14:paraId="5568527E" w14:textId="77777777" w:rsidR="00A35B0D" w:rsidRPr="00D620ED" w:rsidRDefault="00A35B0D">
            <w:pPr>
              <w:spacing w:before="140" w:after="40"/>
              <w:rPr>
                <w:rFonts w:ascii="Arial" w:hAnsi="Arial" w:cs="Arial"/>
                <w:sz w:val="18"/>
                <w:szCs w:val="18"/>
                <w:lang w:val="en-US"/>
              </w:rPr>
            </w:pPr>
            <w:r w:rsidRPr="00D620ED">
              <w:rPr>
                <w:rFonts w:ascii="Arial" w:hAnsi="Arial" w:cs="Arial"/>
                <w:color w:val="000000"/>
                <w:sz w:val="18"/>
                <w:szCs w:val="18"/>
              </w:rPr>
              <w:t xml:space="preserve">Tests described in item 65150, other than that described in 65157, if rendered by a receiving APP – each test to a maximum of </w:t>
            </w:r>
            <w:r w:rsidR="00D750E4" w:rsidRPr="00D620ED">
              <w:rPr>
                <w:rFonts w:ascii="Arial" w:hAnsi="Arial" w:cs="Arial"/>
                <w:color w:val="000000"/>
                <w:sz w:val="18"/>
                <w:szCs w:val="18"/>
              </w:rPr>
              <w:t>2</w:t>
            </w:r>
            <w:r w:rsidR="00D750E4">
              <w:rPr>
                <w:rFonts w:ascii="Arial" w:hAnsi="Arial" w:cs="Arial"/>
                <w:color w:val="000000"/>
                <w:sz w:val="18"/>
                <w:szCs w:val="18"/>
              </w:rPr>
              <w:t> </w:t>
            </w:r>
            <w:r w:rsidRPr="00D620ED">
              <w:rPr>
                <w:rFonts w:ascii="Arial" w:hAnsi="Arial" w:cs="Arial"/>
                <w:color w:val="000000"/>
                <w:sz w:val="18"/>
                <w:szCs w:val="18"/>
              </w:rPr>
              <w:t>tests (Item is subject to rules 6 and 18)</w:t>
            </w:r>
          </w:p>
        </w:tc>
        <w:tc>
          <w:tcPr>
            <w:tcW w:w="1451" w:type="dxa"/>
          </w:tcPr>
          <w:p w14:paraId="1E319EF1"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70.90</w:t>
            </w:r>
          </w:p>
        </w:tc>
        <w:tc>
          <w:tcPr>
            <w:tcW w:w="1384" w:type="dxa"/>
          </w:tcPr>
          <w:p w14:paraId="70AB3DFE"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3,107</w:t>
            </w:r>
          </w:p>
        </w:tc>
      </w:tr>
      <w:tr w:rsidR="00A35B0D" w:rsidRPr="00E35EA2" w14:paraId="22A177C2" w14:textId="77777777" w:rsidTr="005C47CA">
        <w:tc>
          <w:tcPr>
            <w:tcW w:w="965" w:type="dxa"/>
          </w:tcPr>
          <w:p w14:paraId="74B06446" w14:textId="77777777" w:rsidR="00A35B0D" w:rsidRPr="00D620ED" w:rsidRDefault="00A35B0D" w:rsidP="00A35B0D">
            <w:pPr>
              <w:spacing w:before="140" w:after="40"/>
              <w:rPr>
                <w:rFonts w:ascii="Arial" w:hAnsi="Arial" w:cs="Arial"/>
                <w:color w:val="000000"/>
                <w:sz w:val="18"/>
                <w:szCs w:val="18"/>
              </w:rPr>
            </w:pPr>
            <w:r w:rsidRPr="00D620ED">
              <w:rPr>
                <w:rFonts w:ascii="Arial" w:hAnsi="Arial" w:cs="Arial"/>
                <w:color w:val="000000"/>
                <w:sz w:val="18"/>
                <w:szCs w:val="18"/>
              </w:rPr>
              <w:t>65159</w:t>
            </w:r>
          </w:p>
        </w:tc>
        <w:tc>
          <w:tcPr>
            <w:tcW w:w="5522" w:type="dxa"/>
          </w:tcPr>
          <w:p w14:paraId="2E03C98B"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Quantitation of circulating coagulation factor inhibitors by Bethesda assay – 1 test</w:t>
            </w:r>
          </w:p>
        </w:tc>
        <w:tc>
          <w:tcPr>
            <w:tcW w:w="1451" w:type="dxa"/>
          </w:tcPr>
          <w:p w14:paraId="62579390"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70.90</w:t>
            </w:r>
          </w:p>
        </w:tc>
        <w:tc>
          <w:tcPr>
            <w:tcW w:w="1384" w:type="dxa"/>
          </w:tcPr>
          <w:p w14:paraId="54C4F2BF"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636</w:t>
            </w:r>
          </w:p>
        </w:tc>
      </w:tr>
      <w:tr w:rsidR="00A35B0D" w:rsidRPr="00D620ED" w14:paraId="1A830611" w14:textId="77777777" w:rsidTr="005C47CA">
        <w:tc>
          <w:tcPr>
            <w:tcW w:w="965" w:type="dxa"/>
          </w:tcPr>
          <w:p w14:paraId="277C164F" w14:textId="77777777" w:rsidR="00A35B0D" w:rsidRPr="00D620ED" w:rsidRDefault="00A35B0D" w:rsidP="00A35B0D">
            <w:pPr>
              <w:spacing w:before="140" w:after="40"/>
              <w:rPr>
                <w:rFonts w:ascii="Arial" w:hAnsi="Arial" w:cs="Arial"/>
                <w:color w:val="000000"/>
                <w:sz w:val="18"/>
                <w:szCs w:val="18"/>
              </w:rPr>
            </w:pPr>
            <w:r w:rsidRPr="00D620ED">
              <w:rPr>
                <w:rFonts w:ascii="Arial" w:hAnsi="Arial" w:cs="Arial"/>
                <w:color w:val="000000"/>
                <w:sz w:val="18"/>
                <w:szCs w:val="18"/>
              </w:rPr>
              <w:t>65162</w:t>
            </w:r>
          </w:p>
        </w:tc>
        <w:tc>
          <w:tcPr>
            <w:tcW w:w="5522" w:type="dxa"/>
          </w:tcPr>
          <w:p w14:paraId="5E709D74"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Examination of a maternal blood film for the presence of f</w:t>
            </w:r>
            <w:r w:rsidR="00D750E4">
              <w:rPr>
                <w:rFonts w:ascii="Arial" w:hAnsi="Arial" w:cs="Arial"/>
                <w:color w:val="000000"/>
                <w:sz w:val="18"/>
                <w:szCs w:val="18"/>
              </w:rPr>
              <w:t>o</w:t>
            </w:r>
            <w:r w:rsidRPr="00D620ED">
              <w:rPr>
                <w:rFonts w:ascii="Arial" w:hAnsi="Arial" w:cs="Arial"/>
                <w:color w:val="000000"/>
                <w:sz w:val="18"/>
                <w:szCs w:val="18"/>
              </w:rPr>
              <w:t>etal red blood cells (</w:t>
            </w:r>
            <w:proofErr w:type="spellStart"/>
            <w:r w:rsidRPr="00D620ED">
              <w:rPr>
                <w:rFonts w:ascii="Arial" w:hAnsi="Arial" w:cs="Arial"/>
                <w:color w:val="000000"/>
                <w:sz w:val="18"/>
                <w:szCs w:val="18"/>
              </w:rPr>
              <w:t>Kleihauer</w:t>
            </w:r>
            <w:proofErr w:type="spellEnd"/>
            <w:r w:rsidRPr="00D620ED">
              <w:rPr>
                <w:rFonts w:ascii="Arial" w:hAnsi="Arial" w:cs="Arial"/>
                <w:color w:val="000000"/>
                <w:sz w:val="18"/>
                <w:szCs w:val="18"/>
              </w:rPr>
              <w:t xml:space="preserve"> test)</w:t>
            </w:r>
          </w:p>
        </w:tc>
        <w:tc>
          <w:tcPr>
            <w:tcW w:w="1451" w:type="dxa"/>
          </w:tcPr>
          <w:p w14:paraId="2155534B"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10.45</w:t>
            </w:r>
          </w:p>
        </w:tc>
        <w:tc>
          <w:tcPr>
            <w:tcW w:w="1384" w:type="dxa"/>
          </w:tcPr>
          <w:p w14:paraId="61692A27"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5,891</w:t>
            </w:r>
          </w:p>
        </w:tc>
      </w:tr>
      <w:tr w:rsidR="00A35B0D" w:rsidRPr="00E35EA2" w14:paraId="176A4F50" w14:textId="77777777" w:rsidTr="005C47CA">
        <w:tc>
          <w:tcPr>
            <w:tcW w:w="965" w:type="dxa"/>
          </w:tcPr>
          <w:p w14:paraId="2F8C833B" w14:textId="77777777" w:rsidR="00A35B0D" w:rsidRPr="00D620ED" w:rsidRDefault="00A35B0D" w:rsidP="00A35B0D">
            <w:pPr>
              <w:spacing w:before="140" w:after="40"/>
              <w:rPr>
                <w:rFonts w:ascii="Arial" w:hAnsi="Arial" w:cs="Arial"/>
                <w:color w:val="000000"/>
                <w:sz w:val="18"/>
                <w:szCs w:val="18"/>
              </w:rPr>
            </w:pPr>
            <w:r w:rsidRPr="00D9763F">
              <w:rPr>
                <w:rFonts w:ascii="Arial" w:hAnsi="Arial" w:cs="Arial"/>
                <w:color w:val="000000"/>
                <w:sz w:val="18"/>
                <w:szCs w:val="18"/>
              </w:rPr>
              <w:t>65165</w:t>
            </w:r>
          </w:p>
        </w:tc>
        <w:tc>
          <w:tcPr>
            <w:tcW w:w="5522" w:type="dxa"/>
          </w:tcPr>
          <w:p w14:paraId="3C934C18" w14:textId="77777777" w:rsidR="00A35B0D" w:rsidRPr="00D620ED" w:rsidRDefault="00A35B0D" w:rsidP="00A35B0D">
            <w:pPr>
              <w:spacing w:before="140" w:after="40"/>
              <w:rPr>
                <w:rFonts w:ascii="Arial" w:hAnsi="Arial" w:cs="Arial"/>
                <w:color w:val="000000"/>
                <w:sz w:val="18"/>
                <w:szCs w:val="18"/>
              </w:rPr>
            </w:pPr>
            <w:r w:rsidRPr="00D9763F">
              <w:rPr>
                <w:rFonts w:ascii="Arial" w:hAnsi="Arial" w:cs="Arial"/>
                <w:color w:val="000000"/>
                <w:sz w:val="18"/>
                <w:szCs w:val="18"/>
              </w:rPr>
              <w:t>Detection and quantitation of f</w:t>
            </w:r>
            <w:r w:rsidR="00D750E4">
              <w:rPr>
                <w:rFonts w:ascii="Arial" w:hAnsi="Arial" w:cs="Arial"/>
                <w:color w:val="000000"/>
                <w:sz w:val="18"/>
                <w:szCs w:val="18"/>
              </w:rPr>
              <w:t>o</w:t>
            </w:r>
            <w:r w:rsidRPr="00D9763F">
              <w:rPr>
                <w:rFonts w:ascii="Arial" w:hAnsi="Arial" w:cs="Arial"/>
                <w:color w:val="000000"/>
                <w:sz w:val="18"/>
                <w:szCs w:val="18"/>
              </w:rPr>
              <w:t xml:space="preserve">etal red blood cells in the maternal circulation by detection of red cell antigens using flow cytometric methods including (if performed) any test described in item </w:t>
            </w:r>
            <w:r w:rsidRPr="00D9763F">
              <w:rPr>
                <w:rFonts w:ascii="Arial" w:hAnsi="Arial" w:cs="Arial"/>
                <w:color w:val="000000"/>
                <w:sz w:val="18"/>
                <w:szCs w:val="18"/>
                <w:u w:val="single"/>
              </w:rPr>
              <w:t>65070</w:t>
            </w:r>
            <w:r w:rsidRPr="00D9763F">
              <w:rPr>
                <w:rFonts w:ascii="Arial" w:hAnsi="Arial" w:cs="Arial"/>
                <w:color w:val="000000"/>
                <w:sz w:val="18"/>
                <w:szCs w:val="18"/>
              </w:rPr>
              <w:t xml:space="preserve"> or 65162</w:t>
            </w:r>
          </w:p>
        </w:tc>
        <w:tc>
          <w:tcPr>
            <w:tcW w:w="1451" w:type="dxa"/>
          </w:tcPr>
          <w:p w14:paraId="79DB1081" w14:textId="77777777" w:rsidR="00A35B0D" w:rsidRDefault="00A35B0D" w:rsidP="00A35B0D">
            <w:pPr>
              <w:spacing w:before="140" w:after="40"/>
              <w:rPr>
                <w:rFonts w:ascii="Arial" w:hAnsi="Arial" w:cs="Arial"/>
                <w:color w:val="000000"/>
                <w:sz w:val="18"/>
                <w:szCs w:val="18"/>
              </w:rPr>
            </w:pPr>
            <w:r>
              <w:rPr>
                <w:rFonts w:ascii="Arial" w:hAnsi="Arial" w:cs="Arial"/>
                <w:color w:val="000000"/>
                <w:sz w:val="18"/>
                <w:szCs w:val="18"/>
              </w:rPr>
              <w:t>$34.45</w:t>
            </w:r>
          </w:p>
        </w:tc>
        <w:tc>
          <w:tcPr>
            <w:tcW w:w="1384" w:type="dxa"/>
          </w:tcPr>
          <w:p w14:paraId="64151242" w14:textId="77777777" w:rsidR="00A35B0D" w:rsidRPr="00D620ED" w:rsidRDefault="00A35B0D" w:rsidP="00A35B0D">
            <w:pPr>
              <w:spacing w:before="140" w:after="40"/>
              <w:rPr>
                <w:rFonts w:ascii="Arial" w:hAnsi="Arial" w:cs="Arial"/>
                <w:color w:val="000000"/>
                <w:sz w:val="18"/>
                <w:szCs w:val="18"/>
              </w:rPr>
            </w:pPr>
            <w:r>
              <w:rPr>
                <w:rFonts w:ascii="Arial" w:hAnsi="Arial" w:cs="Arial"/>
                <w:color w:val="000000"/>
                <w:sz w:val="18"/>
                <w:szCs w:val="18"/>
              </w:rPr>
              <w:t>3,884</w:t>
            </w:r>
          </w:p>
        </w:tc>
      </w:tr>
      <w:tr w:rsidR="00A35B0D" w:rsidRPr="00E35EA2" w14:paraId="407E1023" w14:textId="77777777" w:rsidTr="005C47CA">
        <w:tc>
          <w:tcPr>
            <w:tcW w:w="965" w:type="dxa"/>
          </w:tcPr>
          <w:p w14:paraId="647161AA" w14:textId="77777777" w:rsidR="00A35B0D" w:rsidRPr="00D620ED" w:rsidRDefault="00A35B0D" w:rsidP="00A35B0D">
            <w:pPr>
              <w:spacing w:before="140" w:after="40"/>
              <w:rPr>
                <w:rFonts w:ascii="Arial" w:hAnsi="Arial" w:cs="Arial"/>
                <w:color w:val="000000"/>
                <w:sz w:val="18"/>
                <w:szCs w:val="18"/>
              </w:rPr>
            </w:pPr>
            <w:r w:rsidRPr="00D620ED">
              <w:rPr>
                <w:rFonts w:ascii="Arial" w:hAnsi="Arial" w:cs="Arial"/>
                <w:color w:val="000000"/>
                <w:sz w:val="18"/>
                <w:szCs w:val="18"/>
              </w:rPr>
              <w:t>65166</w:t>
            </w:r>
          </w:p>
        </w:tc>
        <w:tc>
          <w:tcPr>
            <w:tcW w:w="5522" w:type="dxa"/>
          </w:tcPr>
          <w:p w14:paraId="6CBC9A09" w14:textId="77777777" w:rsidR="00A35B0D" w:rsidRPr="0003345E" w:rsidRDefault="00A35B0D">
            <w:pPr>
              <w:spacing w:before="140" w:after="40"/>
              <w:rPr>
                <w:rFonts w:ascii="Arial" w:hAnsi="Arial" w:cs="Arial"/>
                <w:color w:val="FF0000"/>
                <w:sz w:val="18"/>
                <w:szCs w:val="18"/>
                <w:lang w:val="en-US"/>
              </w:rPr>
            </w:pPr>
            <w:r w:rsidRPr="00D620ED">
              <w:rPr>
                <w:rFonts w:ascii="Arial" w:hAnsi="Arial" w:cs="Arial"/>
                <w:color w:val="000000"/>
                <w:sz w:val="18"/>
                <w:szCs w:val="18"/>
              </w:rPr>
              <w:t xml:space="preserve">A test described in item 65165 if rendered by a receiving APP – </w:t>
            </w:r>
            <w:r w:rsidR="00D750E4" w:rsidRPr="00D620ED">
              <w:rPr>
                <w:rFonts w:ascii="Arial" w:hAnsi="Arial" w:cs="Arial"/>
                <w:color w:val="000000"/>
                <w:sz w:val="18"/>
                <w:szCs w:val="18"/>
              </w:rPr>
              <w:t>1</w:t>
            </w:r>
            <w:r w:rsidR="00D750E4">
              <w:rPr>
                <w:rFonts w:ascii="Arial" w:hAnsi="Arial" w:cs="Arial"/>
                <w:color w:val="000000"/>
                <w:sz w:val="18"/>
                <w:szCs w:val="18"/>
              </w:rPr>
              <w:t> </w:t>
            </w:r>
            <w:r w:rsidRPr="00D620ED">
              <w:rPr>
                <w:rFonts w:ascii="Arial" w:hAnsi="Arial" w:cs="Arial"/>
                <w:color w:val="000000"/>
                <w:sz w:val="18"/>
                <w:szCs w:val="18"/>
              </w:rPr>
              <w:t>or more tests (Item is subject to rule 18)</w:t>
            </w:r>
          </w:p>
        </w:tc>
        <w:tc>
          <w:tcPr>
            <w:tcW w:w="1451" w:type="dxa"/>
          </w:tcPr>
          <w:p w14:paraId="1A6E3EF6" w14:textId="77777777" w:rsidR="00A35B0D" w:rsidRPr="00D620ED" w:rsidRDefault="00A35B0D" w:rsidP="00A35B0D">
            <w:pPr>
              <w:spacing w:before="140" w:after="40"/>
              <w:rPr>
                <w:rFonts w:ascii="Arial" w:hAnsi="Arial" w:cs="Arial"/>
                <w:sz w:val="18"/>
                <w:szCs w:val="18"/>
                <w:lang w:val="en-US"/>
              </w:rPr>
            </w:pPr>
            <w:r>
              <w:rPr>
                <w:rFonts w:ascii="Arial" w:hAnsi="Arial" w:cs="Arial"/>
                <w:color w:val="000000"/>
                <w:sz w:val="18"/>
                <w:szCs w:val="18"/>
              </w:rPr>
              <w:t>$</w:t>
            </w:r>
            <w:r w:rsidRPr="00D620ED">
              <w:rPr>
                <w:rFonts w:ascii="Arial" w:hAnsi="Arial" w:cs="Arial"/>
                <w:color w:val="000000"/>
                <w:sz w:val="18"/>
                <w:szCs w:val="18"/>
              </w:rPr>
              <w:t>34.45</w:t>
            </w:r>
          </w:p>
        </w:tc>
        <w:tc>
          <w:tcPr>
            <w:tcW w:w="1384" w:type="dxa"/>
          </w:tcPr>
          <w:p w14:paraId="1272283B"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000000"/>
                <w:sz w:val="18"/>
                <w:szCs w:val="18"/>
              </w:rPr>
              <w:t>113</w:t>
            </w:r>
          </w:p>
        </w:tc>
      </w:tr>
      <w:tr w:rsidR="00A35B0D" w:rsidRPr="00E35EA2" w14:paraId="348CE72D" w14:textId="77777777" w:rsidTr="005C47CA">
        <w:tc>
          <w:tcPr>
            <w:tcW w:w="965" w:type="dxa"/>
          </w:tcPr>
          <w:p w14:paraId="3F3DEB1A" w14:textId="77777777" w:rsidR="00A35B0D" w:rsidRPr="00D620ED" w:rsidRDefault="00A35B0D" w:rsidP="00A35B0D">
            <w:pPr>
              <w:spacing w:before="140" w:after="40"/>
              <w:rPr>
                <w:rFonts w:ascii="Arial" w:hAnsi="Arial" w:cs="Arial"/>
                <w:color w:val="000000"/>
                <w:sz w:val="18"/>
                <w:szCs w:val="18"/>
              </w:rPr>
            </w:pPr>
            <w:r>
              <w:rPr>
                <w:rFonts w:ascii="Arial" w:hAnsi="Arial" w:cs="Arial"/>
                <w:color w:val="000000"/>
                <w:sz w:val="18"/>
                <w:szCs w:val="18"/>
              </w:rPr>
              <w:t>65171</w:t>
            </w:r>
          </w:p>
        </w:tc>
        <w:tc>
          <w:tcPr>
            <w:tcW w:w="5522" w:type="dxa"/>
          </w:tcPr>
          <w:p w14:paraId="45711CDC" w14:textId="77777777" w:rsidR="00A35B0D" w:rsidRPr="00D620ED" w:rsidRDefault="00A35B0D">
            <w:pPr>
              <w:spacing w:before="140" w:after="40"/>
              <w:rPr>
                <w:rFonts w:ascii="Arial" w:hAnsi="Arial" w:cs="Arial"/>
                <w:color w:val="000000"/>
                <w:sz w:val="18"/>
                <w:szCs w:val="18"/>
              </w:rPr>
            </w:pPr>
            <w:r w:rsidRPr="00DE12C2">
              <w:rPr>
                <w:rFonts w:ascii="Arial" w:hAnsi="Arial" w:cs="Arial"/>
                <w:color w:val="000000"/>
                <w:sz w:val="18"/>
                <w:szCs w:val="18"/>
              </w:rPr>
              <w:t>Test for the presence of antithrombin III deficiency, protein C deficiency, protein S deficiency or activated protein C resistance in a first</w:t>
            </w:r>
            <w:r w:rsidR="00D750E4">
              <w:rPr>
                <w:rFonts w:ascii="Arial" w:hAnsi="Arial" w:cs="Arial"/>
                <w:color w:val="000000"/>
                <w:sz w:val="18"/>
                <w:szCs w:val="18"/>
              </w:rPr>
              <w:t>-</w:t>
            </w:r>
            <w:r w:rsidRPr="00DE12C2">
              <w:rPr>
                <w:rFonts w:ascii="Arial" w:hAnsi="Arial" w:cs="Arial"/>
                <w:color w:val="000000"/>
                <w:sz w:val="18"/>
                <w:szCs w:val="18"/>
              </w:rPr>
              <w:t xml:space="preserve">degree relative of a person who has a proven defect of any of the above </w:t>
            </w:r>
            <w:r w:rsidR="00D750E4">
              <w:rPr>
                <w:rFonts w:ascii="Arial" w:hAnsi="Arial" w:cs="Arial"/>
                <w:color w:val="000000"/>
                <w:sz w:val="18"/>
                <w:szCs w:val="18"/>
              </w:rPr>
              <w:t>–</w:t>
            </w:r>
            <w:r w:rsidR="00D750E4" w:rsidRPr="00DE12C2">
              <w:rPr>
                <w:rFonts w:ascii="Arial" w:hAnsi="Arial" w:cs="Arial"/>
                <w:color w:val="000000"/>
                <w:sz w:val="18"/>
                <w:szCs w:val="18"/>
              </w:rPr>
              <w:t xml:space="preserve"> </w:t>
            </w:r>
            <w:r w:rsidRPr="00DE12C2">
              <w:rPr>
                <w:rFonts w:ascii="Arial" w:hAnsi="Arial" w:cs="Arial"/>
                <w:color w:val="000000"/>
                <w:sz w:val="18"/>
                <w:szCs w:val="18"/>
              </w:rPr>
              <w:t>1 or more tests</w:t>
            </w:r>
          </w:p>
        </w:tc>
        <w:tc>
          <w:tcPr>
            <w:tcW w:w="1451" w:type="dxa"/>
          </w:tcPr>
          <w:p w14:paraId="1F6D0AA7" w14:textId="77777777" w:rsidR="00A35B0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 xml:space="preserve">$25.35 </w:t>
            </w:r>
          </w:p>
        </w:tc>
        <w:tc>
          <w:tcPr>
            <w:tcW w:w="1384" w:type="dxa"/>
          </w:tcPr>
          <w:p w14:paraId="353E5D45"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807</w:t>
            </w:r>
          </w:p>
        </w:tc>
      </w:tr>
      <w:tr w:rsidR="00A35B0D" w:rsidRPr="00E35EA2" w14:paraId="1B3E19EB" w14:textId="77777777" w:rsidTr="005C47CA">
        <w:tc>
          <w:tcPr>
            <w:tcW w:w="965" w:type="dxa"/>
          </w:tcPr>
          <w:p w14:paraId="1C8D6B49" w14:textId="77777777" w:rsidR="00A35B0D" w:rsidRPr="00D620ED" w:rsidRDefault="00A35B0D" w:rsidP="00A35B0D">
            <w:pPr>
              <w:spacing w:before="140" w:after="40"/>
              <w:rPr>
                <w:rFonts w:ascii="Arial" w:hAnsi="Arial" w:cs="Arial"/>
                <w:color w:val="000000"/>
                <w:sz w:val="18"/>
                <w:szCs w:val="18"/>
              </w:rPr>
            </w:pPr>
            <w:r>
              <w:rPr>
                <w:rFonts w:ascii="Arial" w:hAnsi="Arial" w:cs="Arial"/>
                <w:color w:val="000000"/>
                <w:sz w:val="18"/>
                <w:szCs w:val="18"/>
              </w:rPr>
              <w:t>65176</w:t>
            </w:r>
          </w:p>
        </w:tc>
        <w:tc>
          <w:tcPr>
            <w:tcW w:w="5522" w:type="dxa"/>
          </w:tcPr>
          <w:p w14:paraId="7859A35C"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2 tests described in item 65175</w:t>
            </w:r>
            <w:r w:rsidRPr="00DE12C2">
              <w:rPr>
                <w:rFonts w:ascii="Arial" w:hAnsi="Arial" w:cs="Arial"/>
                <w:color w:val="000000"/>
                <w:sz w:val="18"/>
                <w:szCs w:val="18"/>
              </w:rPr>
              <w:br/>
              <w:t>(Item is subject to rule 6)</w:t>
            </w:r>
          </w:p>
        </w:tc>
        <w:tc>
          <w:tcPr>
            <w:tcW w:w="1451" w:type="dxa"/>
          </w:tcPr>
          <w:p w14:paraId="21DD0A71" w14:textId="77777777" w:rsidR="00A35B0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 xml:space="preserve">$48.65 </w:t>
            </w:r>
          </w:p>
        </w:tc>
        <w:tc>
          <w:tcPr>
            <w:tcW w:w="1384" w:type="dxa"/>
          </w:tcPr>
          <w:p w14:paraId="37E65B01"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4,724</w:t>
            </w:r>
          </w:p>
        </w:tc>
      </w:tr>
      <w:tr w:rsidR="00A35B0D" w:rsidRPr="00E35EA2" w14:paraId="237477A4" w14:textId="77777777" w:rsidTr="005C47CA">
        <w:tc>
          <w:tcPr>
            <w:tcW w:w="965" w:type="dxa"/>
          </w:tcPr>
          <w:p w14:paraId="38751D12" w14:textId="77777777" w:rsidR="00A35B0D" w:rsidRDefault="00A35B0D" w:rsidP="00A35B0D">
            <w:pPr>
              <w:spacing w:before="140" w:after="40"/>
              <w:rPr>
                <w:rFonts w:ascii="Arial" w:hAnsi="Arial" w:cs="Arial"/>
                <w:color w:val="000000"/>
                <w:sz w:val="18"/>
                <w:szCs w:val="18"/>
              </w:rPr>
            </w:pPr>
            <w:r>
              <w:rPr>
                <w:rFonts w:ascii="Arial" w:hAnsi="Arial" w:cs="Arial"/>
                <w:color w:val="000000"/>
                <w:sz w:val="18"/>
                <w:szCs w:val="18"/>
              </w:rPr>
              <w:t>65177</w:t>
            </w:r>
          </w:p>
        </w:tc>
        <w:tc>
          <w:tcPr>
            <w:tcW w:w="5522" w:type="dxa"/>
          </w:tcPr>
          <w:p w14:paraId="7FE90710"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3 tests described in item 65175</w:t>
            </w:r>
            <w:r w:rsidRPr="00DE12C2">
              <w:rPr>
                <w:rFonts w:ascii="Arial" w:hAnsi="Arial" w:cs="Arial"/>
                <w:color w:val="000000"/>
                <w:sz w:val="18"/>
                <w:szCs w:val="18"/>
              </w:rPr>
              <w:br/>
              <w:t>(Item is subject to rule 6)</w:t>
            </w:r>
          </w:p>
        </w:tc>
        <w:tc>
          <w:tcPr>
            <w:tcW w:w="1451" w:type="dxa"/>
          </w:tcPr>
          <w:p w14:paraId="29C0F49D" w14:textId="77777777" w:rsidR="00A35B0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 xml:space="preserve">$71.95 </w:t>
            </w:r>
          </w:p>
        </w:tc>
        <w:tc>
          <w:tcPr>
            <w:tcW w:w="1384" w:type="dxa"/>
          </w:tcPr>
          <w:p w14:paraId="6A74F1FD"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3,949</w:t>
            </w:r>
          </w:p>
        </w:tc>
      </w:tr>
      <w:tr w:rsidR="00A35B0D" w:rsidRPr="00E35EA2" w14:paraId="05295B34" w14:textId="77777777" w:rsidTr="005C47CA">
        <w:tc>
          <w:tcPr>
            <w:tcW w:w="965" w:type="dxa"/>
          </w:tcPr>
          <w:p w14:paraId="461E844D" w14:textId="77777777" w:rsidR="00A35B0D" w:rsidRDefault="00A35B0D" w:rsidP="00A35B0D">
            <w:pPr>
              <w:spacing w:before="140" w:after="40"/>
              <w:rPr>
                <w:rFonts w:ascii="Arial" w:hAnsi="Arial" w:cs="Arial"/>
                <w:color w:val="000000"/>
                <w:sz w:val="18"/>
                <w:szCs w:val="18"/>
              </w:rPr>
            </w:pPr>
            <w:r>
              <w:rPr>
                <w:rFonts w:ascii="Arial" w:hAnsi="Arial" w:cs="Arial"/>
                <w:color w:val="000000"/>
                <w:sz w:val="18"/>
                <w:szCs w:val="18"/>
              </w:rPr>
              <w:t>65178</w:t>
            </w:r>
          </w:p>
        </w:tc>
        <w:tc>
          <w:tcPr>
            <w:tcW w:w="5522" w:type="dxa"/>
          </w:tcPr>
          <w:p w14:paraId="1BC660E1"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4 tests described in item 65175 (Item is subject to rule 6)</w:t>
            </w:r>
          </w:p>
        </w:tc>
        <w:tc>
          <w:tcPr>
            <w:tcW w:w="1451" w:type="dxa"/>
          </w:tcPr>
          <w:p w14:paraId="247F6897" w14:textId="77777777" w:rsidR="00A35B0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 xml:space="preserve">$95.20 </w:t>
            </w:r>
          </w:p>
        </w:tc>
        <w:tc>
          <w:tcPr>
            <w:tcW w:w="1384" w:type="dxa"/>
          </w:tcPr>
          <w:p w14:paraId="46DC1BF5"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7,237</w:t>
            </w:r>
          </w:p>
        </w:tc>
      </w:tr>
      <w:tr w:rsidR="00A35B0D" w:rsidRPr="00E35EA2" w14:paraId="7B1DDB83" w14:textId="77777777" w:rsidTr="005C47CA">
        <w:tc>
          <w:tcPr>
            <w:tcW w:w="965" w:type="dxa"/>
          </w:tcPr>
          <w:p w14:paraId="1E9C7B29" w14:textId="77777777" w:rsidR="00A35B0D" w:rsidRDefault="00A35B0D" w:rsidP="00A35B0D">
            <w:pPr>
              <w:spacing w:before="140" w:after="40"/>
              <w:rPr>
                <w:rFonts w:ascii="Arial" w:hAnsi="Arial" w:cs="Arial"/>
                <w:color w:val="000000"/>
                <w:sz w:val="18"/>
                <w:szCs w:val="18"/>
              </w:rPr>
            </w:pPr>
            <w:r>
              <w:rPr>
                <w:rFonts w:ascii="Arial" w:hAnsi="Arial" w:cs="Arial"/>
                <w:color w:val="000000"/>
                <w:sz w:val="18"/>
                <w:szCs w:val="18"/>
              </w:rPr>
              <w:t>65179</w:t>
            </w:r>
          </w:p>
        </w:tc>
        <w:tc>
          <w:tcPr>
            <w:tcW w:w="5522" w:type="dxa"/>
          </w:tcPr>
          <w:p w14:paraId="742DA03E"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5 tests described in item 65175 (Item is subject to rule 6)</w:t>
            </w:r>
          </w:p>
        </w:tc>
        <w:tc>
          <w:tcPr>
            <w:tcW w:w="1451" w:type="dxa"/>
          </w:tcPr>
          <w:p w14:paraId="15696E40" w14:textId="77777777" w:rsidR="00A35B0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 xml:space="preserve">$118.50 </w:t>
            </w:r>
          </w:p>
        </w:tc>
        <w:tc>
          <w:tcPr>
            <w:tcW w:w="1384" w:type="dxa"/>
          </w:tcPr>
          <w:p w14:paraId="08B74D51"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10,254</w:t>
            </w:r>
          </w:p>
        </w:tc>
      </w:tr>
      <w:tr w:rsidR="00A35B0D" w:rsidRPr="00E35EA2" w14:paraId="0BDBE491" w14:textId="77777777" w:rsidTr="005C47CA">
        <w:tc>
          <w:tcPr>
            <w:tcW w:w="965" w:type="dxa"/>
          </w:tcPr>
          <w:p w14:paraId="437B2E8B" w14:textId="77777777" w:rsidR="00A35B0D" w:rsidRDefault="00A35B0D" w:rsidP="00A35B0D">
            <w:pPr>
              <w:spacing w:before="140" w:after="40"/>
              <w:rPr>
                <w:rFonts w:ascii="Arial" w:hAnsi="Arial" w:cs="Arial"/>
                <w:color w:val="000000"/>
                <w:sz w:val="18"/>
                <w:szCs w:val="18"/>
              </w:rPr>
            </w:pPr>
            <w:r>
              <w:rPr>
                <w:rFonts w:ascii="Arial" w:hAnsi="Arial" w:cs="Arial"/>
                <w:color w:val="000000"/>
                <w:sz w:val="18"/>
                <w:szCs w:val="18"/>
              </w:rPr>
              <w:t>65180</w:t>
            </w:r>
          </w:p>
        </w:tc>
        <w:tc>
          <w:tcPr>
            <w:tcW w:w="5522" w:type="dxa"/>
          </w:tcPr>
          <w:p w14:paraId="67B5715F" w14:textId="77777777" w:rsidR="00A35B0D" w:rsidRPr="00D620ED" w:rsidRDefault="00A35B0D">
            <w:pPr>
              <w:spacing w:before="140" w:after="40"/>
              <w:rPr>
                <w:rFonts w:ascii="Arial" w:hAnsi="Arial" w:cs="Arial"/>
                <w:color w:val="000000"/>
                <w:sz w:val="18"/>
                <w:szCs w:val="18"/>
              </w:rPr>
            </w:pPr>
            <w:r w:rsidRPr="00DE12C2">
              <w:rPr>
                <w:rFonts w:ascii="Arial" w:hAnsi="Arial" w:cs="Arial"/>
                <w:color w:val="000000"/>
                <w:sz w:val="18"/>
                <w:szCs w:val="18"/>
              </w:rPr>
              <w:t xml:space="preserve">A test described in item 65175, if rendered by a receiving APA, where no tests in the item have been rendered by the referring APA </w:t>
            </w:r>
            <w:r w:rsidR="00D750E4">
              <w:rPr>
                <w:rFonts w:ascii="Arial" w:hAnsi="Arial" w:cs="Arial"/>
                <w:color w:val="000000"/>
                <w:sz w:val="18"/>
                <w:szCs w:val="18"/>
              </w:rPr>
              <w:t>–</w:t>
            </w:r>
            <w:r w:rsidR="00D750E4" w:rsidRPr="00DE12C2">
              <w:rPr>
                <w:rFonts w:ascii="Arial" w:hAnsi="Arial" w:cs="Arial"/>
                <w:color w:val="000000"/>
                <w:sz w:val="18"/>
                <w:szCs w:val="18"/>
              </w:rPr>
              <w:t xml:space="preserve"> </w:t>
            </w:r>
            <w:r w:rsidRPr="00DE12C2">
              <w:rPr>
                <w:rFonts w:ascii="Arial" w:hAnsi="Arial" w:cs="Arial"/>
                <w:color w:val="000000"/>
                <w:sz w:val="18"/>
                <w:szCs w:val="18"/>
              </w:rPr>
              <w:t xml:space="preserve">1 test </w:t>
            </w:r>
            <w:r>
              <w:rPr>
                <w:rFonts w:ascii="Arial" w:hAnsi="Arial" w:cs="Arial"/>
                <w:color w:val="000000"/>
                <w:sz w:val="18"/>
                <w:szCs w:val="18"/>
              </w:rPr>
              <w:t>(Item is subject to rule</w:t>
            </w:r>
            <w:r w:rsidRPr="00DE12C2">
              <w:rPr>
                <w:rFonts w:ascii="Arial" w:hAnsi="Arial" w:cs="Arial"/>
                <w:color w:val="000000"/>
                <w:sz w:val="18"/>
                <w:szCs w:val="18"/>
              </w:rPr>
              <w:t xml:space="preserve"> 6 and 18)</w:t>
            </w:r>
          </w:p>
        </w:tc>
        <w:tc>
          <w:tcPr>
            <w:tcW w:w="1451" w:type="dxa"/>
          </w:tcPr>
          <w:p w14:paraId="36CB326A" w14:textId="77777777" w:rsidR="00A35B0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 xml:space="preserve">$25.35 </w:t>
            </w:r>
          </w:p>
        </w:tc>
        <w:tc>
          <w:tcPr>
            <w:tcW w:w="1384" w:type="dxa"/>
          </w:tcPr>
          <w:p w14:paraId="2C59CB60"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1,293</w:t>
            </w:r>
          </w:p>
        </w:tc>
      </w:tr>
      <w:tr w:rsidR="00A35B0D" w:rsidRPr="00E35EA2" w14:paraId="0ED19F7C" w14:textId="77777777" w:rsidTr="005C47CA">
        <w:tc>
          <w:tcPr>
            <w:tcW w:w="965" w:type="dxa"/>
          </w:tcPr>
          <w:p w14:paraId="0DDC351E" w14:textId="77777777" w:rsidR="00A35B0D" w:rsidRDefault="00A35B0D" w:rsidP="00A35B0D">
            <w:pPr>
              <w:spacing w:before="140" w:after="40"/>
              <w:rPr>
                <w:rFonts w:ascii="Arial" w:hAnsi="Arial" w:cs="Arial"/>
                <w:color w:val="000000"/>
                <w:sz w:val="18"/>
                <w:szCs w:val="18"/>
              </w:rPr>
            </w:pPr>
            <w:r>
              <w:rPr>
                <w:rFonts w:ascii="Arial" w:hAnsi="Arial" w:cs="Arial"/>
                <w:color w:val="000000"/>
                <w:sz w:val="18"/>
                <w:szCs w:val="18"/>
              </w:rPr>
              <w:t>65181</w:t>
            </w:r>
          </w:p>
        </w:tc>
        <w:tc>
          <w:tcPr>
            <w:tcW w:w="5522" w:type="dxa"/>
          </w:tcPr>
          <w:p w14:paraId="53EE7A57" w14:textId="77777777" w:rsidR="00A35B0D" w:rsidRPr="00D620ED" w:rsidRDefault="00A35B0D">
            <w:pPr>
              <w:spacing w:before="140" w:after="40"/>
              <w:rPr>
                <w:rFonts w:ascii="Arial" w:hAnsi="Arial" w:cs="Arial"/>
                <w:color w:val="000000"/>
                <w:sz w:val="18"/>
                <w:szCs w:val="18"/>
              </w:rPr>
            </w:pPr>
            <w:r w:rsidRPr="00DE12C2">
              <w:rPr>
                <w:rFonts w:ascii="Arial" w:hAnsi="Arial" w:cs="Arial"/>
                <w:color w:val="000000"/>
                <w:sz w:val="18"/>
                <w:szCs w:val="18"/>
              </w:rPr>
              <w:t xml:space="preserve">Tests described in item 65175, other than that described in 65180, if rendered by a receiving APA </w:t>
            </w:r>
            <w:r w:rsidR="00D750E4">
              <w:rPr>
                <w:rFonts w:ascii="Arial" w:hAnsi="Arial" w:cs="Arial"/>
                <w:color w:val="000000"/>
                <w:sz w:val="18"/>
                <w:szCs w:val="18"/>
              </w:rPr>
              <w:t>–</w:t>
            </w:r>
            <w:r w:rsidR="00D750E4" w:rsidRPr="00DE12C2">
              <w:rPr>
                <w:rFonts w:ascii="Arial" w:hAnsi="Arial" w:cs="Arial"/>
                <w:color w:val="000000"/>
                <w:sz w:val="18"/>
                <w:szCs w:val="18"/>
              </w:rPr>
              <w:t xml:space="preserve"> </w:t>
            </w:r>
            <w:r w:rsidRPr="00DE12C2">
              <w:rPr>
                <w:rFonts w:ascii="Arial" w:hAnsi="Arial" w:cs="Arial"/>
                <w:color w:val="000000"/>
                <w:sz w:val="18"/>
                <w:szCs w:val="18"/>
              </w:rPr>
              <w:t xml:space="preserve">each test to a maximum of </w:t>
            </w:r>
            <w:r w:rsidR="00D750E4" w:rsidRPr="00DE12C2">
              <w:rPr>
                <w:rFonts w:ascii="Arial" w:hAnsi="Arial" w:cs="Arial"/>
                <w:color w:val="000000"/>
                <w:sz w:val="18"/>
                <w:szCs w:val="18"/>
              </w:rPr>
              <w:t>4</w:t>
            </w:r>
            <w:r w:rsidR="00D750E4">
              <w:rPr>
                <w:rFonts w:ascii="Arial" w:hAnsi="Arial" w:cs="Arial"/>
                <w:color w:val="000000"/>
                <w:sz w:val="18"/>
                <w:szCs w:val="18"/>
              </w:rPr>
              <w:t> </w:t>
            </w:r>
            <w:r w:rsidRPr="00DE12C2">
              <w:rPr>
                <w:rFonts w:ascii="Arial" w:hAnsi="Arial" w:cs="Arial"/>
                <w:color w:val="000000"/>
                <w:sz w:val="18"/>
                <w:szCs w:val="18"/>
              </w:rPr>
              <w:t>tests (Item is subject to rule 6 and 18)</w:t>
            </w:r>
          </w:p>
        </w:tc>
        <w:tc>
          <w:tcPr>
            <w:tcW w:w="1451" w:type="dxa"/>
          </w:tcPr>
          <w:p w14:paraId="7ED84F84" w14:textId="77777777" w:rsidR="00A35B0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 xml:space="preserve">$23.30 </w:t>
            </w:r>
          </w:p>
        </w:tc>
        <w:tc>
          <w:tcPr>
            <w:tcW w:w="1384" w:type="dxa"/>
          </w:tcPr>
          <w:p w14:paraId="4B6F7B15" w14:textId="77777777" w:rsidR="00A35B0D" w:rsidRPr="00D620ED" w:rsidRDefault="00A35B0D" w:rsidP="00A35B0D">
            <w:pPr>
              <w:spacing w:before="140" w:after="40"/>
              <w:rPr>
                <w:rFonts w:ascii="Arial" w:hAnsi="Arial" w:cs="Arial"/>
                <w:color w:val="000000"/>
                <w:sz w:val="18"/>
                <w:szCs w:val="18"/>
              </w:rPr>
            </w:pPr>
            <w:r w:rsidRPr="00DE12C2">
              <w:rPr>
                <w:rFonts w:ascii="Arial" w:hAnsi="Arial" w:cs="Arial"/>
                <w:color w:val="000000"/>
                <w:sz w:val="18"/>
                <w:szCs w:val="18"/>
              </w:rPr>
              <w:t>2,725</w:t>
            </w:r>
          </w:p>
        </w:tc>
      </w:tr>
      <w:tr w:rsidR="00A35B0D" w:rsidRPr="00E35EA2" w14:paraId="18307313" w14:textId="77777777" w:rsidTr="005C47CA">
        <w:tc>
          <w:tcPr>
            <w:tcW w:w="965" w:type="dxa"/>
          </w:tcPr>
          <w:p w14:paraId="1AE01D22" w14:textId="77777777" w:rsidR="00A35B0D" w:rsidRPr="00946D63" w:rsidRDefault="00A35B0D" w:rsidP="00A35B0D">
            <w:pPr>
              <w:spacing w:before="140" w:after="40"/>
              <w:rPr>
                <w:rFonts w:ascii="Arial" w:hAnsi="Arial" w:cs="Arial"/>
                <w:sz w:val="18"/>
                <w:szCs w:val="18"/>
              </w:rPr>
            </w:pPr>
            <w:r w:rsidRPr="00946D63">
              <w:rPr>
                <w:rFonts w:ascii="Arial" w:hAnsi="Arial" w:cs="Arial"/>
                <w:sz w:val="18"/>
                <w:szCs w:val="18"/>
              </w:rPr>
              <w:t>73829</w:t>
            </w:r>
          </w:p>
          <w:p w14:paraId="22CA66F6" w14:textId="77777777" w:rsidR="00A35B0D" w:rsidRPr="00946D63" w:rsidRDefault="00A35B0D" w:rsidP="00A35B0D">
            <w:pPr>
              <w:spacing w:before="140" w:after="40"/>
              <w:rPr>
                <w:rFonts w:ascii="Arial" w:hAnsi="Arial" w:cs="Arial"/>
                <w:sz w:val="18"/>
                <w:szCs w:val="18"/>
              </w:rPr>
            </w:pPr>
            <w:r w:rsidRPr="00946D63">
              <w:rPr>
                <w:rFonts w:ascii="Arial" w:hAnsi="Arial" w:cs="Arial"/>
                <w:sz w:val="18"/>
                <w:szCs w:val="18"/>
              </w:rPr>
              <w:t>Referred item</w:t>
            </w:r>
          </w:p>
        </w:tc>
        <w:tc>
          <w:tcPr>
            <w:tcW w:w="5522" w:type="dxa"/>
          </w:tcPr>
          <w:p w14:paraId="49DCBB64" w14:textId="77777777" w:rsidR="00A35B0D" w:rsidRPr="00D620ED" w:rsidRDefault="00A35B0D" w:rsidP="00A35B0D">
            <w:pPr>
              <w:rPr>
                <w:rFonts w:ascii="Arial" w:hAnsi="Arial" w:cs="Arial"/>
                <w:sz w:val="18"/>
                <w:szCs w:val="18"/>
                <w:lang w:val="en-US"/>
              </w:rPr>
            </w:pPr>
            <w:r w:rsidRPr="00D620ED">
              <w:rPr>
                <w:rFonts w:ascii="Arial" w:hAnsi="Arial" w:cs="Arial"/>
                <w:sz w:val="18"/>
                <w:szCs w:val="18"/>
              </w:rPr>
              <w:t>Leucocyte count, erythrocyte sedimentation rate, examination of blood film (including differential leucocyte count), haemoglobin, haematocrit or erythrocyte count by a participating nurse practitioner – 1 test</w:t>
            </w:r>
          </w:p>
        </w:tc>
        <w:tc>
          <w:tcPr>
            <w:tcW w:w="1451" w:type="dxa"/>
          </w:tcPr>
          <w:p w14:paraId="340DC4DE" w14:textId="77777777" w:rsidR="00A35B0D" w:rsidRPr="00D620ED" w:rsidRDefault="00A35B0D" w:rsidP="00A35B0D">
            <w:pPr>
              <w:spacing w:before="140" w:after="40"/>
              <w:rPr>
                <w:rFonts w:ascii="Arial" w:hAnsi="Arial" w:cs="Arial"/>
                <w:sz w:val="18"/>
                <w:szCs w:val="18"/>
                <w:lang w:val="en-US"/>
              </w:rPr>
            </w:pPr>
            <w:r>
              <w:rPr>
                <w:rFonts w:ascii="Arial" w:hAnsi="Arial" w:cs="Arial"/>
                <w:sz w:val="18"/>
                <w:szCs w:val="18"/>
              </w:rPr>
              <w:t>$</w:t>
            </w:r>
            <w:r w:rsidRPr="00D620ED">
              <w:rPr>
                <w:rFonts w:ascii="Arial" w:hAnsi="Arial" w:cs="Arial"/>
                <w:sz w:val="18"/>
                <w:szCs w:val="18"/>
              </w:rPr>
              <w:t>4.55</w:t>
            </w:r>
          </w:p>
        </w:tc>
        <w:tc>
          <w:tcPr>
            <w:tcW w:w="1384" w:type="dxa"/>
          </w:tcPr>
          <w:p w14:paraId="0F4654D0" w14:textId="77777777" w:rsidR="00A35B0D" w:rsidRPr="00D620ED" w:rsidRDefault="00A35B0D">
            <w:pPr>
              <w:spacing w:before="140" w:after="40"/>
              <w:rPr>
                <w:rFonts w:ascii="Arial" w:hAnsi="Arial" w:cs="Arial"/>
                <w:sz w:val="18"/>
                <w:szCs w:val="18"/>
                <w:lang w:val="en-US"/>
              </w:rPr>
            </w:pPr>
            <w:r w:rsidRPr="00D620ED">
              <w:rPr>
                <w:rFonts w:ascii="Arial" w:hAnsi="Arial" w:cs="Arial"/>
                <w:color w:val="000000"/>
                <w:sz w:val="18"/>
                <w:szCs w:val="18"/>
              </w:rPr>
              <w:t>120</w:t>
            </w:r>
            <w:r w:rsidR="00D750E4">
              <w:rPr>
                <w:rFonts w:ascii="Arial" w:hAnsi="Arial" w:cs="Arial"/>
                <w:color w:val="000000"/>
                <w:sz w:val="18"/>
                <w:szCs w:val="18"/>
              </w:rPr>
              <w:br/>
            </w:r>
            <w:r w:rsidRPr="00D620ED">
              <w:rPr>
                <w:rFonts w:ascii="Arial" w:hAnsi="Arial" w:cs="Arial"/>
                <w:color w:val="000000"/>
                <w:sz w:val="18"/>
                <w:szCs w:val="18"/>
              </w:rPr>
              <w:t>(2015</w:t>
            </w:r>
            <w:r>
              <w:rPr>
                <w:rFonts w:ascii="Arial" w:hAnsi="Arial" w:cs="Arial"/>
                <w:color w:val="000000"/>
                <w:sz w:val="18"/>
                <w:szCs w:val="18"/>
              </w:rPr>
              <w:t>–</w:t>
            </w:r>
            <w:r w:rsidRPr="00D620ED">
              <w:rPr>
                <w:rFonts w:ascii="Arial" w:hAnsi="Arial" w:cs="Arial"/>
                <w:color w:val="000000"/>
                <w:sz w:val="18"/>
                <w:szCs w:val="18"/>
              </w:rPr>
              <w:t>16 data)</w:t>
            </w:r>
          </w:p>
        </w:tc>
      </w:tr>
      <w:tr w:rsidR="00A35B0D" w:rsidRPr="00E35EA2" w14:paraId="28925526" w14:textId="77777777" w:rsidTr="005C47CA">
        <w:tc>
          <w:tcPr>
            <w:tcW w:w="965" w:type="dxa"/>
          </w:tcPr>
          <w:p w14:paraId="15BB6CA2" w14:textId="77777777" w:rsidR="00A35B0D" w:rsidRPr="00946D63" w:rsidRDefault="00A35B0D" w:rsidP="00A35B0D">
            <w:pPr>
              <w:spacing w:before="140" w:after="40"/>
              <w:rPr>
                <w:rFonts w:ascii="Arial" w:hAnsi="Arial" w:cs="Arial"/>
                <w:sz w:val="18"/>
                <w:szCs w:val="18"/>
              </w:rPr>
            </w:pPr>
            <w:r w:rsidRPr="00946D63">
              <w:rPr>
                <w:rFonts w:ascii="Arial" w:hAnsi="Arial" w:cs="Arial"/>
                <w:sz w:val="18"/>
                <w:szCs w:val="18"/>
              </w:rPr>
              <w:lastRenderedPageBreak/>
              <w:t>73830</w:t>
            </w:r>
          </w:p>
          <w:p w14:paraId="52433654" w14:textId="77777777" w:rsidR="00A35B0D" w:rsidRPr="00946D63" w:rsidRDefault="00A35B0D" w:rsidP="00A35B0D">
            <w:pPr>
              <w:spacing w:before="140" w:after="40"/>
              <w:rPr>
                <w:rFonts w:ascii="Arial" w:hAnsi="Arial" w:cs="Arial"/>
                <w:sz w:val="18"/>
                <w:szCs w:val="18"/>
              </w:rPr>
            </w:pPr>
            <w:r w:rsidRPr="00946D63">
              <w:rPr>
                <w:rFonts w:ascii="Arial" w:hAnsi="Arial" w:cs="Arial"/>
                <w:sz w:val="18"/>
                <w:szCs w:val="18"/>
              </w:rPr>
              <w:t>Referred item</w:t>
            </w:r>
          </w:p>
        </w:tc>
        <w:tc>
          <w:tcPr>
            <w:tcW w:w="5522" w:type="dxa"/>
          </w:tcPr>
          <w:p w14:paraId="7788062F"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222222"/>
                <w:sz w:val="18"/>
                <w:szCs w:val="18"/>
              </w:rPr>
              <w:t>2 tests described in item 73829 by a participating nurse practitioner</w:t>
            </w:r>
          </w:p>
        </w:tc>
        <w:tc>
          <w:tcPr>
            <w:tcW w:w="1451" w:type="dxa"/>
          </w:tcPr>
          <w:p w14:paraId="386238D4" w14:textId="77777777" w:rsidR="00A35B0D" w:rsidRPr="00D620ED" w:rsidRDefault="00A35B0D" w:rsidP="00A35B0D">
            <w:pPr>
              <w:spacing w:before="140" w:after="40"/>
              <w:rPr>
                <w:rFonts w:ascii="Arial" w:hAnsi="Arial" w:cs="Arial"/>
                <w:sz w:val="18"/>
                <w:szCs w:val="18"/>
                <w:lang w:val="en-US"/>
              </w:rPr>
            </w:pPr>
            <w:r>
              <w:rPr>
                <w:rFonts w:ascii="Arial" w:hAnsi="Arial" w:cs="Arial"/>
                <w:color w:val="222222"/>
                <w:sz w:val="18"/>
                <w:szCs w:val="18"/>
              </w:rPr>
              <w:t>$</w:t>
            </w:r>
            <w:r w:rsidRPr="00D620ED">
              <w:rPr>
                <w:rFonts w:ascii="Arial" w:hAnsi="Arial" w:cs="Arial"/>
                <w:color w:val="222222"/>
                <w:sz w:val="18"/>
                <w:szCs w:val="18"/>
              </w:rPr>
              <w:t>6.35</w:t>
            </w:r>
          </w:p>
        </w:tc>
        <w:tc>
          <w:tcPr>
            <w:tcW w:w="1384" w:type="dxa"/>
          </w:tcPr>
          <w:p w14:paraId="2B2AEB51" w14:textId="77777777" w:rsidR="00A35B0D" w:rsidRPr="00D620ED" w:rsidRDefault="00A35B0D" w:rsidP="0033404F">
            <w:pPr>
              <w:rPr>
                <w:rFonts w:ascii="Arial" w:hAnsi="Arial" w:cs="Arial"/>
                <w:sz w:val="18"/>
                <w:szCs w:val="18"/>
                <w:lang w:val="en-US"/>
              </w:rPr>
            </w:pPr>
            <w:r w:rsidRPr="00D620ED">
              <w:rPr>
                <w:rFonts w:ascii="Arial" w:hAnsi="Arial" w:cs="Arial"/>
                <w:color w:val="000000"/>
                <w:sz w:val="18"/>
                <w:szCs w:val="18"/>
              </w:rPr>
              <w:t>9</w:t>
            </w:r>
            <w:r w:rsidR="00D750E4">
              <w:rPr>
                <w:rFonts w:ascii="Arial" w:hAnsi="Arial" w:cs="Arial"/>
                <w:color w:val="000000"/>
                <w:sz w:val="18"/>
                <w:szCs w:val="18"/>
              </w:rPr>
              <w:br/>
            </w:r>
            <w:r w:rsidRPr="00D620ED">
              <w:rPr>
                <w:rFonts w:ascii="Arial" w:hAnsi="Arial" w:cs="Arial"/>
                <w:color w:val="000000"/>
                <w:sz w:val="18"/>
                <w:szCs w:val="18"/>
              </w:rPr>
              <w:t>(2015</w:t>
            </w:r>
            <w:r>
              <w:rPr>
                <w:rFonts w:ascii="Arial" w:hAnsi="Arial" w:cs="Arial"/>
                <w:color w:val="000000"/>
                <w:sz w:val="18"/>
                <w:szCs w:val="18"/>
              </w:rPr>
              <w:t>–</w:t>
            </w:r>
            <w:r w:rsidRPr="00D620ED">
              <w:rPr>
                <w:rFonts w:ascii="Arial" w:hAnsi="Arial" w:cs="Arial"/>
                <w:color w:val="000000"/>
                <w:sz w:val="18"/>
                <w:szCs w:val="18"/>
              </w:rPr>
              <w:t>16 data)</w:t>
            </w:r>
          </w:p>
        </w:tc>
      </w:tr>
      <w:tr w:rsidR="00A35B0D" w:rsidRPr="00E35EA2" w14:paraId="6DFF45F9" w14:textId="77777777" w:rsidTr="005C47CA">
        <w:tc>
          <w:tcPr>
            <w:tcW w:w="965" w:type="dxa"/>
          </w:tcPr>
          <w:p w14:paraId="10D95AAA" w14:textId="77777777" w:rsidR="00A35B0D" w:rsidRPr="00946D63" w:rsidRDefault="00A35B0D" w:rsidP="00A35B0D">
            <w:pPr>
              <w:spacing w:before="140" w:after="40"/>
              <w:rPr>
                <w:rFonts w:ascii="Arial" w:hAnsi="Arial" w:cs="Arial"/>
                <w:sz w:val="18"/>
                <w:szCs w:val="18"/>
              </w:rPr>
            </w:pPr>
            <w:r w:rsidRPr="00946D63">
              <w:rPr>
                <w:rFonts w:ascii="Arial" w:hAnsi="Arial" w:cs="Arial"/>
                <w:sz w:val="18"/>
                <w:szCs w:val="18"/>
              </w:rPr>
              <w:t>73831</w:t>
            </w:r>
          </w:p>
          <w:p w14:paraId="7D77E6A6" w14:textId="77777777" w:rsidR="00A35B0D" w:rsidRPr="00946D63" w:rsidRDefault="00A35B0D" w:rsidP="00A35B0D">
            <w:pPr>
              <w:spacing w:before="140" w:after="40"/>
              <w:rPr>
                <w:rFonts w:ascii="Arial" w:hAnsi="Arial" w:cs="Arial"/>
                <w:sz w:val="18"/>
                <w:szCs w:val="18"/>
              </w:rPr>
            </w:pPr>
            <w:r w:rsidRPr="00946D63">
              <w:rPr>
                <w:rFonts w:ascii="Arial" w:hAnsi="Arial" w:cs="Arial"/>
                <w:sz w:val="18"/>
                <w:szCs w:val="18"/>
              </w:rPr>
              <w:t>Referred item</w:t>
            </w:r>
          </w:p>
        </w:tc>
        <w:tc>
          <w:tcPr>
            <w:tcW w:w="5522" w:type="dxa"/>
          </w:tcPr>
          <w:p w14:paraId="7BD865AA" w14:textId="77777777" w:rsidR="00A35B0D" w:rsidRPr="00D620ED" w:rsidRDefault="00A35B0D" w:rsidP="00A35B0D">
            <w:pPr>
              <w:spacing w:before="140" w:after="40"/>
              <w:rPr>
                <w:rFonts w:ascii="Arial" w:hAnsi="Arial" w:cs="Arial"/>
                <w:sz w:val="18"/>
                <w:szCs w:val="18"/>
                <w:lang w:val="en-US"/>
              </w:rPr>
            </w:pPr>
            <w:r w:rsidRPr="00D620ED">
              <w:rPr>
                <w:rFonts w:ascii="Arial" w:hAnsi="Arial" w:cs="Arial"/>
                <w:color w:val="222222"/>
                <w:sz w:val="18"/>
                <w:szCs w:val="18"/>
              </w:rPr>
              <w:t>3 or more tests described in item 73829 by a participating nurse practitioner</w:t>
            </w:r>
          </w:p>
        </w:tc>
        <w:tc>
          <w:tcPr>
            <w:tcW w:w="1451" w:type="dxa"/>
          </w:tcPr>
          <w:p w14:paraId="37C1123C" w14:textId="77777777" w:rsidR="00A35B0D" w:rsidRPr="00D620ED" w:rsidRDefault="00A35B0D" w:rsidP="00A35B0D">
            <w:pPr>
              <w:spacing w:before="140" w:after="40"/>
              <w:rPr>
                <w:rFonts w:ascii="Arial" w:hAnsi="Arial" w:cs="Arial"/>
                <w:sz w:val="18"/>
                <w:szCs w:val="18"/>
                <w:lang w:val="en-US"/>
              </w:rPr>
            </w:pPr>
            <w:r>
              <w:rPr>
                <w:rFonts w:ascii="Arial" w:hAnsi="Arial" w:cs="Arial"/>
                <w:color w:val="222222"/>
                <w:sz w:val="18"/>
                <w:szCs w:val="18"/>
              </w:rPr>
              <w:t>$</w:t>
            </w:r>
            <w:r w:rsidRPr="00D620ED">
              <w:rPr>
                <w:rFonts w:ascii="Arial" w:hAnsi="Arial" w:cs="Arial"/>
                <w:color w:val="222222"/>
                <w:sz w:val="18"/>
                <w:szCs w:val="18"/>
              </w:rPr>
              <w:t>8.15</w:t>
            </w:r>
          </w:p>
        </w:tc>
        <w:tc>
          <w:tcPr>
            <w:tcW w:w="1384" w:type="dxa"/>
          </w:tcPr>
          <w:p w14:paraId="04E55BCC" w14:textId="77777777" w:rsidR="00A35B0D" w:rsidRPr="00D620ED" w:rsidRDefault="00A35B0D" w:rsidP="0033404F">
            <w:pPr>
              <w:rPr>
                <w:rFonts w:ascii="Arial" w:hAnsi="Arial" w:cs="Arial"/>
                <w:sz w:val="18"/>
                <w:szCs w:val="18"/>
                <w:lang w:val="en-US"/>
              </w:rPr>
            </w:pPr>
            <w:r w:rsidRPr="00D620ED">
              <w:rPr>
                <w:rFonts w:ascii="Arial" w:hAnsi="Arial" w:cs="Arial"/>
                <w:color w:val="000000"/>
                <w:sz w:val="18"/>
                <w:szCs w:val="18"/>
              </w:rPr>
              <w:t>36</w:t>
            </w:r>
            <w:r w:rsidR="00D750E4">
              <w:rPr>
                <w:rFonts w:ascii="Arial" w:hAnsi="Arial" w:cs="Arial"/>
                <w:color w:val="000000"/>
                <w:sz w:val="18"/>
                <w:szCs w:val="18"/>
              </w:rPr>
              <w:br/>
            </w:r>
            <w:r w:rsidRPr="00D620ED">
              <w:rPr>
                <w:rFonts w:ascii="Arial" w:hAnsi="Arial" w:cs="Arial"/>
                <w:color w:val="000000"/>
                <w:sz w:val="18"/>
                <w:szCs w:val="18"/>
              </w:rPr>
              <w:t>(2015</w:t>
            </w:r>
            <w:r>
              <w:rPr>
                <w:rFonts w:ascii="Arial" w:hAnsi="Arial" w:cs="Arial"/>
                <w:color w:val="000000"/>
                <w:sz w:val="18"/>
                <w:szCs w:val="18"/>
              </w:rPr>
              <w:t>–</w:t>
            </w:r>
            <w:r w:rsidRPr="00D620ED">
              <w:rPr>
                <w:rFonts w:ascii="Arial" w:hAnsi="Arial" w:cs="Arial"/>
                <w:color w:val="000000"/>
                <w:sz w:val="18"/>
                <w:szCs w:val="18"/>
              </w:rPr>
              <w:t>16 data)</w:t>
            </w:r>
          </w:p>
        </w:tc>
      </w:tr>
    </w:tbl>
    <w:p w14:paraId="752C4961" w14:textId="77777777" w:rsidR="00CF044D" w:rsidRDefault="00962111" w:rsidP="00CF044D">
      <w:pPr>
        <w:pStyle w:val="Heading1"/>
        <w:rPr>
          <w:lang w:val="en-AU"/>
        </w:rPr>
      </w:pPr>
      <w:bookmarkStart w:id="132" w:name="_Recommendations_to_other"/>
      <w:bookmarkStart w:id="133" w:name="_Toc459996820"/>
      <w:bookmarkStart w:id="134" w:name="_Toc458167010"/>
      <w:bookmarkStart w:id="135" w:name="_Toc495403419"/>
      <w:bookmarkEnd w:id="132"/>
      <w:r w:rsidRPr="00FC1976">
        <w:rPr>
          <w:lang w:val="en-AU"/>
        </w:rPr>
        <w:t xml:space="preserve">Recommendations to </w:t>
      </w:r>
      <w:r w:rsidR="003F21C5" w:rsidRPr="00FC1976">
        <w:rPr>
          <w:lang w:val="en-AU"/>
        </w:rPr>
        <w:t>o</w:t>
      </w:r>
      <w:r w:rsidRPr="00FC1976">
        <w:rPr>
          <w:lang w:val="en-AU"/>
        </w:rPr>
        <w:t xml:space="preserve">ther </w:t>
      </w:r>
      <w:r w:rsidR="003F21C5" w:rsidRPr="00FC1976">
        <w:rPr>
          <w:lang w:val="en-AU"/>
        </w:rPr>
        <w:t>c</w:t>
      </w:r>
      <w:r w:rsidRPr="00FC1976">
        <w:rPr>
          <w:lang w:val="en-AU"/>
        </w:rPr>
        <w:t>ommittees</w:t>
      </w:r>
      <w:bookmarkEnd w:id="133"/>
      <w:bookmarkEnd w:id="134"/>
      <w:bookmarkEnd w:id="135"/>
    </w:p>
    <w:p w14:paraId="3F080C0B" w14:textId="77777777" w:rsidR="003607B2" w:rsidRPr="00FC1976" w:rsidRDefault="00D87A11" w:rsidP="00082595">
      <w:pPr>
        <w:rPr>
          <w:lang w:val="en-AU"/>
        </w:rPr>
      </w:pPr>
      <w:r w:rsidRPr="00FC1976">
        <w:rPr>
          <w:lang w:val="en-AU"/>
        </w:rPr>
        <w:t>T</w:t>
      </w:r>
      <w:r w:rsidR="00153FB2" w:rsidRPr="00FC1976">
        <w:rPr>
          <w:lang w:val="en-AU"/>
        </w:rPr>
        <w:t xml:space="preserve">he Committee </w:t>
      </w:r>
      <w:r w:rsidR="00826C8F" w:rsidRPr="00FC1976">
        <w:rPr>
          <w:lang w:val="en-AU"/>
        </w:rPr>
        <w:t xml:space="preserve">has </w:t>
      </w:r>
      <w:r w:rsidR="00063B43" w:rsidRPr="00FC1976">
        <w:rPr>
          <w:lang w:val="en-AU"/>
        </w:rPr>
        <w:t xml:space="preserve">also </w:t>
      </w:r>
      <w:r w:rsidR="00943A26" w:rsidRPr="00FC1976">
        <w:rPr>
          <w:lang w:val="en-AU"/>
        </w:rPr>
        <w:t xml:space="preserve">developed </w:t>
      </w:r>
      <w:r w:rsidR="00063B43" w:rsidRPr="00FC1976">
        <w:rPr>
          <w:lang w:val="en-AU"/>
        </w:rPr>
        <w:t xml:space="preserve">provisional recommendations for the consideration of other </w:t>
      </w:r>
      <w:r w:rsidR="00CF5897" w:rsidRPr="00FC1976">
        <w:rPr>
          <w:lang w:val="en-AU"/>
        </w:rPr>
        <w:t>c</w:t>
      </w:r>
      <w:r w:rsidR="00807A65">
        <w:rPr>
          <w:lang w:val="en-AU"/>
        </w:rPr>
        <w:t>ommittees.</w:t>
      </w:r>
      <w:r w:rsidR="0027164A">
        <w:rPr>
          <w:lang w:val="en-AU"/>
        </w:rPr>
        <w:t xml:space="preserve"> The</w:t>
      </w:r>
      <w:r w:rsidR="00F240A0">
        <w:rPr>
          <w:lang w:val="en-AU"/>
        </w:rPr>
        <w:t>se recommendations concern issues that were raised as clinically relevant throughout the course of the Review. These recommendations will be submitted to the relevant committees for consideration as they formulate their own recommendations to the Taskforce. The recommendations will be included in this Committee’s final report and may be considered directly by the Taskforce.</w:t>
      </w:r>
    </w:p>
    <w:p w14:paraId="32C2DAF0" w14:textId="77777777" w:rsidR="00762848" w:rsidRDefault="00BB1FBB" w:rsidP="00082595">
      <w:pPr>
        <w:rPr>
          <w:lang w:val="en-AU" w:eastAsia="en-US"/>
        </w:rPr>
      </w:pPr>
      <w:r w:rsidRPr="00FC1976">
        <w:rPr>
          <w:lang w:val="en-AU" w:eastAsia="en-US"/>
        </w:rPr>
        <w:t xml:space="preserve">The recommendations can be found below in </w:t>
      </w:r>
      <w:r w:rsidR="00833B19" w:rsidRPr="00FC1976">
        <w:rPr>
          <w:lang w:val="en-AU" w:eastAsia="en-US"/>
        </w:rPr>
        <w:t xml:space="preserve">Sections </w:t>
      </w:r>
      <w:r w:rsidR="007E4981">
        <w:rPr>
          <w:lang w:val="en-AU" w:eastAsia="en-US"/>
        </w:rPr>
        <w:t>5</w:t>
      </w:r>
      <w:r w:rsidR="00DC2E98" w:rsidRPr="00FC1976">
        <w:rPr>
          <w:lang w:val="en-AU" w:eastAsia="en-US"/>
        </w:rPr>
        <w:t>.1</w:t>
      </w:r>
      <w:r w:rsidR="00B91DAE">
        <w:rPr>
          <w:lang w:val="en-AU" w:eastAsia="en-US"/>
        </w:rPr>
        <w:t>–</w:t>
      </w:r>
      <w:r w:rsidR="007E4981">
        <w:rPr>
          <w:lang w:val="en-AU" w:eastAsia="en-US"/>
        </w:rPr>
        <w:t>5</w:t>
      </w:r>
      <w:r w:rsidR="0043623E" w:rsidRPr="00FC1976">
        <w:rPr>
          <w:lang w:val="en-AU" w:eastAsia="en-US"/>
        </w:rPr>
        <w:t>.</w:t>
      </w:r>
      <w:r w:rsidR="00F240A0">
        <w:rPr>
          <w:lang w:val="en-AU" w:eastAsia="en-US"/>
        </w:rPr>
        <w:t>2</w:t>
      </w:r>
      <w:r w:rsidR="0043623E" w:rsidRPr="00FC1976">
        <w:rPr>
          <w:lang w:val="en-AU" w:eastAsia="en-US"/>
        </w:rPr>
        <w:t>,</w:t>
      </w:r>
      <w:r w:rsidR="007F0DD3" w:rsidRPr="00FC1976">
        <w:rPr>
          <w:lang w:val="en-AU" w:eastAsia="en-US"/>
        </w:rPr>
        <w:t xml:space="preserve"> </w:t>
      </w:r>
      <w:r w:rsidRPr="00FC1976">
        <w:rPr>
          <w:lang w:val="en-AU" w:eastAsia="en-US"/>
        </w:rPr>
        <w:t xml:space="preserve">and a summary recommendation </w:t>
      </w:r>
      <w:r w:rsidR="000A3CE0" w:rsidRPr="00FC1976">
        <w:rPr>
          <w:lang w:val="en-AU" w:eastAsia="en-US"/>
        </w:rPr>
        <w:t xml:space="preserve">table can be found in </w:t>
      </w:r>
      <w:hyperlink w:anchor="_Appendix_B_—New" w:history="1">
        <w:r w:rsidR="000A3CE0" w:rsidRPr="006C7305">
          <w:rPr>
            <w:rStyle w:val="Hyperlink"/>
            <w:lang w:val="en-AU" w:eastAsia="en-US"/>
          </w:rPr>
          <w:t xml:space="preserve">Appendix </w:t>
        </w:r>
        <w:r w:rsidR="0033404F" w:rsidRPr="006C7305">
          <w:rPr>
            <w:rStyle w:val="Hyperlink"/>
            <w:lang w:val="en-AU" w:eastAsia="en-US"/>
          </w:rPr>
          <w:t>B</w:t>
        </w:r>
      </w:hyperlink>
      <w:r w:rsidRPr="00FC1976">
        <w:rPr>
          <w:lang w:val="en-AU" w:eastAsia="en-US"/>
        </w:rPr>
        <w:t xml:space="preserve">. </w:t>
      </w:r>
      <w:r w:rsidR="00FB2AC2" w:rsidRPr="00FC1976">
        <w:rPr>
          <w:lang w:val="en-AU" w:eastAsia="en-US"/>
        </w:rPr>
        <w:t>R</w:t>
      </w:r>
      <w:r w:rsidR="007B1E97" w:rsidRPr="00FC1976">
        <w:rPr>
          <w:lang w:val="en-AU" w:eastAsia="en-US"/>
        </w:rPr>
        <w:t xml:space="preserve">ecommendations </w:t>
      </w:r>
      <w:r w:rsidR="00631C18" w:rsidRPr="00FC1976">
        <w:rPr>
          <w:lang w:val="en-AU" w:eastAsia="en-US"/>
        </w:rPr>
        <w:t xml:space="preserve">are grouped by </w:t>
      </w:r>
      <w:r w:rsidR="00F240A0">
        <w:rPr>
          <w:lang w:val="en-AU" w:eastAsia="en-US"/>
        </w:rPr>
        <w:t xml:space="preserve">the relevant committee. </w:t>
      </w:r>
    </w:p>
    <w:p w14:paraId="7855F3F6" w14:textId="77777777" w:rsidR="00B23819" w:rsidRDefault="00807A65" w:rsidP="00807A65">
      <w:pPr>
        <w:pStyle w:val="Heading2"/>
      </w:pPr>
      <w:bookmarkStart w:id="136" w:name="_Toc495403420"/>
      <w:r>
        <w:t xml:space="preserve">Recommendations </w:t>
      </w:r>
      <w:r w:rsidR="00375E33">
        <w:t xml:space="preserve">for referral </w:t>
      </w:r>
      <w:r>
        <w:t xml:space="preserve">to </w:t>
      </w:r>
      <w:r w:rsidR="00E1748E">
        <w:t>MSAC</w:t>
      </w:r>
      <w:bookmarkEnd w:id="136"/>
    </w:p>
    <w:p w14:paraId="147D2F36" w14:textId="77777777" w:rsidR="006D3B55" w:rsidRDefault="006D3B55" w:rsidP="00282D5E">
      <w:pPr>
        <w:pStyle w:val="Heading3"/>
      </w:pPr>
      <w:bookmarkStart w:id="137" w:name="_Toc495403421"/>
      <w:r>
        <w:t>Release of immunoglobulin (new item)</w:t>
      </w:r>
      <w:r w:rsidR="00282D5E">
        <w:t>—</w:t>
      </w:r>
      <w:r>
        <w:t>Recommendation</w:t>
      </w:r>
      <w:r w:rsidR="00213B3F">
        <w:t xml:space="preserve"> 10</w:t>
      </w:r>
      <w:bookmarkEnd w:id="137"/>
    </w:p>
    <w:p w14:paraId="2188F46C" w14:textId="77777777" w:rsidR="006D3B55" w:rsidRDefault="006D3B55" w:rsidP="006D3B55">
      <w:pPr>
        <w:pStyle w:val="01squarebullet"/>
      </w:pPr>
      <w:r>
        <w:t xml:space="preserve">Create a new item for the release of intravenous </w:t>
      </w:r>
      <w:r w:rsidR="0033404F">
        <w:t xml:space="preserve">immunoglobulin </w:t>
      </w:r>
      <w:r>
        <w:t>(IV</w:t>
      </w:r>
      <w:r w:rsidR="0033404F">
        <w:t xml:space="preserve"> Ig</w:t>
      </w:r>
      <w:r>
        <w:t>) or subcutaneous immunoglobulin (</w:t>
      </w:r>
      <w:r w:rsidR="0033404F">
        <w:t xml:space="preserve">SC </w:t>
      </w:r>
      <w:r>
        <w:t xml:space="preserve">Ig) to meet the required protocols set by the </w:t>
      </w:r>
      <w:r w:rsidR="00CD6FD9">
        <w:t>National Blood Authority (NBA).</w:t>
      </w:r>
      <w:r w:rsidR="00F977AB">
        <w:t xml:space="preserve"> </w:t>
      </w:r>
      <w:r>
        <w:t>Limit of one release per day regardless of volume.</w:t>
      </w:r>
    </w:p>
    <w:p w14:paraId="1E15A9DB" w14:textId="77777777" w:rsidR="006D3B55" w:rsidRDefault="006D3B55" w:rsidP="006D3B55">
      <w:pPr>
        <w:pStyle w:val="01squarebullet"/>
      </w:pPr>
      <w:r>
        <w:t>The proposed descriptor is as follows:</w:t>
      </w:r>
    </w:p>
    <w:p w14:paraId="4021E923" w14:textId="77777777" w:rsidR="006D3B55" w:rsidRDefault="006D3B55" w:rsidP="006D3B55">
      <w:pPr>
        <w:pStyle w:val="02dash"/>
      </w:pPr>
      <w:r>
        <w:t>Release of</w:t>
      </w:r>
      <w:r w:rsidR="0033404F">
        <w:t xml:space="preserve"> intravenous immunoglobulin</w:t>
      </w:r>
      <w:r>
        <w:t xml:space="preserve"> (IV Ig) or subcutaneous immunoglobulin (SC Ig) for use in a patient for an approved indication as defined by the National Blood Authority.</w:t>
      </w:r>
    </w:p>
    <w:p w14:paraId="6FF9AE7E" w14:textId="77777777" w:rsidR="006D3B55" w:rsidRDefault="006D3B55" w:rsidP="00CF044D">
      <w:pPr>
        <w:pStyle w:val="Heading3"/>
        <w:numPr>
          <w:ilvl w:val="0"/>
          <w:numId w:val="0"/>
        </w:numPr>
        <w:ind w:left="720" w:hanging="720"/>
      </w:pPr>
      <w:bookmarkStart w:id="138" w:name="_Toc495403422"/>
      <w:r>
        <w:t xml:space="preserve">Rationale </w:t>
      </w:r>
      <w:r w:rsidR="00E45A83">
        <w:t>10</w:t>
      </w:r>
      <w:bookmarkEnd w:id="138"/>
    </w:p>
    <w:p w14:paraId="58A7FC40" w14:textId="77777777" w:rsidR="006D3B55" w:rsidRDefault="006D3B55" w:rsidP="006D3B55">
      <w:r>
        <w:t>The recommendation is focused on providing fair recompense for services provided to meet the regulatory requirements set b</w:t>
      </w:r>
      <w:r w:rsidR="00221C01">
        <w:t>y the National Blood Authority</w:t>
      </w:r>
      <w:r>
        <w:t xml:space="preserve">. </w:t>
      </w:r>
      <w:r w:rsidR="00B83872">
        <w:fldChar w:fldCharType="begin"/>
      </w:r>
      <w:r w:rsidR="00B83872">
        <w:instrText xml:space="preserve"> REF _Ref488758758 \r \h </w:instrText>
      </w:r>
      <w:r w:rsidR="00B83872">
        <w:fldChar w:fldCharType="separate"/>
      </w:r>
      <w:r w:rsidR="005C3364">
        <w:t>[12]</w:t>
      </w:r>
      <w:r w:rsidR="00B83872">
        <w:fldChar w:fldCharType="end"/>
      </w:r>
      <w:r w:rsidR="00221C01">
        <w:t xml:space="preserve"> </w:t>
      </w:r>
      <w:r>
        <w:t>It is based on the following observations.</w:t>
      </w:r>
    </w:p>
    <w:p w14:paraId="3F85136B" w14:textId="77777777" w:rsidR="006D3B55" w:rsidRDefault="006D3B55" w:rsidP="006D3B55">
      <w:pPr>
        <w:pStyle w:val="01squarebullet"/>
      </w:pPr>
      <w:r>
        <w:t xml:space="preserve">The MBS currently provides funding for the release of other blood products such as fresh frozen plasma (item 65109) and platelets (item 65110). </w:t>
      </w:r>
      <w:r>
        <w:br/>
        <w:t>The Committee noted that t</w:t>
      </w:r>
      <w:r w:rsidRPr="00622F33">
        <w:t xml:space="preserve">he release of </w:t>
      </w:r>
      <w:r>
        <w:t>immunoglobulin has become</w:t>
      </w:r>
      <w:r w:rsidRPr="00622F33">
        <w:t xml:space="preserve"> a significant workload for </w:t>
      </w:r>
      <w:r>
        <w:t xml:space="preserve">blood bank </w:t>
      </w:r>
      <w:r w:rsidRPr="00622F33">
        <w:t>laboratories.</w:t>
      </w:r>
      <w:r>
        <w:t xml:space="preserve"> Use of these products has increased by about 10 per cent per y</w:t>
      </w:r>
      <w:r w:rsidR="00AE5FD1">
        <w:t>ear over the past 10 years</w:t>
      </w:r>
      <w:r>
        <w:t xml:space="preserve">, </w:t>
      </w:r>
      <w:r w:rsidR="00362A82">
        <w:fldChar w:fldCharType="begin"/>
      </w:r>
      <w:r w:rsidR="00362A82">
        <w:instrText xml:space="preserve"> REF _Ref488758787 \r \h </w:instrText>
      </w:r>
      <w:r w:rsidR="00362A82">
        <w:fldChar w:fldCharType="separate"/>
      </w:r>
      <w:r w:rsidR="005C3364">
        <w:t>[13]</w:t>
      </w:r>
      <w:r w:rsidR="00362A82">
        <w:fldChar w:fldCharType="end"/>
      </w:r>
      <w:r w:rsidR="00B41469">
        <w:t xml:space="preserve"> </w:t>
      </w:r>
      <w:r>
        <w:t xml:space="preserve">yet there is currently no MBS item to reimburse laboratories for the work involved in managing these products. </w:t>
      </w:r>
      <w:r>
        <w:br/>
        <w:t>The release of IV</w:t>
      </w:r>
      <w:r w:rsidR="00AE5FD1">
        <w:t xml:space="preserve"> </w:t>
      </w:r>
      <w:r>
        <w:t>Ig has been an unfunded service provided by local blood banks acting as a conduit be</w:t>
      </w:r>
      <w:r w:rsidR="00474550">
        <w:t>tween the Australian Red Cross B</w:t>
      </w:r>
      <w:r>
        <w:t xml:space="preserve">lood </w:t>
      </w:r>
      <w:r w:rsidR="00474550">
        <w:t>S</w:t>
      </w:r>
      <w:r>
        <w:t>ervice and hospitals.</w:t>
      </w:r>
    </w:p>
    <w:p w14:paraId="6F46C67C" w14:textId="77777777" w:rsidR="006D3B55" w:rsidRDefault="006D3B55" w:rsidP="006D3B55">
      <w:pPr>
        <w:pStyle w:val="01squarebullet"/>
      </w:pPr>
      <w:r w:rsidRPr="00E961C3">
        <w:t>Recent</w:t>
      </w:r>
      <w:r>
        <w:t xml:space="preserve"> requirements introduced by the NBA have significantly increased the clinical governance and management responsibility of local blood banks and introduced the prospect of financial penalties if protocols are not adhered to. </w:t>
      </w:r>
      <w:r w:rsidR="00362A82">
        <w:fldChar w:fldCharType="begin"/>
      </w:r>
      <w:r w:rsidR="00362A82">
        <w:instrText xml:space="preserve"> REF _Ref488758758 \r \h </w:instrText>
      </w:r>
      <w:r w:rsidR="00362A82">
        <w:fldChar w:fldCharType="separate"/>
      </w:r>
      <w:r w:rsidR="005C3364">
        <w:t>[12]</w:t>
      </w:r>
      <w:r w:rsidR="00362A82">
        <w:fldChar w:fldCharType="end"/>
      </w:r>
      <w:r>
        <w:br/>
        <w:t xml:space="preserve">The NBA protocols outline the roles, responsibilities and expectations of laboratories handling </w:t>
      </w:r>
      <w:r>
        <w:lastRenderedPageBreak/>
        <w:t xml:space="preserve">these products. The Committee considered these changes and the increase in demand for these </w:t>
      </w:r>
      <w:proofErr w:type="gramStart"/>
      <w:r>
        <w:t>products, and</w:t>
      </w:r>
      <w:proofErr w:type="gramEnd"/>
      <w:r>
        <w:t xml:space="preserve"> recommended a new MBS</w:t>
      </w:r>
      <w:r w:rsidRPr="00622F33">
        <w:t xml:space="preserve"> item number</w:t>
      </w:r>
      <w:r>
        <w:t xml:space="preserve"> with appropriate </w:t>
      </w:r>
      <w:r w:rsidRPr="0034438D">
        <w:t>remuneration.</w:t>
      </w:r>
    </w:p>
    <w:p w14:paraId="0939825B" w14:textId="77777777" w:rsidR="006D3B55" w:rsidRDefault="006D3B55" w:rsidP="006D3B55">
      <w:pPr>
        <w:pStyle w:val="Boldhdg"/>
      </w:pPr>
      <w:r w:rsidRPr="00AA51DE">
        <w:t xml:space="preserve">Expected effects of this recommendation on the item </w:t>
      </w:r>
      <w:r>
        <w:t>and related-item service volume</w:t>
      </w:r>
    </w:p>
    <w:p w14:paraId="7E4A818C" w14:textId="77777777" w:rsidR="006D3B55" w:rsidRPr="006D3B55" w:rsidRDefault="006D3B55" w:rsidP="006D3B55">
      <w:pPr>
        <w:pStyle w:val="01squarebullet"/>
      </w:pPr>
      <w:r>
        <w:t xml:space="preserve">The Committee agreed that this item will require </w:t>
      </w:r>
      <w:r w:rsidR="004E6409">
        <w:t>mode</w:t>
      </w:r>
      <w:r w:rsidR="00474550">
        <w:t>l</w:t>
      </w:r>
      <w:r w:rsidR="004E6409">
        <w:t>ling</w:t>
      </w:r>
      <w:r>
        <w:t xml:space="preserve"> and costing. This is a new item for a currently unfunded </w:t>
      </w:r>
      <w:proofErr w:type="gramStart"/>
      <w:r>
        <w:t>service</w:t>
      </w:r>
      <w:proofErr w:type="gramEnd"/>
      <w:r>
        <w:t xml:space="preserve"> and this will result in an increase in expenditure. This change</w:t>
      </w:r>
      <w:r w:rsidRPr="00FE28E1">
        <w:t xml:space="preserve"> will not have an impact on other items in the schedule.</w:t>
      </w:r>
    </w:p>
    <w:p w14:paraId="0B58C34F" w14:textId="77777777" w:rsidR="00C8347F" w:rsidRDefault="00C8347F" w:rsidP="00282D5E">
      <w:pPr>
        <w:pStyle w:val="Heading3"/>
      </w:pPr>
      <w:bookmarkStart w:id="139" w:name="_Toc495403423"/>
      <w:r>
        <w:t xml:space="preserve">Alpha </w:t>
      </w:r>
      <w:proofErr w:type="spellStart"/>
      <w:r>
        <w:t>thalassaemia</w:t>
      </w:r>
      <w:proofErr w:type="spellEnd"/>
      <w:r>
        <w:t xml:space="preserve"> </w:t>
      </w:r>
      <w:r w:rsidR="002351F1">
        <w:t xml:space="preserve">genetic testing </w:t>
      </w:r>
      <w:r>
        <w:t>recommendation (new item)</w:t>
      </w:r>
      <w:r w:rsidR="00282D5E">
        <w:t>—</w:t>
      </w:r>
      <w:r>
        <w:t>Recommendation</w:t>
      </w:r>
      <w:r w:rsidR="00213B3F">
        <w:t xml:space="preserve"> 11</w:t>
      </w:r>
      <w:bookmarkEnd w:id="139"/>
    </w:p>
    <w:p w14:paraId="67497375" w14:textId="77777777" w:rsidR="00C8347F" w:rsidRDefault="00C8347F" w:rsidP="00C8347F">
      <w:pPr>
        <w:pStyle w:val="01squarebullet"/>
      </w:pPr>
      <w:r>
        <w:t xml:space="preserve">Create a new item for genetic testing for the alpha-globin gene. </w:t>
      </w:r>
      <w:r w:rsidRPr="00090AAD">
        <w:t>This will require a sponsor to progress this outside of the MBS Review.</w:t>
      </w:r>
    </w:p>
    <w:p w14:paraId="07DF2D78" w14:textId="77777777" w:rsidR="00C8347F" w:rsidRDefault="00C8347F" w:rsidP="00CF044D">
      <w:pPr>
        <w:pStyle w:val="Heading3"/>
        <w:numPr>
          <w:ilvl w:val="0"/>
          <w:numId w:val="0"/>
        </w:numPr>
        <w:ind w:left="720" w:hanging="720"/>
      </w:pPr>
      <w:bookmarkStart w:id="140" w:name="_Toc495403424"/>
      <w:r>
        <w:t>Rationale</w:t>
      </w:r>
      <w:r w:rsidR="00282D5E">
        <w:t xml:space="preserve"> </w:t>
      </w:r>
      <w:r w:rsidR="00DD764F">
        <w:t>11</w:t>
      </w:r>
      <w:bookmarkEnd w:id="140"/>
    </w:p>
    <w:p w14:paraId="17DFFF88" w14:textId="77777777" w:rsidR="00C8347F" w:rsidRDefault="00C8347F" w:rsidP="00C8347F">
      <w:r>
        <w:t>The recommendation is focused on improving patient care and encouraging best practice. It is based on the following observations.</w:t>
      </w:r>
    </w:p>
    <w:p w14:paraId="075ABAF5" w14:textId="77777777" w:rsidR="00C8347F" w:rsidRPr="00FA627C" w:rsidRDefault="00C8347F" w:rsidP="00C8347F">
      <w:pPr>
        <w:pStyle w:val="01squarebullet"/>
      </w:pPr>
      <w:r>
        <w:t xml:space="preserve">The Committee discussed the gap in the schedule for testing for alpha </w:t>
      </w:r>
      <w:proofErr w:type="spellStart"/>
      <w:r>
        <w:t>thalassaemia</w:t>
      </w:r>
      <w:proofErr w:type="spellEnd"/>
      <w:r>
        <w:t>. Item 65078 t</w:t>
      </w:r>
      <w:r w:rsidRPr="000971FA">
        <w:t xml:space="preserve">ests for the diagnosis of </w:t>
      </w:r>
      <w:proofErr w:type="spellStart"/>
      <w:r>
        <w:t>thalassaemia</w:t>
      </w:r>
      <w:proofErr w:type="spellEnd"/>
      <w:r w:rsidRPr="000971FA">
        <w:t xml:space="preserve"> consisting of </w:t>
      </w:r>
      <w:proofErr w:type="spellStart"/>
      <w:r w:rsidRPr="000971FA">
        <w:t>haemoglobin</w:t>
      </w:r>
      <w:proofErr w:type="spellEnd"/>
      <w:r w:rsidRPr="000971FA">
        <w:t xml:space="preserve"> electrophoresis or chromatography and at least </w:t>
      </w:r>
      <w:r>
        <w:t>two</w:t>
      </w:r>
      <w:r w:rsidRPr="000971FA">
        <w:t xml:space="preserve"> of: (a) examination for </w:t>
      </w:r>
      <w:proofErr w:type="spellStart"/>
      <w:r w:rsidRPr="000971FA">
        <w:t>HbH</w:t>
      </w:r>
      <w:proofErr w:type="spellEnd"/>
      <w:r w:rsidRPr="000971FA">
        <w:t>; or (b) quantitation of HbA</w:t>
      </w:r>
      <w:r w:rsidRPr="00AE7072">
        <w:rPr>
          <w:vertAlign w:val="subscript"/>
        </w:rPr>
        <w:t>2</w:t>
      </w:r>
      <w:r w:rsidRPr="000971FA">
        <w:t xml:space="preserve">; or (c) quantitation of </w:t>
      </w:r>
      <w:proofErr w:type="spellStart"/>
      <w:r w:rsidRPr="000971FA">
        <w:t>HbF</w:t>
      </w:r>
      <w:proofErr w:type="spellEnd"/>
      <w:r w:rsidR="004012C7">
        <w:t>,</w:t>
      </w:r>
      <w:r w:rsidRPr="000971FA">
        <w:t xml:space="preserve"> including (if performed) any service described in item 65060 or 65070</w:t>
      </w:r>
      <w:r>
        <w:t xml:space="preserve">) is a serological test for beta </w:t>
      </w:r>
      <w:proofErr w:type="spellStart"/>
      <w:r>
        <w:t>thalassaemia</w:t>
      </w:r>
      <w:proofErr w:type="spellEnd"/>
      <w:r>
        <w:t xml:space="preserve">. </w:t>
      </w:r>
      <w:r>
        <w:br/>
      </w:r>
      <w:r w:rsidRPr="002A1D62">
        <w:t xml:space="preserve">Alpha </w:t>
      </w:r>
      <w:proofErr w:type="spellStart"/>
      <w:r>
        <w:t>thalassaemia</w:t>
      </w:r>
      <w:proofErr w:type="spellEnd"/>
      <w:r w:rsidRPr="002A1D62">
        <w:t xml:space="preserve"> is caused by reduced or absent synthesis of alpha</w:t>
      </w:r>
      <w:r>
        <w:t>-</w:t>
      </w:r>
      <w:r w:rsidRPr="002A1D62">
        <w:t>globin chains</w:t>
      </w:r>
      <w:r>
        <w:t xml:space="preserve">. </w:t>
      </w:r>
      <w:r w:rsidRPr="002A1D62">
        <w:t xml:space="preserve">Imbalances of globin chains cause </w:t>
      </w:r>
      <w:proofErr w:type="spellStart"/>
      <w:r w:rsidRPr="002A1D62">
        <w:t>h</w:t>
      </w:r>
      <w:r>
        <w:t>a</w:t>
      </w:r>
      <w:r w:rsidRPr="002A1D62">
        <w:t>emolysis</w:t>
      </w:r>
      <w:proofErr w:type="spellEnd"/>
      <w:r w:rsidRPr="002A1D62">
        <w:t xml:space="preserve"> and impair erythropoiesis. Silent carriers of alpha </w:t>
      </w:r>
      <w:proofErr w:type="spellStart"/>
      <w:r>
        <w:t>thalassaemia</w:t>
      </w:r>
      <w:proofErr w:type="spellEnd"/>
      <w:r w:rsidRPr="002A1D62">
        <w:t xml:space="preserve"> and </w:t>
      </w:r>
      <w:r>
        <w:t xml:space="preserve">people </w:t>
      </w:r>
      <w:r w:rsidRPr="002A1D62">
        <w:t xml:space="preserve">with alpha </w:t>
      </w:r>
      <w:proofErr w:type="spellStart"/>
      <w:r>
        <w:t>thalassaemia</w:t>
      </w:r>
      <w:proofErr w:type="spellEnd"/>
      <w:r w:rsidRPr="002A1D62">
        <w:t xml:space="preserve"> trait are asymptomatic and require no treatment. </w:t>
      </w:r>
      <w:r>
        <w:br/>
      </w:r>
      <w:r w:rsidRPr="002A1D62">
        <w:t xml:space="preserve">Alpha </w:t>
      </w:r>
      <w:proofErr w:type="spellStart"/>
      <w:r>
        <w:t>thalassaemia</w:t>
      </w:r>
      <w:proofErr w:type="spellEnd"/>
      <w:r w:rsidRPr="002A1D62">
        <w:t xml:space="preserve"> intermedia, or </w:t>
      </w:r>
      <w:proofErr w:type="spellStart"/>
      <w:r w:rsidRPr="002A1D62">
        <w:t>h</w:t>
      </w:r>
      <w:r>
        <w:t>a</w:t>
      </w:r>
      <w:r w:rsidRPr="002A1D62">
        <w:t>emoglobin</w:t>
      </w:r>
      <w:proofErr w:type="spellEnd"/>
      <w:r w:rsidRPr="002A1D62">
        <w:t xml:space="preserve"> H disease, causes </w:t>
      </w:r>
      <w:proofErr w:type="spellStart"/>
      <w:r w:rsidRPr="002A1D62">
        <w:t>h</w:t>
      </w:r>
      <w:r>
        <w:t>a</w:t>
      </w:r>
      <w:r w:rsidRPr="002A1D62">
        <w:t>emolytic</w:t>
      </w:r>
      <w:proofErr w:type="spellEnd"/>
      <w:r w:rsidRPr="002A1D62">
        <w:t xml:space="preserve"> </w:t>
      </w:r>
      <w:proofErr w:type="spellStart"/>
      <w:r w:rsidRPr="002A1D62">
        <w:t>an</w:t>
      </w:r>
      <w:r>
        <w:t>a</w:t>
      </w:r>
      <w:r w:rsidRPr="002A1D62">
        <w:t>emia</w:t>
      </w:r>
      <w:proofErr w:type="spellEnd"/>
      <w:r w:rsidRPr="002A1D62">
        <w:t xml:space="preserve">. </w:t>
      </w:r>
      <w:r>
        <w:t xml:space="preserve">Severe reduction in alpha-globin production results in Hb Barts hydrops, which is usually fatal at birth and can be associated with significant maternal morbidity. It is also possible to be a genetic carrier </w:t>
      </w:r>
      <w:r w:rsidRPr="00FA627C">
        <w:t xml:space="preserve">for beta </w:t>
      </w:r>
      <w:proofErr w:type="spellStart"/>
      <w:r w:rsidRPr="00FA627C">
        <w:t>thalassaemia</w:t>
      </w:r>
      <w:proofErr w:type="spellEnd"/>
      <w:r w:rsidRPr="00FA627C">
        <w:t xml:space="preserve">, known as beta </w:t>
      </w:r>
      <w:proofErr w:type="spellStart"/>
      <w:r w:rsidRPr="00FA627C">
        <w:t>thalassaemia</w:t>
      </w:r>
      <w:proofErr w:type="spellEnd"/>
      <w:r w:rsidRPr="00FA627C">
        <w:t xml:space="preserve"> trait or beta </w:t>
      </w:r>
      <w:proofErr w:type="spellStart"/>
      <w:r w:rsidRPr="00FA627C">
        <w:t>thalassaemia</w:t>
      </w:r>
      <w:proofErr w:type="spellEnd"/>
      <w:r w:rsidRPr="00FA627C">
        <w:t xml:space="preserve"> minor.</w:t>
      </w:r>
    </w:p>
    <w:p w14:paraId="3EC30579" w14:textId="77777777" w:rsidR="00C8347F" w:rsidRPr="00007A48" w:rsidRDefault="00C8347F" w:rsidP="00C8347F">
      <w:pPr>
        <w:pStyle w:val="01squarebullet"/>
        <w:rPr>
          <w:lang w:val="en-AU"/>
        </w:rPr>
      </w:pPr>
      <w:r>
        <w:t>A genetic test</w:t>
      </w:r>
      <w:r w:rsidRPr="00014E85">
        <w:t xml:space="preserve"> </w:t>
      </w:r>
      <w:r>
        <w:t xml:space="preserve">for alpha </w:t>
      </w:r>
      <w:proofErr w:type="spellStart"/>
      <w:r>
        <w:t>thalassaemia</w:t>
      </w:r>
      <w:proofErr w:type="spellEnd"/>
      <w:r>
        <w:t xml:space="preserve"> is available but patients must pay privately. Some states do fund testing for target </w:t>
      </w:r>
      <w:proofErr w:type="gramStart"/>
      <w:r>
        <w:t>populations</w:t>
      </w:r>
      <w:proofErr w:type="gramEnd"/>
      <w:r>
        <w:t xml:space="preserve"> but this is variable and inconsistent. The concern is that if patients are required to pay for the test </w:t>
      </w:r>
      <w:r w:rsidRPr="00CF28A2">
        <w:t xml:space="preserve">(currently estimated to be $250 </w:t>
      </w:r>
      <w:r>
        <w:t>privately</w:t>
      </w:r>
      <w:r w:rsidRPr="00CF28A2">
        <w:t xml:space="preserve">), </w:t>
      </w:r>
      <w:r>
        <w:t xml:space="preserve">it may deter them from having it. The Committee strongly agreed that a new genetic item is required in the MBS schedule. </w:t>
      </w:r>
      <w:r>
        <w:rPr>
          <w:lang w:val="en-AU"/>
        </w:rPr>
        <w:t>There is a c</w:t>
      </w:r>
      <w:r w:rsidRPr="00007A48">
        <w:rPr>
          <w:lang w:val="en-AU"/>
        </w:rPr>
        <w:t xml:space="preserve">learly defined </w:t>
      </w:r>
      <w:r>
        <w:rPr>
          <w:lang w:val="en-AU"/>
        </w:rPr>
        <w:t>population requiring this test</w:t>
      </w:r>
      <w:r w:rsidR="004012C7">
        <w:rPr>
          <w:lang w:val="en-AU"/>
        </w:rPr>
        <w:t>,</w:t>
      </w:r>
      <w:r>
        <w:rPr>
          <w:lang w:val="en-AU"/>
        </w:rPr>
        <w:t xml:space="preserve"> which would be a one-</w:t>
      </w:r>
      <w:r w:rsidRPr="00007A48">
        <w:rPr>
          <w:lang w:val="en-AU"/>
        </w:rPr>
        <w:t>off testing per partnership as a fol</w:t>
      </w:r>
      <w:r>
        <w:rPr>
          <w:lang w:val="en-AU"/>
        </w:rPr>
        <w:t>low-</w:t>
      </w:r>
      <w:r w:rsidRPr="00007A48">
        <w:rPr>
          <w:lang w:val="en-AU"/>
        </w:rPr>
        <w:t>on test from Item 65078.</w:t>
      </w:r>
      <w:r w:rsidRPr="00007A48">
        <w:rPr>
          <w:i/>
          <w:lang w:val="en-AU"/>
        </w:rPr>
        <w:t xml:space="preserve"> </w:t>
      </w:r>
    </w:p>
    <w:p w14:paraId="5AB5BCD6" w14:textId="77777777" w:rsidR="00C8347F" w:rsidRPr="00007A48" w:rsidRDefault="00C8347F" w:rsidP="00C8347F">
      <w:pPr>
        <w:pStyle w:val="01squarebullet"/>
        <w:rPr>
          <w:lang w:val="en-AU"/>
        </w:rPr>
      </w:pPr>
      <w:r>
        <w:rPr>
          <w:lang w:val="en-AU"/>
        </w:rPr>
        <w:t>The Committee agreed that c</w:t>
      </w:r>
      <w:r w:rsidRPr="00007A48">
        <w:rPr>
          <w:lang w:val="en-AU"/>
        </w:rPr>
        <w:t xml:space="preserve">urrent testing for </w:t>
      </w:r>
      <w:r>
        <w:rPr>
          <w:lang w:val="en-AU"/>
        </w:rPr>
        <w:t>thalassaemia</w:t>
      </w:r>
      <w:r w:rsidRPr="00007A48">
        <w:rPr>
          <w:lang w:val="en-AU"/>
        </w:rPr>
        <w:t xml:space="preserve"> is underutilised </w:t>
      </w:r>
      <w:r>
        <w:rPr>
          <w:lang w:val="en-AU"/>
        </w:rPr>
        <w:t xml:space="preserve">in many areas </w:t>
      </w:r>
      <w:r w:rsidRPr="00007A48">
        <w:rPr>
          <w:lang w:val="en-AU"/>
        </w:rPr>
        <w:t>and growth i</w:t>
      </w:r>
      <w:r>
        <w:rPr>
          <w:lang w:val="en-AU"/>
        </w:rPr>
        <w:t>n item 65078 is to be expected. They supported the promotion of guidelines and education for requesters and consumers, particularly with the growing migrant population in Australia.</w:t>
      </w:r>
    </w:p>
    <w:p w14:paraId="091A3B55" w14:textId="77777777" w:rsidR="00C8347F" w:rsidRPr="00007A48" w:rsidRDefault="00C8347F" w:rsidP="00C8347F">
      <w:pPr>
        <w:pStyle w:val="01squarebullet"/>
      </w:pPr>
      <w:r>
        <w:t xml:space="preserve">Developing this recommendation further is beyond the scope of the MBS review, but the Committee strongly recommend that this should be considered via an expedited MSAC application at the earliest opportunity. The Committee noted </w:t>
      </w:r>
      <w:r w:rsidRPr="001D7203">
        <w:t xml:space="preserve">there are very few guidelines </w:t>
      </w:r>
      <w:r>
        <w:t xml:space="preserve">describing testing for alpha </w:t>
      </w:r>
      <w:proofErr w:type="spellStart"/>
      <w:r>
        <w:t>thalassaemia</w:t>
      </w:r>
      <w:proofErr w:type="spellEnd"/>
      <w:r>
        <w:t xml:space="preserve"> and those that are available are vague and not directive</w:t>
      </w:r>
      <w:r w:rsidRPr="001D7203">
        <w:t>.</w:t>
      </w:r>
      <w:r>
        <w:t xml:space="preserve"> There is a need for national guidelines to be developed to ensure best practice can be provided to the relevant populations.</w:t>
      </w:r>
    </w:p>
    <w:p w14:paraId="4E62DA55" w14:textId="77777777" w:rsidR="00C8347F" w:rsidRPr="002760A9" w:rsidRDefault="00C8347F" w:rsidP="00C8347F">
      <w:pPr>
        <w:pStyle w:val="01squarebullet"/>
      </w:pPr>
      <w:r>
        <w:t xml:space="preserve">The Committee discussed the relevant population who could be eligible for this test and agreed that the following criteria could be used to define the population for testing: </w:t>
      </w:r>
    </w:p>
    <w:p w14:paraId="415EE065" w14:textId="77777777" w:rsidR="00C8347F" w:rsidRPr="00741047" w:rsidRDefault="00C8347F" w:rsidP="00C8347F">
      <w:pPr>
        <w:pStyle w:val="02dash"/>
      </w:pPr>
      <w:r>
        <w:lastRenderedPageBreak/>
        <w:t>Women</w:t>
      </w:r>
      <w:r w:rsidRPr="00741047">
        <w:t xml:space="preserve"> of childbearing potential and appropriately abnormal red cell indices (</w:t>
      </w:r>
      <w:r w:rsidR="004012C7">
        <w:t>m</w:t>
      </w:r>
      <w:r>
        <w:t>ean corpuscular volume (</w:t>
      </w:r>
      <w:r w:rsidRPr="00741047">
        <w:t>MCV</w:t>
      </w:r>
      <w:r>
        <w:t>)</w:t>
      </w:r>
      <w:r w:rsidR="00282D5E">
        <w:t xml:space="preserve"> </w:t>
      </w:r>
      <w:r w:rsidRPr="00741047">
        <w:t>&lt;</w:t>
      </w:r>
      <w:r w:rsidR="00FA627C">
        <w:t xml:space="preserve"> </w:t>
      </w:r>
      <w:r w:rsidRPr="00741047">
        <w:t>80</w:t>
      </w:r>
      <w:r>
        <w:t>fL</w:t>
      </w:r>
      <w:r w:rsidRPr="00741047">
        <w:t xml:space="preserve"> and/or MC</w:t>
      </w:r>
      <w:r w:rsidR="00FA627C">
        <w:t xml:space="preserve">V </w:t>
      </w:r>
      <w:r w:rsidRPr="00741047">
        <w:t>&lt;</w:t>
      </w:r>
      <w:r w:rsidR="00FA627C">
        <w:t xml:space="preserve"> </w:t>
      </w:r>
      <w:r w:rsidRPr="00741047">
        <w:t>28</w:t>
      </w:r>
      <w:r>
        <w:t>fL</w:t>
      </w:r>
      <w:r w:rsidRPr="00741047">
        <w:t>):</w:t>
      </w:r>
    </w:p>
    <w:p w14:paraId="6FD363A5" w14:textId="77777777" w:rsidR="00C8347F" w:rsidRPr="00B20230" w:rsidRDefault="00C8347F" w:rsidP="00C8347F">
      <w:pPr>
        <w:pStyle w:val="Bullet3"/>
        <w:numPr>
          <w:ilvl w:val="2"/>
          <w:numId w:val="16"/>
        </w:numPr>
      </w:pPr>
      <w:r w:rsidRPr="00B20230">
        <w:t>without concurrent iron deficiency</w:t>
      </w:r>
    </w:p>
    <w:p w14:paraId="1BA2B2CB" w14:textId="77777777" w:rsidR="00C8347F" w:rsidRPr="00B20230" w:rsidRDefault="00C8347F" w:rsidP="00C8347F">
      <w:pPr>
        <w:pStyle w:val="Bullet3"/>
        <w:numPr>
          <w:ilvl w:val="2"/>
          <w:numId w:val="16"/>
        </w:numPr>
      </w:pPr>
      <w:r w:rsidRPr="00B20230">
        <w:t>with iron deficiency if pregnant and no historic</w:t>
      </w:r>
      <w:r>
        <w:t>al</w:t>
      </w:r>
      <w:r w:rsidRPr="00B20230">
        <w:t xml:space="preserve"> normal red cell indices</w:t>
      </w:r>
    </w:p>
    <w:p w14:paraId="4BB1E758" w14:textId="77777777" w:rsidR="00C8347F" w:rsidRPr="00B20230" w:rsidRDefault="00C8347F" w:rsidP="00C8347F">
      <w:pPr>
        <w:pStyle w:val="Bullet3"/>
        <w:numPr>
          <w:ilvl w:val="2"/>
          <w:numId w:val="16"/>
        </w:numPr>
      </w:pPr>
      <w:r w:rsidRPr="00B20230">
        <w:t>with concurrent beta</w:t>
      </w:r>
      <w:r>
        <w:t>-</w:t>
      </w:r>
      <w:r w:rsidRPr="00B20230">
        <w:t>globin gene abnormalities that are microcytic</w:t>
      </w:r>
      <w:r>
        <w:t>,</w:t>
      </w:r>
      <w:r w:rsidRPr="00B20230">
        <w:t xml:space="preserve"> e.g. beta </w:t>
      </w:r>
      <w:proofErr w:type="spellStart"/>
      <w:r>
        <w:t>thalassaemia</w:t>
      </w:r>
      <w:proofErr w:type="spellEnd"/>
      <w:r w:rsidRPr="00B20230">
        <w:t xml:space="preserve"> (10</w:t>
      </w:r>
      <w:r>
        <w:t xml:space="preserve"> per cent </w:t>
      </w:r>
      <w:r w:rsidRPr="00B20230">
        <w:t xml:space="preserve">also carry concurrent alpha </w:t>
      </w:r>
      <w:proofErr w:type="spellStart"/>
      <w:r>
        <w:t>thalassaemia</w:t>
      </w:r>
      <w:proofErr w:type="spellEnd"/>
      <w:r w:rsidRPr="00B20230">
        <w:t xml:space="preserve">, commonly co-inherited with </w:t>
      </w:r>
      <w:proofErr w:type="spellStart"/>
      <w:r w:rsidRPr="00B20230">
        <w:t>HbE</w:t>
      </w:r>
      <w:proofErr w:type="spellEnd"/>
      <w:r w:rsidRPr="00B20230">
        <w:t>).</w:t>
      </w:r>
    </w:p>
    <w:p w14:paraId="0304ED65" w14:textId="77777777" w:rsidR="00A93998" w:rsidRPr="006D3B55" w:rsidRDefault="00C8347F" w:rsidP="00802112">
      <w:pPr>
        <w:pStyle w:val="02dash"/>
      </w:pPr>
      <w:r w:rsidRPr="00741047">
        <w:t xml:space="preserve">Partners of women of childbearing potential with proven alpha </w:t>
      </w:r>
      <w:proofErr w:type="spellStart"/>
      <w:r>
        <w:t>thalassaemia</w:t>
      </w:r>
      <w:proofErr w:type="spellEnd"/>
      <w:r w:rsidRPr="00741047">
        <w:t xml:space="preserve"> (reasonable to refer but not necessarily test males when the partner is under investigation and alpha </w:t>
      </w:r>
      <w:proofErr w:type="spellStart"/>
      <w:r>
        <w:t>thalassaemia</w:t>
      </w:r>
      <w:proofErr w:type="spellEnd"/>
      <w:r w:rsidRPr="00741047">
        <w:t xml:space="preserve"> status </w:t>
      </w:r>
      <w:r>
        <w:t xml:space="preserve">is </w:t>
      </w:r>
      <w:r w:rsidRPr="00741047">
        <w:t>yet to be defined).</w:t>
      </w:r>
    </w:p>
    <w:p w14:paraId="6F13E7AC" w14:textId="77777777" w:rsidR="006D3B55" w:rsidRPr="006D3B55" w:rsidRDefault="006D3B55" w:rsidP="00796820">
      <w:pPr>
        <w:pStyle w:val="Heading3"/>
      </w:pPr>
      <w:bookmarkStart w:id="141" w:name="_Toc495403425"/>
      <w:r w:rsidRPr="006D3B55">
        <w:t>Warfarin care programs (new item)</w:t>
      </w:r>
      <w:r w:rsidR="00796820">
        <w:t>—</w:t>
      </w:r>
      <w:r w:rsidRPr="006D3B55">
        <w:t>Recommendation</w:t>
      </w:r>
      <w:r w:rsidR="00213B3F">
        <w:t xml:space="preserve"> 12</w:t>
      </w:r>
      <w:bookmarkEnd w:id="141"/>
    </w:p>
    <w:p w14:paraId="69ABA33A" w14:textId="77777777" w:rsidR="006D3B55" w:rsidRPr="006D3B55" w:rsidRDefault="006D3B55" w:rsidP="006D3B55">
      <w:pPr>
        <w:pStyle w:val="01squarebullet"/>
      </w:pPr>
      <w:r w:rsidRPr="006D3B55">
        <w:t>R</w:t>
      </w:r>
      <w:r w:rsidR="001A6C4B">
        <w:t xml:space="preserve">efer to MSAC, </w:t>
      </w:r>
      <w:r w:rsidRPr="006D3B55">
        <w:t xml:space="preserve">the </w:t>
      </w:r>
      <w:r w:rsidRPr="006D3B55">
        <w:rPr>
          <w:i/>
        </w:rPr>
        <w:t>Sansom Review of Anticoagulation Therapies in Atrial Fibrillation</w:t>
      </w:r>
      <w:r w:rsidR="001A6C4B">
        <w:rPr>
          <w:i/>
        </w:rPr>
        <w:t xml:space="preserve"> 2012</w:t>
      </w:r>
      <w:r w:rsidRPr="006D3B55">
        <w:t xml:space="preserve"> </w:t>
      </w:r>
      <w:r w:rsidR="00362A82">
        <w:fldChar w:fldCharType="begin"/>
      </w:r>
      <w:r w:rsidR="00362A82">
        <w:instrText xml:space="preserve"> REF _Ref488758927 \r \h </w:instrText>
      </w:r>
      <w:r w:rsidR="00362A82">
        <w:fldChar w:fldCharType="separate"/>
      </w:r>
      <w:r w:rsidR="005C3364">
        <w:t>[14]</w:t>
      </w:r>
      <w:r w:rsidR="00362A82">
        <w:fldChar w:fldCharType="end"/>
      </w:r>
      <w:r w:rsidRPr="006D3B55">
        <w:t xml:space="preserve"> </w:t>
      </w:r>
      <w:r w:rsidRPr="00F12657">
        <w:rPr>
          <w:i/>
        </w:rPr>
        <w:t>Recommendation 12</w:t>
      </w:r>
      <w:r w:rsidRPr="006D3B55">
        <w:t xml:space="preserve">— </w:t>
      </w:r>
      <w:r w:rsidR="001A6C4B">
        <w:t>which recommended that MSAC</w:t>
      </w:r>
      <w:r w:rsidRPr="006D3B55">
        <w:t xml:space="preserve"> consider pathology laboratory warfarin programs.</w:t>
      </w:r>
    </w:p>
    <w:p w14:paraId="78A1CEA5" w14:textId="77777777" w:rsidR="006D3B55" w:rsidRPr="006D3B55" w:rsidRDefault="006D3B55" w:rsidP="006D3B55">
      <w:pPr>
        <w:keepNext/>
        <w:spacing w:after="20"/>
        <w:rPr>
          <w:rFonts w:eastAsiaTheme="minorHAnsi" w:cs="Arial"/>
          <w:b/>
          <w:sz w:val="18"/>
          <w:szCs w:val="22"/>
          <w:lang w:eastAsia="en-US"/>
        </w:rPr>
      </w:pPr>
      <w:r w:rsidRPr="00E45A83">
        <w:rPr>
          <w:rFonts w:eastAsiaTheme="minorHAnsi" w:cs="Arial"/>
          <w:b/>
          <w:i/>
          <w:sz w:val="18"/>
          <w:szCs w:val="22"/>
          <w:lang w:eastAsia="en-US"/>
        </w:rPr>
        <w:t xml:space="preserve">Recommendation </w:t>
      </w:r>
      <w:r w:rsidR="00E45A83" w:rsidRPr="00E45A83">
        <w:rPr>
          <w:rFonts w:eastAsiaTheme="minorHAnsi" w:cs="Arial"/>
          <w:b/>
          <w:i/>
          <w:sz w:val="18"/>
          <w:szCs w:val="22"/>
          <w:lang w:eastAsia="en-US"/>
        </w:rPr>
        <w:t>12</w:t>
      </w:r>
      <w:r w:rsidR="00E45A83">
        <w:rPr>
          <w:rFonts w:eastAsiaTheme="minorHAnsi" w:cs="Arial"/>
          <w:b/>
          <w:sz w:val="18"/>
          <w:szCs w:val="22"/>
          <w:lang w:eastAsia="en-US"/>
        </w:rPr>
        <w:t xml:space="preserve"> </w:t>
      </w:r>
      <w:r w:rsidR="00E45A83" w:rsidRPr="006D3B55">
        <w:rPr>
          <w:rFonts w:eastAsiaTheme="minorHAnsi" w:cs="Arial"/>
          <w:b/>
          <w:sz w:val="18"/>
          <w:szCs w:val="22"/>
          <w:lang w:eastAsia="en-US"/>
        </w:rPr>
        <w:t>from the Sansom Review (2012)</w:t>
      </w:r>
      <w:r w:rsidR="00E45A83">
        <w:rPr>
          <w:rFonts w:eastAsiaTheme="minorHAnsi" w:cs="Arial"/>
          <w:b/>
          <w:sz w:val="18"/>
          <w:szCs w:val="22"/>
          <w:lang w:eastAsia="en-US"/>
        </w:rPr>
        <w:t xml:space="preserve"> </w:t>
      </w:r>
      <w:r w:rsidRPr="006D3B55">
        <w:rPr>
          <w:rFonts w:eastAsiaTheme="minorHAnsi" w:cs="Arial"/>
          <w:b/>
          <w:sz w:val="18"/>
          <w:szCs w:val="22"/>
          <w:lang w:eastAsia="en-US"/>
        </w:rPr>
        <w:t xml:space="preserve">for pathology laboratory warfarin programs </w:t>
      </w:r>
    </w:p>
    <w:p w14:paraId="72818354" w14:textId="77777777" w:rsidR="006D3B55" w:rsidRPr="006D3B55" w:rsidRDefault="00E45A83" w:rsidP="006D3B55">
      <w:pPr>
        <w:pBdr>
          <w:top w:val="single" w:sz="4" w:space="1" w:color="auto"/>
          <w:left w:val="single" w:sz="4" w:space="4" w:color="auto"/>
          <w:bottom w:val="single" w:sz="4" w:space="13" w:color="auto"/>
          <w:right w:val="single" w:sz="4" w:space="4" w:color="auto"/>
        </w:pBdr>
        <w:spacing w:before="120"/>
        <w:ind w:right="142"/>
        <w:rPr>
          <w:b/>
          <w:szCs w:val="20"/>
          <w:lang w:val="en-US" w:eastAsia="en-US"/>
        </w:rPr>
      </w:pPr>
      <w:r w:rsidRPr="00E45A83">
        <w:rPr>
          <w:b/>
          <w:szCs w:val="20"/>
          <w:lang w:val="en-US" w:eastAsia="en-US"/>
        </w:rPr>
        <w:t>Sansom Review</w:t>
      </w:r>
      <w:r>
        <w:rPr>
          <w:b/>
          <w:i/>
          <w:szCs w:val="20"/>
          <w:lang w:val="en-US" w:eastAsia="en-US"/>
        </w:rPr>
        <w:t xml:space="preserve"> </w:t>
      </w:r>
      <w:r w:rsidR="006D3B55" w:rsidRPr="00F12657">
        <w:rPr>
          <w:b/>
          <w:i/>
          <w:szCs w:val="20"/>
          <w:lang w:val="en-US" w:eastAsia="en-US"/>
        </w:rPr>
        <w:t>Recommendation 12</w:t>
      </w:r>
      <w:r w:rsidR="006D3B55" w:rsidRPr="006D3B55">
        <w:rPr>
          <w:b/>
          <w:szCs w:val="20"/>
          <w:lang w:val="en-US" w:eastAsia="en-US"/>
        </w:rPr>
        <w:t>—pathology laboratory warfarin programs</w:t>
      </w:r>
    </w:p>
    <w:p w14:paraId="6D98233A" w14:textId="77777777" w:rsidR="006D3B55" w:rsidRPr="006D3B55" w:rsidRDefault="006D3B55" w:rsidP="006D3B55">
      <w:pPr>
        <w:pBdr>
          <w:top w:val="single" w:sz="4" w:space="1" w:color="auto"/>
          <w:left w:val="single" w:sz="4" w:space="4" w:color="auto"/>
          <w:bottom w:val="single" w:sz="4" w:space="13" w:color="auto"/>
          <w:right w:val="single" w:sz="4" w:space="4" w:color="auto"/>
        </w:pBdr>
        <w:spacing w:before="120"/>
        <w:ind w:right="142"/>
        <w:rPr>
          <w:szCs w:val="20"/>
          <w:lang w:val="en-US" w:eastAsia="en-US"/>
        </w:rPr>
      </w:pPr>
      <w:r w:rsidRPr="006D3B55">
        <w:rPr>
          <w:szCs w:val="20"/>
          <w:lang w:val="en-US" w:eastAsia="en-US"/>
        </w:rPr>
        <w:t xml:space="preserve">Consideration should be given to the development of a </w:t>
      </w:r>
      <w:proofErr w:type="spellStart"/>
      <w:r w:rsidRPr="006D3B55">
        <w:rPr>
          <w:szCs w:val="20"/>
          <w:lang w:val="en-US" w:eastAsia="en-US"/>
        </w:rPr>
        <w:t>formalised</w:t>
      </w:r>
      <w:proofErr w:type="spellEnd"/>
      <w:r w:rsidRPr="006D3B55">
        <w:rPr>
          <w:szCs w:val="20"/>
          <w:lang w:val="en-US" w:eastAsia="en-US"/>
        </w:rPr>
        <w:t xml:space="preserve"> structure of anticoagulation programs offered by pathology laboratories throughout Australia and to the funding of such a structure.</w:t>
      </w:r>
    </w:p>
    <w:p w14:paraId="008C4FB3" w14:textId="77777777" w:rsidR="006D3B55" w:rsidRPr="006D3B55" w:rsidRDefault="006D3B55" w:rsidP="006D3B55">
      <w:pPr>
        <w:pBdr>
          <w:top w:val="single" w:sz="4" w:space="1" w:color="auto"/>
          <w:left w:val="single" w:sz="4" w:space="4" w:color="auto"/>
          <w:bottom w:val="single" w:sz="4" w:space="13" w:color="auto"/>
          <w:right w:val="single" w:sz="4" w:space="4" w:color="auto"/>
        </w:pBdr>
        <w:spacing w:before="120"/>
        <w:ind w:right="142"/>
        <w:rPr>
          <w:szCs w:val="20"/>
          <w:lang w:val="en-US" w:eastAsia="en-US"/>
        </w:rPr>
      </w:pPr>
      <w:r w:rsidRPr="006D3B55">
        <w:rPr>
          <w:szCs w:val="20"/>
          <w:lang w:val="en-US" w:eastAsia="en-US"/>
        </w:rPr>
        <w:t xml:space="preserve">This would need to involve accreditation of such programs as part of a model of shared responsibility, and the development and endorsement of standard operating procedures (including validation of decision algorithms, patient-management protocols and a quality assurance framework). </w:t>
      </w:r>
    </w:p>
    <w:p w14:paraId="21DA4199" w14:textId="77777777" w:rsidR="006D3B55" w:rsidRPr="006D3B55" w:rsidRDefault="006D3B55" w:rsidP="006D3B55">
      <w:pPr>
        <w:pBdr>
          <w:top w:val="single" w:sz="4" w:space="1" w:color="auto"/>
          <w:left w:val="single" w:sz="4" w:space="4" w:color="auto"/>
          <w:bottom w:val="single" w:sz="4" w:space="13" w:color="auto"/>
          <w:right w:val="single" w:sz="4" w:space="4" w:color="auto"/>
        </w:pBdr>
        <w:spacing w:before="120"/>
        <w:ind w:right="142"/>
        <w:rPr>
          <w:szCs w:val="20"/>
          <w:lang w:val="en-US" w:eastAsia="en-US"/>
        </w:rPr>
      </w:pPr>
      <w:r w:rsidRPr="006D3B55">
        <w:rPr>
          <w:szCs w:val="20"/>
          <w:lang w:val="en-US" w:eastAsia="en-US"/>
        </w:rPr>
        <w:t>The Medical Services Advisory Committee should be asked to consider this matter. Introduction of a ‘patient warfarin-management fee’, or an incentive payment linked to the proportion of patients within a certain INR range, rather than an additional Medicare Benefits Schedule fee per INR test, would address concerns regarding potential over-servicing of INR testing.</w:t>
      </w:r>
    </w:p>
    <w:p w14:paraId="4D134D92" w14:textId="77777777" w:rsidR="006D3B55" w:rsidRPr="006D3B55" w:rsidRDefault="006D3B55" w:rsidP="00796820">
      <w:pPr>
        <w:pStyle w:val="Heading3"/>
        <w:numPr>
          <w:ilvl w:val="0"/>
          <w:numId w:val="0"/>
        </w:numPr>
        <w:ind w:left="720" w:hanging="720"/>
      </w:pPr>
      <w:bookmarkStart w:id="142" w:name="_Toc495403426"/>
      <w:r w:rsidRPr="006D3B55">
        <w:t>Rationale</w:t>
      </w:r>
      <w:r w:rsidR="00796820">
        <w:t xml:space="preserve"> 12</w:t>
      </w:r>
      <w:bookmarkEnd w:id="142"/>
    </w:p>
    <w:p w14:paraId="7893A7D9" w14:textId="77777777" w:rsidR="006D3B55" w:rsidRPr="006D3B55" w:rsidRDefault="006D3B55" w:rsidP="006D3B55">
      <w:pPr>
        <w:pStyle w:val="01squarebullet"/>
      </w:pPr>
      <w:r w:rsidRPr="006D3B55">
        <w:t>Warfarin is a high-risk medication associated with significant health implications if not managed appropriately. Under-dosing, overdosing and non-compliance can result in significant implications for patients and the healthcare system, and models of care with evidence to support better management have been well documented. The MBS schedule provides an opportunity for pathology laboratories to actively engage in providing such programs.</w:t>
      </w:r>
    </w:p>
    <w:p w14:paraId="539B3534" w14:textId="77777777" w:rsidR="006D3B55" w:rsidRPr="006D3B55" w:rsidRDefault="006D3B55" w:rsidP="006D3B55">
      <w:pPr>
        <w:pStyle w:val="01squarebullet"/>
      </w:pPr>
      <w:r w:rsidRPr="006D3B55">
        <w:t>The Sansom Review acknowledged a range of models and strategies to improve warfarin management, including point of care testing (</w:t>
      </w:r>
      <w:proofErr w:type="spellStart"/>
      <w:r w:rsidRPr="006D3B55">
        <w:t>PoCT</w:t>
      </w:r>
      <w:proofErr w:type="spellEnd"/>
      <w:r w:rsidRPr="006D3B55">
        <w:t xml:space="preserve">) in GP clinics, anticoagulation clinics, pathology laboratory services and pharmacy-led anticoagulation services. It made several specific recommendations related to warfarin management, including </w:t>
      </w:r>
      <w:r w:rsidRPr="006D3B55">
        <w:rPr>
          <w:i/>
        </w:rPr>
        <w:t>Recommendation 12,</w:t>
      </w:r>
      <w:r w:rsidRPr="006D3B55">
        <w:t xml:space="preserve"> recommending MSAC consider the development of formal anticoagulation programs through pathology laboratories. The Report noted that this model is currently provided through some pathology laboratories in Victoria and Queensland.</w:t>
      </w:r>
    </w:p>
    <w:p w14:paraId="0454F206" w14:textId="77777777" w:rsidR="006D3B55" w:rsidRPr="006D3B55" w:rsidRDefault="006D3B55" w:rsidP="006D3B55">
      <w:pPr>
        <w:pStyle w:val="01squarebullet"/>
      </w:pPr>
      <w:r w:rsidRPr="006D3B55">
        <w:t xml:space="preserve">Other recommendations in the Review </w:t>
      </w:r>
      <w:r w:rsidR="00C376AC">
        <w:t>(</w:t>
      </w:r>
      <w:r w:rsidR="00C376AC" w:rsidRPr="00F12657">
        <w:rPr>
          <w:i/>
        </w:rPr>
        <w:t>Recommendations 10 and 11</w:t>
      </w:r>
      <w:r w:rsidR="00C376AC">
        <w:t xml:space="preserve">) </w:t>
      </w:r>
      <w:r w:rsidRPr="006D3B55">
        <w:t xml:space="preserve">related to warfarin management included government consideration of </w:t>
      </w:r>
      <w:proofErr w:type="spellStart"/>
      <w:r w:rsidRPr="006D3B55">
        <w:t>PoCT</w:t>
      </w:r>
      <w:proofErr w:type="spellEnd"/>
      <w:r w:rsidRPr="006D3B55">
        <w:t xml:space="preserve"> models and shared-care models.</w:t>
      </w:r>
    </w:p>
    <w:p w14:paraId="49D57365" w14:textId="77777777" w:rsidR="006D3B55" w:rsidRPr="006D3B55" w:rsidRDefault="00F12657" w:rsidP="006D3B55">
      <w:pPr>
        <w:keepNext/>
        <w:spacing w:after="20"/>
        <w:rPr>
          <w:rFonts w:eastAsiaTheme="minorHAnsi" w:cs="Arial"/>
          <w:b/>
          <w:sz w:val="18"/>
          <w:szCs w:val="22"/>
          <w:lang w:eastAsia="en-US"/>
        </w:rPr>
      </w:pPr>
      <w:r>
        <w:rPr>
          <w:rFonts w:eastAsiaTheme="minorHAnsi" w:cs="Arial"/>
          <w:b/>
          <w:sz w:val="18"/>
          <w:szCs w:val="22"/>
          <w:lang w:eastAsia="en-US"/>
        </w:rPr>
        <w:lastRenderedPageBreak/>
        <w:t xml:space="preserve">Sansom Review </w:t>
      </w:r>
      <w:r w:rsidR="006D3B55" w:rsidRPr="00E45A83">
        <w:rPr>
          <w:rFonts w:eastAsiaTheme="minorHAnsi" w:cs="Arial"/>
          <w:b/>
          <w:i/>
          <w:sz w:val="18"/>
          <w:szCs w:val="22"/>
          <w:lang w:eastAsia="en-US"/>
        </w:rPr>
        <w:t>Recommendations</w:t>
      </w:r>
      <w:r w:rsidR="00E45A83" w:rsidRPr="00E45A83">
        <w:rPr>
          <w:rFonts w:eastAsiaTheme="minorHAnsi" w:cs="Arial"/>
          <w:b/>
          <w:i/>
          <w:sz w:val="18"/>
          <w:szCs w:val="22"/>
          <w:lang w:eastAsia="en-US"/>
        </w:rPr>
        <w:t xml:space="preserve"> 10 and 12</w:t>
      </w:r>
      <w:r>
        <w:rPr>
          <w:rFonts w:eastAsiaTheme="minorHAnsi" w:cs="Arial"/>
          <w:b/>
          <w:sz w:val="18"/>
          <w:szCs w:val="22"/>
          <w:lang w:eastAsia="en-US"/>
        </w:rPr>
        <w:t xml:space="preserve"> (2012)</w:t>
      </w:r>
      <w:r w:rsidR="006D3B55" w:rsidRPr="006D3B55">
        <w:rPr>
          <w:rFonts w:eastAsiaTheme="minorHAnsi" w:cs="Arial"/>
          <w:b/>
          <w:sz w:val="18"/>
          <w:szCs w:val="22"/>
          <w:lang w:eastAsia="en-US"/>
        </w:rPr>
        <w:t xml:space="preserve"> for government consideration to improve warfarin management</w:t>
      </w:r>
      <w:r>
        <w:rPr>
          <w:rFonts w:eastAsiaTheme="minorHAnsi" w:cs="Arial"/>
          <w:b/>
          <w:sz w:val="18"/>
          <w:szCs w:val="22"/>
          <w:lang w:eastAsia="en-US"/>
        </w:rPr>
        <w:t>.</w:t>
      </w:r>
    </w:p>
    <w:p w14:paraId="1CB8D1C5" w14:textId="77777777" w:rsidR="006D3B55" w:rsidRPr="006D3B55" w:rsidRDefault="00E45A83" w:rsidP="006D3B55">
      <w:pPr>
        <w:pBdr>
          <w:top w:val="single" w:sz="4" w:space="1" w:color="auto"/>
          <w:left w:val="single" w:sz="4" w:space="4" w:color="auto"/>
          <w:bottom w:val="single" w:sz="4" w:space="12" w:color="auto"/>
          <w:right w:val="single" w:sz="4" w:space="4" w:color="auto"/>
        </w:pBdr>
        <w:autoSpaceDE w:val="0"/>
        <w:autoSpaceDN w:val="0"/>
        <w:adjustRightInd w:val="0"/>
        <w:spacing w:before="0" w:after="0"/>
        <w:rPr>
          <w:rFonts w:cstheme="minorHAnsi"/>
          <w:b/>
          <w:bCs/>
          <w:szCs w:val="22"/>
          <w:lang w:val="en-AU"/>
        </w:rPr>
      </w:pPr>
      <w:r w:rsidRPr="00E45A83">
        <w:rPr>
          <w:rFonts w:cstheme="minorHAnsi"/>
          <w:b/>
          <w:bCs/>
          <w:szCs w:val="22"/>
          <w:lang w:val="en-AU"/>
        </w:rPr>
        <w:t>Sansom Review</w:t>
      </w:r>
      <w:r>
        <w:rPr>
          <w:rFonts w:cstheme="minorHAnsi"/>
          <w:b/>
          <w:bCs/>
          <w:i/>
          <w:szCs w:val="22"/>
          <w:lang w:val="en-AU"/>
        </w:rPr>
        <w:t xml:space="preserve"> </w:t>
      </w:r>
      <w:r w:rsidR="006D3B55" w:rsidRPr="00F12657">
        <w:rPr>
          <w:rFonts w:cstheme="minorHAnsi"/>
          <w:b/>
          <w:bCs/>
          <w:i/>
          <w:szCs w:val="22"/>
          <w:lang w:val="en-AU"/>
        </w:rPr>
        <w:t>Recommendation 10</w:t>
      </w:r>
      <w:r w:rsidR="006D3B55" w:rsidRPr="006D3B55">
        <w:rPr>
          <w:rFonts w:cstheme="minorHAnsi"/>
          <w:b/>
          <w:bCs/>
          <w:szCs w:val="22"/>
          <w:lang w:val="en-AU"/>
        </w:rPr>
        <w:t xml:space="preserve"> — point-of-care testing</w:t>
      </w:r>
    </w:p>
    <w:p w14:paraId="79543181" w14:textId="77777777" w:rsidR="006D3B55" w:rsidRPr="006D3B55" w:rsidRDefault="006D3B55" w:rsidP="006D3B55">
      <w:pPr>
        <w:pBdr>
          <w:top w:val="single" w:sz="4" w:space="1" w:color="auto"/>
          <w:left w:val="single" w:sz="4" w:space="4" w:color="auto"/>
          <w:bottom w:val="single" w:sz="4" w:space="12" w:color="auto"/>
          <w:right w:val="single" w:sz="4" w:space="4" w:color="auto"/>
        </w:pBdr>
        <w:autoSpaceDE w:val="0"/>
        <w:autoSpaceDN w:val="0"/>
        <w:adjustRightInd w:val="0"/>
        <w:spacing w:before="0" w:after="0"/>
        <w:rPr>
          <w:rFonts w:cstheme="minorHAnsi"/>
          <w:szCs w:val="22"/>
          <w:lang w:val="en-AU"/>
        </w:rPr>
      </w:pPr>
      <w:r w:rsidRPr="006D3B55">
        <w:rPr>
          <w:rFonts w:cstheme="minorHAnsi"/>
          <w:szCs w:val="22"/>
          <w:lang w:val="en-AU"/>
        </w:rPr>
        <w:t>The use of point-of-care testing (</w:t>
      </w:r>
      <w:proofErr w:type="spellStart"/>
      <w:r w:rsidRPr="006D3B55">
        <w:rPr>
          <w:rFonts w:cstheme="minorHAnsi"/>
          <w:szCs w:val="22"/>
          <w:lang w:val="en-AU"/>
        </w:rPr>
        <w:t>PoCT</w:t>
      </w:r>
      <w:proofErr w:type="spellEnd"/>
      <w:r w:rsidRPr="006D3B55">
        <w:rPr>
          <w:rFonts w:cstheme="minorHAnsi"/>
          <w:szCs w:val="22"/>
          <w:lang w:val="en-AU"/>
        </w:rPr>
        <w:t xml:space="preserve">) for the measurement of INR values should be considered as an option for warfarin management, particularly in the community setting. Such testing could be conducted at a medical practice or could involve a collaborative shared-care arrangement between a patient’s medical practitioner and other health professionals with whom the patient has regular and convenient contact (e.g. domiciliary and residential care qualified staff, pharmacists). </w:t>
      </w:r>
    </w:p>
    <w:p w14:paraId="2DFC11E2" w14:textId="77777777" w:rsidR="006D3B55" w:rsidRPr="006D3B55" w:rsidRDefault="006D3B55" w:rsidP="006D3B55">
      <w:pPr>
        <w:pBdr>
          <w:top w:val="single" w:sz="4" w:space="1" w:color="auto"/>
          <w:left w:val="single" w:sz="4" w:space="4" w:color="auto"/>
          <w:bottom w:val="single" w:sz="4" w:space="12" w:color="auto"/>
          <w:right w:val="single" w:sz="4" w:space="4" w:color="auto"/>
        </w:pBdr>
        <w:autoSpaceDE w:val="0"/>
        <w:autoSpaceDN w:val="0"/>
        <w:adjustRightInd w:val="0"/>
        <w:spacing w:before="0" w:after="0"/>
        <w:rPr>
          <w:rFonts w:cstheme="minorHAnsi"/>
          <w:szCs w:val="22"/>
          <w:lang w:val="en-AU"/>
        </w:rPr>
      </w:pPr>
      <w:r w:rsidRPr="006D3B55">
        <w:rPr>
          <w:rFonts w:cstheme="minorHAnsi"/>
          <w:szCs w:val="22"/>
          <w:lang w:val="en-AU"/>
        </w:rPr>
        <w:t xml:space="preserve">Uptake of </w:t>
      </w:r>
      <w:proofErr w:type="spellStart"/>
      <w:r w:rsidRPr="006D3B55">
        <w:rPr>
          <w:rFonts w:cstheme="minorHAnsi"/>
          <w:szCs w:val="22"/>
          <w:lang w:val="en-AU"/>
        </w:rPr>
        <w:t>PoCT</w:t>
      </w:r>
      <w:proofErr w:type="spellEnd"/>
      <w:r w:rsidRPr="006D3B55">
        <w:rPr>
          <w:rFonts w:cstheme="minorHAnsi"/>
          <w:szCs w:val="22"/>
          <w:lang w:val="en-AU"/>
        </w:rPr>
        <w:t xml:space="preserve"> in Australia, as a component of a warfarin management program, should be considered for government support.</w:t>
      </w:r>
    </w:p>
    <w:p w14:paraId="3A46D3DC" w14:textId="77777777" w:rsidR="006D3B55" w:rsidRPr="006D3B55" w:rsidRDefault="00E45A83" w:rsidP="006D3B55">
      <w:pPr>
        <w:pBdr>
          <w:top w:val="single" w:sz="4" w:space="1" w:color="auto"/>
          <w:left w:val="single" w:sz="4" w:space="4" w:color="auto"/>
          <w:bottom w:val="single" w:sz="4" w:space="12" w:color="auto"/>
          <w:right w:val="single" w:sz="4" w:space="4" w:color="auto"/>
        </w:pBdr>
        <w:autoSpaceDE w:val="0"/>
        <w:autoSpaceDN w:val="0"/>
        <w:adjustRightInd w:val="0"/>
        <w:spacing w:before="180" w:after="0"/>
        <w:rPr>
          <w:rFonts w:cstheme="minorHAnsi"/>
          <w:b/>
          <w:bCs/>
          <w:szCs w:val="22"/>
          <w:lang w:val="en-AU"/>
        </w:rPr>
      </w:pPr>
      <w:r w:rsidRPr="00E45A83">
        <w:rPr>
          <w:rFonts w:cstheme="minorHAnsi"/>
          <w:b/>
          <w:bCs/>
          <w:szCs w:val="22"/>
          <w:lang w:val="en-AU"/>
        </w:rPr>
        <w:t>Sansom Review</w:t>
      </w:r>
      <w:r>
        <w:rPr>
          <w:rFonts w:cstheme="minorHAnsi"/>
          <w:b/>
          <w:bCs/>
          <w:i/>
          <w:szCs w:val="22"/>
          <w:lang w:val="en-AU"/>
        </w:rPr>
        <w:t xml:space="preserve"> </w:t>
      </w:r>
      <w:r w:rsidR="006D3B55" w:rsidRPr="00F12657">
        <w:rPr>
          <w:rFonts w:cstheme="minorHAnsi"/>
          <w:b/>
          <w:bCs/>
          <w:i/>
          <w:szCs w:val="22"/>
          <w:lang w:val="en-AU"/>
        </w:rPr>
        <w:t>Recommendation 11</w:t>
      </w:r>
      <w:r w:rsidR="006D3B55" w:rsidRPr="006D3B55">
        <w:rPr>
          <w:rFonts w:cstheme="minorHAnsi"/>
          <w:b/>
          <w:bCs/>
          <w:szCs w:val="22"/>
          <w:lang w:val="en-AU"/>
        </w:rPr>
        <w:t xml:space="preserve"> — shared-care model</w:t>
      </w:r>
    </w:p>
    <w:p w14:paraId="4A3A60B5" w14:textId="77777777" w:rsidR="006D3B55" w:rsidRPr="006D3B55" w:rsidRDefault="006D3B55" w:rsidP="006D3B55">
      <w:pPr>
        <w:pBdr>
          <w:top w:val="single" w:sz="4" w:space="1" w:color="auto"/>
          <w:left w:val="single" w:sz="4" w:space="4" w:color="auto"/>
          <w:bottom w:val="single" w:sz="4" w:space="12" w:color="auto"/>
          <w:right w:val="single" w:sz="4" w:space="4" w:color="auto"/>
        </w:pBdr>
        <w:autoSpaceDE w:val="0"/>
        <w:autoSpaceDN w:val="0"/>
        <w:adjustRightInd w:val="0"/>
        <w:spacing w:before="0" w:after="0"/>
        <w:rPr>
          <w:rFonts w:cstheme="minorHAnsi"/>
          <w:szCs w:val="22"/>
          <w:lang w:val="en-AU"/>
        </w:rPr>
      </w:pPr>
      <w:r w:rsidRPr="006D3B55">
        <w:rPr>
          <w:rFonts w:cstheme="minorHAnsi"/>
          <w:szCs w:val="22"/>
          <w:lang w:val="en-AU"/>
        </w:rPr>
        <w:t>A nationally endorsed shared-care model for warfarin monitoring and management between health</w:t>
      </w:r>
    </w:p>
    <w:p w14:paraId="3C9CEC07" w14:textId="77777777" w:rsidR="006D3B55" w:rsidRPr="006D3B55" w:rsidRDefault="006D3B55" w:rsidP="006D3B55">
      <w:pPr>
        <w:pBdr>
          <w:top w:val="single" w:sz="4" w:space="1" w:color="auto"/>
          <w:left w:val="single" w:sz="4" w:space="4" w:color="auto"/>
          <w:bottom w:val="single" w:sz="4" w:space="12" w:color="auto"/>
          <w:right w:val="single" w:sz="4" w:space="4" w:color="auto"/>
        </w:pBdr>
        <w:autoSpaceDE w:val="0"/>
        <w:autoSpaceDN w:val="0"/>
        <w:adjustRightInd w:val="0"/>
        <w:spacing w:before="0" w:after="0"/>
        <w:rPr>
          <w:rFonts w:cstheme="minorHAnsi"/>
          <w:szCs w:val="22"/>
          <w:lang w:val="en-AU"/>
        </w:rPr>
      </w:pPr>
      <w:r w:rsidRPr="006D3B55">
        <w:rPr>
          <w:rFonts w:cstheme="minorHAnsi"/>
          <w:szCs w:val="22"/>
          <w:lang w:val="en-AU"/>
        </w:rPr>
        <w:t>practitioners should be developed. This will require the development of standard protocols and</w:t>
      </w:r>
    </w:p>
    <w:p w14:paraId="6B178E13" w14:textId="77777777" w:rsidR="006D3B55" w:rsidRPr="006D3B55" w:rsidRDefault="006D3B55" w:rsidP="006D3B55">
      <w:pPr>
        <w:pBdr>
          <w:top w:val="single" w:sz="4" w:space="1" w:color="auto"/>
          <w:left w:val="single" w:sz="4" w:space="4" w:color="auto"/>
          <w:bottom w:val="single" w:sz="4" w:space="12" w:color="auto"/>
          <w:right w:val="single" w:sz="4" w:space="4" w:color="auto"/>
        </w:pBdr>
        <w:autoSpaceDE w:val="0"/>
        <w:autoSpaceDN w:val="0"/>
        <w:adjustRightInd w:val="0"/>
        <w:spacing w:before="0" w:after="0"/>
        <w:rPr>
          <w:rFonts w:cstheme="minorHAnsi"/>
          <w:szCs w:val="22"/>
          <w:lang w:val="en-AU"/>
        </w:rPr>
      </w:pPr>
      <w:r w:rsidRPr="006D3B55">
        <w:rPr>
          <w:rFonts w:cstheme="minorHAnsi"/>
          <w:szCs w:val="22"/>
          <w:lang w:val="en-AU"/>
        </w:rPr>
        <w:t>quality assurance systems and consideration of relevant legislation. Such a model has the potential to significantly improve both health outcomes and patient satisfaction.</w:t>
      </w:r>
    </w:p>
    <w:p w14:paraId="01B25E53" w14:textId="77777777" w:rsidR="00807A65" w:rsidRPr="007F42CA" w:rsidRDefault="006D3B55" w:rsidP="00807A65">
      <w:pPr>
        <w:pStyle w:val="01squarebullet"/>
      </w:pPr>
      <w:r w:rsidRPr="006D3B55">
        <w:t xml:space="preserve">The Committee recommended that the Sansom Review recommendations be considered in the context of the MBS Review, and </w:t>
      </w:r>
      <w:proofErr w:type="spellStart"/>
      <w:r w:rsidRPr="006D3B55">
        <w:t>recognised</w:t>
      </w:r>
      <w:proofErr w:type="spellEnd"/>
      <w:r w:rsidRPr="006D3B55">
        <w:t xml:space="preserve"> that while a number of other models may also be considered for funding options in the future, the pathology laboratory model is a current and realistic option that could be implemented relatively easily through the MBS.</w:t>
      </w:r>
    </w:p>
    <w:p w14:paraId="32D94D87" w14:textId="77777777" w:rsidR="00807A65" w:rsidRDefault="00807A65" w:rsidP="00807A65">
      <w:pPr>
        <w:pStyle w:val="Heading2"/>
      </w:pPr>
      <w:bookmarkStart w:id="143" w:name="_Toc495403427"/>
      <w:r>
        <w:t>Recommendation</w:t>
      </w:r>
      <w:r w:rsidR="00213B3F">
        <w:t>s</w:t>
      </w:r>
      <w:r>
        <w:t xml:space="preserve"> to G</w:t>
      </w:r>
      <w:r w:rsidR="00813794">
        <w:t xml:space="preserve">eneral </w:t>
      </w:r>
      <w:r>
        <w:t>P</w:t>
      </w:r>
      <w:r w:rsidR="00813794">
        <w:t xml:space="preserve">ractice Primary </w:t>
      </w:r>
      <w:r w:rsidR="00BE1330">
        <w:t>C</w:t>
      </w:r>
      <w:r w:rsidR="00813794">
        <w:t xml:space="preserve">are </w:t>
      </w:r>
      <w:r w:rsidR="00BE1330">
        <w:t>C</w:t>
      </w:r>
      <w:r w:rsidR="00813794">
        <w:t xml:space="preserve">linical </w:t>
      </w:r>
      <w:r>
        <w:t>C</w:t>
      </w:r>
      <w:r w:rsidR="00813794">
        <w:t>ommittee (GPPCCC)</w:t>
      </w:r>
      <w:r w:rsidR="007D1989">
        <w:t xml:space="preserve"> and the Diagnostic Medicine Clinical Committee (DMCC)</w:t>
      </w:r>
      <w:bookmarkEnd w:id="143"/>
    </w:p>
    <w:p w14:paraId="557FF070" w14:textId="77777777" w:rsidR="00F967B3" w:rsidRDefault="00F84B15" w:rsidP="00807A65">
      <w:pPr>
        <w:rPr>
          <w:lang w:val="en-US" w:eastAsia="en-US"/>
        </w:rPr>
      </w:pPr>
      <w:r>
        <w:rPr>
          <w:lang w:val="en-US" w:eastAsia="en-US"/>
        </w:rPr>
        <w:t xml:space="preserve">The Committee </w:t>
      </w:r>
      <w:r w:rsidR="004A5381">
        <w:rPr>
          <w:lang w:val="en-US" w:eastAsia="en-US"/>
        </w:rPr>
        <w:t xml:space="preserve">identified many opportunities where </w:t>
      </w:r>
      <w:r w:rsidR="00F967B3">
        <w:t xml:space="preserve">practice could be improved by ensuring that guidelines are up to date, education </w:t>
      </w:r>
      <w:r w:rsidR="004E0F0B">
        <w:t xml:space="preserve">is </w:t>
      </w:r>
      <w:r w:rsidR="00F967B3">
        <w:t xml:space="preserve">provided, MBS item descriptors </w:t>
      </w:r>
      <w:r w:rsidR="004E0F0B">
        <w:t xml:space="preserve">are </w:t>
      </w:r>
      <w:r w:rsidR="00F967B3">
        <w:t>integrated into practice software and</w:t>
      </w:r>
      <w:r w:rsidR="004E0F0B">
        <w:t>,</w:t>
      </w:r>
      <w:r w:rsidR="00F967B3">
        <w:t xml:space="preserve"> for high</w:t>
      </w:r>
      <w:r w:rsidR="004E0F0B">
        <w:t>-</w:t>
      </w:r>
      <w:r w:rsidR="00F967B3">
        <w:t>priority areas</w:t>
      </w:r>
      <w:r w:rsidR="004E0F0B">
        <w:t>,</w:t>
      </w:r>
      <w:r w:rsidR="00F967B3">
        <w:t xml:space="preserve"> decision support tools </w:t>
      </w:r>
      <w:r w:rsidR="004E0F0B">
        <w:t xml:space="preserve">are </w:t>
      </w:r>
      <w:r w:rsidR="00F967B3">
        <w:t>developed</w:t>
      </w:r>
      <w:r w:rsidR="00F967B3">
        <w:rPr>
          <w:lang w:val="en-US" w:eastAsia="en-US"/>
        </w:rPr>
        <w:t xml:space="preserve">. </w:t>
      </w:r>
      <w:r w:rsidR="0004104B">
        <w:rPr>
          <w:lang w:val="en-US" w:eastAsia="en-US"/>
        </w:rPr>
        <w:t xml:space="preserve">The integration of the MBS item descriptors into practice software </w:t>
      </w:r>
      <w:r w:rsidR="007D1989">
        <w:rPr>
          <w:lang w:val="en-US" w:eastAsia="en-US"/>
        </w:rPr>
        <w:t>may provide</w:t>
      </w:r>
      <w:r w:rsidR="0004104B">
        <w:rPr>
          <w:lang w:val="en-US" w:eastAsia="en-US"/>
        </w:rPr>
        <w:t xml:space="preserve"> requesters </w:t>
      </w:r>
      <w:r w:rsidR="007D1989">
        <w:rPr>
          <w:lang w:val="en-US" w:eastAsia="en-US"/>
        </w:rPr>
        <w:t>a</w:t>
      </w:r>
      <w:r w:rsidR="0004104B">
        <w:rPr>
          <w:lang w:val="en-US" w:eastAsia="en-US"/>
        </w:rPr>
        <w:t xml:space="preserve"> </w:t>
      </w:r>
      <w:r w:rsidR="005F6A94">
        <w:rPr>
          <w:lang w:val="en-US" w:eastAsia="en-US"/>
        </w:rPr>
        <w:t xml:space="preserve">better </w:t>
      </w:r>
      <w:r w:rsidR="0004104B">
        <w:rPr>
          <w:lang w:val="en-US" w:eastAsia="en-US"/>
        </w:rPr>
        <w:t>understand</w:t>
      </w:r>
      <w:r w:rsidR="0024059F">
        <w:rPr>
          <w:lang w:val="en-US" w:eastAsia="en-US"/>
        </w:rPr>
        <w:t>ing</w:t>
      </w:r>
      <w:r w:rsidR="0004104B">
        <w:rPr>
          <w:lang w:val="en-US" w:eastAsia="en-US"/>
        </w:rPr>
        <w:t xml:space="preserve"> </w:t>
      </w:r>
      <w:r w:rsidR="007D1989">
        <w:rPr>
          <w:lang w:val="en-US" w:eastAsia="en-US"/>
        </w:rPr>
        <w:t xml:space="preserve">of </w:t>
      </w:r>
      <w:r w:rsidR="0004104B">
        <w:rPr>
          <w:lang w:val="en-US" w:eastAsia="en-US"/>
        </w:rPr>
        <w:t xml:space="preserve">the components of specific tests </w:t>
      </w:r>
      <w:r w:rsidR="00F967B3">
        <w:rPr>
          <w:lang w:val="en-US" w:eastAsia="en-US"/>
        </w:rPr>
        <w:t>to help ensure</w:t>
      </w:r>
      <w:r w:rsidR="0004104B">
        <w:rPr>
          <w:lang w:val="en-US" w:eastAsia="en-US"/>
        </w:rPr>
        <w:t xml:space="preserve"> the most appropriate tests</w:t>
      </w:r>
      <w:r w:rsidR="00CC0709">
        <w:rPr>
          <w:lang w:val="en-US" w:eastAsia="en-US"/>
        </w:rPr>
        <w:t xml:space="preserve"> are ordered</w:t>
      </w:r>
      <w:r w:rsidR="007F42CA">
        <w:rPr>
          <w:lang w:val="en-US" w:eastAsia="en-US"/>
        </w:rPr>
        <w:t xml:space="preserve"> to enhance patient care</w:t>
      </w:r>
      <w:r w:rsidR="0004104B">
        <w:rPr>
          <w:lang w:val="en-US" w:eastAsia="en-US"/>
        </w:rPr>
        <w:t>.</w:t>
      </w:r>
      <w:r w:rsidR="005F6A94">
        <w:rPr>
          <w:lang w:val="en-US" w:eastAsia="en-US"/>
        </w:rPr>
        <w:t xml:space="preserve"> </w:t>
      </w:r>
    </w:p>
    <w:p w14:paraId="2837D29A" w14:textId="77777777" w:rsidR="00F967B3" w:rsidRDefault="007F42CA" w:rsidP="00807A65">
      <w:pPr>
        <w:rPr>
          <w:lang w:val="en-US" w:eastAsia="en-US"/>
        </w:rPr>
      </w:pPr>
      <w:r>
        <w:rPr>
          <w:lang w:val="en-US" w:eastAsia="en-US"/>
        </w:rPr>
        <w:t xml:space="preserve">The following </w:t>
      </w:r>
      <w:r w:rsidR="00CC0709">
        <w:rPr>
          <w:lang w:val="en-US" w:eastAsia="en-US"/>
        </w:rPr>
        <w:t>areas were identified as</w:t>
      </w:r>
      <w:r w:rsidR="0004104B">
        <w:rPr>
          <w:lang w:val="en-US" w:eastAsia="en-US"/>
        </w:rPr>
        <w:t xml:space="preserve"> </w:t>
      </w:r>
      <w:r>
        <w:rPr>
          <w:lang w:val="en-US" w:eastAsia="en-US"/>
        </w:rPr>
        <w:t xml:space="preserve">high </w:t>
      </w:r>
      <w:r w:rsidR="0004104B">
        <w:rPr>
          <w:lang w:val="en-US" w:eastAsia="en-US"/>
        </w:rPr>
        <w:t>priority</w:t>
      </w:r>
      <w:r w:rsidR="00CC0709">
        <w:rPr>
          <w:lang w:val="en-US" w:eastAsia="en-US"/>
        </w:rPr>
        <w:t xml:space="preserve"> for intervention</w:t>
      </w:r>
      <w:r w:rsidR="007D1989">
        <w:rPr>
          <w:lang w:val="en-US" w:eastAsia="en-US"/>
        </w:rPr>
        <w:t>:</w:t>
      </w:r>
    </w:p>
    <w:p w14:paraId="00973697" w14:textId="77777777" w:rsidR="0004104B" w:rsidRDefault="0004104B" w:rsidP="0004104B">
      <w:pPr>
        <w:pStyle w:val="01squarebullet"/>
      </w:pPr>
      <w:r>
        <w:t>Coagulation tests</w:t>
      </w:r>
      <w:r w:rsidR="004E0F0B">
        <w:t>:</w:t>
      </w:r>
    </w:p>
    <w:p w14:paraId="4415EDC3" w14:textId="77777777" w:rsidR="0004104B" w:rsidRDefault="00CC0709" w:rsidP="0004104B">
      <w:pPr>
        <w:pStyle w:val="02dash"/>
      </w:pPr>
      <w:r>
        <w:t xml:space="preserve">Promote </w:t>
      </w:r>
      <w:r w:rsidR="00452545">
        <w:t>guidelines and education to encourage requesters to order specific tests rather than a ‘coagulation screen’</w:t>
      </w:r>
      <w:r w:rsidR="004E0F0B">
        <w:t>.</w:t>
      </w:r>
    </w:p>
    <w:p w14:paraId="184F2072" w14:textId="77777777" w:rsidR="00F268D2" w:rsidRPr="00CC0709" w:rsidRDefault="00CC0709" w:rsidP="0004104B">
      <w:pPr>
        <w:pStyle w:val="02dash"/>
      </w:pPr>
      <w:r w:rsidRPr="00CC0709">
        <w:t>Consider the</w:t>
      </w:r>
      <w:r w:rsidR="00F268D2" w:rsidRPr="00CC0709">
        <w:t xml:space="preserve"> concept of </w:t>
      </w:r>
      <w:proofErr w:type="spellStart"/>
      <w:r w:rsidR="00F268D2" w:rsidRPr="00CC0709">
        <w:t>standardised</w:t>
      </w:r>
      <w:proofErr w:type="spellEnd"/>
      <w:r w:rsidR="00F268D2" w:rsidRPr="00CC0709">
        <w:t xml:space="preserve"> panels of coagulation tests being ordered </w:t>
      </w:r>
      <w:r w:rsidRPr="00CC0709">
        <w:t xml:space="preserve">for the appropriate indications, </w:t>
      </w:r>
      <w:r w:rsidR="00F268D2" w:rsidRPr="00CC0709">
        <w:t>supported by appropriate educ</w:t>
      </w:r>
      <w:r w:rsidRPr="00CC0709">
        <w:t>ation/decision support tools.</w:t>
      </w:r>
    </w:p>
    <w:p w14:paraId="2E9C62BF" w14:textId="77777777" w:rsidR="00452545" w:rsidRDefault="00452545" w:rsidP="00452545">
      <w:pPr>
        <w:pStyle w:val="01squarebullet"/>
      </w:pPr>
      <w:r>
        <w:t>D-dimer</w:t>
      </w:r>
      <w:r w:rsidR="004E0F0B">
        <w:t>:</w:t>
      </w:r>
    </w:p>
    <w:p w14:paraId="40850F1B" w14:textId="77777777" w:rsidR="00452545" w:rsidRDefault="00CC0709" w:rsidP="00452545">
      <w:pPr>
        <w:pStyle w:val="02dash"/>
      </w:pPr>
      <w:r>
        <w:t xml:space="preserve">Promote </w:t>
      </w:r>
      <w:r w:rsidR="00452545">
        <w:t xml:space="preserve">guidelines and education to ensure </w:t>
      </w:r>
      <w:r>
        <w:t xml:space="preserve">appropriate test ordering and interpretation of results. </w:t>
      </w:r>
    </w:p>
    <w:p w14:paraId="4BA150DB" w14:textId="77777777" w:rsidR="00452545" w:rsidRDefault="00452545" w:rsidP="00452545">
      <w:pPr>
        <w:pStyle w:val="01squarebullet"/>
      </w:pPr>
      <w:r>
        <w:t>Thrombophilia tests</w:t>
      </w:r>
      <w:r w:rsidR="004E0F0B">
        <w:t>:</w:t>
      </w:r>
    </w:p>
    <w:p w14:paraId="06A7B76E" w14:textId="77777777" w:rsidR="009C5CBA" w:rsidRDefault="00CC0709" w:rsidP="00903468">
      <w:pPr>
        <w:pStyle w:val="02dash"/>
      </w:pPr>
      <w:r>
        <w:t>Promote</w:t>
      </w:r>
      <w:r w:rsidR="00452545">
        <w:t xml:space="preserve"> </w:t>
      </w:r>
      <w:r w:rsidR="00F967B3">
        <w:t>up</w:t>
      </w:r>
      <w:r w:rsidR="004E0F0B">
        <w:t>-</w:t>
      </w:r>
      <w:r w:rsidR="00F967B3">
        <w:t>to</w:t>
      </w:r>
      <w:r w:rsidR="004E0F0B">
        <w:t>-</w:t>
      </w:r>
      <w:r w:rsidR="00F967B3">
        <w:t xml:space="preserve">date guidelines and </w:t>
      </w:r>
      <w:r w:rsidR="00452545">
        <w:t xml:space="preserve">education </w:t>
      </w:r>
      <w:r w:rsidR="00F967B3">
        <w:t>to support</w:t>
      </w:r>
      <w:r w:rsidR="00452545">
        <w:t xml:space="preserve"> requesters to order </w:t>
      </w:r>
      <w:r w:rsidR="005F6A94">
        <w:t>appropriate tests. This is an area where decision support would be beneficial.</w:t>
      </w:r>
    </w:p>
    <w:p w14:paraId="6B34B094" w14:textId="77777777" w:rsidR="00CC0709" w:rsidRPr="00CC0709" w:rsidRDefault="00CC0709" w:rsidP="00CC0709">
      <w:pPr>
        <w:pStyle w:val="02dash"/>
      </w:pPr>
      <w:r w:rsidRPr="00CC0709">
        <w:t xml:space="preserve">Consider the concept of </w:t>
      </w:r>
      <w:proofErr w:type="spellStart"/>
      <w:r w:rsidRPr="00CC0709">
        <w:t>standardised</w:t>
      </w:r>
      <w:proofErr w:type="spellEnd"/>
      <w:r w:rsidRPr="00CC0709">
        <w:t xml:space="preserve"> panels of coagulation tests being ordered for the appropriate indications, supported by appropriate education/decision support tools.</w:t>
      </w:r>
    </w:p>
    <w:p w14:paraId="5F6711C1" w14:textId="77777777" w:rsidR="005F6A94" w:rsidRDefault="005F6A94" w:rsidP="005F6A94">
      <w:pPr>
        <w:pStyle w:val="01squarebullet"/>
      </w:pPr>
      <w:r>
        <w:t>Erythrocyte sedimentation rate</w:t>
      </w:r>
      <w:r w:rsidR="004E0F0B">
        <w:t>:</w:t>
      </w:r>
    </w:p>
    <w:p w14:paraId="1020F9D9" w14:textId="77777777" w:rsidR="005F6A94" w:rsidRPr="005F6A94" w:rsidRDefault="00CC0709" w:rsidP="007F42CA">
      <w:pPr>
        <w:pStyle w:val="02dash"/>
      </w:pPr>
      <w:r>
        <w:lastRenderedPageBreak/>
        <w:t>Promote up</w:t>
      </w:r>
      <w:r w:rsidR="004E0F0B">
        <w:t>-</w:t>
      </w:r>
      <w:r>
        <w:t>to</w:t>
      </w:r>
      <w:r w:rsidR="004E0F0B">
        <w:t>-</w:t>
      </w:r>
      <w:r>
        <w:t>date</w:t>
      </w:r>
      <w:r w:rsidR="005F6A94">
        <w:t xml:space="preserve"> guidelines and education regarding the limitations of the test in most clinical settings.</w:t>
      </w:r>
    </w:p>
    <w:p w14:paraId="5C1DC06A" w14:textId="77777777" w:rsidR="001136B9" w:rsidRPr="00FC1976" w:rsidRDefault="001136B9" w:rsidP="00082595">
      <w:pPr>
        <w:rPr>
          <w:rFonts w:eastAsiaTheme="minorHAnsi" w:cs="Arial"/>
          <w:kern w:val="32"/>
          <w:sz w:val="32"/>
          <w:szCs w:val="28"/>
          <w:lang w:val="en-AU" w:eastAsia="en-US"/>
        </w:rPr>
      </w:pPr>
      <w:r w:rsidRPr="00FC1976">
        <w:rPr>
          <w:lang w:val="en-AU"/>
        </w:rPr>
        <w:br w:type="page"/>
      </w:r>
    </w:p>
    <w:p w14:paraId="7C6B8064" w14:textId="77777777" w:rsidR="000607EE" w:rsidRPr="00D220C9" w:rsidRDefault="0059491E" w:rsidP="00D220C9">
      <w:pPr>
        <w:pStyle w:val="Heading1"/>
        <w:rPr>
          <w:lang w:val="en-AU"/>
        </w:rPr>
      </w:pPr>
      <w:bookmarkStart w:id="144" w:name="_Toc459996829"/>
      <w:bookmarkStart w:id="145" w:name="_Toc495403428"/>
      <w:bookmarkStart w:id="146" w:name="_Toc458167022"/>
      <w:r w:rsidRPr="000607EE">
        <w:rPr>
          <w:lang w:val="en-AU"/>
        </w:rPr>
        <w:lastRenderedPageBreak/>
        <w:t>References</w:t>
      </w:r>
      <w:bookmarkEnd w:id="144"/>
      <w:bookmarkEnd w:id="145"/>
    </w:p>
    <w:p w14:paraId="43296D05" w14:textId="77777777" w:rsidR="00D53DCB" w:rsidRDefault="00DB2E71" w:rsidP="00DD6F28">
      <w:pPr>
        <w:pStyle w:val="ListParagraph"/>
        <w:numPr>
          <w:ilvl w:val="0"/>
          <w:numId w:val="23"/>
        </w:numPr>
        <w:ind w:left="851" w:hanging="491"/>
      </w:pPr>
      <w:bookmarkStart w:id="147" w:name="ref1"/>
      <w:bookmarkEnd w:id="147"/>
      <w:proofErr w:type="spellStart"/>
      <w:r w:rsidRPr="00540EAF">
        <w:t>Elshaug</w:t>
      </w:r>
      <w:proofErr w:type="spellEnd"/>
      <w:r w:rsidR="0065288B">
        <w:t>,</w:t>
      </w:r>
      <w:r w:rsidRPr="00540EAF">
        <w:t xml:space="preserve"> AG, </w:t>
      </w:r>
      <w:r w:rsidR="009B6CB1">
        <w:t>AM Watt</w:t>
      </w:r>
      <w:r w:rsidRPr="00540EAF">
        <w:t xml:space="preserve">, </w:t>
      </w:r>
      <w:r w:rsidR="009B6CB1">
        <w:t>L Mundy</w:t>
      </w:r>
      <w:r w:rsidR="00A452C7">
        <w:t xml:space="preserve"> and </w:t>
      </w:r>
      <w:r w:rsidR="009B6CB1">
        <w:t>CD Willis</w:t>
      </w:r>
      <w:r w:rsidRPr="00540EAF">
        <w:t xml:space="preserve">. Over 150 potentially low-value health care practices: an Australian study. </w:t>
      </w:r>
      <w:r w:rsidRPr="004D086C">
        <w:rPr>
          <w:i/>
        </w:rPr>
        <w:t xml:space="preserve">Med J </w:t>
      </w:r>
      <w:proofErr w:type="spellStart"/>
      <w:r w:rsidRPr="004D086C">
        <w:rPr>
          <w:i/>
        </w:rPr>
        <w:t>Aust</w:t>
      </w:r>
      <w:proofErr w:type="spellEnd"/>
      <w:r w:rsidRPr="00540EAF">
        <w:t xml:space="preserve"> 2012;197(10):556-60.</w:t>
      </w:r>
    </w:p>
    <w:p w14:paraId="274839DA" w14:textId="77777777" w:rsidR="00D53DCB" w:rsidRPr="00F94EDF" w:rsidRDefault="00F94EDF" w:rsidP="00DD6F28">
      <w:pPr>
        <w:pStyle w:val="ListParagraph"/>
        <w:widowControl w:val="0"/>
        <w:numPr>
          <w:ilvl w:val="0"/>
          <w:numId w:val="23"/>
        </w:numPr>
        <w:autoSpaceDE w:val="0"/>
        <w:autoSpaceDN w:val="0"/>
        <w:adjustRightInd w:val="0"/>
        <w:spacing w:after="140" w:line="288" w:lineRule="auto"/>
        <w:ind w:left="851" w:hanging="491"/>
      </w:pPr>
      <w:bookmarkStart w:id="148" w:name="ref2"/>
      <w:bookmarkStart w:id="149" w:name="_Ref488758275"/>
      <w:bookmarkEnd w:id="148"/>
      <w:r w:rsidRPr="00F94EDF">
        <w:t xml:space="preserve">Medicare Benefits Schedule. </w:t>
      </w:r>
      <w:r w:rsidR="00D53DCB" w:rsidRPr="00F94EDF">
        <w:rPr>
          <w:i/>
        </w:rPr>
        <w:t>MBS 2014</w:t>
      </w:r>
      <w:r w:rsidRPr="00F94EDF">
        <w:rPr>
          <w:i/>
        </w:rPr>
        <w:t>–</w:t>
      </w:r>
      <w:r w:rsidR="00D53DCB" w:rsidRPr="00F94EDF">
        <w:rPr>
          <w:i/>
        </w:rPr>
        <w:t>15 data.</w:t>
      </w:r>
      <w:r w:rsidR="00D53DCB" w:rsidRPr="00F94EDF">
        <w:t xml:space="preserve"> </w:t>
      </w:r>
      <w:r>
        <w:t xml:space="preserve">Canberra: </w:t>
      </w:r>
      <w:r w:rsidR="00D53DCB" w:rsidRPr="00F94EDF">
        <w:t>Australian Government Department of Health</w:t>
      </w:r>
      <w:r>
        <w:t xml:space="preserve">, </w:t>
      </w:r>
      <w:bookmarkEnd w:id="149"/>
      <w:r w:rsidR="009B6CB1">
        <w:t>2016.</w:t>
      </w:r>
    </w:p>
    <w:p w14:paraId="18E01C4A" w14:textId="77777777" w:rsidR="00992C17" w:rsidRPr="00F94EDF" w:rsidRDefault="00F94EDF" w:rsidP="00DD6F28">
      <w:pPr>
        <w:pStyle w:val="ListParagraph"/>
        <w:widowControl w:val="0"/>
        <w:numPr>
          <w:ilvl w:val="0"/>
          <w:numId w:val="23"/>
        </w:numPr>
        <w:autoSpaceDE w:val="0"/>
        <w:autoSpaceDN w:val="0"/>
        <w:adjustRightInd w:val="0"/>
        <w:spacing w:after="140"/>
        <w:ind w:left="851" w:hanging="491"/>
      </w:pPr>
      <w:bookmarkStart w:id="150" w:name="ref3"/>
      <w:bookmarkStart w:id="151" w:name="_Ref488758317"/>
      <w:bookmarkEnd w:id="150"/>
      <w:r w:rsidRPr="00F94EDF">
        <w:t>Medicare Benefits Schedule Review Taskforce</w:t>
      </w:r>
      <w:r>
        <w:t>.</w:t>
      </w:r>
      <w:r w:rsidRPr="00F94EDF">
        <w:t xml:space="preserve"> </w:t>
      </w:r>
      <w:r w:rsidR="00992C17" w:rsidRPr="00F94EDF">
        <w:rPr>
          <w:i/>
        </w:rPr>
        <w:t>Obstetrics Clinical Committee Report</w:t>
      </w:r>
      <w:r>
        <w:t xml:space="preserve"> </w:t>
      </w:r>
      <w:r w:rsidR="009B6CB1">
        <w:t xml:space="preserve">August 2016 </w:t>
      </w:r>
      <w:r>
        <w:t>[online]</w:t>
      </w:r>
      <w:r w:rsidR="00992C17" w:rsidRPr="00F94EDF">
        <w:t xml:space="preserve">. </w:t>
      </w:r>
      <w:r>
        <w:t xml:space="preserve">The Taskforce, </w:t>
      </w:r>
      <w:r w:rsidR="009B6CB1">
        <w:t>2016</w:t>
      </w:r>
      <w:r>
        <w:t xml:space="preserve"> [accessed </w:t>
      </w:r>
      <w:r w:rsidR="009B6CB1">
        <w:t>4 January 2017</w:t>
      </w:r>
      <w:r>
        <w:t>]. Retrieved</w:t>
      </w:r>
      <w:r w:rsidR="00992C17" w:rsidRPr="00F94EDF">
        <w:t xml:space="preserve">: </w:t>
      </w:r>
      <w:hyperlink r:id="rId16" w:history="1">
        <w:r w:rsidR="00DB6624">
          <w:rPr>
            <w:rStyle w:val="Hyperlink"/>
          </w:rPr>
          <w:t>at http://www.health.gov.au/internet/main/publishing.nsf/content/mbrs-report-obstetrics-clinical-committee</w:t>
        </w:r>
      </w:hyperlink>
      <w:bookmarkEnd w:id="151"/>
      <w:r>
        <w:t xml:space="preserve"> </w:t>
      </w:r>
    </w:p>
    <w:p w14:paraId="68AA1048" w14:textId="77777777" w:rsidR="000817B3" w:rsidRDefault="000817B3" w:rsidP="00DD6F28">
      <w:pPr>
        <w:pStyle w:val="ListParagraph"/>
        <w:numPr>
          <w:ilvl w:val="0"/>
          <w:numId w:val="23"/>
        </w:numPr>
        <w:ind w:left="851" w:hanging="491"/>
      </w:pPr>
      <w:bookmarkStart w:id="152" w:name="ref4"/>
      <w:bookmarkStart w:id="153" w:name="_Ref488758440"/>
      <w:bookmarkEnd w:id="152"/>
      <w:r>
        <w:t xml:space="preserve">Royal Australian and New Zealand College of Radiologists. </w:t>
      </w:r>
      <w:r w:rsidRPr="00AC12D2">
        <w:rPr>
          <w:i/>
        </w:rPr>
        <w:t xml:space="preserve">Choosing Wisely Recommendations </w:t>
      </w:r>
      <w:r w:rsidRPr="000817B3">
        <w:t>[</w:t>
      </w:r>
      <w:r>
        <w:t>online</w:t>
      </w:r>
      <w:r w:rsidRPr="000817B3">
        <w:t>]</w:t>
      </w:r>
      <w:r w:rsidRPr="00AC12D2">
        <w:rPr>
          <w:i/>
        </w:rPr>
        <w:t>.</w:t>
      </w:r>
      <w:r>
        <w:t xml:space="preserve"> RANZCR, April 2015 [accessed </w:t>
      </w:r>
      <w:r w:rsidR="009B6CB1">
        <w:t>10 January 2017</w:t>
      </w:r>
      <w:r>
        <w:t xml:space="preserve">]. Retrieved: </w:t>
      </w:r>
      <w:hyperlink r:id="rId17" w:history="1">
        <w:r w:rsidR="00DB6624">
          <w:rPr>
            <w:rStyle w:val="Hyperlink"/>
          </w:rPr>
          <w:t>at http://www.choosingwisely.org.au/recommendations/ranzcr</w:t>
        </w:r>
      </w:hyperlink>
      <w:bookmarkEnd w:id="153"/>
    </w:p>
    <w:p w14:paraId="5F3F8C58" w14:textId="77777777" w:rsidR="003E2BC1" w:rsidRDefault="003E2BC1" w:rsidP="00DD6F28">
      <w:pPr>
        <w:pStyle w:val="ListParagraph"/>
        <w:numPr>
          <w:ilvl w:val="0"/>
          <w:numId w:val="23"/>
        </w:numPr>
        <w:ind w:left="851" w:hanging="491"/>
      </w:pPr>
      <w:bookmarkStart w:id="154" w:name="ref5"/>
      <w:bookmarkStart w:id="155" w:name="_Ref488758515"/>
      <w:bookmarkEnd w:id="154"/>
      <w:proofErr w:type="spellStart"/>
      <w:r>
        <w:t>HealthConsult</w:t>
      </w:r>
      <w:proofErr w:type="spellEnd"/>
      <w:r>
        <w:t xml:space="preserve">. </w:t>
      </w:r>
      <w:r w:rsidRPr="00AC12D2">
        <w:rPr>
          <w:i/>
        </w:rPr>
        <w:t>Literature Review—Platelet aggregation testing: an overview of the clinical utility of the test described by MBS item No.65144, 26 June 2015.</w:t>
      </w:r>
      <w:r>
        <w:t xml:space="preserve"> Canberra: Australian Government Department of Health, 2015.</w:t>
      </w:r>
      <w:bookmarkEnd w:id="155"/>
    </w:p>
    <w:p w14:paraId="23F80548" w14:textId="77777777" w:rsidR="003E2BC1" w:rsidRDefault="003E2BC1" w:rsidP="00DD6F28">
      <w:pPr>
        <w:pStyle w:val="ListParagraph"/>
        <w:numPr>
          <w:ilvl w:val="0"/>
          <w:numId w:val="23"/>
        </w:numPr>
        <w:ind w:left="851" w:hanging="491"/>
      </w:pPr>
      <w:bookmarkStart w:id="156" w:name="ref6"/>
      <w:bookmarkStart w:id="157" w:name="_Ref488758538"/>
      <w:bookmarkEnd w:id="156"/>
      <w:proofErr w:type="spellStart"/>
      <w:r>
        <w:t>HealthConsult</w:t>
      </w:r>
      <w:proofErr w:type="spellEnd"/>
      <w:r>
        <w:t xml:space="preserve">. </w:t>
      </w:r>
      <w:r w:rsidRPr="00AC12D2">
        <w:rPr>
          <w:i/>
        </w:rPr>
        <w:t>Cost review—Platelet Function Test, 10 July 2015.</w:t>
      </w:r>
      <w:r>
        <w:t xml:space="preserve"> Canberra: Australian Government Department of Health, 2015.</w:t>
      </w:r>
      <w:bookmarkEnd w:id="157"/>
    </w:p>
    <w:p w14:paraId="7CEF518D" w14:textId="77777777" w:rsidR="009B1B7A" w:rsidRPr="006D7CF0" w:rsidRDefault="00A452C7" w:rsidP="00DD6F28">
      <w:pPr>
        <w:pStyle w:val="ListParagraph"/>
        <w:numPr>
          <w:ilvl w:val="0"/>
          <w:numId w:val="23"/>
        </w:numPr>
        <w:ind w:left="851" w:hanging="491"/>
      </w:pPr>
      <w:bookmarkStart w:id="158" w:name="ref7"/>
      <w:bookmarkStart w:id="159" w:name="_Ref488758608"/>
      <w:bookmarkEnd w:id="158"/>
      <w:r>
        <w:rPr>
          <w:rFonts w:ascii="Calibri" w:hAnsi="Calibri" w:cs="Calibri"/>
          <w:color w:val="000000"/>
          <w:shd w:val="clear" w:color="auto" w:fill="FFFFFF"/>
        </w:rPr>
        <w:t>Bolton-</w:t>
      </w:r>
      <w:proofErr w:type="spellStart"/>
      <w:r>
        <w:rPr>
          <w:rFonts w:ascii="Calibri" w:hAnsi="Calibri" w:cs="Calibri"/>
          <w:color w:val="000000"/>
          <w:shd w:val="clear" w:color="auto" w:fill="FFFFFF"/>
        </w:rPr>
        <w:t>Maggs</w:t>
      </w:r>
      <w:proofErr w:type="spellEnd"/>
      <w:r w:rsidR="0065288B">
        <w:rPr>
          <w:rFonts w:ascii="Calibri" w:hAnsi="Calibri" w:cs="Calibri"/>
          <w:color w:val="000000"/>
          <w:shd w:val="clear" w:color="auto" w:fill="FFFFFF"/>
        </w:rPr>
        <w:t>,</w:t>
      </w:r>
      <w:r w:rsidR="00E74DBD">
        <w:rPr>
          <w:rFonts w:ascii="Calibri" w:hAnsi="Calibri" w:cs="Calibri"/>
          <w:color w:val="000000"/>
          <w:shd w:val="clear" w:color="auto" w:fill="FFFFFF"/>
        </w:rPr>
        <w:t xml:space="preserve"> HB, JC Langer, A </w:t>
      </w:r>
      <w:proofErr w:type="spellStart"/>
      <w:r w:rsidR="00E74DBD">
        <w:rPr>
          <w:rFonts w:ascii="Calibri" w:hAnsi="Calibri" w:cs="Calibri"/>
          <w:color w:val="000000"/>
          <w:shd w:val="clear" w:color="auto" w:fill="FFFFFF"/>
        </w:rPr>
        <w:t>Iolascon</w:t>
      </w:r>
      <w:proofErr w:type="spellEnd"/>
      <w:r w:rsidR="00E74DBD">
        <w:rPr>
          <w:rFonts w:ascii="Calibri" w:hAnsi="Calibri" w:cs="Calibri"/>
          <w:color w:val="000000"/>
          <w:shd w:val="clear" w:color="auto" w:fill="FFFFFF"/>
        </w:rPr>
        <w:t>, P </w:t>
      </w:r>
      <w:proofErr w:type="spellStart"/>
      <w:r w:rsidR="00E74DBD">
        <w:rPr>
          <w:rFonts w:ascii="Calibri" w:hAnsi="Calibri" w:cs="Calibri"/>
          <w:color w:val="000000"/>
          <w:shd w:val="clear" w:color="auto" w:fill="FFFFFF"/>
        </w:rPr>
        <w:t>Tittensor</w:t>
      </w:r>
      <w:proofErr w:type="spellEnd"/>
      <w:r w:rsidR="00E74DBD">
        <w:rPr>
          <w:rFonts w:ascii="Calibri" w:hAnsi="Calibri" w:cs="Calibri"/>
          <w:color w:val="000000"/>
          <w:shd w:val="clear" w:color="auto" w:fill="FFFFFF"/>
        </w:rPr>
        <w:t xml:space="preserve"> and M-J King.</w:t>
      </w:r>
      <w:r w:rsidR="009B6CB1">
        <w:rPr>
          <w:rFonts w:ascii="Calibri" w:hAnsi="Calibri" w:cs="Calibri"/>
          <w:color w:val="000000"/>
          <w:shd w:val="clear" w:color="auto" w:fill="FFFFFF"/>
        </w:rPr>
        <w:t xml:space="preserve"> </w:t>
      </w:r>
      <w:r w:rsidR="009B1B7A" w:rsidRPr="006D7CF0">
        <w:t xml:space="preserve">Guidelines for the diagnosis and management of hereditary spherocytosis – 2011 update. </w:t>
      </w:r>
      <w:r w:rsidR="009B1B7A" w:rsidRPr="006D7706">
        <w:rPr>
          <w:i/>
        </w:rPr>
        <w:t>British Journal of Haematology</w:t>
      </w:r>
      <w:r w:rsidR="006D7706" w:rsidRPr="006D7706">
        <w:rPr>
          <w:i/>
        </w:rPr>
        <w:t>.</w:t>
      </w:r>
      <w:r w:rsidR="009B1B7A" w:rsidRPr="006D7CF0">
        <w:t xml:space="preserve"> </w:t>
      </w:r>
      <w:r w:rsidR="00382C8F">
        <w:t>2012</w:t>
      </w:r>
      <w:r w:rsidR="006D7706">
        <w:t>, vol</w:t>
      </w:r>
      <w:r w:rsidR="00971C0C">
        <w:t>.</w:t>
      </w:r>
      <w:r w:rsidR="006D7706">
        <w:t xml:space="preserve"> </w:t>
      </w:r>
      <w:r w:rsidR="009B1B7A" w:rsidRPr="006D7CF0">
        <w:t xml:space="preserve">156, </w:t>
      </w:r>
      <w:r w:rsidR="006D7706">
        <w:t xml:space="preserve">no. </w:t>
      </w:r>
      <w:r w:rsidR="00382C8F" w:rsidRPr="00382C8F">
        <w:t>1</w:t>
      </w:r>
      <w:r w:rsidR="006D7706">
        <w:t xml:space="preserve">, pp. </w:t>
      </w:r>
      <w:r w:rsidR="009B1B7A" w:rsidRPr="006D7CF0">
        <w:t>37–49.</w:t>
      </w:r>
      <w:bookmarkEnd w:id="159"/>
    </w:p>
    <w:p w14:paraId="0418897C" w14:textId="77777777" w:rsidR="004D086C" w:rsidRDefault="00A452C7" w:rsidP="00A452C7">
      <w:pPr>
        <w:pStyle w:val="ListParagraph"/>
        <w:numPr>
          <w:ilvl w:val="0"/>
          <w:numId w:val="23"/>
        </w:numPr>
        <w:ind w:left="851" w:hanging="491"/>
        <w:rPr>
          <w:rFonts w:ascii="Calibri" w:hAnsi="Calibri" w:cs="Calibri"/>
          <w:color w:val="000000"/>
          <w:shd w:val="clear" w:color="auto" w:fill="FFFFFF"/>
        </w:rPr>
      </w:pPr>
      <w:bookmarkStart w:id="160" w:name="ref8"/>
      <w:bookmarkStart w:id="161" w:name="_Ref488758627"/>
      <w:bookmarkEnd w:id="160"/>
      <w:r>
        <w:rPr>
          <w:rFonts w:ascii="Calibri" w:hAnsi="Calibri" w:cs="Calibri"/>
          <w:color w:val="000000"/>
          <w:shd w:val="clear" w:color="auto" w:fill="FFFFFF"/>
        </w:rPr>
        <w:t>King</w:t>
      </w:r>
      <w:r w:rsidR="0065288B">
        <w:rPr>
          <w:rFonts w:ascii="Calibri" w:hAnsi="Calibri" w:cs="Calibri"/>
          <w:color w:val="000000"/>
          <w:shd w:val="clear" w:color="auto" w:fill="FFFFFF"/>
        </w:rPr>
        <w:t>,</w:t>
      </w:r>
      <w:r w:rsidR="009B6CB1">
        <w:rPr>
          <w:rFonts w:ascii="Calibri" w:hAnsi="Calibri" w:cs="Calibri"/>
          <w:color w:val="000000"/>
          <w:shd w:val="clear" w:color="auto" w:fill="FFFFFF"/>
        </w:rPr>
        <w:t xml:space="preserve"> M-J, L Garcon, JD Hoyer, A </w:t>
      </w:r>
      <w:proofErr w:type="spellStart"/>
      <w:r w:rsidR="009B6CB1">
        <w:rPr>
          <w:rFonts w:ascii="Calibri" w:hAnsi="Calibri" w:cs="Calibri"/>
          <w:color w:val="000000"/>
          <w:shd w:val="clear" w:color="auto" w:fill="FFFFFF"/>
        </w:rPr>
        <w:t>Iolascon</w:t>
      </w:r>
      <w:proofErr w:type="spellEnd"/>
      <w:r w:rsidR="009B6CB1">
        <w:rPr>
          <w:rFonts w:ascii="Calibri" w:hAnsi="Calibri" w:cs="Calibri"/>
          <w:color w:val="000000"/>
          <w:shd w:val="clear" w:color="auto" w:fill="FFFFFF"/>
        </w:rPr>
        <w:t>, V Picard, G Stewart, </w:t>
      </w:r>
      <w:r>
        <w:rPr>
          <w:rFonts w:ascii="Calibri" w:hAnsi="Calibri" w:cs="Calibri"/>
          <w:color w:val="000000"/>
          <w:shd w:val="clear" w:color="auto" w:fill="FFFFFF"/>
        </w:rPr>
        <w:t xml:space="preserve">P Bianchi, S Lee and </w:t>
      </w:r>
    </w:p>
    <w:p w14:paraId="3C5F05E1" w14:textId="77777777" w:rsidR="009B1B7A" w:rsidRPr="00A452C7" w:rsidRDefault="00A452C7" w:rsidP="004D086C">
      <w:pPr>
        <w:pStyle w:val="ListParagraph"/>
        <w:numPr>
          <w:ilvl w:val="0"/>
          <w:numId w:val="0"/>
        </w:numPr>
        <w:ind w:left="851"/>
        <w:rPr>
          <w:rFonts w:ascii="Calibri" w:hAnsi="Calibri" w:cs="Calibri"/>
          <w:color w:val="000000"/>
          <w:shd w:val="clear" w:color="auto" w:fill="FFFFFF"/>
        </w:rPr>
      </w:pPr>
      <w:r>
        <w:rPr>
          <w:rFonts w:ascii="Calibri" w:hAnsi="Calibri" w:cs="Calibri"/>
          <w:color w:val="000000"/>
          <w:shd w:val="clear" w:color="auto" w:fill="FFFFFF"/>
        </w:rPr>
        <w:t xml:space="preserve">A </w:t>
      </w:r>
      <w:proofErr w:type="spellStart"/>
      <w:r>
        <w:rPr>
          <w:rFonts w:ascii="Calibri" w:hAnsi="Calibri" w:cs="Calibri"/>
          <w:color w:val="000000"/>
          <w:shd w:val="clear" w:color="auto" w:fill="FFFFFF"/>
        </w:rPr>
        <w:t>Zanella</w:t>
      </w:r>
      <w:proofErr w:type="spellEnd"/>
      <w:r w:rsidRPr="00A452C7">
        <w:rPr>
          <w:rFonts w:ascii="Calibri" w:hAnsi="Calibri" w:cs="Calibri"/>
          <w:color w:val="000000"/>
          <w:shd w:val="clear" w:color="auto" w:fill="FFFFFF"/>
        </w:rPr>
        <w:t>.</w:t>
      </w:r>
      <w:r w:rsidR="009B1B7A" w:rsidRPr="00A452C7">
        <w:rPr>
          <w:rFonts w:ascii="Calibri" w:hAnsi="Calibri" w:cs="Calibri"/>
          <w:color w:val="000000"/>
          <w:shd w:val="clear" w:color="auto" w:fill="FFFFFF"/>
        </w:rPr>
        <w:t xml:space="preserve"> ICSH guidelines for the laboratory diagnosis of nonimmune hereditary red cell membrane disorders. </w:t>
      </w:r>
      <w:r w:rsidR="009B1B7A" w:rsidRPr="004D086C">
        <w:rPr>
          <w:rFonts w:ascii="Calibri" w:hAnsi="Calibri" w:cs="Calibri"/>
          <w:i/>
          <w:color w:val="000000"/>
          <w:shd w:val="clear" w:color="auto" w:fill="FFFFFF"/>
        </w:rPr>
        <w:t>Int</w:t>
      </w:r>
      <w:r w:rsidR="00971C0C" w:rsidRPr="004D086C">
        <w:rPr>
          <w:rFonts w:ascii="Calibri" w:hAnsi="Calibri" w:cs="Calibri"/>
          <w:i/>
          <w:color w:val="000000"/>
          <w:shd w:val="clear" w:color="auto" w:fill="FFFFFF"/>
        </w:rPr>
        <w:t>ernational</w:t>
      </w:r>
      <w:r w:rsidR="009B1B7A" w:rsidRPr="004D086C">
        <w:rPr>
          <w:rFonts w:ascii="Calibri" w:hAnsi="Calibri" w:cs="Calibri"/>
          <w:i/>
          <w:color w:val="000000"/>
          <w:shd w:val="clear" w:color="auto" w:fill="FFFFFF"/>
        </w:rPr>
        <w:t xml:space="preserve"> J</w:t>
      </w:r>
      <w:r w:rsidR="00971C0C" w:rsidRPr="004D086C">
        <w:rPr>
          <w:rFonts w:ascii="Calibri" w:hAnsi="Calibri" w:cs="Calibri"/>
          <w:i/>
          <w:color w:val="000000"/>
          <w:shd w:val="clear" w:color="auto" w:fill="FFFFFF"/>
        </w:rPr>
        <w:t>ournal of</w:t>
      </w:r>
      <w:r w:rsidR="009B1B7A" w:rsidRPr="004D086C">
        <w:rPr>
          <w:rFonts w:ascii="Calibri" w:hAnsi="Calibri" w:cs="Calibri"/>
          <w:i/>
          <w:color w:val="000000"/>
          <w:shd w:val="clear" w:color="auto" w:fill="FFFFFF"/>
        </w:rPr>
        <w:t xml:space="preserve"> Lab</w:t>
      </w:r>
      <w:r w:rsidR="00971C0C" w:rsidRPr="004D086C">
        <w:rPr>
          <w:rFonts w:ascii="Calibri" w:hAnsi="Calibri" w:cs="Calibri"/>
          <w:i/>
          <w:color w:val="000000"/>
          <w:shd w:val="clear" w:color="auto" w:fill="FFFFFF"/>
        </w:rPr>
        <w:t>oratory</w:t>
      </w:r>
      <w:r w:rsidR="009B1B7A" w:rsidRPr="004D086C">
        <w:rPr>
          <w:rFonts w:ascii="Calibri" w:hAnsi="Calibri" w:cs="Calibri"/>
          <w:i/>
          <w:color w:val="000000"/>
          <w:shd w:val="clear" w:color="auto" w:fill="FFFFFF"/>
        </w:rPr>
        <w:t xml:space="preserve"> </w:t>
      </w:r>
      <w:proofErr w:type="spellStart"/>
      <w:r w:rsidR="009B1B7A" w:rsidRPr="004D086C">
        <w:rPr>
          <w:rFonts w:ascii="Calibri" w:hAnsi="Calibri" w:cs="Calibri"/>
          <w:i/>
          <w:color w:val="000000"/>
          <w:shd w:val="clear" w:color="auto" w:fill="FFFFFF"/>
        </w:rPr>
        <w:t>Hem</w:t>
      </w:r>
      <w:r w:rsidR="00971C0C" w:rsidRPr="004D086C">
        <w:rPr>
          <w:rFonts w:ascii="Calibri" w:hAnsi="Calibri" w:cs="Calibri"/>
          <w:i/>
          <w:color w:val="000000"/>
          <w:shd w:val="clear" w:color="auto" w:fill="FFFFFF"/>
        </w:rPr>
        <w:t>atology</w:t>
      </w:r>
      <w:proofErr w:type="spellEnd"/>
      <w:r w:rsidR="009B1B7A" w:rsidRPr="004D086C">
        <w:rPr>
          <w:rFonts w:ascii="Calibri" w:hAnsi="Calibri" w:cs="Calibri"/>
          <w:i/>
          <w:color w:val="000000"/>
          <w:shd w:val="clear" w:color="auto" w:fill="FFFFFF"/>
        </w:rPr>
        <w:t>.</w:t>
      </w:r>
      <w:r w:rsidR="009B1B7A" w:rsidRPr="00A452C7">
        <w:rPr>
          <w:rFonts w:ascii="Calibri" w:hAnsi="Calibri" w:cs="Calibri"/>
          <w:color w:val="000000"/>
          <w:shd w:val="clear" w:color="auto" w:fill="FFFFFF"/>
        </w:rPr>
        <w:t xml:space="preserve"> 2015, </w:t>
      </w:r>
      <w:r w:rsidR="00971C0C" w:rsidRPr="00A452C7">
        <w:rPr>
          <w:rFonts w:ascii="Calibri" w:hAnsi="Calibri" w:cs="Calibri"/>
          <w:color w:val="000000"/>
          <w:shd w:val="clear" w:color="auto" w:fill="FFFFFF"/>
        </w:rPr>
        <w:t xml:space="preserve">vol. </w:t>
      </w:r>
      <w:r w:rsidR="009B1B7A" w:rsidRPr="00A452C7">
        <w:rPr>
          <w:rFonts w:ascii="Calibri" w:hAnsi="Calibri" w:cs="Calibri"/>
          <w:color w:val="000000"/>
          <w:shd w:val="clear" w:color="auto" w:fill="FFFFFF"/>
        </w:rPr>
        <w:t xml:space="preserve">37, </w:t>
      </w:r>
      <w:r w:rsidR="00971C0C" w:rsidRPr="00A452C7">
        <w:rPr>
          <w:rFonts w:ascii="Calibri" w:hAnsi="Calibri" w:cs="Calibri"/>
          <w:color w:val="000000"/>
          <w:shd w:val="clear" w:color="auto" w:fill="FFFFFF"/>
        </w:rPr>
        <w:t xml:space="preserve">no. </w:t>
      </w:r>
      <w:r w:rsidR="00382C8F" w:rsidRPr="00A452C7">
        <w:rPr>
          <w:rFonts w:ascii="Calibri" w:hAnsi="Calibri" w:cs="Calibri"/>
          <w:color w:val="000000"/>
          <w:shd w:val="clear" w:color="auto" w:fill="FFFFFF"/>
        </w:rPr>
        <w:t>3</w:t>
      </w:r>
      <w:r w:rsidR="00971C0C" w:rsidRPr="00A452C7">
        <w:rPr>
          <w:rFonts w:ascii="Calibri" w:hAnsi="Calibri" w:cs="Calibri"/>
          <w:color w:val="000000"/>
          <w:shd w:val="clear" w:color="auto" w:fill="FFFFFF"/>
        </w:rPr>
        <w:t xml:space="preserve">, pp. </w:t>
      </w:r>
      <w:r w:rsidR="009B1B7A" w:rsidRPr="00A452C7">
        <w:rPr>
          <w:rFonts w:ascii="Calibri" w:hAnsi="Calibri" w:cs="Calibri"/>
          <w:color w:val="000000"/>
          <w:shd w:val="clear" w:color="auto" w:fill="FFFFFF"/>
        </w:rPr>
        <w:t>304–325.</w:t>
      </w:r>
      <w:bookmarkEnd w:id="161"/>
    </w:p>
    <w:p w14:paraId="24716C8B" w14:textId="77777777" w:rsidR="00C755A7" w:rsidRPr="00425F0E" w:rsidRDefault="009B6CB1" w:rsidP="00DD6F28">
      <w:pPr>
        <w:pStyle w:val="ListParagraph"/>
        <w:widowControl w:val="0"/>
        <w:numPr>
          <w:ilvl w:val="0"/>
          <w:numId w:val="23"/>
        </w:numPr>
        <w:autoSpaceDE w:val="0"/>
        <w:autoSpaceDN w:val="0"/>
        <w:adjustRightInd w:val="0"/>
        <w:spacing w:after="140"/>
        <w:ind w:left="850" w:hanging="493"/>
      </w:pPr>
      <w:bookmarkStart w:id="162" w:name="ref9"/>
      <w:bookmarkStart w:id="163" w:name="_Ref488758671"/>
      <w:bookmarkEnd w:id="162"/>
      <w:r>
        <w:rPr>
          <w:rFonts w:ascii="Calibri" w:hAnsi="Calibri" w:cs="Calibri"/>
          <w:color w:val="000000"/>
          <w:shd w:val="clear" w:color="auto" w:fill="FFFFFF"/>
        </w:rPr>
        <w:t>Ba</w:t>
      </w:r>
      <w:r w:rsidR="00A452C7">
        <w:rPr>
          <w:rFonts w:ascii="Calibri" w:hAnsi="Calibri" w:cs="Calibri"/>
          <w:color w:val="000000"/>
          <w:shd w:val="clear" w:color="auto" w:fill="FFFFFF"/>
        </w:rPr>
        <w:t>rnes</w:t>
      </w:r>
      <w:r w:rsidR="0065288B">
        <w:rPr>
          <w:rFonts w:ascii="Calibri" w:hAnsi="Calibri" w:cs="Calibri"/>
          <w:color w:val="000000"/>
          <w:shd w:val="clear" w:color="auto" w:fill="FFFFFF"/>
        </w:rPr>
        <w:t>,</w:t>
      </w:r>
      <w:r>
        <w:rPr>
          <w:rFonts w:ascii="Calibri" w:hAnsi="Calibri" w:cs="Calibri"/>
          <w:color w:val="000000"/>
          <w:shd w:val="clear" w:color="auto" w:fill="FFFFFF"/>
        </w:rPr>
        <w:t xml:space="preserve"> PW, SL McFadden, S </w:t>
      </w:r>
      <w:proofErr w:type="spellStart"/>
      <w:r>
        <w:rPr>
          <w:rFonts w:ascii="Calibri" w:hAnsi="Calibri" w:cs="Calibri"/>
          <w:color w:val="000000"/>
          <w:shd w:val="clear" w:color="auto" w:fill="FFFFFF"/>
        </w:rPr>
        <w:t>Macin</w:t>
      </w:r>
      <w:proofErr w:type="spellEnd"/>
      <w:r>
        <w:rPr>
          <w:rFonts w:ascii="Calibri" w:hAnsi="Calibri" w:cs="Calibri"/>
          <w:color w:val="000000"/>
          <w:shd w:val="clear" w:color="auto" w:fill="FFFFFF"/>
        </w:rPr>
        <w:t xml:space="preserve"> and E Simson.</w:t>
      </w:r>
      <w:r w:rsidR="0065288B">
        <w:rPr>
          <w:rFonts w:ascii="Calibri" w:hAnsi="Calibri" w:cs="Calibri"/>
          <w:color w:val="000000"/>
          <w:shd w:val="clear" w:color="auto" w:fill="FFFFFF"/>
        </w:rPr>
        <w:t xml:space="preserve"> </w:t>
      </w:r>
      <w:r w:rsidR="00C755A7" w:rsidRPr="00425F0E">
        <w:t xml:space="preserve">The international consensus group for </w:t>
      </w:r>
      <w:proofErr w:type="spellStart"/>
      <w:r w:rsidR="00C755A7" w:rsidRPr="00425F0E">
        <w:t>Hematology</w:t>
      </w:r>
      <w:proofErr w:type="spellEnd"/>
      <w:r w:rsidR="00C755A7" w:rsidRPr="00425F0E">
        <w:t xml:space="preserve"> review: suggested criteria for action following automated CBC and WBC differential analysis (2005)</w:t>
      </w:r>
      <w:r w:rsidR="00425F0E">
        <w:t>.</w:t>
      </w:r>
      <w:r w:rsidR="00C755A7" w:rsidRPr="00425F0E">
        <w:t xml:space="preserve"> </w:t>
      </w:r>
      <w:r w:rsidR="00C755A7" w:rsidRPr="00425F0E">
        <w:rPr>
          <w:i/>
        </w:rPr>
        <w:t xml:space="preserve">Laboratory </w:t>
      </w:r>
      <w:proofErr w:type="spellStart"/>
      <w:r w:rsidR="00C755A7" w:rsidRPr="00425F0E">
        <w:rPr>
          <w:i/>
        </w:rPr>
        <w:t>Hematology</w:t>
      </w:r>
      <w:proofErr w:type="spellEnd"/>
      <w:r w:rsidR="00425F0E" w:rsidRPr="00425F0E">
        <w:rPr>
          <w:i/>
        </w:rPr>
        <w:t>.</w:t>
      </w:r>
      <w:r w:rsidR="00C755A7" w:rsidRPr="00425F0E">
        <w:t xml:space="preserve"> </w:t>
      </w:r>
      <w:r w:rsidR="0065288B">
        <w:t>2005</w:t>
      </w:r>
      <w:r w:rsidR="00425F0E">
        <w:t xml:space="preserve">, vol. </w:t>
      </w:r>
      <w:r w:rsidR="00C755A7" w:rsidRPr="00425F0E">
        <w:t>11</w:t>
      </w:r>
      <w:r w:rsidR="00425F0E">
        <w:t xml:space="preserve">, no. </w:t>
      </w:r>
      <w:r w:rsidR="0065288B">
        <w:t>2</w:t>
      </w:r>
      <w:r w:rsidR="00425F0E">
        <w:t>, pp.</w:t>
      </w:r>
      <w:r w:rsidR="00B853B2">
        <w:t xml:space="preserve"> </w:t>
      </w:r>
      <w:r w:rsidR="00C755A7" w:rsidRPr="00425F0E">
        <w:t>83</w:t>
      </w:r>
      <w:r w:rsidR="00425F0E">
        <w:t>–</w:t>
      </w:r>
      <w:r w:rsidR="00C755A7" w:rsidRPr="00425F0E">
        <w:t>90.</w:t>
      </w:r>
      <w:bookmarkEnd w:id="163"/>
    </w:p>
    <w:p w14:paraId="2E5DE83D" w14:textId="77777777" w:rsidR="00C755A7" w:rsidRPr="00D33BC1" w:rsidRDefault="00C755A7" w:rsidP="00DD6F28">
      <w:pPr>
        <w:pStyle w:val="ListParagraph"/>
        <w:numPr>
          <w:ilvl w:val="0"/>
          <w:numId w:val="23"/>
        </w:numPr>
        <w:ind w:left="851" w:hanging="491"/>
      </w:pPr>
      <w:bookmarkStart w:id="164" w:name="ref10"/>
      <w:bookmarkStart w:id="165" w:name="_Ref488758705"/>
      <w:bookmarkEnd w:id="164"/>
      <w:r w:rsidRPr="00D33BC1">
        <w:t>The Royal College of Pathologists of Australia</w:t>
      </w:r>
      <w:r w:rsidR="00D33BC1">
        <w:t>.</w:t>
      </w:r>
      <w:r w:rsidRPr="00D33BC1">
        <w:t xml:space="preserve"> </w:t>
      </w:r>
      <w:r w:rsidRPr="00D33BC1">
        <w:rPr>
          <w:i/>
        </w:rPr>
        <w:t>Position Statement ESR July 2016</w:t>
      </w:r>
      <w:r w:rsidR="00D33BC1">
        <w:rPr>
          <w:i/>
        </w:rPr>
        <w:t xml:space="preserve"> </w:t>
      </w:r>
      <w:r w:rsidR="00D33BC1" w:rsidRPr="00D33BC1">
        <w:t>[</w:t>
      </w:r>
      <w:r w:rsidR="00D33BC1">
        <w:t>online</w:t>
      </w:r>
      <w:r w:rsidR="00D33BC1" w:rsidRPr="00D33BC1">
        <w:t>]</w:t>
      </w:r>
      <w:r w:rsidRPr="00D33BC1">
        <w:rPr>
          <w:i/>
        </w:rPr>
        <w:t>.</w:t>
      </w:r>
      <w:r w:rsidRPr="00D33BC1">
        <w:t xml:space="preserve"> </w:t>
      </w:r>
      <w:r w:rsidR="00D33BC1" w:rsidRPr="00D33BC1">
        <w:t xml:space="preserve">RCPA </w:t>
      </w:r>
      <w:r w:rsidR="0065288B">
        <w:t>2016</w:t>
      </w:r>
      <w:r w:rsidR="00D33BC1">
        <w:t xml:space="preserve"> [accessed </w:t>
      </w:r>
      <w:r w:rsidR="0065288B">
        <w:t>10 January 2017</w:t>
      </w:r>
      <w:r w:rsidR="00D33BC1">
        <w:t>]. Retrieved</w:t>
      </w:r>
      <w:r w:rsidRPr="00D33BC1">
        <w:t xml:space="preserve">: </w:t>
      </w:r>
      <w:hyperlink r:id="rId18" w:history="1">
        <w:r w:rsidR="00DB6624">
          <w:rPr>
            <w:rStyle w:val="Hyperlink"/>
          </w:rPr>
          <w:t>at https://www.rcpa.edu.au/getattachment/116f0bd4-2c07-4613-b8b0-8d34b53cfd05/Appropriate-Use-of-the-Erythrocyte-Sedimentation-R.aspx</w:t>
        </w:r>
      </w:hyperlink>
      <w:bookmarkEnd w:id="165"/>
    </w:p>
    <w:p w14:paraId="63A33A89" w14:textId="77777777" w:rsidR="00C755A7" w:rsidRPr="00A97444" w:rsidRDefault="00F5483C" w:rsidP="00DD6F28">
      <w:pPr>
        <w:pStyle w:val="ListParagraph"/>
        <w:numPr>
          <w:ilvl w:val="0"/>
          <w:numId w:val="23"/>
        </w:numPr>
        <w:ind w:left="851" w:hanging="491"/>
      </w:pPr>
      <w:bookmarkStart w:id="166" w:name="ref11"/>
      <w:bookmarkStart w:id="167" w:name="_Ref488758723"/>
      <w:bookmarkEnd w:id="166"/>
      <w:proofErr w:type="spellStart"/>
      <w:r>
        <w:t>HealthConsult</w:t>
      </w:r>
      <w:proofErr w:type="spellEnd"/>
      <w:r w:rsidR="00C755A7" w:rsidRPr="00A97444">
        <w:t xml:space="preserve">. </w:t>
      </w:r>
      <w:r w:rsidR="00C755A7" w:rsidRPr="00F5483C">
        <w:rPr>
          <w:i/>
        </w:rPr>
        <w:t>Literature overview</w:t>
      </w:r>
      <w:r w:rsidRPr="00F5483C">
        <w:rPr>
          <w:i/>
        </w:rPr>
        <w:t>—Erythrocyte Sedimentat</w:t>
      </w:r>
      <w:r w:rsidR="00C755A7" w:rsidRPr="00F5483C">
        <w:rPr>
          <w:i/>
        </w:rPr>
        <w:t>ion Rate (ESR), 11 June 2015.</w:t>
      </w:r>
      <w:r w:rsidR="00C755A7" w:rsidRPr="00A97444">
        <w:t xml:space="preserve"> </w:t>
      </w:r>
      <w:r>
        <w:t>Canberra: Australian Government Department of Health, 2015.</w:t>
      </w:r>
      <w:bookmarkEnd w:id="167"/>
    </w:p>
    <w:p w14:paraId="08097376" w14:textId="77777777" w:rsidR="00221C01" w:rsidRPr="00AC12D2" w:rsidRDefault="00221C01" w:rsidP="00DD6F28">
      <w:pPr>
        <w:pStyle w:val="ListParagraph"/>
        <w:numPr>
          <w:ilvl w:val="0"/>
          <w:numId w:val="23"/>
        </w:numPr>
        <w:ind w:left="851" w:hanging="491"/>
        <w:rPr>
          <w:u w:val="single"/>
        </w:rPr>
      </w:pPr>
      <w:bookmarkStart w:id="168" w:name="ref12"/>
      <w:bookmarkStart w:id="169" w:name="_Ref488758758"/>
      <w:bookmarkEnd w:id="168"/>
      <w:r>
        <w:t xml:space="preserve">National Blood Authority. </w:t>
      </w:r>
      <w:r w:rsidRPr="00AC12D2">
        <w:rPr>
          <w:i/>
        </w:rPr>
        <w:t>Governance—Immunoglobulin Products</w:t>
      </w:r>
      <w:r>
        <w:t xml:space="preserve"> [online]. NBA, </w:t>
      </w:r>
      <w:r w:rsidR="0065288B">
        <w:t>2016</w:t>
      </w:r>
      <w:r>
        <w:t xml:space="preserve"> [accessed </w:t>
      </w:r>
      <w:r w:rsidR="0065288B">
        <w:t>10 January 2017</w:t>
      </w:r>
      <w:r>
        <w:t xml:space="preserve">]. Retrieved: </w:t>
      </w:r>
      <w:hyperlink r:id="rId19" w:history="1">
        <w:r w:rsidR="00DB6624">
          <w:rPr>
            <w:rStyle w:val="Hyperlink"/>
          </w:rPr>
          <w:t>at https://www.blood.gov.au/Ig-governance</w:t>
        </w:r>
      </w:hyperlink>
      <w:bookmarkEnd w:id="169"/>
    </w:p>
    <w:p w14:paraId="6D9F399A" w14:textId="77777777" w:rsidR="00B41469" w:rsidRDefault="00B41469" w:rsidP="00DD6F28">
      <w:pPr>
        <w:pStyle w:val="ListParagraph"/>
        <w:numPr>
          <w:ilvl w:val="0"/>
          <w:numId w:val="23"/>
        </w:numPr>
        <w:ind w:left="851" w:hanging="491"/>
      </w:pPr>
      <w:bookmarkStart w:id="170" w:name="ref13"/>
      <w:bookmarkStart w:id="171" w:name="_Ref488758787"/>
      <w:bookmarkEnd w:id="170"/>
      <w:r>
        <w:t xml:space="preserve">National Blood Authority. </w:t>
      </w:r>
      <w:r w:rsidRPr="00AC12D2">
        <w:rPr>
          <w:i/>
        </w:rPr>
        <w:t>Annual Report 2015–16</w:t>
      </w:r>
      <w:r>
        <w:t xml:space="preserve"> [online]. NBA, </w:t>
      </w:r>
      <w:r w:rsidR="001A6C4B">
        <w:t>2016</w:t>
      </w:r>
      <w:r>
        <w:t xml:space="preserve"> [accessed </w:t>
      </w:r>
      <w:r w:rsidR="001A6C4B">
        <w:t>10 January 2017</w:t>
      </w:r>
      <w:r>
        <w:t xml:space="preserve">]. Retrieved: </w:t>
      </w:r>
      <w:hyperlink r:id="rId20" w:history="1">
        <w:r w:rsidR="00DB6624">
          <w:rPr>
            <w:rStyle w:val="Hyperlink"/>
          </w:rPr>
          <w:t>at https://www.blood.gov.au/pubs/1516report/index.html</w:t>
        </w:r>
      </w:hyperlink>
      <w:bookmarkEnd w:id="171"/>
      <w:r>
        <w:t xml:space="preserve"> </w:t>
      </w:r>
    </w:p>
    <w:p w14:paraId="1071AA95" w14:textId="77777777" w:rsidR="002264E5" w:rsidRDefault="002264E5" w:rsidP="00DD6F28">
      <w:pPr>
        <w:pStyle w:val="ListParagraph"/>
        <w:numPr>
          <w:ilvl w:val="0"/>
          <w:numId w:val="23"/>
        </w:numPr>
        <w:ind w:left="851" w:hanging="491"/>
      </w:pPr>
      <w:bookmarkStart w:id="172" w:name="ref14"/>
      <w:bookmarkStart w:id="173" w:name="_Ref488758927"/>
      <w:bookmarkEnd w:id="172"/>
      <w:r>
        <w:t xml:space="preserve">Sansom L. </w:t>
      </w:r>
      <w:r w:rsidRPr="00AC12D2">
        <w:rPr>
          <w:i/>
        </w:rPr>
        <w:t>Report of the Review of Anticoagulation Therapies in Atrial Fibrillation 2012</w:t>
      </w:r>
      <w:r>
        <w:t xml:space="preserve"> [online]. Australian Government Department of Health and Ageing, </w:t>
      </w:r>
      <w:r w:rsidR="001A6C4B">
        <w:t>2012</w:t>
      </w:r>
      <w:r>
        <w:t xml:space="preserve"> [accessed </w:t>
      </w:r>
      <w:r w:rsidR="001A6C4B">
        <w:t>17 January 2017</w:t>
      </w:r>
      <w:r>
        <w:t>]. Retri</w:t>
      </w:r>
      <w:r w:rsidR="00E661D5">
        <w:t>e</w:t>
      </w:r>
      <w:r>
        <w:t xml:space="preserve">ved: </w:t>
      </w:r>
      <w:hyperlink r:id="rId21" w:history="1">
        <w:r w:rsidR="00DB6624">
          <w:rPr>
            <w:rStyle w:val="Hyperlink"/>
          </w:rPr>
          <w:t>at http://www.pbs.gov.au/reviews/atrial-fibrillation-files/report-anticoagulation.pdf</w:t>
        </w:r>
      </w:hyperlink>
      <w:bookmarkEnd w:id="173"/>
      <w:r>
        <w:t xml:space="preserve"> </w:t>
      </w:r>
    </w:p>
    <w:p w14:paraId="73A9BD50" w14:textId="77777777" w:rsidR="001136B9" w:rsidRPr="00FC1976" w:rsidRDefault="001136B9" w:rsidP="008460E3">
      <w:pPr>
        <w:ind w:left="567" w:hanging="567"/>
        <w:rPr>
          <w:sz w:val="32"/>
          <w:lang w:val="en-AU" w:eastAsia="en-US"/>
        </w:rPr>
      </w:pPr>
      <w:bookmarkStart w:id="174" w:name="_Toc456045469"/>
      <w:bookmarkEnd w:id="146"/>
      <w:r w:rsidRPr="00FC1976">
        <w:rPr>
          <w:lang w:val="en-AU"/>
        </w:rPr>
        <w:br w:type="page"/>
      </w:r>
    </w:p>
    <w:p w14:paraId="51D0A630" w14:textId="77777777" w:rsidR="00E97B6F" w:rsidRDefault="00920A9B" w:rsidP="00FE79D0">
      <w:pPr>
        <w:pStyle w:val="Heading1"/>
        <w:numPr>
          <w:ilvl w:val="0"/>
          <w:numId w:val="0"/>
        </w:numPr>
        <w:ind w:left="432" w:hanging="432"/>
      </w:pPr>
      <w:bookmarkStart w:id="175" w:name="_Appendix_A_—Assigned"/>
      <w:bookmarkStart w:id="176" w:name="_Toc459996830"/>
      <w:bookmarkStart w:id="177" w:name="_Toc458167023"/>
      <w:bookmarkStart w:id="178" w:name="_Toc495403429"/>
      <w:bookmarkEnd w:id="175"/>
      <w:r>
        <w:lastRenderedPageBreak/>
        <w:t>Appendix A</w:t>
      </w:r>
      <w:r w:rsidR="00AD4465">
        <w:t>—</w:t>
      </w:r>
      <w:r w:rsidR="004778A6" w:rsidRPr="00915D28">
        <w:t>A</w:t>
      </w:r>
      <w:r w:rsidR="000F7566" w:rsidRPr="00915D28">
        <w:t xml:space="preserve">ssigned </w:t>
      </w:r>
      <w:r w:rsidR="007F6814" w:rsidRPr="00915D28">
        <w:t>item</w:t>
      </w:r>
      <w:r w:rsidR="0050672A" w:rsidRPr="00915D28">
        <w:t>s</w:t>
      </w:r>
      <w:r w:rsidR="00D20356" w:rsidRPr="00915D28">
        <w:t>:</w:t>
      </w:r>
      <w:r w:rsidR="007F6814" w:rsidRPr="00915D28">
        <w:t xml:space="preserve"> </w:t>
      </w:r>
      <w:r w:rsidR="000F7566" w:rsidRPr="00915D28">
        <w:t>recommendations</w:t>
      </w:r>
      <w:r w:rsidR="004778A6" w:rsidRPr="00915D28">
        <w:t xml:space="preserve"> list</w:t>
      </w:r>
      <w:bookmarkEnd w:id="174"/>
      <w:bookmarkEnd w:id="176"/>
      <w:bookmarkEnd w:id="177"/>
      <w:bookmarkEnd w:id="178"/>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Assigned items: recommendations list"/>
        <w:tblDescription w:val="Appendix A is a table of recommendations for items assigned to the Haematology Working Group. There are 4 columns – column 1: Item, column 2: Current descriptor, column 3: Recommendation, and column 4: Section reference."/>
      </w:tblPr>
      <w:tblGrid>
        <w:gridCol w:w="985"/>
        <w:gridCol w:w="4657"/>
        <w:gridCol w:w="1724"/>
        <w:gridCol w:w="1650"/>
      </w:tblGrid>
      <w:tr w:rsidR="00B6486B" w:rsidRPr="00FC1976" w14:paraId="60B33DCA" w14:textId="77777777" w:rsidTr="0097040A">
        <w:trPr>
          <w:cnfStyle w:val="100000000000" w:firstRow="1" w:lastRow="0" w:firstColumn="0" w:lastColumn="0" w:oddVBand="0" w:evenVBand="0" w:oddHBand="0" w:evenHBand="0" w:firstRowFirstColumn="0" w:firstRowLastColumn="0" w:lastRowFirstColumn="0" w:lastRowLastColumn="0"/>
          <w:trHeight w:val="182"/>
          <w:tblHeader/>
        </w:trPr>
        <w:tc>
          <w:tcPr>
            <w:tcW w:w="985" w:type="dxa"/>
            <w:shd w:val="clear" w:color="auto" w:fill="F2F2F2" w:themeFill="background1" w:themeFillShade="F2"/>
            <w:tcMar>
              <w:top w:w="57" w:type="dxa"/>
              <w:left w:w="57" w:type="dxa"/>
              <w:bottom w:w="57" w:type="dxa"/>
            </w:tcMar>
            <w:vAlign w:val="bottom"/>
          </w:tcPr>
          <w:p w14:paraId="4C8470A7" w14:textId="77777777" w:rsidR="004E781E" w:rsidRPr="00FC1976" w:rsidRDefault="004E781E" w:rsidP="00802112">
            <w:pPr>
              <w:pStyle w:val="01Tableheaderrow"/>
              <w:jc w:val="left"/>
              <w:rPr>
                <w:b/>
                <w:lang w:val="en-AU"/>
              </w:rPr>
            </w:pPr>
            <w:r w:rsidRPr="00FC1976">
              <w:rPr>
                <w:b/>
                <w:lang w:val="en-AU"/>
              </w:rPr>
              <w:t>Item</w:t>
            </w:r>
          </w:p>
        </w:tc>
        <w:tc>
          <w:tcPr>
            <w:tcW w:w="4657" w:type="dxa"/>
            <w:shd w:val="clear" w:color="auto" w:fill="F2F2F2" w:themeFill="background1" w:themeFillShade="F2"/>
            <w:tcMar>
              <w:top w:w="57" w:type="dxa"/>
              <w:left w:w="57" w:type="dxa"/>
              <w:bottom w:w="57" w:type="dxa"/>
            </w:tcMar>
            <w:vAlign w:val="bottom"/>
          </w:tcPr>
          <w:p w14:paraId="0FE2A21E" w14:textId="77777777" w:rsidR="004E781E" w:rsidRPr="00FC1976" w:rsidRDefault="004E781E" w:rsidP="00802112">
            <w:pPr>
              <w:pStyle w:val="01Tableheaderrow"/>
              <w:jc w:val="left"/>
              <w:rPr>
                <w:b/>
                <w:lang w:val="en-AU"/>
              </w:rPr>
            </w:pPr>
            <w:r w:rsidRPr="00FC1976">
              <w:rPr>
                <w:b/>
                <w:lang w:val="en-AU"/>
              </w:rPr>
              <w:t xml:space="preserve">Current </w:t>
            </w:r>
            <w:r w:rsidR="00FD4BE8">
              <w:rPr>
                <w:b/>
                <w:lang w:val="en-AU"/>
              </w:rPr>
              <w:t>d</w:t>
            </w:r>
            <w:r w:rsidRPr="00FC1976">
              <w:rPr>
                <w:b/>
                <w:lang w:val="en-AU"/>
              </w:rPr>
              <w:t>escriptor</w:t>
            </w:r>
          </w:p>
        </w:tc>
        <w:tc>
          <w:tcPr>
            <w:tcW w:w="1724" w:type="dxa"/>
            <w:shd w:val="clear" w:color="auto" w:fill="F2F2F2" w:themeFill="background1" w:themeFillShade="F2"/>
            <w:tcMar>
              <w:top w:w="57" w:type="dxa"/>
              <w:left w:w="57" w:type="dxa"/>
              <w:bottom w:w="57" w:type="dxa"/>
            </w:tcMar>
            <w:vAlign w:val="bottom"/>
          </w:tcPr>
          <w:p w14:paraId="04721E83" w14:textId="77777777" w:rsidR="004E781E" w:rsidRPr="00FC1976" w:rsidRDefault="004E781E" w:rsidP="00802112">
            <w:pPr>
              <w:pStyle w:val="01Tableheaderrow"/>
              <w:jc w:val="left"/>
              <w:rPr>
                <w:b/>
                <w:lang w:val="en-AU"/>
              </w:rPr>
            </w:pPr>
            <w:r w:rsidRPr="00FC1976">
              <w:rPr>
                <w:b/>
                <w:lang w:val="en-AU"/>
              </w:rPr>
              <w:t>Recommendation</w:t>
            </w:r>
          </w:p>
        </w:tc>
        <w:tc>
          <w:tcPr>
            <w:tcW w:w="1650" w:type="dxa"/>
            <w:shd w:val="clear" w:color="auto" w:fill="F2F2F2" w:themeFill="background1" w:themeFillShade="F2"/>
            <w:tcMar>
              <w:top w:w="57" w:type="dxa"/>
              <w:left w:w="57" w:type="dxa"/>
              <w:bottom w:w="57" w:type="dxa"/>
            </w:tcMar>
            <w:vAlign w:val="bottom"/>
          </w:tcPr>
          <w:p w14:paraId="29093140" w14:textId="77777777" w:rsidR="004E781E" w:rsidRPr="00FC1976" w:rsidRDefault="00C625CA" w:rsidP="00C625CA">
            <w:pPr>
              <w:pStyle w:val="01Tableheaderrow"/>
              <w:jc w:val="left"/>
              <w:rPr>
                <w:b/>
                <w:lang w:val="en-AU"/>
              </w:rPr>
            </w:pPr>
            <w:r>
              <w:rPr>
                <w:b/>
                <w:lang w:val="en-AU"/>
              </w:rPr>
              <w:t xml:space="preserve">Section </w:t>
            </w:r>
            <w:r w:rsidR="004E781E" w:rsidRPr="00FC1976">
              <w:rPr>
                <w:b/>
                <w:lang w:val="en-AU"/>
              </w:rPr>
              <w:t>reference</w:t>
            </w:r>
          </w:p>
        </w:tc>
      </w:tr>
      <w:tr w:rsidR="00FB024B" w:rsidRPr="00FB024B" w14:paraId="6DEE48BF"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57564A8B"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65060</w:t>
            </w:r>
          </w:p>
        </w:tc>
        <w:tc>
          <w:tcPr>
            <w:tcW w:w="4657" w:type="dxa"/>
            <w:noWrap/>
            <w:hideMark/>
          </w:tcPr>
          <w:p w14:paraId="2476A05F"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 xml:space="preserve">Haemoglobin, erythrocyte sedimentation rate, blood viscosity </w:t>
            </w:r>
            <w:r w:rsidR="00AD4465">
              <w:rPr>
                <w:rFonts w:ascii="Arial" w:hAnsi="Arial" w:cs="Arial"/>
                <w:color w:val="000000"/>
                <w:sz w:val="18"/>
                <w:szCs w:val="18"/>
                <w:lang w:val="en-AU"/>
              </w:rPr>
              <w:t>-</w:t>
            </w:r>
            <w:r w:rsidRPr="00FB024B">
              <w:rPr>
                <w:rFonts w:ascii="Arial" w:hAnsi="Arial" w:cs="Arial"/>
                <w:color w:val="000000"/>
                <w:sz w:val="18"/>
                <w:szCs w:val="18"/>
                <w:lang w:val="en-AU"/>
              </w:rPr>
              <w:t xml:space="preserve"> 1 or more tests</w:t>
            </w:r>
          </w:p>
        </w:tc>
        <w:tc>
          <w:tcPr>
            <w:tcW w:w="1724" w:type="dxa"/>
            <w:noWrap/>
          </w:tcPr>
          <w:p w14:paraId="75F3293C" w14:textId="77777777" w:rsidR="00FB024B" w:rsidRPr="00FB024B" w:rsidRDefault="002351F1"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0C81E301" w14:textId="77777777" w:rsidR="00FB024B" w:rsidRPr="00FB024B" w:rsidRDefault="00A600F4" w:rsidP="00FB024B">
            <w:pPr>
              <w:spacing w:before="0" w:after="0"/>
              <w:rPr>
                <w:rFonts w:ascii="Arial" w:hAnsi="Arial" w:cs="Arial"/>
                <w:color w:val="000000"/>
                <w:sz w:val="18"/>
                <w:szCs w:val="18"/>
                <w:lang w:val="en-AU"/>
              </w:rPr>
            </w:pPr>
            <w:r>
              <w:rPr>
                <w:rFonts w:ascii="Arial" w:hAnsi="Arial" w:cs="Arial"/>
                <w:color w:val="000000"/>
                <w:sz w:val="18"/>
                <w:szCs w:val="18"/>
                <w:lang w:val="en-AU"/>
              </w:rPr>
              <w:t>4.9</w:t>
            </w:r>
          </w:p>
        </w:tc>
      </w:tr>
      <w:tr w:rsidR="00FB024B" w:rsidRPr="00FB024B" w14:paraId="2AF116A2"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6969A7BE"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65066</w:t>
            </w:r>
          </w:p>
        </w:tc>
        <w:tc>
          <w:tcPr>
            <w:tcW w:w="4657" w:type="dxa"/>
            <w:noWrap/>
            <w:hideMark/>
          </w:tcPr>
          <w:p w14:paraId="155514A5"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 xml:space="preserve">Examination of: (a) a blood film by special stains to demonstrate Heinz bodies, parasites or iron; or (b) a blood film by enzyme cytochemistry for neutrophil alkaline phosphatase, </w:t>
            </w:r>
            <w:proofErr w:type="spellStart"/>
            <w:r w:rsidRPr="00FB024B">
              <w:rPr>
                <w:rFonts w:ascii="Arial" w:hAnsi="Arial" w:cs="Arial"/>
                <w:color w:val="000000"/>
                <w:sz w:val="18"/>
                <w:szCs w:val="18"/>
                <w:lang w:val="en-AU"/>
              </w:rPr>
              <w:t>alphanaphthyl</w:t>
            </w:r>
            <w:proofErr w:type="spellEnd"/>
            <w:r w:rsidRPr="00FB024B">
              <w:rPr>
                <w:rFonts w:ascii="Arial" w:hAnsi="Arial" w:cs="Arial"/>
                <w:color w:val="000000"/>
                <w:sz w:val="18"/>
                <w:szCs w:val="18"/>
                <w:lang w:val="en-AU"/>
              </w:rPr>
              <w:t xml:space="preserve"> acetate esterase or chloroacetate esterase; or (c) a blood film using any other special staining methods including periodic acid Schiff and Sudan Black; or (d) a urinary sediment for haemosiderin including a service described in item 65072</w:t>
            </w:r>
          </w:p>
        </w:tc>
        <w:tc>
          <w:tcPr>
            <w:tcW w:w="1724" w:type="dxa"/>
            <w:noWrap/>
          </w:tcPr>
          <w:p w14:paraId="7C05B1A3" w14:textId="77777777" w:rsidR="00FB024B" w:rsidRPr="00FB024B" w:rsidRDefault="00807A65"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017CC729" w14:textId="77777777" w:rsidR="00FB024B" w:rsidRPr="00FB024B" w:rsidRDefault="00A600F4" w:rsidP="00FB024B">
            <w:pPr>
              <w:spacing w:before="0" w:after="0"/>
              <w:rPr>
                <w:rFonts w:ascii="Arial" w:hAnsi="Arial" w:cs="Arial"/>
                <w:color w:val="000000"/>
                <w:sz w:val="18"/>
                <w:szCs w:val="18"/>
                <w:lang w:val="en-AU"/>
              </w:rPr>
            </w:pPr>
            <w:r>
              <w:rPr>
                <w:rFonts w:ascii="Arial" w:hAnsi="Arial" w:cs="Arial"/>
                <w:color w:val="000000"/>
                <w:sz w:val="18"/>
                <w:szCs w:val="18"/>
                <w:lang w:val="en-AU"/>
              </w:rPr>
              <w:t>4.10</w:t>
            </w:r>
          </w:p>
        </w:tc>
      </w:tr>
      <w:tr w:rsidR="00FB024B" w:rsidRPr="00FB024B" w14:paraId="29E8BFF9"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DFE1B2B"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65070</w:t>
            </w:r>
          </w:p>
        </w:tc>
        <w:tc>
          <w:tcPr>
            <w:tcW w:w="4657" w:type="dxa"/>
            <w:noWrap/>
            <w:hideMark/>
          </w:tcPr>
          <w:p w14:paraId="18652F8E" w14:textId="77777777" w:rsidR="00FB024B" w:rsidRPr="00FB024B" w:rsidRDefault="00AD4465" w:rsidP="00FB024B">
            <w:pPr>
              <w:spacing w:before="0" w:after="0"/>
              <w:rPr>
                <w:rFonts w:ascii="Arial" w:hAnsi="Arial" w:cs="Arial"/>
                <w:color w:val="000000"/>
                <w:sz w:val="18"/>
                <w:szCs w:val="18"/>
                <w:lang w:val="en-AU"/>
              </w:rPr>
            </w:pPr>
            <w:r>
              <w:rPr>
                <w:rFonts w:ascii="Arial" w:hAnsi="Arial" w:cs="Arial"/>
                <w:color w:val="000000"/>
                <w:sz w:val="18"/>
                <w:szCs w:val="18"/>
                <w:lang w:val="en-AU"/>
              </w:rPr>
              <w:t>E</w:t>
            </w:r>
            <w:r w:rsidRPr="00FB024B">
              <w:rPr>
                <w:rFonts w:ascii="Arial" w:hAnsi="Arial" w:cs="Arial"/>
                <w:color w:val="000000"/>
                <w:sz w:val="18"/>
                <w:szCs w:val="18"/>
                <w:lang w:val="en-AU"/>
              </w:rPr>
              <w:t xml:space="preserve">rythrocyte </w:t>
            </w:r>
            <w:r w:rsidR="00FB024B" w:rsidRPr="00FB024B">
              <w:rPr>
                <w:rFonts w:ascii="Arial" w:hAnsi="Arial" w:cs="Arial"/>
                <w:color w:val="000000"/>
                <w:sz w:val="18"/>
                <w:szCs w:val="18"/>
                <w:lang w:val="en-AU"/>
              </w:rPr>
              <w:t>count, haematocrit, haemoglobin, calculation or measurement of red cell index or indices, platelet count, leucocyte count and manual or instrument generated differential count - not being a service where haemoglobin only is requested - one or more instrument generated set of results from a single sample; and (if performed) (a) a morphological a</w:t>
            </w:r>
            <w:r w:rsidR="008A3013">
              <w:rPr>
                <w:rFonts w:ascii="Arial" w:hAnsi="Arial" w:cs="Arial"/>
                <w:color w:val="000000"/>
                <w:sz w:val="18"/>
                <w:szCs w:val="18"/>
                <w:lang w:val="en-AU"/>
              </w:rPr>
              <w:t xml:space="preserve">ssessment of a blood film; (b) </w:t>
            </w:r>
            <w:r w:rsidR="00FB024B" w:rsidRPr="00FB024B">
              <w:rPr>
                <w:rFonts w:ascii="Arial" w:hAnsi="Arial" w:cs="Arial"/>
                <w:color w:val="000000"/>
                <w:sz w:val="18"/>
                <w:szCs w:val="18"/>
                <w:lang w:val="en-AU"/>
              </w:rPr>
              <w:t>any service in item 65060 or 65072</w:t>
            </w:r>
          </w:p>
        </w:tc>
        <w:tc>
          <w:tcPr>
            <w:tcW w:w="1724" w:type="dxa"/>
            <w:noWrap/>
          </w:tcPr>
          <w:p w14:paraId="7CDE1E3E"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w:t>
            </w:r>
            <w:r w:rsidR="00FB024B">
              <w:rPr>
                <w:rFonts w:ascii="Arial" w:hAnsi="Arial" w:cs="Arial"/>
                <w:color w:val="000000"/>
                <w:sz w:val="18"/>
                <w:szCs w:val="18"/>
                <w:lang w:val="en-AU"/>
              </w:rPr>
              <w:t>hange</w:t>
            </w:r>
          </w:p>
        </w:tc>
        <w:tc>
          <w:tcPr>
            <w:tcW w:w="1650" w:type="dxa"/>
            <w:noWrap/>
          </w:tcPr>
          <w:p w14:paraId="703B318C" w14:textId="77777777" w:rsidR="00FB024B" w:rsidRPr="00FB024B" w:rsidRDefault="00C82F16" w:rsidP="00FB024B">
            <w:pPr>
              <w:spacing w:before="0" w:after="0"/>
              <w:rPr>
                <w:rFonts w:ascii="Arial" w:hAnsi="Arial" w:cs="Arial"/>
                <w:color w:val="000000"/>
                <w:sz w:val="18"/>
                <w:szCs w:val="18"/>
                <w:lang w:val="en-AU"/>
              </w:rPr>
            </w:pPr>
            <w:r>
              <w:rPr>
                <w:rFonts w:ascii="Arial" w:hAnsi="Arial" w:cs="Arial"/>
                <w:color w:val="000000"/>
                <w:sz w:val="18"/>
                <w:szCs w:val="18"/>
                <w:lang w:val="en-AU"/>
              </w:rPr>
              <w:t>4.7</w:t>
            </w:r>
          </w:p>
        </w:tc>
      </w:tr>
      <w:tr w:rsidR="00FB024B" w:rsidRPr="00FB024B" w14:paraId="2325894B"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61196D86"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65072</w:t>
            </w:r>
          </w:p>
        </w:tc>
        <w:tc>
          <w:tcPr>
            <w:tcW w:w="4657" w:type="dxa"/>
            <w:noWrap/>
            <w:hideMark/>
          </w:tcPr>
          <w:p w14:paraId="278BA51E"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Examination for reticulocytes including a reticulocyte count by any method - 1 or more tests</w:t>
            </w:r>
          </w:p>
        </w:tc>
        <w:tc>
          <w:tcPr>
            <w:tcW w:w="1724" w:type="dxa"/>
            <w:noWrap/>
          </w:tcPr>
          <w:p w14:paraId="334A37E8" w14:textId="77777777" w:rsidR="00FB024B" w:rsidRPr="00FB024B" w:rsidRDefault="00FB024B"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414F881D" w14:textId="77777777" w:rsidR="00FB024B" w:rsidRPr="00FB024B" w:rsidRDefault="00C82F16"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44FD331A"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210C408"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65075</w:t>
            </w:r>
          </w:p>
        </w:tc>
        <w:tc>
          <w:tcPr>
            <w:tcW w:w="4657" w:type="dxa"/>
            <w:noWrap/>
            <w:hideMark/>
          </w:tcPr>
          <w:p w14:paraId="083D532E"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 xml:space="preserve">Haemolysis or metabolic enzymes - assessment by: (a) erythrocyte </w:t>
            </w:r>
            <w:proofErr w:type="spellStart"/>
            <w:r w:rsidRPr="00FB024B">
              <w:rPr>
                <w:rFonts w:ascii="Arial" w:hAnsi="Arial" w:cs="Arial"/>
                <w:color w:val="000000"/>
                <w:sz w:val="18"/>
                <w:szCs w:val="18"/>
                <w:lang w:val="en-AU"/>
              </w:rPr>
              <w:t>autohaemolysis</w:t>
            </w:r>
            <w:proofErr w:type="spellEnd"/>
            <w:r w:rsidRPr="00FB024B">
              <w:rPr>
                <w:rFonts w:ascii="Arial" w:hAnsi="Arial" w:cs="Arial"/>
                <w:color w:val="000000"/>
                <w:sz w:val="18"/>
                <w:szCs w:val="18"/>
                <w:lang w:val="en-AU"/>
              </w:rPr>
              <w:t xml:space="preserve"> test; or (b) erythrocyte osmotic fragility test; or (c) sugar water test; or (d) G-6-P D (qualitative or quantitative) test; or (e) pyruvate kinase (qualitative or quantitative) test; or (f) acid haemolysis test; or (g) quantitation of muramidase in serum or urine; or (h) Donath Landsteiner antibody test; or (</w:t>
            </w:r>
            <w:proofErr w:type="spellStart"/>
            <w:r w:rsidRPr="00FB024B">
              <w:rPr>
                <w:rFonts w:ascii="Arial" w:hAnsi="Arial" w:cs="Arial"/>
                <w:color w:val="000000"/>
                <w:sz w:val="18"/>
                <w:szCs w:val="18"/>
                <w:lang w:val="en-AU"/>
              </w:rPr>
              <w:t>i</w:t>
            </w:r>
            <w:proofErr w:type="spellEnd"/>
            <w:r w:rsidRPr="00FB024B">
              <w:rPr>
                <w:rFonts w:ascii="Arial" w:hAnsi="Arial" w:cs="Arial"/>
                <w:color w:val="000000"/>
                <w:sz w:val="18"/>
                <w:szCs w:val="18"/>
                <w:lang w:val="en-AU"/>
              </w:rPr>
              <w:t>) other erythrocyte metabolic enzyme tests - 1 or more tests</w:t>
            </w:r>
          </w:p>
        </w:tc>
        <w:tc>
          <w:tcPr>
            <w:tcW w:w="1724" w:type="dxa"/>
            <w:noWrap/>
          </w:tcPr>
          <w:p w14:paraId="33ACD152"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07E706D1" w14:textId="77777777" w:rsidR="00663E90" w:rsidRPr="00FB024B" w:rsidRDefault="00C82F16" w:rsidP="00FB024B">
            <w:pPr>
              <w:spacing w:before="0" w:after="0"/>
              <w:rPr>
                <w:rFonts w:ascii="Arial" w:hAnsi="Arial" w:cs="Arial"/>
                <w:color w:val="000000"/>
                <w:sz w:val="18"/>
                <w:szCs w:val="18"/>
                <w:lang w:val="en-AU"/>
              </w:rPr>
            </w:pPr>
            <w:r>
              <w:rPr>
                <w:rFonts w:ascii="Arial" w:hAnsi="Arial" w:cs="Arial"/>
                <w:color w:val="000000"/>
                <w:sz w:val="18"/>
                <w:szCs w:val="18"/>
                <w:lang w:val="en-AU"/>
              </w:rPr>
              <w:t>4.6</w:t>
            </w:r>
          </w:p>
        </w:tc>
      </w:tr>
      <w:tr w:rsidR="00FB024B" w:rsidRPr="00FB024B" w14:paraId="22ED23BD"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409E489B"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65078</w:t>
            </w:r>
          </w:p>
        </w:tc>
        <w:tc>
          <w:tcPr>
            <w:tcW w:w="4657" w:type="dxa"/>
            <w:noWrap/>
            <w:hideMark/>
          </w:tcPr>
          <w:p w14:paraId="13544C2F"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 xml:space="preserve">Tests for the diagnosis of thalassaemia consisting of haemoglobin electrophoresis or chromatography and at least 2 of: (a) examination for </w:t>
            </w:r>
            <w:proofErr w:type="spellStart"/>
            <w:r w:rsidRPr="00FB024B">
              <w:rPr>
                <w:rFonts w:ascii="Arial" w:hAnsi="Arial" w:cs="Arial"/>
                <w:color w:val="000000"/>
                <w:sz w:val="18"/>
                <w:szCs w:val="18"/>
                <w:lang w:val="en-AU"/>
              </w:rPr>
              <w:t>HbH</w:t>
            </w:r>
            <w:proofErr w:type="spellEnd"/>
            <w:r w:rsidRPr="00FB024B">
              <w:rPr>
                <w:rFonts w:ascii="Arial" w:hAnsi="Arial" w:cs="Arial"/>
                <w:color w:val="000000"/>
                <w:sz w:val="18"/>
                <w:szCs w:val="18"/>
                <w:lang w:val="en-AU"/>
              </w:rPr>
              <w:t xml:space="preserve">; or (b) quantitation of HbA2; or (c) quantitation of </w:t>
            </w:r>
            <w:proofErr w:type="spellStart"/>
            <w:r w:rsidRPr="00FB024B">
              <w:rPr>
                <w:rFonts w:ascii="Arial" w:hAnsi="Arial" w:cs="Arial"/>
                <w:color w:val="000000"/>
                <w:sz w:val="18"/>
                <w:szCs w:val="18"/>
                <w:lang w:val="en-AU"/>
              </w:rPr>
              <w:t>HbF</w:t>
            </w:r>
            <w:proofErr w:type="spellEnd"/>
            <w:r w:rsidRPr="00FB024B">
              <w:rPr>
                <w:rFonts w:ascii="Arial" w:hAnsi="Arial" w:cs="Arial"/>
                <w:color w:val="000000"/>
                <w:sz w:val="18"/>
                <w:szCs w:val="18"/>
                <w:lang w:val="en-AU"/>
              </w:rPr>
              <w:t>; including (if performed) any service described in item 65060 or 65070</w:t>
            </w:r>
          </w:p>
        </w:tc>
        <w:tc>
          <w:tcPr>
            <w:tcW w:w="1724" w:type="dxa"/>
            <w:noWrap/>
          </w:tcPr>
          <w:p w14:paraId="23FB73CE"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 xml:space="preserve">No change </w:t>
            </w:r>
          </w:p>
        </w:tc>
        <w:tc>
          <w:tcPr>
            <w:tcW w:w="1650" w:type="dxa"/>
            <w:noWrap/>
          </w:tcPr>
          <w:p w14:paraId="00965951" w14:textId="77777777" w:rsidR="00FB024B" w:rsidRPr="00FB024B" w:rsidRDefault="00C82F16"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7B080D46"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E80BCAF"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65079</w:t>
            </w:r>
          </w:p>
        </w:tc>
        <w:tc>
          <w:tcPr>
            <w:tcW w:w="4657" w:type="dxa"/>
            <w:noWrap/>
            <w:hideMark/>
          </w:tcPr>
          <w:p w14:paraId="2BD385AA"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Tests described in item 65078 if rendered by a receiving APP - 1 or more tests (Item is subject to rule 18)</w:t>
            </w:r>
          </w:p>
        </w:tc>
        <w:tc>
          <w:tcPr>
            <w:tcW w:w="1724" w:type="dxa"/>
            <w:noWrap/>
          </w:tcPr>
          <w:p w14:paraId="6CBBA532" w14:textId="77777777" w:rsidR="00FB024B" w:rsidRPr="00FB024B" w:rsidRDefault="00807A65"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75BD5237"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5C1D639E"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EF23C06"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65081</w:t>
            </w:r>
          </w:p>
        </w:tc>
        <w:tc>
          <w:tcPr>
            <w:tcW w:w="4657" w:type="dxa"/>
            <w:noWrap/>
            <w:hideMark/>
          </w:tcPr>
          <w:p w14:paraId="2DF5AD4A"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Tests for the investigation of haemoglobinopathy consisting of haemoglobin electrophoresis or chromatography and at least 1 of: (a) heat denaturation test; or (b) isopropanol precipitation test; or (c) tests for the presence of haemoglobin S; or (d) quantitation of any haemoglobin fraction (including S, C, D, E) including (if performed) any service described in item 65060, 65070 or 65078</w:t>
            </w:r>
          </w:p>
        </w:tc>
        <w:tc>
          <w:tcPr>
            <w:tcW w:w="1724" w:type="dxa"/>
            <w:noWrap/>
          </w:tcPr>
          <w:p w14:paraId="4505B424"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06DCB521"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4.10</w:t>
            </w:r>
          </w:p>
        </w:tc>
      </w:tr>
      <w:tr w:rsidR="00FB024B" w:rsidRPr="00FB024B" w14:paraId="46CDB09E"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6E8379D0"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65082</w:t>
            </w:r>
          </w:p>
        </w:tc>
        <w:tc>
          <w:tcPr>
            <w:tcW w:w="4657" w:type="dxa"/>
            <w:noWrap/>
            <w:hideMark/>
          </w:tcPr>
          <w:p w14:paraId="44E52376"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Tests described in item 65081 if rendered by a receiving APP - 1 or more tests (Item is subject to rule 18)</w:t>
            </w:r>
          </w:p>
        </w:tc>
        <w:tc>
          <w:tcPr>
            <w:tcW w:w="1724" w:type="dxa"/>
            <w:noWrap/>
          </w:tcPr>
          <w:p w14:paraId="258E4C4C"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5F11BEB3"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6E0DBD55"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5BFD8433"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65084</w:t>
            </w:r>
          </w:p>
        </w:tc>
        <w:tc>
          <w:tcPr>
            <w:tcW w:w="4657" w:type="dxa"/>
            <w:noWrap/>
            <w:hideMark/>
          </w:tcPr>
          <w:p w14:paraId="27C57A76"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Bone marrow trephine biopsy - histopathological examination of sections of bone marrow and examination of aspirated material (including clot sections where necessary), including (if performed): any test described in item 65060, 65066 or 65070</w:t>
            </w:r>
          </w:p>
        </w:tc>
        <w:tc>
          <w:tcPr>
            <w:tcW w:w="1724" w:type="dxa"/>
            <w:noWrap/>
          </w:tcPr>
          <w:p w14:paraId="5DF7C3DA"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05216AE0"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78E243E8"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20255B4B"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65087</w:t>
            </w:r>
          </w:p>
        </w:tc>
        <w:tc>
          <w:tcPr>
            <w:tcW w:w="4657" w:type="dxa"/>
            <w:noWrap/>
            <w:hideMark/>
          </w:tcPr>
          <w:p w14:paraId="542C17FF"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Bone marrow - examination of aspirated material (including clot sections where necessary), including (if performed): any test described in item 65060, 65066 or 65070</w:t>
            </w:r>
          </w:p>
        </w:tc>
        <w:tc>
          <w:tcPr>
            <w:tcW w:w="1724" w:type="dxa"/>
            <w:noWrap/>
          </w:tcPr>
          <w:p w14:paraId="3AA183FA"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w:t>
            </w:r>
            <w:r w:rsidR="008753DF">
              <w:rPr>
                <w:rFonts w:ascii="Arial" w:hAnsi="Arial" w:cs="Arial"/>
                <w:color w:val="000000"/>
                <w:sz w:val="18"/>
                <w:szCs w:val="18"/>
                <w:lang w:val="en-AU"/>
              </w:rPr>
              <w:t>hange</w:t>
            </w:r>
          </w:p>
        </w:tc>
        <w:tc>
          <w:tcPr>
            <w:tcW w:w="1650" w:type="dxa"/>
            <w:noWrap/>
          </w:tcPr>
          <w:p w14:paraId="6150EEB3"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24AAD679"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1B54174A"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65090</w:t>
            </w:r>
          </w:p>
        </w:tc>
        <w:tc>
          <w:tcPr>
            <w:tcW w:w="4657" w:type="dxa"/>
            <w:noWrap/>
            <w:hideMark/>
          </w:tcPr>
          <w:p w14:paraId="040E3D0A"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Blood grouping (including back-grouping if performed) - ABO and Rh (D antigen)</w:t>
            </w:r>
          </w:p>
        </w:tc>
        <w:tc>
          <w:tcPr>
            <w:tcW w:w="1724" w:type="dxa"/>
            <w:noWrap/>
          </w:tcPr>
          <w:p w14:paraId="3148633A"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4113838F"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1E1D8B66"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48F2AB69"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lastRenderedPageBreak/>
              <w:t>65093</w:t>
            </w:r>
          </w:p>
        </w:tc>
        <w:tc>
          <w:tcPr>
            <w:tcW w:w="4657" w:type="dxa"/>
            <w:noWrap/>
            <w:hideMark/>
          </w:tcPr>
          <w:p w14:paraId="20A6B19D"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Blood grouping - Rh phenotypes, Kell system, Duffy system, M and N factors or any other blood group system - 1 or more systems, including item 65090 (if performed)</w:t>
            </w:r>
          </w:p>
        </w:tc>
        <w:tc>
          <w:tcPr>
            <w:tcW w:w="1724" w:type="dxa"/>
            <w:noWrap/>
          </w:tcPr>
          <w:p w14:paraId="35F89F0A"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1DFA15A8"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35253BE6"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6E7998D3"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65096</w:t>
            </w:r>
          </w:p>
        </w:tc>
        <w:tc>
          <w:tcPr>
            <w:tcW w:w="4657" w:type="dxa"/>
            <w:noWrap/>
            <w:hideMark/>
          </w:tcPr>
          <w:p w14:paraId="49E8CF83"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Blood grouping (including back-grouping if performed), and examination of serum for Rh and other blood group antibodies, including: (a) identification and quantitation of any antibodies detected; and (b) (if performed) any test described in item 65060 or 65070</w:t>
            </w:r>
          </w:p>
        </w:tc>
        <w:tc>
          <w:tcPr>
            <w:tcW w:w="1724" w:type="dxa"/>
            <w:noWrap/>
          </w:tcPr>
          <w:p w14:paraId="036DADFC"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21B84469"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w:t>
            </w:r>
          </w:p>
        </w:tc>
      </w:tr>
      <w:tr w:rsidR="00FB024B" w:rsidRPr="00FB024B" w14:paraId="7BABCAC7"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077B288"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65099</w:t>
            </w:r>
          </w:p>
        </w:tc>
        <w:tc>
          <w:tcPr>
            <w:tcW w:w="4657" w:type="dxa"/>
            <w:noWrap/>
            <w:hideMark/>
          </w:tcPr>
          <w:p w14:paraId="3B08EC4A"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Compatibility tests by crossmatch - all 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w:t>
            </w:r>
          </w:p>
        </w:tc>
        <w:tc>
          <w:tcPr>
            <w:tcW w:w="1724" w:type="dxa"/>
            <w:noWrap/>
          </w:tcPr>
          <w:p w14:paraId="605DA77A"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03EECFF0"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4.2</w:t>
            </w:r>
          </w:p>
        </w:tc>
      </w:tr>
      <w:tr w:rsidR="00FB024B" w:rsidRPr="00FB024B" w14:paraId="27C18730"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088F3506"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65102</w:t>
            </w:r>
          </w:p>
        </w:tc>
        <w:tc>
          <w:tcPr>
            <w:tcW w:w="4657" w:type="dxa"/>
            <w:noWrap/>
            <w:hideMark/>
          </w:tcPr>
          <w:p w14:paraId="78F1DD0D"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Compatibility tests by crossmatch - all tests performed on any one day in excess of 6 units, including: (a) all grouping checks of the patient and donor; and (b) examination for antibodies, and if necessary identification of any antibodies detected; and (c) (if performed) any tests described in item 65060, 65070, 65090, 65096, 65099 or 65105 (Item is subject rule 5)</w:t>
            </w:r>
          </w:p>
        </w:tc>
        <w:tc>
          <w:tcPr>
            <w:tcW w:w="1724" w:type="dxa"/>
            <w:noWrap/>
          </w:tcPr>
          <w:p w14:paraId="71BA2C90"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Delete</w:t>
            </w:r>
          </w:p>
        </w:tc>
        <w:tc>
          <w:tcPr>
            <w:tcW w:w="1650" w:type="dxa"/>
            <w:noWrap/>
          </w:tcPr>
          <w:p w14:paraId="0E4C7F6F"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4.2</w:t>
            </w:r>
            <w:r w:rsidR="00E45A83">
              <w:rPr>
                <w:rFonts w:ascii="Arial" w:hAnsi="Arial" w:cs="Arial"/>
                <w:color w:val="000000"/>
                <w:sz w:val="18"/>
                <w:szCs w:val="18"/>
                <w:lang w:val="en-AU"/>
              </w:rPr>
              <w:t>, 4.11</w:t>
            </w:r>
          </w:p>
        </w:tc>
      </w:tr>
      <w:tr w:rsidR="00FB024B" w:rsidRPr="00FB024B" w14:paraId="353784D4"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466C0950"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65105</w:t>
            </w:r>
          </w:p>
        </w:tc>
        <w:tc>
          <w:tcPr>
            <w:tcW w:w="4657" w:type="dxa"/>
            <w:noWrap/>
            <w:hideMark/>
          </w:tcPr>
          <w:p w14:paraId="39AE29D7"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Compatibi</w:t>
            </w:r>
            <w:r w:rsidR="00203D0B">
              <w:rPr>
                <w:rFonts w:ascii="Arial" w:hAnsi="Arial" w:cs="Arial"/>
                <w:color w:val="000000"/>
                <w:sz w:val="18"/>
                <w:szCs w:val="18"/>
                <w:lang w:val="en-AU"/>
              </w:rPr>
              <w:t>lity testing using at least a 3-</w:t>
            </w:r>
            <w:r w:rsidRPr="00FB024B">
              <w:rPr>
                <w:rFonts w:ascii="Arial" w:hAnsi="Arial" w:cs="Arial"/>
                <w:color w:val="000000"/>
                <w:sz w:val="18"/>
                <w:szCs w:val="18"/>
                <w:lang w:val="en-AU"/>
              </w:rPr>
              <w:t>cell panel and issue of red cells for transfusion - all 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w:t>
            </w:r>
          </w:p>
        </w:tc>
        <w:tc>
          <w:tcPr>
            <w:tcW w:w="1724" w:type="dxa"/>
            <w:noWrap/>
          </w:tcPr>
          <w:p w14:paraId="6987E688"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Delete</w:t>
            </w:r>
          </w:p>
        </w:tc>
        <w:tc>
          <w:tcPr>
            <w:tcW w:w="1650" w:type="dxa"/>
            <w:noWrap/>
          </w:tcPr>
          <w:p w14:paraId="1DA3EFE9"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4.2, 4.11</w:t>
            </w:r>
          </w:p>
        </w:tc>
      </w:tr>
      <w:tr w:rsidR="00FB024B" w:rsidRPr="00FB024B" w14:paraId="7BE32F18"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2DEF81EC"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65108</w:t>
            </w:r>
          </w:p>
        </w:tc>
        <w:tc>
          <w:tcPr>
            <w:tcW w:w="4657" w:type="dxa"/>
            <w:noWrap/>
            <w:hideMark/>
          </w:tcPr>
          <w:p w14:paraId="58580A75"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Compatibi</w:t>
            </w:r>
            <w:r w:rsidR="0026644F">
              <w:rPr>
                <w:rFonts w:ascii="Arial" w:hAnsi="Arial" w:cs="Arial"/>
                <w:color w:val="000000"/>
                <w:sz w:val="18"/>
                <w:szCs w:val="18"/>
                <w:lang w:val="en-AU"/>
              </w:rPr>
              <w:t>lity testing using at least a 3-</w:t>
            </w:r>
            <w:r w:rsidRPr="00FB024B">
              <w:rPr>
                <w:rFonts w:ascii="Arial" w:hAnsi="Arial" w:cs="Arial"/>
                <w:color w:val="000000"/>
                <w:sz w:val="18"/>
                <w:szCs w:val="18"/>
                <w:lang w:val="en-AU"/>
              </w:rPr>
              <w:t>cell panel and issue of red cells for transfusion - all tests performed on any one day in excess of 6 units, including: (a) all grouping checks of the patient and donor; and (b) examination for antibodies and, if necessary, identification of any antibodies detected; and</w:t>
            </w:r>
            <w:r w:rsidR="008A3013">
              <w:rPr>
                <w:rFonts w:ascii="Arial" w:hAnsi="Arial" w:cs="Arial"/>
                <w:color w:val="000000"/>
                <w:sz w:val="18"/>
                <w:szCs w:val="18"/>
                <w:lang w:val="en-AU"/>
              </w:rPr>
              <w:t xml:space="preserve"> </w:t>
            </w:r>
            <w:r w:rsidRPr="00FB024B">
              <w:rPr>
                <w:rFonts w:ascii="Arial" w:hAnsi="Arial" w:cs="Arial"/>
                <w:color w:val="000000"/>
                <w:sz w:val="18"/>
                <w:szCs w:val="18"/>
                <w:lang w:val="en-AU"/>
              </w:rPr>
              <w:t>(c) (if performed) any tests described in item 65060, 65070, 65090, 65096, 65099 or 65105 (Item is subject to rule 5)</w:t>
            </w:r>
          </w:p>
        </w:tc>
        <w:tc>
          <w:tcPr>
            <w:tcW w:w="1724" w:type="dxa"/>
            <w:noWrap/>
          </w:tcPr>
          <w:p w14:paraId="44960E89"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Delete</w:t>
            </w:r>
          </w:p>
        </w:tc>
        <w:tc>
          <w:tcPr>
            <w:tcW w:w="1650" w:type="dxa"/>
            <w:noWrap/>
          </w:tcPr>
          <w:p w14:paraId="4BB8640D"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4.2, 4.11</w:t>
            </w:r>
          </w:p>
        </w:tc>
      </w:tr>
      <w:tr w:rsidR="00FB024B" w:rsidRPr="00FB024B" w14:paraId="69EF4DE8"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5592ACE5"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65109</w:t>
            </w:r>
          </w:p>
        </w:tc>
        <w:tc>
          <w:tcPr>
            <w:tcW w:w="4657" w:type="dxa"/>
            <w:noWrap/>
            <w:hideMark/>
          </w:tcPr>
          <w:p w14:paraId="76FFACB9"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 xml:space="preserve">Release of fresh frozen plasma or cryoprecipitate for the use in a patient for the correction of a coagulopathy </w:t>
            </w:r>
            <w:r w:rsidR="00D43FA8">
              <w:rPr>
                <w:rFonts w:ascii="Arial" w:hAnsi="Arial" w:cs="Arial"/>
                <w:color w:val="000000"/>
                <w:sz w:val="18"/>
                <w:szCs w:val="18"/>
                <w:lang w:val="en-AU"/>
              </w:rPr>
              <w:t>-</w:t>
            </w:r>
            <w:r w:rsidRPr="00FB024B">
              <w:rPr>
                <w:rFonts w:ascii="Arial" w:hAnsi="Arial" w:cs="Arial"/>
                <w:color w:val="000000"/>
                <w:sz w:val="18"/>
                <w:szCs w:val="18"/>
                <w:lang w:val="en-AU"/>
              </w:rPr>
              <w:t xml:space="preserve"> 1 release.</w:t>
            </w:r>
          </w:p>
        </w:tc>
        <w:tc>
          <w:tcPr>
            <w:tcW w:w="1724" w:type="dxa"/>
            <w:noWrap/>
          </w:tcPr>
          <w:p w14:paraId="499225C0"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06BF0A00"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35474967"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1C8CA80E"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65110</w:t>
            </w:r>
          </w:p>
        </w:tc>
        <w:tc>
          <w:tcPr>
            <w:tcW w:w="4657" w:type="dxa"/>
            <w:noWrap/>
            <w:hideMark/>
          </w:tcPr>
          <w:p w14:paraId="5B17F4B4"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Release of compatible fresh platelets for the use in a patient for platelet s</w:t>
            </w:r>
            <w:r w:rsidR="00474550">
              <w:rPr>
                <w:rFonts w:ascii="Arial" w:hAnsi="Arial" w:cs="Arial"/>
                <w:color w:val="000000"/>
                <w:sz w:val="18"/>
                <w:szCs w:val="18"/>
                <w:lang w:val="en-AU"/>
              </w:rPr>
              <w:t>upport as prophylaxis to minimis</w:t>
            </w:r>
            <w:r w:rsidRPr="00FB024B">
              <w:rPr>
                <w:rFonts w:ascii="Arial" w:hAnsi="Arial" w:cs="Arial"/>
                <w:color w:val="000000"/>
                <w:sz w:val="18"/>
                <w:szCs w:val="18"/>
                <w:lang w:val="en-AU"/>
              </w:rPr>
              <w:t xml:space="preserve">e bleeding or during active bleeding </w:t>
            </w:r>
            <w:r w:rsidR="00D43FA8">
              <w:rPr>
                <w:rFonts w:ascii="Arial" w:hAnsi="Arial" w:cs="Arial"/>
                <w:color w:val="000000"/>
                <w:sz w:val="18"/>
                <w:szCs w:val="18"/>
                <w:lang w:val="en-AU"/>
              </w:rPr>
              <w:t>-</w:t>
            </w:r>
            <w:r w:rsidRPr="00FB024B">
              <w:rPr>
                <w:rFonts w:ascii="Arial" w:hAnsi="Arial" w:cs="Arial"/>
                <w:color w:val="000000"/>
                <w:sz w:val="18"/>
                <w:szCs w:val="18"/>
                <w:lang w:val="en-AU"/>
              </w:rPr>
              <w:t xml:space="preserve"> 1 release.</w:t>
            </w:r>
          </w:p>
        </w:tc>
        <w:tc>
          <w:tcPr>
            <w:tcW w:w="1724" w:type="dxa"/>
            <w:noWrap/>
          </w:tcPr>
          <w:p w14:paraId="41139281"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26E83508"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7D1E0A40"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0AD7B190"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65111</w:t>
            </w:r>
          </w:p>
        </w:tc>
        <w:tc>
          <w:tcPr>
            <w:tcW w:w="4657" w:type="dxa"/>
            <w:noWrap/>
            <w:hideMark/>
          </w:tcPr>
          <w:p w14:paraId="0FC39D2F"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Examination of serum for blood group antibodies (including identification and, if necessary, quantitation of any antibodies detected)</w:t>
            </w:r>
          </w:p>
        </w:tc>
        <w:tc>
          <w:tcPr>
            <w:tcW w:w="1724" w:type="dxa"/>
            <w:noWrap/>
          </w:tcPr>
          <w:p w14:paraId="5E71CC92"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4EC1D53B" w14:textId="77777777" w:rsidR="00FB024B" w:rsidRPr="00FB024B" w:rsidRDefault="00C318A2" w:rsidP="00FB024B">
            <w:pPr>
              <w:spacing w:before="0" w:after="0"/>
              <w:rPr>
                <w:rFonts w:ascii="Arial" w:hAnsi="Arial" w:cs="Arial"/>
                <w:color w:val="000000"/>
                <w:sz w:val="18"/>
                <w:szCs w:val="18"/>
                <w:lang w:val="en-AU"/>
              </w:rPr>
            </w:pPr>
            <w:r>
              <w:rPr>
                <w:rFonts w:ascii="Arial" w:hAnsi="Arial" w:cs="Arial"/>
                <w:color w:val="000000"/>
                <w:sz w:val="18"/>
                <w:szCs w:val="18"/>
                <w:lang w:val="en-AU"/>
              </w:rPr>
              <w:t>4.1</w:t>
            </w:r>
          </w:p>
        </w:tc>
      </w:tr>
      <w:tr w:rsidR="00FB024B" w:rsidRPr="00FB024B" w14:paraId="39C0A106"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047C46F2"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65114</w:t>
            </w:r>
          </w:p>
        </w:tc>
        <w:tc>
          <w:tcPr>
            <w:tcW w:w="4657" w:type="dxa"/>
            <w:noWrap/>
            <w:hideMark/>
          </w:tcPr>
          <w:p w14:paraId="2EBA519C"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1 or more of the following tests: (a) direct Coombs (antiglobulin) test; (b) qualitative or quantitative test for cold agglutinins or heterophil antibodies</w:t>
            </w:r>
          </w:p>
        </w:tc>
        <w:tc>
          <w:tcPr>
            <w:tcW w:w="1724" w:type="dxa"/>
            <w:noWrap/>
          </w:tcPr>
          <w:p w14:paraId="3CD9A124"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0407C942" w14:textId="77777777" w:rsidR="00FB024B" w:rsidRPr="00FB024B" w:rsidRDefault="005025F6"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52C7EDB0"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2DEE37ED"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65117</w:t>
            </w:r>
          </w:p>
        </w:tc>
        <w:tc>
          <w:tcPr>
            <w:tcW w:w="4657" w:type="dxa"/>
            <w:noWrap/>
            <w:hideMark/>
          </w:tcPr>
          <w:p w14:paraId="26E44349"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 xml:space="preserve">1 or more of the following tests: (a) spectroscopic examination of blood for chemically altered haemoglobins; (b) detection of </w:t>
            </w:r>
            <w:proofErr w:type="spellStart"/>
            <w:r w:rsidRPr="00FB024B">
              <w:rPr>
                <w:rFonts w:ascii="Arial" w:hAnsi="Arial" w:cs="Arial"/>
                <w:color w:val="000000"/>
                <w:sz w:val="18"/>
                <w:szCs w:val="18"/>
                <w:lang w:val="en-AU"/>
              </w:rPr>
              <w:t>methaemalbumin</w:t>
            </w:r>
            <w:proofErr w:type="spellEnd"/>
            <w:r w:rsidRPr="00FB024B">
              <w:rPr>
                <w:rFonts w:ascii="Arial" w:hAnsi="Arial" w:cs="Arial"/>
                <w:color w:val="000000"/>
                <w:sz w:val="18"/>
                <w:szCs w:val="18"/>
                <w:lang w:val="en-AU"/>
              </w:rPr>
              <w:t xml:space="preserve"> (Schumm's test)</w:t>
            </w:r>
          </w:p>
        </w:tc>
        <w:tc>
          <w:tcPr>
            <w:tcW w:w="1724" w:type="dxa"/>
            <w:noWrap/>
          </w:tcPr>
          <w:p w14:paraId="1DF6063D" w14:textId="77777777" w:rsidR="00FB024B" w:rsidRPr="00FB024B" w:rsidRDefault="008172E5" w:rsidP="00FB024B">
            <w:pPr>
              <w:spacing w:before="0" w:after="0"/>
              <w:rPr>
                <w:rFonts w:ascii="Arial" w:hAnsi="Arial" w:cs="Arial"/>
                <w:color w:val="000000"/>
                <w:sz w:val="18"/>
                <w:szCs w:val="18"/>
                <w:lang w:val="en-AU"/>
              </w:rPr>
            </w:pPr>
            <w:r>
              <w:rPr>
                <w:rFonts w:ascii="Arial" w:hAnsi="Arial" w:cs="Arial"/>
                <w:color w:val="000000"/>
                <w:sz w:val="18"/>
                <w:szCs w:val="18"/>
                <w:lang w:val="en-AU"/>
              </w:rPr>
              <w:t>Delete</w:t>
            </w:r>
          </w:p>
        </w:tc>
        <w:tc>
          <w:tcPr>
            <w:tcW w:w="1650" w:type="dxa"/>
            <w:noWrap/>
          </w:tcPr>
          <w:p w14:paraId="025A06EA" w14:textId="77777777" w:rsidR="00FB024B" w:rsidRPr="00FB024B" w:rsidRDefault="005025F6" w:rsidP="00FB024B">
            <w:pPr>
              <w:spacing w:before="0" w:after="0"/>
              <w:rPr>
                <w:rFonts w:ascii="Arial" w:hAnsi="Arial" w:cs="Arial"/>
                <w:color w:val="000000"/>
                <w:sz w:val="18"/>
                <w:szCs w:val="18"/>
                <w:lang w:val="en-AU"/>
              </w:rPr>
            </w:pPr>
            <w:r>
              <w:rPr>
                <w:rFonts w:ascii="Arial" w:hAnsi="Arial" w:cs="Arial"/>
                <w:color w:val="000000"/>
                <w:sz w:val="18"/>
                <w:szCs w:val="18"/>
                <w:lang w:val="en-AU"/>
              </w:rPr>
              <w:t>4.11</w:t>
            </w:r>
          </w:p>
        </w:tc>
      </w:tr>
      <w:tr w:rsidR="00FB024B" w:rsidRPr="00FB024B" w14:paraId="7DC5F609"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5AF658FF"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65120</w:t>
            </w:r>
          </w:p>
        </w:tc>
        <w:tc>
          <w:tcPr>
            <w:tcW w:w="4657" w:type="dxa"/>
            <w:noWrap/>
            <w:hideMark/>
          </w:tcPr>
          <w:p w14:paraId="37C11A3C"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 xml:space="preserve">Prothrombin time (including INR where appropriate), activated partial thromboplastin time, thrombin time (including test for the presence of heparin), test for factor XIII deficiency (qualitative), </w:t>
            </w:r>
            <w:proofErr w:type="spellStart"/>
            <w:r w:rsidRPr="00FB024B">
              <w:rPr>
                <w:rFonts w:ascii="Arial" w:hAnsi="Arial" w:cs="Arial"/>
                <w:color w:val="000000"/>
                <w:sz w:val="18"/>
                <w:szCs w:val="18"/>
                <w:lang w:val="en-AU"/>
              </w:rPr>
              <w:t>Echis</w:t>
            </w:r>
            <w:proofErr w:type="spellEnd"/>
            <w:r w:rsidRPr="00FB024B">
              <w:rPr>
                <w:rFonts w:ascii="Arial" w:hAnsi="Arial" w:cs="Arial"/>
                <w:color w:val="000000"/>
                <w:sz w:val="18"/>
                <w:szCs w:val="18"/>
                <w:lang w:val="en-AU"/>
              </w:rPr>
              <w:t xml:space="preserve"> test, </w:t>
            </w:r>
            <w:proofErr w:type="spellStart"/>
            <w:r w:rsidRPr="00FB024B">
              <w:rPr>
                <w:rFonts w:ascii="Arial" w:hAnsi="Arial" w:cs="Arial"/>
                <w:color w:val="000000"/>
                <w:sz w:val="18"/>
                <w:szCs w:val="18"/>
                <w:lang w:val="en-AU"/>
              </w:rPr>
              <w:t>Stypven</w:t>
            </w:r>
            <w:proofErr w:type="spellEnd"/>
            <w:r w:rsidRPr="00FB024B">
              <w:rPr>
                <w:rFonts w:ascii="Arial" w:hAnsi="Arial" w:cs="Arial"/>
                <w:color w:val="000000"/>
                <w:sz w:val="18"/>
                <w:szCs w:val="18"/>
                <w:lang w:val="en-AU"/>
              </w:rPr>
              <w:t xml:space="preserve"> test, </w:t>
            </w:r>
            <w:proofErr w:type="spellStart"/>
            <w:r w:rsidRPr="00FB024B">
              <w:rPr>
                <w:rFonts w:ascii="Arial" w:hAnsi="Arial" w:cs="Arial"/>
                <w:color w:val="000000"/>
                <w:sz w:val="18"/>
                <w:szCs w:val="18"/>
                <w:lang w:val="en-AU"/>
              </w:rPr>
              <w:t>reptilase</w:t>
            </w:r>
            <w:proofErr w:type="spellEnd"/>
            <w:r w:rsidRPr="00FB024B">
              <w:rPr>
                <w:rFonts w:ascii="Arial" w:hAnsi="Arial" w:cs="Arial"/>
                <w:color w:val="000000"/>
                <w:sz w:val="18"/>
                <w:szCs w:val="18"/>
                <w:lang w:val="en-AU"/>
              </w:rPr>
              <w:t xml:space="preserve"> time, fibrinogen, or 1 of fibrinogen degradation products, fibrin monomer or D-dimer - 1 test</w:t>
            </w:r>
          </w:p>
        </w:tc>
        <w:tc>
          <w:tcPr>
            <w:tcW w:w="1724" w:type="dxa"/>
            <w:noWrap/>
          </w:tcPr>
          <w:p w14:paraId="06184359"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6BDC4EBF" w14:textId="77777777" w:rsidR="00FB024B" w:rsidRPr="00FB024B" w:rsidRDefault="00860A80" w:rsidP="00FB024B">
            <w:pPr>
              <w:spacing w:before="0" w:after="0"/>
              <w:rPr>
                <w:rFonts w:ascii="Arial" w:hAnsi="Arial" w:cs="Arial"/>
                <w:color w:val="000000"/>
                <w:sz w:val="18"/>
                <w:szCs w:val="18"/>
                <w:lang w:val="en-AU"/>
              </w:rPr>
            </w:pPr>
            <w:r>
              <w:rPr>
                <w:rFonts w:ascii="Arial" w:hAnsi="Arial" w:cs="Arial"/>
                <w:color w:val="000000"/>
                <w:sz w:val="18"/>
                <w:szCs w:val="18"/>
                <w:lang w:val="en-AU"/>
              </w:rPr>
              <w:t>4.3</w:t>
            </w:r>
          </w:p>
        </w:tc>
      </w:tr>
      <w:tr w:rsidR="00FB024B" w:rsidRPr="00FB024B" w14:paraId="2DEFFA6C"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2E7CB2D4"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65123</w:t>
            </w:r>
          </w:p>
        </w:tc>
        <w:tc>
          <w:tcPr>
            <w:tcW w:w="4657" w:type="dxa"/>
            <w:noWrap/>
            <w:hideMark/>
          </w:tcPr>
          <w:p w14:paraId="00E536BA"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2 tests described in item 65120</w:t>
            </w:r>
          </w:p>
        </w:tc>
        <w:tc>
          <w:tcPr>
            <w:tcW w:w="1724" w:type="dxa"/>
            <w:noWrap/>
          </w:tcPr>
          <w:p w14:paraId="74712A86"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w:t>
            </w:r>
            <w:r w:rsidR="008753DF">
              <w:rPr>
                <w:rFonts w:ascii="Arial" w:hAnsi="Arial" w:cs="Arial"/>
                <w:color w:val="000000"/>
                <w:sz w:val="18"/>
                <w:szCs w:val="18"/>
                <w:lang w:val="en-AU"/>
              </w:rPr>
              <w:t>hange</w:t>
            </w:r>
          </w:p>
        </w:tc>
        <w:tc>
          <w:tcPr>
            <w:tcW w:w="1650" w:type="dxa"/>
            <w:noWrap/>
          </w:tcPr>
          <w:p w14:paraId="34795649" w14:textId="77777777" w:rsidR="00FB024B" w:rsidRPr="00FB024B" w:rsidRDefault="00860A80" w:rsidP="00FB024B">
            <w:pPr>
              <w:spacing w:before="0" w:after="0"/>
              <w:rPr>
                <w:rFonts w:ascii="Arial" w:hAnsi="Arial" w:cs="Arial"/>
                <w:color w:val="000000"/>
                <w:sz w:val="18"/>
                <w:szCs w:val="18"/>
                <w:lang w:val="en-AU"/>
              </w:rPr>
            </w:pPr>
            <w:r>
              <w:rPr>
                <w:rFonts w:ascii="Arial" w:hAnsi="Arial" w:cs="Arial"/>
                <w:color w:val="000000"/>
                <w:sz w:val="18"/>
                <w:szCs w:val="18"/>
                <w:lang w:val="en-AU"/>
              </w:rPr>
              <w:t>4.3, 4.12</w:t>
            </w:r>
          </w:p>
        </w:tc>
      </w:tr>
      <w:tr w:rsidR="00FB024B" w:rsidRPr="00FB024B" w14:paraId="1AF2A595"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6A66DB25"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lastRenderedPageBreak/>
              <w:t>65126</w:t>
            </w:r>
          </w:p>
        </w:tc>
        <w:tc>
          <w:tcPr>
            <w:tcW w:w="4657" w:type="dxa"/>
            <w:noWrap/>
            <w:hideMark/>
          </w:tcPr>
          <w:p w14:paraId="06F21973"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3 tests described in item 65120</w:t>
            </w:r>
          </w:p>
        </w:tc>
        <w:tc>
          <w:tcPr>
            <w:tcW w:w="1724" w:type="dxa"/>
            <w:noWrap/>
          </w:tcPr>
          <w:p w14:paraId="10C6FFB0" w14:textId="77777777" w:rsidR="00FB024B" w:rsidRPr="00FB024B" w:rsidRDefault="00E85E9C"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3D4BAB2D" w14:textId="77777777" w:rsidR="00FB024B" w:rsidRPr="00FB024B" w:rsidRDefault="00860A80" w:rsidP="00FB024B">
            <w:pPr>
              <w:spacing w:before="0" w:after="0"/>
              <w:rPr>
                <w:rFonts w:ascii="Arial" w:hAnsi="Arial" w:cs="Arial"/>
                <w:color w:val="000000"/>
                <w:sz w:val="18"/>
                <w:szCs w:val="18"/>
                <w:lang w:val="en-AU"/>
              </w:rPr>
            </w:pPr>
            <w:r>
              <w:rPr>
                <w:rFonts w:ascii="Arial" w:hAnsi="Arial" w:cs="Arial"/>
                <w:color w:val="000000"/>
                <w:sz w:val="18"/>
                <w:szCs w:val="18"/>
                <w:lang w:val="en-AU"/>
              </w:rPr>
              <w:t>4.3</w:t>
            </w:r>
          </w:p>
        </w:tc>
      </w:tr>
      <w:tr w:rsidR="00FB024B" w:rsidRPr="00FB024B" w14:paraId="4B57616E"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69C6FC80"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65129</w:t>
            </w:r>
          </w:p>
        </w:tc>
        <w:tc>
          <w:tcPr>
            <w:tcW w:w="4657" w:type="dxa"/>
            <w:noWrap/>
            <w:hideMark/>
          </w:tcPr>
          <w:p w14:paraId="11D19D42"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4 or more tests described in item 65120</w:t>
            </w:r>
          </w:p>
        </w:tc>
        <w:tc>
          <w:tcPr>
            <w:tcW w:w="1724" w:type="dxa"/>
            <w:noWrap/>
          </w:tcPr>
          <w:p w14:paraId="318AAFE4"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Delete</w:t>
            </w:r>
          </w:p>
        </w:tc>
        <w:tc>
          <w:tcPr>
            <w:tcW w:w="1650" w:type="dxa"/>
            <w:noWrap/>
          </w:tcPr>
          <w:p w14:paraId="308A792C" w14:textId="77777777" w:rsidR="00FB024B" w:rsidRPr="00FB024B" w:rsidRDefault="00860A80" w:rsidP="00FB024B">
            <w:pPr>
              <w:spacing w:before="0" w:after="0"/>
              <w:rPr>
                <w:rFonts w:ascii="Arial" w:hAnsi="Arial" w:cs="Arial"/>
                <w:color w:val="000000"/>
                <w:sz w:val="18"/>
                <w:szCs w:val="18"/>
                <w:lang w:val="en-AU"/>
              </w:rPr>
            </w:pPr>
            <w:r>
              <w:rPr>
                <w:rFonts w:ascii="Arial" w:hAnsi="Arial" w:cs="Arial"/>
                <w:color w:val="000000"/>
                <w:sz w:val="18"/>
                <w:szCs w:val="18"/>
                <w:lang w:val="en-AU"/>
              </w:rPr>
              <w:t>4.3, 4.11</w:t>
            </w:r>
          </w:p>
        </w:tc>
      </w:tr>
      <w:tr w:rsidR="00FB024B" w:rsidRPr="00FB024B" w14:paraId="54B6B2F8"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24187A2"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65137</w:t>
            </w:r>
          </w:p>
        </w:tc>
        <w:tc>
          <w:tcPr>
            <w:tcW w:w="4657" w:type="dxa"/>
            <w:noWrap/>
            <w:hideMark/>
          </w:tcPr>
          <w:p w14:paraId="56FD476A"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Test for the presence of lupus anticoagulant not being a service associated with any service to which items 65175, 65176, 65177, 65178 and 65179 apply</w:t>
            </w:r>
          </w:p>
        </w:tc>
        <w:tc>
          <w:tcPr>
            <w:tcW w:w="1724" w:type="dxa"/>
            <w:noWrap/>
          </w:tcPr>
          <w:p w14:paraId="4DA98732" w14:textId="77777777" w:rsidR="00FB024B" w:rsidRPr="00FB024B" w:rsidRDefault="00251D4E" w:rsidP="00FB024B">
            <w:pPr>
              <w:spacing w:before="0" w:after="0"/>
              <w:rPr>
                <w:rFonts w:ascii="Arial" w:hAnsi="Arial" w:cs="Arial"/>
                <w:color w:val="000000"/>
                <w:sz w:val="18"/>
                <w:szCs w:val="18"/>
                <w:lang w:val="en-AU"/>
              </w:rPr>
            </w:pPr>
            <w:r>
              <w:rPr>
                <w:rFonts w:ascii="Arial" w:hAnsi="Arial" w:cs="Arial"/>
                <w:color w:val="000000"/>
                <w:sz w:val="18"/>
                <w:szCs w:val="18"/>
                <w:lang w:val="en-AU"/>
              </w:rPr>
              <w:t>No c</w:t>
            </w:r>
            <w:r w:rsidR="008753DF">
              <w:rPr>
                <w:rFonts w:ascii="Arial" w:hAnsi="Arial" w:cs="Arial"/>
                <w:color w:val="000000"/>
                <w:sz w:val="18"/>
                <w:szCs w:val="18"/>
                <w:lang w:val="en-AU"/>
              </w:rPr>
              <w:t>hange</w:t>
            </w:r>
          </w:p>
        </w:tc>
        <w:tc>
          <w:tcPr>
            <w:tcW w:w="1650" w:type="dxa"/>
            <w:noWrap/>
          </w:tcPr>
          <w:p w14:paraId="7BB47342" w14:textId="77777777" w:rsidR="00FB024B" w:rsidRPr="00FB024B" w:rsidRDefault="00860A80"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442B1003"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FFCC801"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65142</w:t>
            </w:r>
          </w:p>
        </w:tc>
        <w:tc>
          <w:tcPr>
            <w:tcW w:w="4657" w:type="dxa"/>
            <w:noWrap/>
            <w:hideMark/>
          </w:tcPr>
          <w:p w14:paraId="1F91CE7E"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w:t>
            </w:r>
            <w:r w:rsidR="00FB024B" w:rsidRPr="00FB024B">
              <w:rPr>
                <w:rFonts w:ascii="Arial" w:hAnsi="Arial" w:cs="Arial"/>
                <w:color w:val="000000"/>
                <w:sz w:val="18"/>
                <w:szCs w:val="18"/>
                <w:lang w:val="en-AU"/>
              </w:rPr>
              <w:t>onfirmation or clarification of an abnormal or indeterminate result from a test described in item 65175, by testing a specimen collected on a different day - 1 or more tests</w:t>
            </w:r>
          </w:p>
        </w:tc>
        <w:tc>
          <w:tcPr>
            <w:tcW w:w="1724" w:type="dxa"/>
            <w:noWrap/>
          </w:tcPr>
          <w:p w14:paraId="37AB82A1"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49BF1F92" w14:textId="77777777" w:rsidR="00FB024B" w:rsidRPr="00FB024B" w:rsidRDefault="00860A80"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2C3379AA"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4312131D"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65144</w:t>
            </w:r>
          </w:p>
        </w:tc>
        <w:tc>
          <w:tcPr>
            <w:tcW w:w="4657" w:type="dxa"/>
            <w:noWrap/>
            <w:hideMark/>
          </w:tcPr>
          <w:p w14:paraId="27741914"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 xml:space="preserve">Platelet aggregation in response to ADP, collagen, 5HT, </w:t>
            </w:r>
            <w:proofErr w:type="spellStart"/>
            <w:r w:rsidRPr="00FB024B">
              <w:rPr>
                <w:rFonts w:ascii="Arial" w:hAnsi="Arial" w:cs="Arial"/>
                <w:color w:val="000000"/>
                <w:sz w:val="18"/>
                <w:szCs w:val="18"/>
                <w:lang w:val="en-AU"/>
              </w:rPr>
              <w:t>ristocetin</w:t>
            </w:r>
            <w:proofErr w:type="spellEnd"/>
            <w:r w:rsidRPr="00FB024B">
              <w:rPr>
                <w:rFonts w:ascii="Arial" w:hAnsi="Arial" w:cs="Arial"/>
                <w:color w:val="000000"/>
                <w:sz w:val="18"/>
                <w:szCs w:val="18"/>
                <w:lang w:val="en-AU"/>
              </w:rPr>
              <w:t xml:space="preserve"> or other substances; or heparin, low molecular weight heparins, heparinoid or other drugs - 1 or more tests</w:t>
            </w:r>
          </w:p>
        </w:tc>
        <w:tc>
          <w:tcPr>
            <w:tcW w:w="1724" w:type="dxa"/>
            <w:noWrap/>
          </w:tcPr>
          <w:p w14:paraId="2BF2CA11"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1C3EB1B0" w14:textId="77777777" w:rsidR="00FB024B" w:rsidRPr="00FB024B" w:rsidRDefault="00860A80" w:rsidP="00FB024B">
            <w:pPr>
              <w:spacing w:before="0" w:after="0"/>
              <w:rPr>
                <w:rFonts w:ascii="Arial" w:hAnsi="Arial" w:cs="Arial"/>
                <w:color w:val="000000"/>
                <w:sz w:val="18"/>
                <w:szCs w:val="18"/>
                <w:lang w:val="en-AU"/>
              </w:rPr>
            </w:pPr>
            <w:r>
              <w:rPr>
                <w:rFonts w:ascii="Arial" w:hAnsi="Arial" w:cs="Arial"/>
                <w:color w:val="000000"/>
                <w:sz w:val="18"/>
                <w:szCs w:val="18"/>
                <w:lang w:val="en-AU"/>
              </w:rPr>
              <w:t>4.5</w:t>
            </w:r>
          </w:p>
        </w:tc>
      </w:tr>
      <w:tr w:rsidR="00FB024B" w:rsidRPr="00FB024B" w14:paraId="4464229C"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4DCF4899"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65147</w:t>
            </w:r>
          </w:p>
        </w:tc>
        <w:tc>
          <w:tcPr>
            <w:tcW w:w="4657" w:type="dxa"/>
            <w:noWrap/>
            <w:hideMark/>
          </w:tcPr>
          <w:p w14:paraId="2420E742"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Quantitation of anti-</w:t>
            </w:r>
            <w:proofErr w:type="spellStart"/>
            <w:r w:rsidRPr="00FB024B">
              <w:rPr>
                <w:rFonts w:ascii="Arial" w:hAnsi="Arial" w:cs="Arial"/>
                <w:color w:val="000000"/>
                <w:sz w:val="18"/>
                <w:szCs w:val="18"/>
                <w:lang w:val="en-AU"/>
              </w:rPr>
              <w:t>Xa</w:t>
            </w:r>
            <w:proofErr w:type="spellEnd"/>
            <w:r w:rsidRPr="00FB024B">
              <w:rPr>
                <w:rFonts w:ascii="Arial" w:hAnsi="Arial" w:cs="Arial"/>
                <w:color w:val="000000"/>
                <w:sz w:val="18"/>
                <w:szCs w:val="18"/>
                <w:lang w:val="en-AU"/>
              </w:rPr>
              <w:t xml:space="preserve"> activity when monitoring is required for a patient receiving a low molecular weight heparin or heparinoid - 1 test</w:t>
            </w:r>
          </w:p>
        </w:tc>
        <w:tc>
          <w:tcPr>
            <w:tcW w:w="1724" w:type="dxa"/>
            <w:noWrap/>
          </w:tcPr>
          <w:p w14:paraId="1D548201"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Change</w:t>
            </w:r>
          </w:p>
        </w:tc>
        <w:tc>
          <w:tcPr>
            <w:tcW w:w="1650" w:type="dxa"/>
            <w:noWrap/>
          </w:tcPr>
          <w:p w14:paraId="4E0C2E96"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4.10</w:t>
            </w:r>
          </w:p>
        </w:tc>
      </w:tr>
      <w:tr w:rsidR="00FB024B" w:rsidRPr="00FB024B" w14:paraId="61C29F62"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509086A6"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65150</w:t>
            </w:r>
          </w:p>
        </w:tc>
        <w:tc>
          <w:tcPr>
            <w:tcW w:w="4657" w:type="dxa"/>
            <w:noWrap/>
            <w:hideMark/>
          </w:tcPr>
          <w:p w14:paraId="538A6F30"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Quantitation of von Willebrand factor antigen, von Willebrand factor activity (</w:t>
            </w:r>
            <w:proofErr w:type="spellStart"/>
            <w:r w:rsidRPr="00FB024B">
              <w:rPr>
                <w:rFonts w:ascii="Arial" w:hAnsi="Arial" w:cs="Arial"/>
                <w:color w:val="000000"/>
                <w:sz w:val="18"/>
                <w:szCs w:val="18"/>
                <w:lang w:val="en-AU"/>
              </w:rPr>
              <w:t>ristocetin</w:t>
            </w:r>
            <w:proofErr w:type="spellEnd"/>
            <w:r w:rsidRPr="00FB024B">
              <w:rPr>
                <w:rFonts w:ascii="Arial" w:hAnsi="Arial" w:cs="Arial"/>
                <w:color w:val="000000"/>
                <w:sz w:val="18"/>
                <w:szCs w:val="18"/>
                <w:lang w:val="en-AU"/>
              </w:rPr>
              <w:t xml:space="preserve"> cofactor assay), von Willebrand factor collagen binding activity, factor II, factor V, factor VII, factor VIII, factor IX, factor X, factor XI, factor XII, factor XIII, Fletcher factor, Fitzgerald factor, circulating coagulation factor inhibitors other than by Bethesda assay - 1 </w:t>
            </w:r>
            <w:r w:rsidR="0026644F">
              <w:rPr>
                <w:rFonts w:ascii="Arial" w:hAnsi="Arial" w:cs="Arial"/>
                <w:color w:val="000000"/>
                <w:sz w:val="18"/>
                <w:szCs w:val="18"/>
                <w:lang w:val="en-AU"/>
              </w:rPr>
              <w:t>test</w:t>
            </w:r>
            <w:r w:rsidR="0026644F">
              <w:rPr>
                <w:rFonts w:ascii="Arial" w:hAnsi="Arial" w:cs="Arial"/>
                <w:color w:val="000000"/>
                <w:sz w:val="18"/>
                <w:szCs w:val="18"/>
                <w:lang w:val="en-AU"/>
              </w:rPr>
              <w:br/>
              <w:t>(Item is subject to rule 6</w:t>
            </w:r>
            <w:r w:rsidRPr="00FB024B">
              <w:rPr>
                <w:rFonts w:ascii="Arial" w:hAnsi="Arial" w:cs="Arial"/>
                <w:color w:val="000000"/>
                <w:sz w:val="18"/>
                <w:szCs w:val="18"/>
                <w:lang w:val="en-AU"/>
              </w:rPr>
              <w:t>)</w:t>
            </w:r>
          </w:p>
        </w:tc>
        <w:tc>
          <w:tcPr>
            <w:tcW w:w="1724" w:type="dxa"/>
            <w:noWrap/>
          </w:tcPr>
          <w:p w14:paraId="00D858F6"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06D984A7"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2078A03B"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02695819"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65153</w:t>
            </w:r>
          </w:p>
        </w:tc>
        <w:tc>
          <w:tcPr>
            <w:tcW w:w="4657" w:type="dxa"/>
            <w:noWrap/>
            <w:hideMark/>
          </w:tcPr>
          <w:p w14:paraId="1E6558A7"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2 tests described in item 6</w:t>
            </w:r>
            <w:r w:rsidR="0026644F">
              <w:rPr>
                <w:rFonts w:ascii="Arial" w:hAnsi="Arial" w:cs="Arial"/>
                <w:color w:val="000000"/>
                <w:sz w:val="18"/>
                <w:szCs w:val="18"/>
                <w:lang w:val="en-AU"/>
              </w:rPr>
              <w:t>5150</w:t>
            </w:r>
            <w:r w:rsidR="0026644F">
              <w:rPr>
                <w:rFonts w:ascii="Arial" w:hAnsi="Arial" w:cs="Arial"/>
                <w:color w:val="000000"/>
                <w:sz w:val="18"/>
                <w:szCs w:val="18"/>
                <w:lang w:val="en-AU"/>
              </w:rPr>
              <w:br/>
              <w:t>(Item is subject to rule 6</w:t>
            </w:r>
            <w:r w:rsidRPr="00FB024B">
              <w:rPr>
                <w:rFonts w:ascii="Arial" w:hAnsi="Arial" w:cs="Arial"/>
                <w:color w:val="000000"/>
                <w:sz w:val="18"/>
                <w:szCs w:val="18"/>
                <w:lang w:val="en-AU"/>
              </w:rPr>
              <w:t>)</w:t>
            </w:r>
          </w:p>
        </w:tc>
        <w:tc>
          <w:tcPr>
            <w:tcW w:w="1724" w:type="dxa"/>
            <w:noWrap/>
          </w:tcPr>
          <w:p w14:paraId="3106C089"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6B150549"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559A5618"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4EA7C1B0"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65156</w:t>
            </w:r>
          </w:p>
        </w:tc>
        <w:tc>
          <w:tcPr>
            <w:tcW w:w="4657" w:type="dxa"/>
            <w:noWrap/>
            <w:hideMark/>
          </w:tcPr>
          <w:p w14:paraId="14BE5701"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3 or more tests described in item 6</w:t>
            </w:r>
            <w:r w:rsidR="0026644F">
              <w:rPr>
                <w:rFonts w:ascii="Arial" w:hAnsi="Arial" w:cs="Arial"/>
                <w:color w:val="000000"/>
                <w:sz w:val="18"/>
                <w:szCs w:val="18"/>
                <w:lang w:val="en-AU"/>
              </w:rPr>
              <w:t>5150</w:t>
            </w:r>
            <w:r w:rsidR="0026644F">
              <w:rPr>
                <w:rFonts w:ascii="Arial" w:hAnsi="Arial" w:cs="Arial"/>
                <w:color w:val="000000"/>
                <w:sz w:val="18"/>
                <w:szCs w:val="18"/>
                <w:lang w:val="en-AU"/>
              </w:rPr>
              <w:br/>
              <w:t>(Item is subject to rule 6</w:t>
            </w:r>
            <w:r w:rsidRPr="00FB024B">
              <w:rPr>
                <w:rFonts w:ascii="Arial" w:hAnsi="Arial" w:cs="Arial"/>
                <w:color w:val="000000"/>
                <w:sz w:val="18"/>
                <w:szCs w:val="18"/>
                <w:lang w:val="en-AU"/>
              </w:rPr>
              <w:t>)</w:t>
            </w:r>
          </w:p>
        </w:tc>
        <w:tc>
          <w:tcPr>
            <w:tcW w:w="1724" w:type="dxa"/>
            <w:noWrap/>
          </w:tcPr>
          <w:p w14:paraId="651C8193"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11A3D7CC"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203CF10C"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1CE5BE46"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65157</w:t>
            </w:r>
          </w:p>
        </w:tc>
        <w:tc>
          <w:tcPr>
            <w:tcW w:w="4657" w:type="dxa"/>
            <w:noWrap/>
            <w:hideMark/>
          </w:tcPr>
          <w:p w14:paraId="34C137F5"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A test described in item 65150, if rendered by a receiving APP, where no tests in the item have been rendered by the referring APP - 1 test (Item is subject to rule 6 and 18)</w:t>
            </w:r>
          </w:p>
        </w:tc>
        <w:tc>
          <w:tcPr>
            <w:tcW w:w="1724" w:type="dxa"/>
            <w:noWrap/>
          </w:tcPr>
          <w:p w14:paraId="738C7224"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6E03BB7F"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74A5B7C6"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5CF82137"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65158</w:t>
            </w:r>
          </w:p>
        </w:tc>
        <w:tc>
          <w:tcPr>
            <w:tcW w:w="4657" w:type="dxa"/>
            <w:noWrap/>
            <w:hideMark/>
          </w:tcPr>
          <w:p w14:paraId="361F1C3D"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Tests described in item 65150, other than that described in 65157, if rendered by a receiving APP - each test to a maximum of 2 tests (Item is subject to rule 6 and 18)</w:t>
            </w:r>
          </w:p>
        </w:tc>
        <w:tc>
          <w:tcPr>
            <w:tcW w:w="1724" w:type="dxa"/>
            <w:noWrap/>
          </w:tcPr>
          <w:p w14:paraId="628B2128"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0E83E2F0"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4EAF8AF6"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148815AD"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65159</w:t>
            </w:r>
          </w:p>
        </w:tc>
        <w:tc>
          <w:tcPr>
            <w:tcW w:w="4657" w:type="dxa"/>
            <w:noWrap/>
            <w:hideMark/>
          </w:tcPr>
          <w:p w14:paraId="43B4534E"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Quantitation of circulating coagulation factor inhibitors by Bethesda assay - 1 test</w:t>
            </w:r>
          </w:p>
        </w:tc>
        <w:tc>
          <w:tcPr>
            <w:tcW w:w="1724" w:type="dxa"/>
            <w:noWrap/>
          </w:tcPr>
          <w:p w14:paraId="77ECBFC8"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508663CD"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7BDE9401"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3F72D0E4"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65162</w:t>
            </w:r>
          </w:p>
        </w:tc>
        <w:tc>
          <w:tcPr>
            <w:tcW w:w="4657" w:type="dxa"/>
            <w:noWrap/>
            <w:hideMark/>
          </w:tcPr>
          <w:p w14:paraId="32C48648"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Examination of a maternal blood film for the presence of f</w:t>
            </w:r>
            <w:r w:rsidR="00FA627C">
              <w:rPr>
                <w:rFonts w:ascii="Arial" w:hAnsi="Arial" w:cs="Arial"/>
                <w:color w:val="000000"/>
                <w:sz w:val="18"/>
                <w:szCs w:val="18"/>
                <w:lang w:val="en-AU"/>
              </w:rPr>
              <w:t>o</w:t>
            </w:r>
            <w:r w:rsidRPr="00FB024B">
              <w:rPr>
                <w:rFonts w:ascii="Arial" w:hAnsi="Arial" w:cs="Arial"/>
                <w:color w:val="000000"/>
                <w:sz w:val="18"/>
                <w:szCs w:val="18"/>
                <w:lang w:val="en-AU"/>
              </w:rPr>
              <w:t>etal red blood cells (</w:t>
            </w:r>
            <w:proofErr w:type="spellStart"/>
            <w:r w:rsidRPr="00FB024B">
              <w:rPr>
                <w:rFonts w:ascii="Arial" w:hAnsi="Arial" w:cs="Arial"/>
                <w:color w:val="000000"/>
                <w:sz w:val="18"/>
                <w:szCs w:val="18"/>
                <w:lang w:val="en-AU"/>
              </w:rPr>
              <w:t>Kleihauer</w:t>
            </w:r>
            <w:proofErr w:type="spellEnd"/>
            <w:r w:rsidRPr="00FB024B">
              <w:rPr>
                <w:rFonts w:ascii="Arial" w:hAnsi="Arial" w:cs="Arial"/>
                <w:color w:val="000000"/>
                <w:sz w:val="18"/>
                <w:szCs w:val="18"/>
                <w:lang w:val="en-AU"/>
              </w:rPr>
              <w:t xml:space="preserve"> test)</w:t>
            </w:r>
          </w:p>
        </w:tc>
        <w:tc>
          <w:tcPr>
            <w:tcW w:w="1724" w:type="dxa"/>
            <w:noWrap/>
          </w:tcPr>
          <w:p w14:paraId="38604EA0"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61B51B20"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5B2F82FC"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24E0F475"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65165</w:t>
            </w:r>
          </w:p>
        </w:tc>
        <w:tc>
          <w:tcPr>
            <w:tcW w:w="4657" w:type="dxa"/>
            <w:noWrap/>
            <w:hideMark/>
          </w:tcPr>
          <w:p w14:paraId="650EFD59"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Detection and quantitation of f</w:t>
            </w:r>
            <w:r w:rsidR="00FA627C">
              <w:rPr>
                <w:rFonts w:ascii="Arial" w:hAnsi="Arial" w:cs="Arial"/>
                <w:color w:val="000000"/>
                <w:sz w:val="18"/>
                <w:szCs w:val="18"/>
                <w:lang w:val="en-AU"/>
              </w:rPr>
              <w:t>o</w:t>
            </w:r>
            <w:r w:rsidRPr="00FB024B">
              <w:rPr>
                <w:rFonts w:ascii="Arial" w:hAnsi="Arial" w:cs="Arial"/>
                <w:color w:val="000000"/>
                <w:sz w:val="18"/>
                <w:szCs w:val="18"/>
                <w:lang w:val="en-AU"/>
              </w:rPr>
              <w:t>etal red blood cells in the maternal circulation by detection of red cell antigens using flow cytometric methods including (if performed) any test described in item 65070 or 65162</w:t>
            </w:r>
          </w:p>
        </w:tc>
        <w:tc>
          <w:tcPr>
            <w:tcW w:w="1724" w:type="dxa"/>
            <w:noWrap/>
          </w:tcPr>
          <w:p w14:paraId="0B1A3F2A"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08F5DD17"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1AE44A08"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48C0F043"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65166</w:t>
            </w:r>
          </w:p>
        </w:tc>
        <w:tc>
          <w:tcPr>
            <w:tcW w:w="4657" w:type="dxa"/>
            <w:noWrap/>
            <w:hideMark/>
          </w:tcPr>
          <w:p w14:paraId="2CCE17B4"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A test described in item 65165 if rendered by a receiving APP - 1 or more tests</w:t>
            </w:r>
            <w:r w:rsidR="00282D5E">
              <w:rPr>
                <w:rFonts w:ascii="Arial" w:hAnsi="Arial" w:cs="Arial"/>
                <w:color w:val="000000"/>
                <w:sz w:val="18"/>
                <w:szCs w:val="18"/>
                <w:lang w:val="en-AU"/>
              </w:rPr>
              <w:t xml:space="preserve"> </w:t>
            </w:r>
            <w:r w:rsidRPr="00FB024B">
              <w:rPr>
                <w:rFonts w:ascii="Arial" w:hAnsi="Arial" w:cs="Arial"/>
                <w:color w:val="000000"/>
                <w:sz w:val="18"/>
                <w:szCs w:val="18"/>
                <w:lang w:val="en-AU"/>
              </w:rPr>
              <w:t>(Item is subject to rule 18)</w:t>
            </w:r>
          </w:p>
        </w:tc>
        <w:tc>
          <w:tcPr>
            <w:tcW w:w="1724" w:type="dxa"/>
            <w:noWrap/>
          </w:tcPr>
          <w:p w14:paraId="7970144D"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5BC7CBDA"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FB024B" w:rsidRPr="00FB024B" w14:paraId="0BB875DB"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42F8D498"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65171</w:t>
            </w:r>
          </w:p>
        </w:tc>
        <w:tc>
          <w:tcPr>
            <w:tcW w:w="4657" w:type="dxa"/>
            <w:noWrap/>
            <w:hideMark/>
          </w:tcPr>
          <w:p w14:paraId="5F00B431"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Test for the presence of antithrombin III deficiency, protein C deficiency, protein S deficiency or activated protein C resistance in a first degree relative of a person who has a proven defect of any of the above - 1 or more tests</w:t>
            </w:r>
          </w:p>
        </w:tc>
        <w:tc>
          <w:tcPr>
            <w:tcW w:w="1724" w:type="dxa"/>
            <w:noWrap/>
          </w:tcPr>
          <w:p w14:paraId="390DA7FF"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w:t>
            </w:r>
            <w:r w:rsidR="008753DF">
              <w:rPr>
                <w:rFonts w:ascii="Arial" w:hAnsi="Arial" w:cs="Arial"/>
                <w:color w:val="000000"/>
                <w:sz w:val="18"/>
                <w:szCs w:val="18"/>
                <w:lang w:val="en-AU"/>
              </w:rPr>
              <w:t>hange</w:t>
            </w:r>
          </w:p>
        </w:tc>
        <w:tc>
          <w:tcPr>
            <w:tcW w:w="1650" w:type="dxa"/>
            <w:noWrap/>
          </w:tcPr>
          <w:p w14:paraId="5BF2C690" w14:textId="77777777" w:rsidR="00FB024B" w:rsidRPr="00FB024B" w:rsidRDefault="002D6121" w:rsidP="00FB024B">
            <w:pPr>
              <w:spacing w:before="0" w:after="0"/>
              <w:rPr>
                <w:rFonts w:ascii="Arial" w:hAnsi="Arial" w:cs="Arial"/>
                <w:color w:val="000000"/>
                <w:sz w:val="18"/>
                <w:szCs w:val="18"/>
                <w:lang w:val="en-AU"/>
              </w:rPr>
            </w:pPr>
            <w:r>
              <w:rPr>
                <w:rFonts w:ascii="Arial" w:hAnsi="Arial" w:cs="Arial"/>
                <w:color w:val="000000"/>
                <w:sz w:val="18"/>
                <w:szCs w:val="18"/>
                <w:lang w:val="en-AU"/>
              </w:rPr>
              <w:t>4.8,</w:t>
            </w:r>
            <w:r w:rsidR="002E562F">
              <w:rPr>
                <w:rFonts w:ascii="Arial" w:hAnsi="Arial" w:cs="Arial"/>
                <w:color w:val="000000"/>
                <w:sz w:val="18"/>
                <w:szCs w:val="18"/>
                <w:lang w:val="en-AU"/>
              </w:rPr>
              <w:t xml:space="preserve"> </w:t>
            </w:r>
            <w:r>
              <w:rPr>
                <w:rFonts w:ascii="Arial" w:hAnsi="Arial" w:cs="Arial"/>
                <w:color w:val="000000"/>
                <w:sz w:val="18"/>
                <w:szCs w:val="18"/>
                <w:lang w:val="en-AU"/>
              </w:rPr>
              <w:t>4.12</w:t>
            </w:r>
          </w:p>
        </w:tc>
      </w:tr>
      <w:tr w:rsidR="00FB024B" w:rsidRPr="00FB024B" w14:paraId="253B8E05"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3E8E097B"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65175</w:t>
            </w:r>
          </w:p>
        </w:tc>
        <w:tc>
          <w:tcPr>
            <w:tcW w:w="4657" w:type="dxa"/>
            <w:noWrap/>
            <w:hideMark/>
          </w:tcPr>
          <w:p w14:paraId="6A0E92FD"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Test for the presence of antithrombin III deficiency, protein C deficiency, protein S deficiency, lupus anticoagulant, activated protein C resistance - where the request for the test(s) specifically identifies that the patient has a history of venous thromboembolism - quantitation by 1 or more techniques - 1 test</w:t>
            </w:r>
            <w:r w:rsidRPr="00FB024B">
              <w:rPr>
                <w:rFonts w:ascii="Arial" w:hAnsi="Arial" w:cs="Arial"/>
                <w:color w:val="000000"/>
                <w:sz w:val="18"/>
                <w:szCs w:val="18"/>
                <w:lang w:val="en-AU"/>
              </w:rPr>
              <w:br/>
              <w:t>(Item is subject to Rule 6)</w:t>
            </w:r>
          </w:p>
        </w:tc>
        <w:tc>
          <w:tcPr>
            <w:tcW w:w="1724" w:type="dxa"/>
            <w:noWrap/>
          </w:tcPr>
          <w:p w14:paraId="4C29F5E9" w14:textId="77777777" w:rsidR="00FB024B" w:rsidRPr="00FB024B" w:rsidRDefault="00282D5E" w:rsidP="00FB024B">
            <w:pPr>
              <w:spacing w:before="0" w:after="0"/>
              <w:rPr>
                <w:rFonts w:ascii="Arial" w:hAnsi="Arial" w:cs="Arial"/>
                <w:color w:val="000000"/>
                <w:sz w:val="18"/>
                <w:szCs w:val="18"/>
                <w:lang w:val="en-AU"/>
              </w:rPr>
            </w:pPr>
            <w:r>
              <w:rPr>
                <w:rFonts w:ascii="Arial" w:hAnsi="Arial" w:cs="Arial"/>
                <w:color w:val="000000"/>
                <w:sz w:val="18"/>
                <w:szCs w:val="18"/>
                <w:lang w:val="en-AU"/>
              </w:rPr>
              <w:t>C</w:t>
            </w:r>
            <w:r w:rsidR="008753DF">
              <w:rPr>
                <w:rFonts w:ascii="Arial" w:hAnsi="Arial" w:cs="Arial"/>
                <w:color w:val="000000"/>
                <w:sz w:val="18"/>
                <w:szCs w:val="18"/>
                <w:lang w:val="en-AU"/>
              </w:rPr>
              <w:t>hange</w:t>
            </w:r>
          </w:p>
        </w:tc>
        <w:tc>
          <w:tcPr>
            <w:tcW w:w="1650" w:type="dxa"/>
            <w:noWrap/>
          </w:tcPr>
          <w:p w14:paraId="00CBCB1B" w14:textId="77777777" w:rsidR="00FB024B" w:rsidRPr="00FB024B" w:rsidRDefault="005A63D6" w:rsidP="00FB024B">
            <w:pPr>
              <w:spacing w:before="0" w:after="0"/>
              <w:rPr>
                <w:rFonts w:ascii="Arial" w:hAnsi="Arial" w:cs="Arial"/>
                <w:color w:val="000000"/>
                <w:sz w:val="18"/>
                <w:szCs w:val="18"/>
                <w:lang w:val="en-AU"/>
              </w:rPr>
            </w:pPr>
            <w:r>
              <w:rPr>
                <w:rFonts w:ascii="Arial" w:hAnsi="Arial" w:cs="Arial"/>
                <w:color w:val="000000"/>
                <w:sz w:val="18"/>
                <w:szCs w:val="18"/>
                <w:lang w:val="en-AU"/>
              </w:rPr>
              <w:t>4.8,</w:t>
            </w:r>
            <w:r w:rsidR="002E562F">
              <w:rPr>
                <w:rFonts w:ascii="Arial" w:hAnsi="Arial" w:cs="Arial"/>
                <w:color w:val="000000"/>
                <w:sz w:val="18"/>
                <w:szCs w:val="18"/>
                <w:lang w:val="en-AU"/>
              </w:rPr>
              <w:t xml:space="preserve"> </w:t>
            </w:r>
            <w:r>
              <w:rPr>
                <w:rFonts w:ascii="Arial" w:hAnsi="Arial" w:cs="Arial"/>
                <w:color w:val="000000"/>
                <w:sz w:val="18"/>
                <w:szCs w:val="18"/>
                <w:lang w:val="en-AU"/>
              </w:rPr>
              <w:t>4.10</w:t>
            </w:r>
          </w:p>
        </w:tc>
      </w:tr>
      <w:tr w:rsidR="00FB024B" w:rsidRPr="00FB024B" w14:paraId="285A12E7"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8C42D08"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65176</w:t>
            </w:r>
          </w:p>
        </w:tc>
        <w:tc>
          <w:tcPr>
            <w:tcW w:w="4657" w:type="dxa"/>
            <w:noWrap/>
            <w:hideMark/>
          </w:tcPr>
          <w:p w14:paraId="190081BC"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2 tests described in item 65175</w:t>
            </w:r>
            <w:r w:rsidRPr="00FB024B">
              <w:rPr>
                <w:rFonts w:ascii="Arial" w:hAnsi="Arial" w:cs="Arial"/>
                <w:color w:val="000000"/>
                <w:sz w:val="18"/>
                <w:szCs w:val="18"/>
                <w:lang w:val="en-AU"/>
              </w:rPr>
              <w:br/>
              <w:t>(Item is subject to rule 6)</w:t>
            </w:r>
          </w:p>
        </w:tc>
        <w:tc>
          <w:tcPr>
            <w:tcW w:w="1724" w:type="dxa"/>
            <w:noWrap/>
          </w:tcPr>
          <w:p w14:paraId="437DC1DE"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w:t>
            </w:r>
            <w:r w:rsidR="008753DF">
              <w:rPr>
                <w:rFonts w:ascii="Arial" w:hAnsi="Arial" w:cs="Arial"/>
                <w:color w:val="000000"/>
                <w:sz w:val="18"/>
                <w:szCs w:val="18"/>
                <w:lang w:val="en-AU"/>
              </w:rPr>
              <w:t>hange</w:t>
            </w:r>
          </w:p>
        </w:tc>
        <w:tc>
          <w:tcPr>
            <w:tcW w:w="1650" w:type="dxa"/>
            <w:noWrap/>
          </w:tcPr>
          <w:p w14:paraId="4A8340CF" w14:textId="77777777" w:rsidR="00FB024B" w:rsidRPr="00FB024B" w:rsidRDefault="005A63D6" w:rsidP="00FB024B">
            <w:pPr>
              <w:spacing w:before="0" w:after="0"/>
              <w:rPr>
                <w:rFonts w:ascii="Arial" w:hAnsi="Arial" w:cs="Arial"/>
                <w:color w:val="000000"/>
                <w:sz w:val="18"/>
                <w:szCs w:val="18"/>
                <w:lang w:val="en-AU"/>
              </w:rPr>
            </w:pPr>
            <w:r>
              <w:rPr>
                <w:rFonts w:ascii="Arial" w:hAnsi="Arial" w:cs="Arial"/>
                <w:color w:val="000000"/>
                <w:sz w:val="18"/>
                <w:szCs w:val="18"/>
                <w:lang w:val="en-AU"/>
              </w:rPr>
              <w:t>4.8,</w:t>
            </w:r>
            <w:r w:rsidR="002E562F">
              <w:rPr>
                <w:rFonts w:ascii="Arial" w:hAnsi="Arial" w:cs="Arial"/>
                <w:color w:val="000000"/>
                <w:sz w:val="18"/>
                <w:szCs w:val="18"/>
                <w:lang w:val="en-AU"/>
              </w:rPr>
              <w:t xml:space="preserve"> </w:t>
            </w:r>
            <w:r>
              <w:rPr>
                <w:rFonts w:ascii="Arial" w:hAnsi="Arial" w:cs="Arial"/>
                <w:color w:val="000000"/>
                <w:sz w:val="18"/>
                <w:szCs w:val="18"/>
                <w:lang w:val="en-AU"/>
              </w:rPr>
              <w:t>4.12</w:t>
            </w:r>
          </w:p>
        </w:tc>
      </w:tr>
      <w:tr w:rsidR="00FB024B" w:rsidRPr="00FB024B" w14:paraId="39ABB27F"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2293E942"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65177</w:t>
            </w:r>
          </w:p>
        </w:tc>
        <w:tc>
          <w:tcPr>
            <w:tcW w:w="4657" w:type="dxa"/>
            <w:noWrap/>
            <w:hideMark/>
          </w:tcPr>
          <w:p w14:paraId="1F684B71"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3 tests described in item 65175</w:t>
            </w:r>
            <w:r w:rsidRPr="00FB024B">
              <w:rPr>
                <w:rFonts w:ascii="Arial" w:hAnsi="Arial" w:cs="Arial"/>
                <w:color w:val="000000"/>
                <w:sz w:val="18"/>
                <w:szCs w:val="18"/>
                <w:lang w:val="en-AU"/>
              </w:rPr>
              <w:br/>
              <w:t>(Item is subject to rule 6)</w:t>
            </w:r>
          </w:p>
        </w:tc>
        <w:tc>
          <w:tcPr>
            <w:tcW w:w="1724" w:type="dxa"/>
            <w:noWrap/>
          </w:tcPr>
          <w:p w14:paraId="7F22E5F2"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78DC6215" w14:textId="77777777" w:rsidR="00FB024B" w:rsidRPr="00FB024B" w:rsidRDefault="002E562F" w:rsidP="00FB024B">
            <w:pPr>
              <w:spacing w:before="0" w:after="0"/>
              <w:rPr>
                <w:rFonts w:ascii="Arial" w:hAnsi="Arial" w:cs="Arial"/>
                <w:color w:val="000000"/>
                <w:sz w:val="18"/>
                <w:szCs w:val="18"/>
                <w:lang w:val="en-AU"/>
              </w:rPr>
            </w:pPr>
            <w:r>
              <w:rPr>
                <w:rFonts w:ascii="Arial" w:hAnsi="Arial" w:cs="Arial"/>
                <w:color w:val="000000"/>
                <w:sz w:val="18"/>
                <w:szCs w:val="18"/>
                <w:lang w:val="en-AU"/>
              </w:rPr>
              <w:t>4.8, 4.12</w:t>
            </w:r>
          </w:p>
        </w:tc>
      </w:tr>
      <w:tr w:rsidR="00FB024B" w:rsidRPr="00FB024B" w14:paraId="09894B39"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0AEB7726"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lastRenderedPageBreak/>
              <w:t>65178</w:t>
            </w:r>
          </w:p>
        </w:tc>
        <w:tc>
          <w:tcPr>
            <w:tcW w:w="4657" w:type="dxa"/>
            <w:noWrap/>
            <w:hideMark/>
          </w:tcPr>
          <w:p w14:paraId="0646AB73"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4 tests described in item 65175 (Item is subject to rule 6)</w:t>
            </w:r>
          </w:p>
        </w:tc>
        <w:tc>
          <w:tcPr>
            <w:tcW w:w="1724" w:type="dxa"/>
            <w:noWrap/>
          </w:tcPr>
          <w:p w14:paraId="602C088F"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14512F1E" w14:textId="77777777" w:rsidR="00FB024B" w:rsidRPr="00FB024B" w:rsidRDefault="005A63D6" w:rsidP="00FB024B">
            <w:pPr>
              <w:spacing w:before="0" w:after="0"/>
              <w:rPr>
                <w:rFonts w:ascii="Arial" w:hAnsi="Arial" w:cs="Arial"/>
                <w:color w:val="000000"/>
                <w:sz w:val="18"/>
                <w:szCs w:val="18"/>
                <w:lang w:val="en-AU"/>
              </w:rPr>
            </w:pPr>
            <w:r>
              <w:rPr>
                <w:rFonts w:ascii="Arial" w:hAnsi="Arial" w:cs="Arial"/>
                <w:color w:val="000000"/>
                <w:sz w:val="18"/>
                <w:szCs w:val="18"/>
                <w:lang w:val="en-AU"/>
              </w:rPr>
              <w:t>4.8,</w:t>
            </w:r>
            <w:r w:rsidR="002E562F">
              <w:rPr>
                <w:rFonts w:ascii="Arial" w:hAnsi="Arial" w:cs="Arial"/>
                <w:color w:val="000000"/>
                <w:sz w:val="18"/>
                <w:szCs w:val="18"/>
                <w:lang w:val="en-AU"/>
              </w:rPr>
              <w:t xml:space="preserve"> </w:t>
            </w:r>
            <w:r>
              <w:rPr>
                <w:rFonts w:ascii="Arial" w:hAnsi="Arial" w:cs="Arial"/>
                <w:color w:val="000000"/>
                <w:sz w:val="18"/>
                <w:szCs w:val="18"/>
                <w:lang w:val="en-AU"/>
              </w:rPr>
              <w:t>4.12</w:t>
            </w:r>
          </w:p>
        </w:tc>
      </w:tr>
      <w:tr w:rsidR="00FB024B" w:rsidRPr="00FB024B" w14:paraId="05127BA0"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73177B75"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65179</w:t>
            </w:r>
          </w:p>
        </w:tc>
        <w:tc>
          <w:tcPr>
            <w:tcW w:w="4657" w:type="dxa"/>
            <w:noWrap/>
            <w:hideMark/>
          </w:tcPr>
          <w:p w14:paraId="66E828B8"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5 tests described in item 65175 (Item is subject to rule 6)</w:t>
            </w:r>
          </w:p>
        </w:tc>
        <w:tc>
          <w:tcPr>
            <w:tcW w:w="1724" w:type="dxa"/>
            <w:noWrap/>
          </w:tcPr>
          <w:p w14:paraId="736F065D"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055410BB" w14:textId="77777777" w:rsidR="00FB024B" w:rsidRPr="00FB024B" w:rsidRDefault="002E562F" w:rsidP="00FB024B">
            <w:pPr>
              <w:spacing w:before="0" w:after="0"/>
              <w:rPr>
                <w:rFonts w:ascii="Arial" w:hAnsi="Arial" w:cs="Arial"/>
                <w:color w:val="000000"/>
                <w:sz w:val="18"/>
                <w:szCs w:val="18"/>
                <w:lang w:val="en-AU"/>
              </w:rPr>
            </w:pPr>
            <w:r>
              <w:rPr>
                <w:rFonts w:ascii="Arial" w:hAnsi="Arial" w:cs="Arial"/>
                <w:color w:val="000000"/>
                <w:sz w:val="18"/>
                <w:szCs w:val="18"/>
                <w:lang w:val="en-AU"/>
              </w:rPr>
              <w:t>4.8, 4.12</w:t>
            </w:r>
          </w:p>
        </w:tc>
      </w:tr>
      <w:tr w:rsidR="00FB024B" w:rsidRPr="00FB024B" w14:paraId="314C306E"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311D6A9D"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65180</w:t>
            </w:r>
          </w:p>
        </w:tc>
        <w:tc>
          <w:tcPr>
            <w:tcW w:w="4657" w:type="dxa"/>
            <w:noWrap/>
            <w:hideMark/>
          </w:tcPr>
          <w:p w14:paraId="508FD96F"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A test described in item 65175, if rendered by a receiving APA, where no tests in the item have been rendered by the referring APA - 1 test</w:t>
            </w:r>
            <w:r w:rsidR="0026644F">
              <w:rPr>
                <w:rFonts w:ascii="Arial" w:hAnsi="Arial" w:cs="Arial"/>
                <w:color w:val="000000"/>
                <w:sz w:val="18"/>
                <w:szCs w:val="18"/>
                <w:lang w:val="en-AU"/>
              </w:rPr>
              <w:t xml:space="preserve"> (Item is subject to rule</w:t>
            </w:r>
            <w:r w:rsidRPr="00FB024B">
              <w:rPr>
                <w:rFonts w:ascii="Arial" w:hAnsi="Arial" w:cs="Arial"/>
                <w:color w:val="000000"/>
                <w:sz w:val="18"/>
                <w:szCs w:val="18"/>
                <w:lang w:val="en-AU"/>
              </w:rPr>
              <w:t xml:space="preserve"> 6 and 18)</w:t>
            </w:r>
          </w:p>
        </w:tc>
        <w:tc>
          <w:tcPr>
            <w:tcW w:w="1724" w:type="dxa"/>
            <w:noWrap/>
          </w:tcPr>
          <w:p w14:paraId="39954D58" w14:textId="77777777" w:rsidR="00FB024B" w:rsidRPr="00FB024B" w:rsidRDefault="008753DF" w:rsidP="00FB024B">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2FC4F087" w14:textId="77777777" w:rsidR="00FB024B" w:rsidRPr="00FB024B" w:rsidRDefault="002E562F" w:rsidP="00FB024B">
            <w:pPr>
              <w:spacing w:before="0" w:after="0"/>
              <w:rPr>
                <w:rFonts w:ascii="Arial" w:hAnsi="Arial" w:cs="Arial"/>
                <w:color w:val="000000"/>
                <w:sz w:val="18"/>
                <w:szCs w:val="18"/>
                <w:lang w:val="en-AU"/>
              </w:rPr>
            </w:pPr>
            <w:r>
              <w:rPr>
                <w:rFonts w:ascii="Arial" w:hAnsi="Arial" w:cs="Arial"/>
                <w:color w:val="000000"/>
                <w:sz w:val="18"/>
                <w:szCs w:val="18"/>
                <w:lang w:val="en-AU"/>
              </w:rPr>
              <w:t>4.8, 4.12</w:t>
            </w:r>
          </w:p>
        </w:tc>
      </w:tr>
      <w:tr w:rsidR="00FB024B" w:rsidRPr="00FB024B" w14:paraId="021C58C7"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hideMark/>
          </w:tcPr>
          <w:p w14:paraId="52EAA714"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65181</w:t>
            </w:r>
          </w:p>
        </w:tc>
        <w:tc>
          <w:tcPr>
            <w:tcW w:w="4657" w:type="dxa"/>
            <w:noWrap/>
            <w:hideMark/>
          </w:tcPr>
          <w:p w14:paraId="0F18902C" w14:textId="77777777" w:rsidR="00FB024B" w:rsidRPr="00FB024B" w:rsidRDefault="00FB024B" w:rsidP="00FB024B">
            <w:pPr>
              <w:spacing w:before="0" w:after="0"/>
              <w:rPr>
                <w:rFonts w:ascii="Arial" w:hAnsi="Arial" w:cs="Arial"/>
                <w:color w:val="000000"/>
                <w:sz w:val="18"/>
                <w:szCs w:val="18"/>
                <w:lang w:val="en-AU"/>
              </w:rPr>
            </w:pPr>
            <w:r w:rsidRPr="00FB024B">
              <w:rPr>
                <w:rFonts w:ascii="Arial" w:hAnsi="Arial" w:cs="Arial"/>
                <w:color w:val="000000"/>
                <w:sz w:val="18"/>
                <w:szCs w:val="18"/>
                <w:lang w:val="en-AU"/>
              </w:rPr>
              <w:t>Tests described in item 65175, other than that described in 65180, if rendered by a receiving APA - ea</w:t>
            </w:r>
            <w:r w:rsidR="0026644F">
              <w:rPr>
                <w:rFonts w:ascii="Arial" w:hAnsi="Arial" w:cs="Arial"/>
                <w:color w:val="000000"/>
                <w:sz w:val="18"/>
                <w:szCs w:val="18"/>
                <w:lang w:val="en-AU"/>
              </w:rPr>
              <w:t>ch test to a maximum of 4 tests</w:t>
            </w:r>
            <w:r w:rsidRPr="00FB024B">
              <w:rPr>
                <w:rFonts w:ascii="Arial" w:hAnsi="Arial" w:cs="Arial"/>
                <w:color w:val="000000"/>
                <w:sz w:val="18"/>
                <w:szCs w:val="18"/>
                <w:lang w:val="en-AU"/>
              </w:rPr>
              <w:t xml:space="preserve"> (Item is subject to rule 6 and 18)</w:t>
            </w:r>
          </w:p>
        </w:tc>
        <w:tc>
          <w:tcPr>
            <w:tcW w:w="1724" w:type="dxa"/>
            <w:noWrap/>
          </w:tcPr>
          <w:p w14:paraId="3C5F9CA9" w14:textId="77777777" w:rsidR="00FB024B" w:rsidRPr="00FB024B" w:rsidRDefault="006B5A73" w:rsidP="00FB024B">
            <w:pPr>
              <w:spacing w:before="0" w:after="0"/>
              <w:rPr>
                <w:rFonts w:ascii="Arial" w:hAnsi="Arial" w:cs="Arial"/>
                <w:color w:val="000000"/>
                <w:sz w:val="18"/>
                <w:szCs w:val="18"/>
                <w:lang w:val="en-AU"/>
              </w:rPr>
            </w:pPr>
            <w:r>
              <w:rPr>
                <w:rFonts w:ascii="Arial" w:hAnsi="Arial" w:cs="Arial"/>
                <w:color w:val="000000"/>
                <w:sz w:val="18"/>
                <w:szCs w:val="18"/>
                <w:lang w:val="en-AU"/>
              </w:rPr>
              <w:t>No c</w:t>
            </w:r>
            <w:r w:rsidR="008753DF">
              <w:rPr>
                <w:rFonts w:ascii="Arial" w:hAnsi="Arial" w:cs="Arial"/>
                <w:color w:val="000000"/>
                <w:sz w:val="18"/>
                <w:szCs w:val="18"/>
                <w:lang w:val="en-AU"/>
              </w:rPr>
              <w:t>hange</w:t>
            </w:r>
          </w:p>
        </w:tc>
        <w:tc>
          <w:tcPr>
            <w:tcW w:w="1650" w:type="dxa"/>
            <w:noWrap/>
          </w:tcPr>
          <w:p w14:paraId="3B09CD78" w14:textId="77777777" w:rsidR="00FB024B" w:rsidRPr="00FB024B" w:rsidRDefault="002E562F" w:rsidP="00FB024B">
            <w:pPr>
              <w:spacing w:before="0" w:after="0"/>
              <w:rPr>
                <w:rFonts w:ascii="Arial" w:hAnsi="Arial" w:cs="Arial"/>
                <w:color w:val="000000"/>
                <w:sz w:val="18"/>
                <w:szCs w:val="18"/>
                <w:lang w:val="en-AU"/>
              </w:rPr>
            </w:pPr>
            <w:r>
              <w:rPr>
                <w:rFonts w:ascii="Arial" w:hAnsi="Arial" w:cs="Arial"/>
                <w:color w:val="000000"/>
                <w:sz w:val="18"/>
                <w:szCs w:val="18"/>
                <w:lang w:val="en-AU"/>
              </w:rPr>
              <w:t>4.8, 4.12</w:t>
            </w:r>
          </w:p>
        </w:tc>
      </w:tr>
      <w:tr w:rsidR="0019316F" w:rsidRPr="00FB024B" w14:paraId="61AFA4A6"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tcPr>
          <w:p w14:paraId="14867827" w14:textId="77777777" w:rsidR="0019316F" w:rsidRDefault="0019316F" w:rsidP="0019316F">
            <w:pPr>
              <w:spacing w:before="0" w:after="0"/>
              <w:rPr>
                <w:rFonts w:ascii="Arial" w:hAnsi="Arial" w:cs="Arial"/>
                <w:color w:val="000000"/>
                <w:sz w:val="18"/>
                <w:szCs w:val="18"/>
                <w:lang w:val="en-AU"/>
              </w:rPr>
            </w:pPr>
            <w:r>
              <w:rPr>
                <w:rFonts w:ascii="Arial" w:hAnsi="Arial" w:cs="Arial"/>
                <w:color w:val="000000"/>
                <w:sz w:val="18"/>
                <w:szCs w:val="18"/>
                <w:lang w:val="en-AU"/>
              </w:rPr>
              <w:t>73829</w:t>
            </w:r>
          </w:p>
          <w:p w14:paraId="05BC29F2" w14:textId="77777777" w:rsidR="00946D63" w:rsidRPr="00FB024B" w:rsidRDefault="00946D63" w:rsidP="0019316F">
            <w:pPr>
              <w:spacing w:before="0" w:after="0"/>
              <w:rPr>
                <w:rFonts w:ascii="Arial" w:hAnsi="Arial" w:cs="Arial"/>
                <w:color w:val="000000"/>
                <w:sz w:val="18"/>
                <w:szCs w:val="18"/>
                <w:lang w:val="en-AU"/>
              </w:rPr>
            </w:pPr>
            <w:r>
              <w:rPr>
                <w:rFonts w:ascii="Arial" w:hAnsi="Arial" w:cs="Arial"/>
                <w:color w:val="000000"/>
                <w:sz w:val="18"/>
                <w:szCs w:val="18"/>
                <w:lang w:val="en-AU"/>
              </w:rPr>
              <w:t>(referred item)</w:t>
            </w:r>
          </w:p>
        </w:tc>
        <w:tc>
          <w:tcPr>
            <w:tcW w:w="4657" w:type="dxa"/>
            <w:noWrap/>
          </w:tcPr>
          <w:p w14:paraId="1EA1CEC1" w14:textId="77777777" w:rsidR="0019316F" w:rsidRPr="00FB024B" w:rsidRDefault="0019316F" w:rsidP="0019316F">
            <w:pPr>
              <w:spacing w:before="0" w:after="0"/>
              <w:rPr>
                <w:rFonts w:ascii="Arial" w:hAnsi="Arial" w:cs="Arial"/>
                <w:color w:val="000000"/>
                <w:sz w:val="18"/>
                <w:szCs w:val="18"/>
                <w:lang w:val="en-AU"/>
              </w:rPr>
            </w:pPr>
            <w:r w:rsidRPr="00D620ED">
              <w:rPr>
                <w:rFonts w:ascii="Arial" w:hAnsi="Arial" w:cs="Arial"/>
                <w:sz w:val="18"/>
                <w:szCs w:val="18"/>
              </w:rPr>
              <w:t xml:space="preserve">Leucocyte count, erythrocyte sedimentation rate, examination of blood film (including differential leucocyte count), haemoglobin, haematocrit or erythrocyte count by a participating nurse practitioner </w:t>
            </w:r>
            <w:r w:rsidR="00D43FA8">
              <w:rPr>
                <w:rFonts w:ascii="Arial" w:hAnsi="Arial" w:cs="Arial"/>
                <w:sz w:val="18"/>
                <w:szCs w:val="18"/>
              </w:rPr>
              <w:t>-</w:t>
            </w:r>
            <w:r w:rsidRPr="00D620ED">
              <w:rPr>
                <w:rFonts w:ascii="Arial" w:hAnsi="Arial" w:cs="Arial"/>
                <w:sz w:val="18"/>
                <w:szCs w:val="18"/>
              </w:rPr>
              <w:t xml:space="preserve"> 1 test</w:t>
            </w:r>
          </w:p>
        </w:tc>
        <w:tc>
          <w:tcPr>
            <w:tcW w:w="1724" w:type="dxa"/>
            <w:noWrap/>
          </w:tcPr>
          <w:p w14:paraId="4085918A" w14:textId="77777777" w:rsidR="0019316F" w:rsidRDefault="00946D63" w:rsidP="0019316F">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5F2D234A" w14:textId="77777777" w:rsidR="0019316F" w:rsidRPr="00FB024B" w:rsidRDefault="002E562F" w:rsidP="0019316F">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19316F" w:rsidRPr="00FB024B" w14:paraId="470AF2FB"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tcPr>
          <w:p w14:paraId="2A4C5B2F" w14:textId="77777777" w:rsidR="0019316F" w:rsidRDefault="0019316F" w:rsidP="0019316F">
            <w:pPr>
              <w:spacing w:before="0" w:after="0"/>
              <w:rPr>
                <w:rFonts w:ascii="Arial" w:hAnsi="Arial" w:cs="Arial"/>
                <w:color w:val="000000"/>
                <w:sz w:val="18"/>
                <w:szCs w:val="18"/>
                <w:lang w:val="en-AU"/>
              </w:rPr>
            </w:pPr>
            <w:r>
              <w:rPr>
                <w:rFonts w:ascii="Arial" w:hAnsi="Arial" w:cs="Arial"/>
                <w:color w:val="000000"/>
                <w:sz w:val="18"/>
                <w:szCs w:val="18"/>
                <w:lang w:val="en-AU"/>
              </w:rPr>
              <w:t>73830</w:t>
            </w:r>
          </w:p>
          <w:p w14:paraId="4E52DC9C" w14:textId="77777777" w:rsidR="00946D63" w:rsidRPr="00FB024B" w:rsidRDefault="00946D63" w:rsidP="0019316F">
            <w:pPr>
              <w:spacing w:before="0" w:after="0"/>
              <w:rPr>
                <w:rFonts w:ascii="Arial" w:hAnsi="Arial" w:cs="Arial"/>
                <w:color w:val="000000"/>
                <w:sz w:val="18"/>
                <w:szCs w:val="18"/>
                <w:lang w:val="en-AU"/>
              </w:rPr>
            </w:pPr>
            <w:r>
              <w:rPr>
                <w:rFonts w:ascii="Arial" w:hAnsi="Arial" w:cs="Arial"/>
                <w:color w:val="000000"/>
                <w:sz w:val="18"/>
                <w:szCs w:val="18"/>
                <w:lang w:val="en-AU"/>
              </w:rPr>
              <w:t>(referred item)</w:t>
            </w:r>
          </w:p>
        </w:tc>
        <w:tc>
          <w:tcPr>
            <w:tcW w:w="4657" w:type="dxa"/>
            <w:noWrap/>
          </w:tcPr>
          <w:p w14:paraId="5BE631E6" w14:textId="77777777" w:rsidR="0019316F" w:rsidRPr="00FB024B" w:rsidRDefault="0019316F" w:rsidP="0019316F">
            <w:pPr>
              <w:spacing w:before="0" w:after="0"/>
              <w:rPr>
                <w:rFonts w:ascii="Arial" w:hAnsi="Arial" w:cs="Arial"/>
                <w:color w:val="000000"/>
                <w:sz w:val="18"/>
                <w:szCs w:val="18"/>
                <w:lang w:val="en-AU"/>
              </w:rPr>
            </w:pPr>
            <w:r w:rsidRPr="00D620ED">
              <w:rPr>
                <w:rFonts w:ascii="Arial" w:hAnsi="Arial" w:cs="Arial"/>
                <w:color w:val="222222"/>
                <w:sz w:val="18"/>
                <w:szCs w:val="18"/>
              </w:rPr>
              <w:t>2 tests described in item 73829 by a participating nurse practitioner</w:t>
            </w:r>
          </w:p>
        </w:tc>
        <w:tc>
          <w:tcPr>
            <w:tcW w:w="1724" w:type="dxa"/>
            <w:noWrap/>
          </w:tcPr>
          <w:p w14:paraId="29152D9B" w14:textId="77777777" w:rsidR="0019316F" w:rsidRDefault="00946D63" w:rsidP="0019316F">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2C83601D" w14:textId="77777777" w:rsidR="0019316F" w:rsidRPr="00FB024B" w:rsidRDefault="002E562F" w:rsidP="0019316F">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r w:rsidR="0019316F" w:rsidRPr="00FB024B" w14:paraId="33BF52E7" w14:textId="77777777" w:rsidTr="00970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85" w:type="dxa"/>
            <w:noWrap/>
          </w:tcPr>
          <w:p w14:paraId="0A1854BD" w14:textId="77777777" w:rsidR="0019316F" w:rsidRDefault="0019316F" w:rsidP="0019316F">
            <w:pPr>
              <w:spacing w:before="0" w:after="0"/>
              <w:rPr>
                <w:rFonts w:ascii="Arial" w:hAnsi="Arial" w:cs="Arial"/>
                <w:color w:val="000000"/>
                <w:sz w:val="18"/>
                <w:szCs w:val="18"/>
                <w:lang w:val="en-AU"/>
              </w:rPr>
            </w:pPr>
            <w:r>
              <w:rPr>
                <w:rFonts w:ascii="Arial" w:hAnsi="Arial" w:cs="Arial"/>
                <w:color w:val="000000"/>
                <w:sz w:val="18"/>
                <w:szCs w:val="18"/>
                <w:lang w:val="en-AU"/>
              </w:rPr>
              <w:t>73831</w:t>
            </w:r>
          </w:p>
          <w:p w14:paraId="62778A0F" w14:textId="77777777" w:rsidR="00946D63" w:rsidRPr="00FB024B" w:rsidRDefault="00946D63" w:rsidP="0019316F">
            <w:pPr>
              <w:spacing w:before="0" w:after="0"/>
              <w:rPr>
                <w:rFonts w:ascii="Arial" w:hAnsi="Arial" w:cs="Arial"/>
                <w:color w:val="000000"/>
                <w:sz w:val="18"/>
                <w:szCs w:val="18"/>
                <w:lang w:val="en-AU"/>
              </w:rPr>
            </w:pPr>
            <w:r>
              <w:rPr>
                <w:rFonts w:ascii="Arial" w:hAnsi="Arial" w:cs="Arial"/>
                <w:color w:val="000000"/>
                <w:sz w:val="18"/>
                <w:szCs w:val="18"/>
                <w:lang w:val="en-AU"/>
              </w:rPr>
              <w:t>(referred item)</w:t>
            </w:r>
          </w:p>
        </w:tc>
        <w:tc>
          <w:tcPr>
            <w:tcW w:w="4657" w:type="dxa"/>
            <w:noWrap/>
          </w:tcPr>
          <w:p w14:paraId="1EF85285" w14:textId="77777777" w:rsidR="0019316F" w:rsidRPr="00FB024B" w:rsidRDefault="0019316F" w:rsidP="0019316F">
            <w:pPr>
              <w:spacing w:before="0" w:after="0"/>
              <w:rPr>
                <w:rFonts w:ascii="Arial" w:hAnsi="Arial" w:cs="Arial"/>
                <w:color w:val="000000"/>
                <w:sz w:val="18"/>
                <w:szCs w:val="18"/>
                <w:lang w:val="en-AU"/>
              </w:rPr>
            </w:pPr>
            <w:r w:rsidRPr="00D620ED">
              <w:rPr>
                <w:rFonts w:ascii="Arial" w:hAnsi="Arial" w:cs="Arial"/>
                <w:color w:val="222222"/>
                <w:sz w:val="18"/>
                <w:szCs w:val="18"/>
              </w:rPr>
              <w:t>3 or more tests described in item 73829 by a participating nurse practitioner</w:t>
            </w:r>
          </w:p>
        </w:tc>
        <w:tc>
          <w:tcPr>
            <w:tcW w:w="1724" w:type="dxa"/>
            <w:noWrap/>
          </w:tcPr>
          <w:p w14:paraId="37826F77" w14:textId="77777777" w:rsidR="0019316F" w:rsidRDefault="00946D63" w:rsidP="0019316F">
            <w:pPr>
              <w:spacing w:before="0" w:after="0"/>
              <w:rPr>
                <w:rFonts w:ascii="Arial" w:hAnsi="Arial" w:cs="Arial"/>
                <w:color w:val="000000"/>
                <w:sz w:val="18"/>
                <w:szCs w:val="18"/>
                <w:lang w:val="en-AU"/>
              </w:rPr>
            </w:pPr>
            <w:r>
              <w:rPr>
                <w:rFonts w:ascii="Arial" w:hAnsi="Arial" w:cs="Arial"/>
                <w:color w:val="000000"/>
                <w:sz w:val="18"/>
                <w:szCs w:val="18"/>
                <w:lang w:val="en-AU"/>
              </w:rPr>
              <w:t>No change</w:t>
            </w:r>
          </w:p>
        </w:tc>
        <w:tc>
          <w:tcPr>
            <w:tcW w:w="1650" w:type="dxa"/>
            <w:noWrap/>
          </w:tcPr>
          <w:p w14:paraId="21FAF615" w14:textId="77777777" w:rsidR="0019316F" w:rsidRPr="00FB024B" w:rsidRDefault="002E562F" w:rsidP="0019316F">
            <w:pPr>
              <w:spacing w:before="0" w:after="0"/>
              <w:rPr>
                <w:rFonts w:ascii="Arial" w:hAnsi="Arial" w:cs="Arial"/>
                <w:color w:val="000000"/>
                <w:sz w:val="18"/>
                <w:szCs w:val="18"/>
                <w:lang w:val="en-AU"/>
              </w:rPr>
            </w:pPr>
            <w:r>
              <w:rPr>
                <w:rFonts w:ascii="Arial" w:hAnsi="Arial" w:cs="Arial"/>
                <w:color w:val="000000"/>
                <w:sz w:val="18"/>
                <w:szCs w:val="18"/>
                <w:lang w:val="en-AU"/>
              </w:rPr>
              <w:t>4.12</w:t>
            </w:r>
          </w:p>
        </w:tc>
      </w:tr>
    </w:tbl>
    <w:p w14:paraId="4DDC4880" w14:textId="77777777" w:rsidR="001136B9" w:rsidRPr="00FC1976" w:rsidRDefault="001136B9" w:rsidP="00082595">
      <w:pPr>
        <w:rPr>
          <w:sz w:val="32"/>
          <w:highlight w:val="lightGray"/>
          <w:lang w:val="en-AU" w:eastAsia="en-US"/>
        </w:rPr>
      </w:pPr>
      <w:bookmarkStart w:id="179" w:name="_Toc456045470"/>
      <w:r w:rsidRPr="00FC1976">
        <w:rPr>
          <w:highlight w:val="lightGray"/>
          <w:lang w:val="en-AU"/>
        </w:rPr>
        <w:br w:type="page"/>
      </w:r>
    </w:p>
    <w:p w14:paraId="16D63583" w14:textId="77777777" w:rsidR="004E781E" w:rsidRDefault="00920A9B" w:rsidP="00FE79D0">
      <w:pPr>
        <w:pStyle w:val="Heading1"/>
        <w:numPr>
          <w:ilvl w:val="0"/>
          <w:numId w:val="0"/>
        </w:numPr>
        <w:ind w:left="432" w:hanging="432"/>
      </w:pPr>
      <w:bookmarkStart w:id="180" w:name="_Appendix_B_—New"/>
      <w:bookmarkStart w:id="181" w:name="_Toc495403430"/>
      <w:bookmarkEnd w:id="179"/>
      <w:bookmarkEnd w:id="180"/>
      <w:r>
        <w:lastRenderedPageBreak/>
        <w:t>Appendix B</w:t>
      </w:r>
      <w:r w:rsidR="00A73501">
        <w:t>—</w:t>
      </w:r>
      <w:r>
        <w:t xml:space="preserve">New </w:t>
      </w:r>
      <w:r w:rsidR="00B51037">
        <w:t xml:space="preserve">or split </w:t>
      </w:r>
      <w:r w:rsidR="00203D0B">
        <w:t>items</w:t>
      </w:r>
      <w:bookmarkEnd w:id="181"/>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ew or split items"/>
        <w:tblDescription w:val="Appendix B is a table of new items recommended. There are 4 columns: column 1: Item, column 2: Proposed descriptor, column 3: Recommendation, and column 4: Section reference."/>
      </w:tblPr>
      <w:tblGrid>
        <w:gridCol w:w="645"/>
        <w:gridCol w:w="3830"/>
        <w:gridCol w:w="2911"/>
        <w:gridCol w:w="1630"/>
      </w:tblGrid>
      <w:tr w:rsidR="00B6486B" w:rsidRPr="00FC1976" w14:paraId="42D8A218" w14:textId="77777777" w:rsidTr="00FA627C">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F2F2F2" w:themeFill="background1" w:themeFillShade="F2"/>
          </w:tcPr>
          <w:p w14:paraId="32CFA25B" w14:textId="77777777" w:rsidR="005E1809" w:rsidRPr="00FC1976" w:rsidRDefault="005E1809">
            <w:pPr>
              <w:pStyle w:val="01Tableheaderrow"/>
              <w:jc w:val="left"/>
              <w:rPr>
                <w:lang w:val="en-AU"/>
              </w:rPr>
            </w:pPr>
            <w:r w:rsidRPr="00FC1976">
              <w:rPr>
                <w:b/>
                <w:lang w:val="en-AU"/>
              </w:rPr>
              <w:t>Item</w:t>
            </w:r>
          </w:p>
        </w:tc>
        <w:tc>
          <w:tcPr>
            <w:tcW w:w="3544" w:type="dxa"/>
            <w:shd w:val="clear" w:color="auto" w:fill="F2F2F2" w:themeFill="background1" w:themeFillShade="F2"/>
          </w:tcPr>
          <w:p w14:paraId="629446A3" w14:textId="77777777" w:rsidR="005E1809" w:rsidRPr="00FC1976" w:rsidRDefault="00282D5E">
            <w:pPr>
              <w:pStyle w:val="01Tableheaderrow"/>
              <w:jc w:val="left"/>
              <w:rPr>
                <w:lang w:val="en-AU"/>
              </w:rPr>
            </w:pPr>
            <w:r>
              <w:rPr>
                <w:b/>
                <w:lang w:val="en-AU"/>
              </w:rPr>
              <w:t>Proposed d</w:t>
            </w:r>
            <w:r w:rsidR="005E1809" w:rsidRPr="00FC1976">
              <w:rPr>
                <w:b/>
                <w:lang w:val="en-AU"/>
              </w:rPr>
              <w:t>escriptor</w:t>
            </w:r>
          </w:p>
        </w:tc>
        <w:tc>
          <w:tcPr>
            <w:tcW w:w="2693" w:type="dxa"/>
            <w:shd w:val="clear" w:color="auto" w:fill="F2F2F2" w:themeFill="background1" w:themeFillShade="F2"/>
          </w:tcPr>
          <w:p w14:paraId="6D66C34A" w14:textId="77777777" w:rsidR="005E1809" w:rsidRPr="00FC1976" w:rsidRDefault="00984BD0">
            <w:pPr>
              <w:pStyle w:val="01Tableheaderrow"/>
              <w:jc w:val="left"/>
              <w:rPr>
                <w:lang w:val="en-AU"/>
              </w:rPr>
            </w:pPr>
            <w:r>
              <w:rPr>
                <w:b/>
                <w:lang w:val="en-AU"/>
              </w:rPr>
              <w:t>Recommendation</w:t>
            </w:r>
          </w:p>
        </w:tc>
        <w:tc>
          <w:tcPr>
            <w:tcW w:w="1508" w:type="dxa"/>
            <w:shd w:val="clear" w:color="auto" w:fill="F2F2F2" w:themeFill="background1" w:themeFillShade="F2"/>
          </w:tcPr>
          <w:p w14:paraId="1A5ED330" w14:textId="77777777" w:rsidR="005E1809" w:rsidRPr="00FC1976" w:rsidRDefault="00C625CA">
            <w:pPr>
              <w:pStyle w:val="01Tableheaderrow"/>
              <w:jc w:val="left"/>
              <w:rPr>
                <w:highlight w:val="yellow"/>
                <w:lang w:val="en-AU"/>
              </w:rPr>
            </w:pPr>
            <w:r>
              <w:rPr>
                <w:b/>
                <w:lang w:val="en-AU"/>
              </w:rPr>
              <w:t>Section</w:t>
            </w:r>
            <w:r w:rsidR="00984BD0">
              <w:rPr>
                <w:b/>
                <w:lang w:val="en-AU"/>
              </w:rPr>
              <w:t xml:space="preserve"> reference</w:t>
            </w:r>
          </w:p>
        </w:tc>
      </w:tr>
      <w:tr w:rsidR="00341852" w:rsidRPr="00FC1976" w14:paraId="7FDEB104" w14:textId="77777777" w:rsidTr="00FA627C">
        <w:tc>
          <w:tcPr>
            <w:tcW w:w="0" w:type="dxa"/>
          </w:tcPr>
          <w:p w14:paraId="0BCF3B67" w14:textId="77777777" w:rsidR="00341852" w:rsidRDefault="00341852" w:rsidP="00C702A9">
            <w:pPr>
              <w:pStyle w:val="02Tabletext"/>
              <w:rPr>
                <w:lang w:val="en-AU"/>
              </w:rPr>
            </w:pPr>
            <w:r>
              <w:rPr>
                <w:lang w:val="en-AU"/>
              </w:rPr>
              <w:t>New split 650XX</w:t>
            </w:r>
          </w:p>
        </w:tc>
        <w:tc>
          <w:tcPr>
            <w:tcW w:w="3544" w:type="dxa"/>
          </w:tcPr>
          <w:p w14:paraId="2826993D" w14:textId="77777777" w:rsidR="00944CFC" w:rsidRPr="00944CFC" w:rsidRDefault="00944CFC" w:rsidP="00FA627C">
            <w:pPr>
              <w:spacing w:before="20"/>
              <w:rPr>
                <w:rFonts w:ascii="Arial" w:hAnsi="Arial" w:cs="Arial"/>
                <w:sz w:val="18"/>
                <w:szCs w:val="18"/>
                <w:lang w:val="en-AU" w:eastAsia="en-US"/>
              </w:rPr>
            </w:pPr>
            <w:r>
              <w:rPr>
                <w:rFonts w:ascii="Arial" w:hAnsi="Arial" w:cs="Arial"/>
                <w:sz w:val="18"/>
                <w:szCs w:val="18"/>
                <w:lang w:val="en-AU" w:eastAsia="en-US"/>
              </w:rPr>
              <w:t>B</w:t>
            </w:r>
            <w:r w:rsidRPr="00944CFC">
              <w:rPr>
                <w:rFonts w:ascii="Arial" w:hAnsi="Arial" w:cs="Arial"/>
                <w:sz w:val="18"/>
                <w:szCs w:val="18"/>
                <w:lang w:val="en-AU" w:eastAsia="en-US"/>
              </w:rPr>
              <w:t>lood group and examination of serum for Rh and other blood group antibodies using 2- or 3-cell panel (including 65090)</w:t>
            </w:r>
          </w:p>
        </w:tc>
        <w:tc>
          <w:tcPr>
            <w:tcW w:w="2693" w:type="dxa"/>
          </w:tcPr>
          <w:p w14:paraId="6BD18330" w14:textId="77777777" w:rsidR="00341852" w:rsidRPr="00FC1976" w:rsidRDefault="00A24D67" w:rsidP="00C702A9">
            <w:pPr>
              <w:pStyle w:val="02Tabletext"/>
              <w:rPr>
                <w:lang w:val="en-AU"/>
              </w:rPr>
            </w:pPr>
            <w:r>
              <w:t>Split the current item into two items—an initial test that includes screening for antibodies (650XX), and a second item that includes the identification and measurement only if antibodies are detected.</w:t>
            </w:r>
          </w:p>
        </w:tc>
        <w:tc>
          <w:tcPr>
            <w:tcW w:w="1508" w:type="dxa"/>
          </w:tcPr>
          <w:p w14:paraId="5FA2B3F5" w14:textId="77777777" w:rsidR="00341852" w:rsidRPr="00A3061A" w:rsidRDefault="00AA6CC6" w:rsidP="00C702A9">
            <w:pPr>
              <w:pStyle w:val="02Tabletext"/>
              <w:rPr>
                <w:lang w:val="en-AU"/>
              </w:rPr>
            </w:pPr>
            <w:r>
              <w:rPr>
                <w:lang w:val="en-AU"/>
              </w:rPr>
              <w:t>4.1</w:t>
            </w:r>
          </w:p>
        </w:tc>
      </w:tr>
      <w:tr w:rsidR="006B5A73" w:rsidRPr="00FC1976" w14:paraId="1FA53EFA" w14:textId="77777777" w:rsidTr="00FA627C">
        <w:tc>
          <w:tcPr>
            <w:tcW w:w="0" w:type="dxa"/>
          </w:tcPr>
          <w:p w14:paraId="1D39DFB1" w14:textId="77777777" w:rsidR="006B5A73" w:rsidRPr="00B51037" w:rsidRDefault="006B5A73" w:rsidP="00C702A9">
            <w:pPr>
              <w:pStyle w:val="02Tabletext"/>
              <w:rPr>
                <w:lang w:val="en-AU"/>
              </w:rPr>
            </w:pPr>
            <w:r>
              <w:rPr>
                <w:lang w:val="en-AU"/>
              </w:rPr>
              <w:t>New split 650YY</w:t>
            </w:r>
          </w:p>
        </w:tc>
        <w:tc>
          <w:tcPr>
            <w:tcW w:w="3544" w:type="dxa"/>
          </w:tcPr>
          <w:p w14:paraId="504738E1" w14:textId="77777777" w:rsidR="00944CFC" w:rsidRPr="00AE484D" w:rsidRDefault="00944CFC" w:rsidP="00FA627C">
            <w:pPr>
              <w:spacing w:before="20"/>
              <w:rPr>
                <w:rFonts w:ascii="Arial" w:hAnsi="Arial" w:cs="Arial"/>
                <w:color w:val="000000"/>
                <w:sz w:val="18"/>
                <w:szCs w:val="18"/>
              </w:rPr>
            </w:pPr>
            <w:r w:rsidRPr="00AE484D">
              <w:rPr>
                <w:rFonts w:ascii="Arial" w:hAnsi="Arial" w:cs="Arial"/>
                <w:color w:val="000000"/>
                <w:sz w:val="18"/>
                <w:szCs w:val="18"/>
              </w:rPr>
              <w:t>Release of red cells for transfusion</w:t>
            </w:r>
            <w:r>
              <w:rPr>
                <w:rFonts w:ascii="Arial" w:hAnsi="Arial" w:cs="Arial"/>
                <w:color w:val="000000"/>
                <w:sz w:val="18"/>
                <w:szCs w:val="18"/>
              </w:rPr>
              <w:t xml:space="preserve"> by e-issue or after immediate spin,</w:t>
            </w:r>
            <w:r w:rsidRPr="00AE484D">
              <w:rPr>
                <w:rFonts w:ascii="Arial" w:hAnsi="Arial" w:cs="Arial"/>
                <w:color w:val="000000"/>
                <w:sz w:val="18"/>
                <w:szCs w:val="18"/>
              </w:rPr>
              <w:t xml:space="preserve"> regardless of volume on any one day.</w:t>
            </w:r>
          </w:p>
          <w:p w14:paraId="575DF6B0" w14:textId="77777777" w:rsidR="00944CFC" w:rsidRPr="00944CFC" w:rsidRDefault="00944CFC" w:rsidP="00FA627C">
            <w:pPr>
              <w:spacing w:before="20"/>
              <w:rPr>
                <w:lang w:val="en-AU" w:eastAsia="en-US"/>
              </w:rPr>
            </w:pPr>
            <w:r>
              <w:rPr>
                <w:rFonts w:ascii="Arial" w:hAnsi="Arial" w:cs="Arial"/>
                <w:color w:val="000000"/>
                <w:sz w:val="18"/>
                <w:szCs w:val="18"/>
              </w:rPr>
              <w:t xml:space="preserve">Explanatory note: </w:t>
            </w:r>
            <w:r w:rsidRPr="00AE484D">
              <w:rPr>
                <w:rFonts w:ascii="Arial" w:hAnsi="Arial" w:cs="Arial"/>
                <w:color w:val="000000"/>
                <w:sz w:val="18"/>
                <w:szCs w:val="18"/>
              </w:rPr>
              <w:t xml:space="preserve">This item must be </w:t>
            </w:r>
            <w:r>
              <w:rPr>
                <w:rFonts w:ascii="Arial" w:hAnsi="Arial" w:cs="Arial"/>
                <w:color w:val="000000"/>
                <w:sz w:val="18"/>
                <w:szCs w:val="18"/>
              </w:rPr>
              <w:t>in association</w:t>
            </w:r>
            <w:r w:rsidRPr="00AE484D">
              <w:rPr>
                <w:rFonts w:ascii="Arial" w:hAnsi="Arial" w:cs="Arial"/>
                <w:color w:val="000000"/>
                <w:sz w:val="18"/>
                <w:szCs w:val="18"/>
              </w:rPr>
              <w:t xml:space="preserve"> with new </w:t>
            </w:r>
            <w:r>
              <w:rPr>
                <w:rFonts w:ascii="Arial" w:hAnsi="Arial" w:cs="Arial"/>
                <w:color w:val="000000"/>
                <w:sz w:val="18"/>
                <w:szCs w:val="18"/>
              </w:rPr>
              <w:t xml:space="preserve">item </w:t>
            </w:r>
            <w:r w:rsidRPr="00AE484D">
              <w:rPr>
                <w:rFonts w:ascii="Arial" w:hAnsi="Arial" w:cs="Arial"/>
                <w:color w:val="000000"/>
                <w:sz w:val="18"/>
                <w:szCs w:val="18"/>
              </w:rPr>
              <w:t xml:space="preserve">650XX </w:t>
            </w:r>
            <w:r>
              <w:rPr>
                <w:rFonts w:ascii="Arial" w:hAnsi="Arial" w:cs="Arial"/>
                <w:color w:val="000000"/>
                <w:sz w:val="18"/>
                <w:szCs w:val="18"/>
              </w:rPr>
              <w:t>(i.e. performed based on the absence of current or documented history of red cell antibodies)</w:t>
            </w:r>
          </w:p>
        </w:tc>
        <w:tc>
          <w:tcPr>
            <w:tcW w:w="2693" w:type="dxa"/>
          </w:tcPr>
          <w:p w14:paraId="4ACDADCE" w14:textId="77777777" w:rsidR="006B5A73" w:rsidRPr="00A24D67" w:rsidRDefault="00A24D67" w:rsidP="00C702A9">
            <w:pPr>
              <w:pStyle w:val="02Tabletext"/>
            </w:pPr>
            <w:r>
              <w:t>Combine the existing four compatibility items into two items, based on whether positive antibodies are detected. One item will be for the screening and release of antibody</w:t>
            </w:r>
            <w:r w:rsidR="00971529">
              <w:t>-</w:t>
            </w:r>
            <w:r>
              <w:t>negative blood (650YY), and the other for further testing and release of antibody</w:t>
            </w:r>
            <w:r w:rsidR="00971529">
              <w:t>-</w:t>
            </w:r>
            <w:r>
              <w:t xml:space="preserve">positive blood. Most cases do not require more than </w:t>
            </w:r>
            <w:r w:rsidR="00971529">
              <w:t>6 </w:t>
            </w:r>
            <w:r>
              <w:t>units to be released in any one day.</w:t>
            </w:r>
          </w:p>
        </w:tc>
        <w:tc>
          <w:tcPr>
            <w:tcW w:w="1508" w:type="dxa"/>
          </w:tcPr>
          <w:p w14:paraId="4F9198F1" w14:textId="77777777" w:rsidR="006B5A73" w:rsidRPr="00A3061A" w:rsidRDefault="00AA6CC6" w:rsidP="00AA6CC6">
            <w:pPr>
              <w:pStyle w:val="02Tabletext"/>
              <w:rPr>
                <w:lang w:val="en-AU"/>
              </w:rPr>
            </w:pPr>
            <w:r>
              <w:rPr>
                <w:lang w:val="en-AU"/>
              </w:rPr>
              <w:t>4.2</w:t>
            </w:r>
          </w:p>
        </w:tc>
      </w:tr>
      <w:tr w:rsidR="002A1D35" w:rsidRPr="00FC1976" w14:paraId="64DE3B09" w14:textId="77777777" w:rsidTr="00FA627C">
        <w:tc>
          <w:tcPr>
            <w:tcW w:w="0" w:type="dxa"/>
          </w:tcPr>
          <w:p w14:paraId="216DC61A" w14:textId="77777777" w:rsidR="002A1D35" w:rsidRPr="00B51037" w:rsidRDefault="00B51037" w:rsidP="00C702A9">
            <w:pPr>
              <w:pStyle w:val="02Tabletext"/>
              <w:rPr>
                <w:lang w:val="en-AU"/>
              </w:rPr>
            </w:pPr>
            <w:r w:rsidRPr="00B51037">
              <w:rPr>
                <w:lang w:val="en-AU"/>
              </w:rPr>
              <w:t>New split</w:t>
            </w:r>
          </w:p>
        </w:tc>
        <w:tc>
          <w:tcPr>
            <w:tcW w:w="3544" w:type="dxa"/>
          </w:tcPr>
          <w:p w14:paraId="0B559FA7" w14:textId="77777777" w:rsidR="002A1D35" w:rsidRDefault="002A1D35" w:rsidP="00C702A9">
            <w:pPr>
              <w:pStyle w:val="02Tabletext"/>
              <w:rPr>
                <w:lang w:val="en-AU"/>
              </w:rPr>
            </w:pPr>
            <w:r>
              <w:rPr>
                <w:lang w:val="en-AU"/>
              </w:rPr>
              <w:t>D-dimer</w:t>
            </w:r>
          </w:p>
          <w:p w14:paraId="6EDA72BA" w14:textId="77777777" w:rsidR="00D63DDF" w:rsidRPr="00D63DDF" w:rsidRDefault="00D63DDF" w:rsidP="00FA627C">
            <w:pPr>
              <w:spacing w:before="20"/>
              <w:rPr>
                <w:rFonts w:ascii="Arial" w:hAnsi="Arial" w:cs="Arial"/>
                <w:sz w:val="18"/>
                <w:szCs w:val="18"/>
                <w:lang w:val="en-US" w:eastAsia="en-US"/>
              </w:rPr>
            </w:pPr>
            <w:r w:rsidRPr="00D63DDF">
              <w:rPr>
                <w:rFonts w:ascii="Arial" w:hAnsi="Arial" w:cs="Arial"/>
                <w:sz w:val="18"/>
                <w:szCs w:val="18"/>
                <w:lang w:val="en-US" w:eastAsia="en-US"/>
              </w:rPr>
              <w:t xml:space="preserve">The proposed descriptor would contain the following elements: </w:t>
            </w:r>
          </w:p>
          <w:p w14:paraId="4D703817" w14:textId="77777777" w:rsidR="00D63DDF" w:rsidRPr="00D63DDF" w:rsidRDefault="00D63DDF" w:rsidP="00DD6F28">
            <w:pPr>
              <w:numPr>
                <w:ilvl w:val="1"/>
                <w:numId w:val="21"/>
              </w:numPr>
              <w:spacing w:before="20"/>
              <w:rPr>
                <w:rFonts w:ascii="Arial" w:hAnsi="Arial" w:cs="Arial"/>
                <w:sz w:val="18"/>
                <w:szCs w:val="18"/>
                <w:lang w:val="en-US" w:eastAsia="en-US"/>
              </w:rPr>
            </w:pPr>
            <w:r w:rsidRPr="00D63DDF">
              <w:rPr>
                <w:rFonts w:ascii="Arial" w:hAnsi="Arial" w:cs="Arial"/>
                <w:sz w:val="18"/>
                <w:szCs w:val="18"/>
                <w:lang w:val="en-US" w:eastAsia="en-US"/>
              </w:rPr>
              <w:t xml:space="preserve">diagnosis of VTE or PE to exclude the need for further imaging in a patient with a low pre-test clinical probability of VTE or PE as defined by local </w:t>
            </w:r>
            <w:proofErr w:type="gramStart"/>
            <w:r w:rsidRPr="00D63DDF">
              <w:rPr>
                <w:rFonts w:ascii="Arial" w:hAnsi="Arial" w:cs="Arial"/>
                <w:sz w:val="18"/>
                <w:szCs w:val="18"/>
                <w:lang w:val="en-US" w:eastAsia="en-US"/>
              </w:rPr>
              <w:t>algorithms</w:t>
            </w:r>
            <w:r w:rsidR="00971529">
              <w:rPr>
                <w:rFonts w:ascii="Arial" w:hAnsi="Arial" w:cs="Arial"/>
                <w:sz w:val="18"/>
                <w:szCs w:val="18"/>
                <w:lang w:val="en-US" w:eastAsia="en-US"/>
              </w:rPr>
              <w:t>;</w:t>
            </w:r>
            <w:proofErr w:type="gramEnd"/>
          </w:p>
          <w:p w14:paraId="6524A132" w14:textId="77777777" w:rsidR="00D63DDF" w:rsidRPr="00D63DDF" w:rsidRDefault="00D63DDF" w:rsidP="00DD6F28">
            <w:pPr>
              <w:numPr>
                <w:ilvl w:val="1"/>
                <w:numId w:val="21"/>
              </w:numPr>
              <w:spacing w:before="20"/>
              <w:rPr>
                <w:rFonts w:ascii="Arial" w:hAnsi="Arial" w:cs="Arial"/>
                <w:sz w:val="18"/>
                <w:szCs w:val="18"/>
                <w:lang w:val="en-US" w:eastAsia="en-US"/>
              </w:rPr>
            </w:pPr>
            <w:r w:rsidRPr="00D63DDF">
              <w:rPr>
                <w:rFonts w:ascii="Arial" w:hAnsi="Arial" w:cs="Arial"/>
                <w:sz w:val="18"/>
                <w:szCs w:val="18"/>
                <w:lang w:val="en-US" w:eastAsia="en-US"/>
              </w:rPr>
              <w:t>follow-up to support decision to cease anticoagulation</w:t>
            </w:r>
            <w:r w:rsidR="00971529">
              <w:rPr>
                <w:rFonts w:ascii="Arial" w:hAnsi="Arial" w:cs="Arial"/>
                <w:sz w:val="18"/>
                <w:szCs w:val="18"/>
                <w:lang w:val="en-US" w:eastAsia="en-US"/>
              </w:rPr>
              <w:t>;</w:t>
            </w:r>
            <w:r w:rsidR="00971529" w:rsidRPr="00D63DDF">
              <w:rPr>
                <w:rFonts w:ascii="Arial" w:hAnsi="Arial" w:cs="Arial"/>
                <w:sz w:val="18"/>
                <w:szCs w:val="18"/>
                <w:lang w:val="en-US" w:eastAsia="en-US"/>
              </w:rPr>
              <w:t xml:space="preserve"> </w:t>
            </w:r>
            <w:r w:rsidRPr="00D63DDF">
              <w:rPr>
                <w:rFonts w:ascii="Arial" w:hAnsi="Arial" w:cs="Arial"/>
                <w:sz w:val="18"/>
                <w:szCs w:val="18"/>
                <w:lang w:val="en-US" w:eastAsia="en-US"/>
              </w:rPr>
              <w:t>or</w:t>
            </w:r>
          </w:p>
          <w:p w14:paraId="4948E902" w14:textId="77777777" w:rsidR="00D63DDF" w:rsidRPr="00D63DDF" w:rsidRDefault="00D63DDF" w:rsidP="00DD6F28">
            <w:pPr>
              <w:numPr>
                <w:ilvl w:val="1"/>
                <w:numId w:val="21"/>
              </w:numPr>
              <w:spacing w:before="20"/>
              <w:rPr>
                <w:rFonts w:ascii="Arial" w:hAnsi="Arial" w:cs="Arial"/>
                <w:sz w:val="18"/>
                <w:szCs w:val="18"/>
                <w:lang w:val="en-US" w:eastAsia="en-US"/>
              </w:rPr>
            </w:pPr>
            <w:r w:rsidRPr="00D63DDF">
              <w:rPr>
                <w:rFonts w:ascii="Arial" w:hAnsi="Arial" w:cs="Arial"/>
                <w:sz w:val="18"/>
                <w:szCs w:val="18"/>
                <w:lang w:val="en-US" w:eastAsia="en-US"/>
              </w:rPr>
              <w:t>diagnosis and monitoring of disseminated intravascular coagulopathy (DIC).</w:t>
            </w:r>
          </w:p>
          <w:p w14:paraId="0D1FD682" w14:textId="77777777" w:rsidR="00D63DDF" w:rsidRPr="00D63DDF" w:rsidRDefault="00D63DDF" w:rsidP="00FA627C">
            <w:pPr>
              <w:spacing w:before="20"/>
              <w:rPr>
                <w:lang w:val="en-AU" w:eastAsia="en-US"/>
              </w:rPr>
            </w:pPr>
          </w:p>
        </w:tc>
        <w:tc>
          <w:tcPr>
            <w:tcW w:w="2693" w:type="dxa"/>
          </w:tcPr>
          <w:p w14:paraId="1974F878" w14:textId="77777777" w:rsidR="002A1D35" w:rsidRPr="00FC1976" w:rsidRDefault="00A24D67" w:rsidP="00C702A9">
            <w:pPr>
              <w:pStyle w:val="02Tabletext"/>
              <w:rPr>
                <w:lang w:val="en-AU"/>
              </w:rPr>
            </w:pPr>
            <w:r>
              <w:rPr>
                <w:lang w:val="en-AU"/>
              </w:rPr>
              <w:t>Split D-dimer from item 65120 into a separate item with clinical restrictors to ensure its appropriate use.</w:t>
            </w:r>
          </w:p>
        </w:tc>
        <w:tc>
          <w:tcPr>
            <w:tcW w:w="1508" w:type="dxa"/>
          </w:tcPr>
          <w:p w14:paraId="376CD2C2" w14:textId="77777777" w:rsidR="002A1D35" w:rsidRPr="00A3061A" w:rsidRDefault="00AA6CC6" w:rsidP="00C702A9">
            <w:pPr>
              <w:pStyle w:val="02Tabletext"/>
              <w:rPr>
                <w:lang w:val="en-AU"/>
              </w:rPr>
            </w:pPr>
            <w:r>
              <w:rPr>
                <w:lang w:val="en-AU"/>
              </w:rPr>
              <w:t>4.4</w:t>
            </w:r>
          </w:p>
        </w:tc>
      </w:tr>
      <w:tr w:rsidR="002A1D35" w:rsidRPr="00FC1976" w14:paraId="1FD86FE4" w14:textId="77777777" w:rsidTr="00FA627C">
        <w:tc>
          <w:tcPr>
            <w:tcW w:w="0" w:type="dxa"/>
          </w:tcPr>
          <w:p w14:paraId="3C8BAAF3" w14:textId="77777777" w:rsidR="002A1D35" w:rsidRPr="00B51037" w:rsidRDefault="00B51037" w:rsidP="00C702A9">
            <w:pPr>
              <w:pStyle w:val="02Tabletext"/>
              <w:rPr>
                <w:lang w:val="en-AU"/>
              </w:rPr>
            </w:pPr>
            <w:r w:rsidRPr="00B51037">
              <w:rPr>
                <w:lang w:val="en-AU"/>
              </w:rPr>
              <w:t>New split</w:t>
            </w:r>
            <w:r w:rsidR="006B5A73">
              <w:rPr>
                <w:lang w:val="en-AU"/>
              </w:rPr>
              <w:t xml:space="preserve"> 651XX</w:t>
            </w:r>
          </w:p>
        </w:tc>
        <w:tc>
          <w:tcPr>
            <w:tcW w:w="3544" w:type="dxa"/>
          </w:tcPr>
          <w:p w14:paraId="552A0E95" w14:textId="77777777" w:rsidR="00D63DDF" w:rsidRPr="005404FE" w:rsidRDefault="00D63DDF" w:rsidP="00FA627C">
            <w:pPr>
              <w:spacing w:before="20"/>
              <w:rPr>
                <w:rFonts w:ascii="Arial" w:hAnsi="Arial" w:cs="Arial"/>
                <w:color w:val="000000"/>
                <w:sz w:val="18"/>
                <w:szCs w:val="18"/>
              </w:rPr>
            </w:pPr>
            <w:r w:rsidRPr="005404FE">
              <w:rPr>
                <w:rFonts w:ascii="Arial" w:hAnsi="Arial" w:cs="Arial"/>
                <w:color w:val="000000"/>
                <w:sz w:val="18"/>
                <w:szCs w:val="18"/>
              </w:rPr>
              <w:t xml:space="preserve">Platelet aggregation in response to up to </w:t>
            </w:r>
            <w:r w:rsidR="00971529" w:rsidRPr="005404FE">
              <w:rPr>
                <w:rFonts w:ascii="Arial" w:hAnsi="Arial" w:cs="Arial"/>
                <w:color w:val="000000"/>
                <w:sz w:val="18"/>
                <w:szCs w:val="18"/>
              </w:rPr>
              <w:t>6</w:t>
            </w:r>
            <w:r w:rsidR="00971529">
              <w:rPr>
                <w:rFonts w:ascii="Arial" w:hAnsi="Arial" w:cs="Arial"/>
                <w:color w:val="000000"/>
                <w:sz w:val="18"/>
                <w:szCs w:val="18"/>
              </w:rPr>
              <w:t> </w:t>
            </w:r>
            <w:r w:rsidRPr="005404FE">
              <w:rPr>
                <w:rFonts w:ascii="Arial" w:hAnsi="Arial" w:cs="Arial"/>
                <w:color w:val="000000"/>
                <w:sz w:val="18"/>
                <w:szCs w:val="18"/>
              </w:rPr>
              <w:t>agonists for the diagnosis or confirmation of platelet function disorders.</w:t>
            </w:r>
          </w:p>
          <w:p w14:paraId="497E4FF5" w14:textId="77777777" w:rsidR="00D63DDF" w:rsidRPr="00D63DDF" w:rsidRDefault="00D63DDF" w:rsidP="00BD61B1">
            <w:pPr>
              <w:spacing w:before="20"/>
              <w:rPr>
                <w:lang w:val="en-AU" w:eastAsia="en-US"/>
              </w:rPr>
            </w:pPr>
            <w:r w:rsidRPr="005404FE">
              <w:rPr>
                <w:rFonts w:ascii="Arial" w:hAnsi="Arial" w:cs="Arial"/>
                <w:color w:val="000000"/>
                <w:sz w:val="18"/>
                <w:szCs w:val="18"/>
              </w:rPr>
              <w:t xml:space="preserve">Explanatory note or rule: only requested by, or in </w:t>
            </w:r>
            <w:r w:rsidR="00F12657" w:rsidRPr="005404FE">
              <w:rPr>
                <w:rFonts w:ascii="Arial" w:hAnsi="Arial" w:cs="Arial"/>
                <w:color w:val="000000"/>
                <w:sz w:val="18"/>
                <w:szCs w:val="18"/>
              </w:rPr>
              <w:t>c</w:t>
            </w:r>
            <w:r w:rsidR="00F12657">
              <w:rPr>
                <w:rFonts w:ascii="Arial" w:hAnsi="Arial" w:cs="Arial"/>
                <w:color w:val="000000"/>
                <w:sz w:val="18"/>
                <w:szCs w:val="18"/>
              </w:rPr>
              <w:t>ommunication</w:t>
            </w:r>
            <w:r w:rsidRPr="005404FE">
              <w:rPr>
                <w:rFonts w:ascii="Arial" w:hAnsi="Arial" w:cs="Arial"/>
                <w:color w:val="000000"/>
                <w:sz w:val="18"/>
                <w:szCs w:val="18"/>
              </w:rPr>
              <w:t xml:space="preserve"> with, a consultant physician or specialist pathologist</w:t>
            </w:r>
            <w:r w:rsidR="00971529">
              <w:rPr>
                <w:rFonts w:ascii="Arial" w:hAnsi="Arial" w:cs="Arial"/>
                <w:color w:val="000000"/>
                <w:sz w:val="18"/>
                <w:szCs w:val="18"/>
              </w:rPr>
              <w:t>.</w:t>
            </w:r>
          </w:p>
        </w:tc>
        <w:tc>
          <w:tcPr>
            <w:tcW w:w="2693" w:type="dxa"/>
          </w:tcPr>
          <w:p w14:paraId="0DCE3E14" w14:textId="77777777" w:rsidR="002A1D35" w:rsidRPr="00FC1976" w:rsidRDefault="00A24D67" w:rsidP="00BD61B1">
            <w:pPr>
              <w:pStyle w:val="02Tabletext"/>
              <w:rPr>
                <w:lang w:val="en-AU"/>
              </w:rPr>
            </w:pPr>
            <w:r>
              <w:rPr>
                <w:lang w:val="en-AU"/>
              </w:rPr>
              <w:t>Split the existing item 65144 into two separate items—initial platelet function tests involving simpler methods, and</w:t>
            </w:r>
            <w:r w:rsidR="00971529">
              <w:rPr>
                <w:lang w:val="en-AU"/>
              </w:rPr>
              <w:t xml:space="preserve"> </w:t>
            </w:r>
            <w:r>
              <w:rPr>
                <w:lang w:val="en-AU"/>
              </w:rPr>
              <w:t>platelet aggregation tests involving more complex and expensive methods (651XX). This second item should only be ordered by</w:t>
            </w:r>
            <w:r w:rsidR="00971529">
              <w:rPr>
                <w:lang w:val="en-AU"/>
              </w:rPr>
              <w:t>,</w:t>
            </w:r>
            <w:r>
              <w:rPr>
                <w:lang w:val="en-AU"/>
              </w:rPr>
              <w:t xml:space="preserve"> or in c</w:t>
            </w:r>
            <w:r w:rsidR="00BD61B1">
              <w:rPr>
                <w:lang w:val="en-AU"/>
              </w:rPr>
              <w:t>ommunication</w:t>
            </w:r>
            <w:r>
              <w:rPr>
                <w:lang w:val="en-AU"/>
              </w:rPr>
              <w:t xml:space="preserve"> with</w:t>
            </w:r>
            <w:r w:rsidR="00971529">
              <w:rPr>
                <w:lang w:val="en-AU"/>
              </w:rPr>
              <w:t>,</w:t>
            </w:r>
            <w:r>
              <w:rPr>
                <w:lang w:val="en-AU"/>
              </w:rPr>
              <w:t xml:space="preserve"> a specialist to ensure its appropriate use.</w:t>
            </w:r>
          </w:p>
        </w:tc>
        <w:tc>
          <w:tcPr>
            <w:tcW w:w="1508" w:type="dxa"/>
          </w:tcPr>
          <w:p w14:paraId="3C303119" w14:textId="77777777" w:rsidR="002A1D35" w:rsidRPr="00A3061A" w:rsidRDefault="006C2A65" w:rsidP="00C702A9">
            <w:pPr>
              <w:pStyle w:val="02Tabletext"/>
              <w:rPr>
                <w:lang w:val="en-AU"/>
              </w:rPr>
            </w:pPr>
            <w:r>
              <w:rPr>
                <w:lang w:val="en-AU"/>
              </w:rPr>
              <w:t>4.5</w:t>
            </w:r>
          </w:p>
        </w:tc>
      </w:tr>
      <w:tr w:rsidR="002A1D35" w:rsidRPr="00FC1976" w14:paraId="1314630C" w14:textId="77777777" w:rsidTr="00FA627C">
        <w:tc>
          <w:tcPr>
            <w:tcW w:w="0" w:type="dxa"/>
          </w:tcPr>
          <w:p w14:paraId="4D492F35" w14:textId="77777777" w:rsidR="002A1D35" w:rsidRPr="00B51037" w:rsidRDefault="00B51037" w:rsidP="00C702A9">
            <w:pPr>
              <w:pStyle w:val="02Tabletext"/>
              <w:rPr>
                <w:lang w:val="en-AU"/>
              </w:rPr>
            </w:pPr>
            <w:r w:rsidRPr="00B51037">
              <w:rPr>
                <w:lang w:val="en-AU"/>
              </w:rPr>
              <w:t>New</w:t>
            </w:r>
          </w:p>
        </w:tc>
        <w:tc>
          <w:tcPr>
            <w:tcW w:w="3544" w:type="dxa"/>
          </w:tcPr>
          <w:p w14:paraId="0BA4D2A2" w14:textId="77777777" w:rsidR="00D63DDF" w:rsidRPr="00D63DDF" w:rsidRDefault="00D63DDF" w:rsidP="00C702A9">
            <w:pPr>
              <w:pStyle w:val="02Tabletext"/>
              <w:rPr>
                <w:lang w:val="en-AU"/>
              </w:rPr>
            </w:pPr>
            <w:r w:rsidRPr="00D63DDF">
              <w:rPr>
                <w:lang w:val="en-AU"/>
              </w:rPr>
              <w:t xml:space="preserve">Release of </w:t>
            </w:r>
            <w:r>
              <w:rPr>
                <w:lang w:val="en-AU"/>
              </w:rPr>
              <w:t>intravenous</w:t>
            </w:r>
            <w:r w:rsidR="00FA627C">
              <w:rPr>
                <w:lang w:val="en-AU"/>
              </w:rPr>
              <w:t xml:space="preserve"> immunoglobulin</w:t>
            </w:r>
            <w:r>
              <w:rPr>
                <w:lang w:val="en-AU"/>
              </w:rPr>
              <w:t xml:space="preserve"> </w:t>
            </w:r>
            <w:r w:rsidRPr="00D63DDF">
              <w:rPr>
                <w:lang w:val="en-AU"/>
              </w:rPr>
              <w:t>(IV</w:t>
            </w:r>
            <w:r w:rsidR="00FA627C">
              <w:rPr>
                <w:lang w:val="en-AU"/>
              </w:rPr>
              <w:t xml:space="preserve"> Ig</w:t>
            </w:r>
            <w:r w:rsidRPr="00D63DDF">
              <w:rPr>
                <w:lang w:val="en-AU"/>
              </w:rPr>
              <w:t>) or subcutaneous</w:t>
            </w:r>
            <w:r w:rsidR="00FA627C">
              <w:rPr>
                <w:lang w:val="en-AU"/>
              </w:rPr>
              <w:t xml:space="preserve"> </w:t>
            </w:r>
            <w:r w:rsidR="00FA627C" w:rsidRPr="00D63DDF">
              <w:rPr>
                <w:lang w:val="en-AU"/>
              </w:rPr>
              <w:t>immunoglobulin</w:t>
            </w:r>
            <w:r w:rsidRPr="00D63DDF">
              <w:rPr>
                <w:lang w:val="en-AU"/>
              </w:rPr>
              <w:t xml:space="preserve"> </w:t>
            </w:r>
            <w:r w:rsidR="00971529" w:rsidRPr="00D63DDF">
              <w:rPr>
                <w:lang w:val="en-AU"/>
              </w:rPr>
              <w:t>(SC</w:t>
            </w:r>
            <w:r w:rsidR="00FA627C">
              <w:rPr>
                <w:lang w:val="en-AU"/>
              </w:rPr>
              <w:t xml:space="preserve"> </w:t>
            </w:r>
            <w:r w:rsidRPr="00D63DDF">
              <w:rPr>
                <w:lang w:val="en-AU"/>
              </w:rPr>
              <w:t>Ig) for use in a patient for an approved indication as defined by the National Blood Authority.</w:t>
            </w:r>
          </w:p>
        </w:tc>
        <w:tc>
          <w:tcPr>
            <w:tcW w:w="2693" w:type="dxa"/>
          </w:tcPr>
          <w:p w14:paraId="4D31442D" w14:textId="77777777" w:rsidR="002A1D35" w:rsidRPr="00FC1976" w:rsidRDefault="00FA30B2" w:rsidP="00C702A9">
            <w:pPr>
              <w:pStyle w:val="02Tabletext"/>
              <w:rPr>
                <w:lang w:val="en-AU"/>
              </w:rPr>
            </w:pPr>
            <w:r>
              <w:t>Introduce a new MBS item for the release of immunoglobulin (see section 5.1.1 of the full report for detail).</w:t>
            </w:r>
          </w:p>
        </w:tc>
        <w:tc>
          <w:tcPr>
            <w:tcW w:w="1508" w:type="dxa"/>
          </w:tcPr>
          <w:p w14:paraId="76115C71" w14:textId="77777777" w:rsidR="002A1D35" w:rsidRPr="00A3061A" w:rsidRDefault="006C2A65" w:rsidP="00C702A9">
            <w:pPr>
              <w:pStyle w:val="02Tabletext"/>
              <w:rPr>
                <w:lang w:val="en-AU"/>
              </w:rPr>
            </w:pPr>
            <w:r>
              <w:rPr>
                <w:lang w:val="en-AU"/>
              </w:rPr>
              <w:t>5.1.1</w:t>
            </w:r>
          </w:p>
        </w:tc>
      </w:tr>
      <w:tr w:rsidR="002A1D35" w:rsidRPr="00FC1976" w14:paraId="719511B0" w14:textId="77777777" w:rsidTr="00FA627C">
        <w:tc>
          <w:tcPr>
            <w:tcW w:w="0" w:type="dxa"/>
          </w:tcPr>
          <w:p w14:paraId="102890EA" w14:textId="77777777" w:rsidR="002A1D35" w:rsidRPr="00B51037" w:rsidRDefault="00B51037" w:rsidP="00C702A9">
            <w:pPr>
              <w:pStyle w:val="02Tabletext"/>
              <w:rPr>
                <w:lang w:val="en-AU"/>
              </w:rPr>
            </w:pPr>
            <w:r w:rsidRPr="00B51037">
              <w:rPr>
                <w:lang w:val="en-AU"/>
              </w:rPr>
              <w:t>New</w:t>
            </w:r>
          </w:p>
        </w:tc>
        <w:tc>
          <w:tcPr>
            <w:tcW w:w="3544" w:type="dxa"/>
          </w:tcPr>
          <w:p w14:paraId="7F4C1468" w14:textId="77777777" w:rsidR="002A1D35" w:rsidRPr="00FC1976" w:rsidRDefault="002A1D35" w:rsidP="00C702A9">
            <w:pPr>
              <w:pStyle w:val="02Tabletext"/>
              <w:rPr>
                <w:lang w:val="en-AU"/>
              </w:rPr>
            </w:pPr>
            <w:r>
              <w:rPr>
                <w:lang w:val="en-AU"/>
              </w:rPr>
              <w:t xml:space="preserve">Alpha </w:t>
            </w:r>
            <w:r w:rsidR="00297CEE">
              <w:rPr>
                <w:lang w:val="en-AU"/>
              </w:rPr>
              <w:t>thalassaemia</w:t>
            </w:r>
            <w:r>
              <w:rPr>
                <w:lang w:val="en-AU"/>
              </w:rPr>
              <w:t xml:space="preserve"> </w:t>
            </w:r>
            <w:r w:rsidR="002351F1">
              <w:rPr>
                <w:lang w:val="en-AU"/>
              </w:rPr>
              <w:t>genetic testing</w:t>
            </w:r>
          </w:p>
        </w:tc>
        <w:tc>
          <w:tcPr>
            <w:tcW w:w="2693" w:type="dxa"/>
          </w:tcPr>
          <w:p w14:paraId="24B7CADA" w14:textId="77777777" w:rsidR="002A1D35" w:rsidRPr="00FC1976" w:rsidRDefault="00FA30B2" w:rsidP="00C702A9">
            <w:pPr>
              <w:pStyle w:val="02Tabletext"/>
              <w:rPr>
                <w:lang w:val="en-AU"/>
              </w:rPr>
            </w:pPr>
            <w:r>
              <w:t>Introduce a new MBS item to test for alpha thalassaemia (see section 5.1.2 of the full report for detail)</w:t>
            </w:r>
          </w:p>
        </w:tc>
        <w:tc>
          <w:tcPr>
            <w:tcW w:w="1508" w:type="dxa"/>
          </w:tcPr>
          <w:p w14:paraId="39EDC46B" w14:textId="77777777" w:rsidR="002A1D35" w:rsidRPr="00A3061A" w:rsidRDefault="006C2A65" w:rsidP="00C702A9">
            <w:pPr>
              <w:pStyle w:val="02Tabletext"/>
              <w:rPr>
                <w:lang w:val="en-AU"/>
              </w:rPr>
            </w:pPr>
            <w:r>
              <w:rPr>
                <w:lang w:val="en-AU"/>
              </w:rPr>
              <w:t>5.1.2</w:t>
            </w:r>
          </w:p>
        </w:tc>
      </w:tr>
      <w:tr w:rsidR="002A1D35" w:rsidRPr="00FC1976" w14:paraId="2592DB03" w14:textId="77777777" w:rsidTr="00FA627C">
        <w:tc>
          <w:tcPr>
            <w:tcW w:w="0" w:type="dxa"/>
          </w:tcPr>
          <w:p w14:paraId="7ED47E73" w14:textId="77777777" w:rsidR="002A1D35" w:rsidRPr="00B51037" w:rsidRDefault="00B51037" w:rsidP="00C702A9">
            <w:pPr>
              <w:pStyle w:val="02Tabletext"/>
              <w:rPr>
                <w:lang w:val="en-AU"/>
              </w:rPr>
            </w:pPr>
            <w:r w:rsidRPr="00B51037">
              <w:rPr>
                <w:lang w:val="en-AU"/>
              </w:rPr>
              <w:t>New</w:t>
            </w:r>
          </w:p>
        </w:tc>
        <w:tc>
          <w:tcPr>
            <w:tcW w:w="3544" w:type="dxa"/>
          </w:tcPr>
          <w:p w14:paraId="3904092C" w14:textId="77777777" w:rsidR="002A1D35" w:rsidRPr="00FC1976" w:rsidRDefault="002A1D35" w:rsidP="00C702A9">
            <w:pPr>
              <w:pStyle w:val="02Tabletext"/>
              <w:rPr>
                <w:lang w:val="en-AU"/>
              </w:rPr>
            </w:pPr>
            <w:r>
              <w:rPr>
                <w:lang w:val="en-AU"/>
              </w:rPr>
              <w:t>Warfarin care programs</w:t>
            </w:r>
          </w:p>
        </w:tc>
        <w:tc>
          <w:tcPr>
            <w:tcW w:w="2693" w:type="dxa"/>
          </w:tcPr>
          <w:p w14:paraId="6AE0BF83" w14:textId="77777777" w:rsidR="002A1D35" w:rsidRPr="00FC1976" w:rsidRDefault="00FA30B2" w:rsidP="00C702A9">
            <w:pPr>
              <w:pStyle w:val="02Tabletext"/>
              <w:rPr>
                <w:lang w:val="en-AU"/>
              </w:rPr>
            </w:pPr>
            <w:r>
              <w:t xml:space="preserve">MSAC consider Recommendation 12 of the </w:t>
            </w:r>
            <w:r w:rsidRPr="00FA627C">
              <w:rPr>
                <w:i/>
              </w:rPr>
              <w:t>Sansom Review of Anticoagulation Therapies in Atrial Fibrillation</w:t>
            </w:r>
            <w:r>
              <w:t xml:space="preserve"> (see section 5.1.3 of the full report for detail).</w:t>
            </w:r>
          </w:p>
        </w:tc>
        <w:tc>
          <w:tcPr>
            <w:tcW w:w="1508" w:type="dxa"/>
          </w:tcPr>
          <w:p w14:paraId="4B1FFF52" w14:textId="77777777" w:rsidR="00B63496" w:rsidRPr="00B63496" w:rsidRDefault="00B63496" w:rsidP="00EB1771">
            <w:pPr>
              <w:pStyle w:val="02Tabletext"/>
              <w:rPr>
                <w:lang w:val="en-AU"/>
              </w:rPr>
            </w:pPr>
            <w:r>
              <w:rPr>
                <w:lang w:val="en-AU"/>
              </w:rPr>
              <w:t>5.1.</w:t>
            </w:r>
            <w:r w:rsidR="00EB1771">
              <w:rPr>
                <w:lang w:val="en-AU"/>
              </w:rPr>
              <w:t>3</w:t>
            </w:r>
            <w:r w:rsidR="00EB1771" w:rsidRPr="00B63496">
              <w:rPr>
                <w:lang w:val="en-AU"/>
              </w:rPr>
              <w:t xml:space="preserve"> </w:t>
            </w:r>
          </w:p>
        </w:tc>
      </w:tr>
    </w:tbl>
    <w:p w14:paraId="0DE8BCFD" w14:textId="77777777" w:rsidR="0042744A" w:rsidRPr="00FC1976" w:rsidRDefault="0042744A" w:rsidP="00915D28">
      <w:pPr>
        <w:rPr>
          <w:lang w:val="en-AU"/>
        </w:rPr>
        <w:sectPr w:rsidR="0042744A" w:rsidRPr="00FC1976" w:rsidSect="0050434D">
          <w:footerReference w:type="default" r:id="rId22"/>
          <w:footnotePr>
            <w:pos w:val="beneathText"/>
            <w:numFmt w:val="lowerRoman"/>
          </w:footnotePr>
          <w:pgSz w:w="11906" w:h="16838" w:code="9"/>
          <w:pgMar w:top="1440" w:right="1440" w:bottom="1276" w:left="1440" w:header="720" w:footer="720" w:gutter="0"/>
          <w:paperSrc w:first="2" w:other="2"/>
          <w:pgNumType w:start="1"/>
          <w:cols w:space="720"/>
          <w:docGrid w:linePitch="326"/>
        </w:sectPr>
      </w:pPr>
    </w:p>
    <w:p w14:paraId="34A6E08C" w14:textId="77777777" w:rsidR="0013441A" w:rsidRPr="00B325D6" w:rsidRDefault="0013441A" w:rsidP="00871A49">
      <w:pPr>
        <w:pStyle w:val="60exhnormal"/>
      </w:pPr>
    </w:p>
    <w:p w14:paraId="01011BE7" w14:textId="77777777" w:rsidR="002D0E0A" w:rsidRDefault="00AC547A" w:rsidP="00FE79D0">
      <w:pPr>
        <w:pStyle w:val="Heading1"/>
        <w:numPr>
          <w:ilvl w:val="0"/>
          <w:numId w:val="0"/>
        </w:numPr>
        <w:ind w:left="432" w:hanging="432"/>
      </w:pPr>
      <w:bookmarkStart w:id="182" w:name="_Appendix_C_—Summary"/>
      <w:bookmarkStart w:id="183" w:name="_Toc459707287"/>
      <w:bookmarkStart w:id="184" w:name="_Toc459996833"/>
      <w:bookmarkStart w:id="185" w:name="_Ref462783356"/>
      <w:bookmarkStart w:id="186" w:name="_Ref462783365"/>
      <w:bookmarkStart w:id="187" w:name="_Toc495403431"/>
      <w:bookmarkEnd w:id="182"/>
      <w:r>
        <w:t>Appendix C—</w:t>
      </w:r>
      <w:r w:rsidR="0013441A" w:rsidRPr="00D10783">
        <w:t xml:space="preserve">Summary for </w:t>
      </w:r>
      <w:r w:rsidR="001F7D9B" w:rsidRPr="00D10783">
        <w:t>c</w:t>
      </w:r>
      <w:r w:rsidR="0013441A" w:rsidRPr="00D10783">
        <w:t>onsumers</w:t>
      </w:r>
      <w:bookmarkEnd w:id="183"/>
      <w:bookmarkEnd w:id="184"/>
      <w:bookmarkEnd w:id="185"/>
      <w:bookmarkEnd w:id="186"/>
      <w:bookmarkEnd w:id="187"/>
    </w:p>
    <w:p w14:paraId="22981382" w14:textId="77777777" w:rsidR="00AF0566" w:rsidRPr="00FC1976" w:rsidRDefault="0013441A" w:rsidP="00C702A9">
      <w:r w:rsidRPr="00FC1976">
        <w:t xml:space="preserve">This table describes the </w:t>
      </w:r>
      <w:r w:rsidR="00B51037">
        <w:t>pathology</w:t>
      </w:r>
      <w:r w:rsidRPr="00FC1976">
        <w:t xml:space="preserve"> service,</w:t>
      </w:r>
      <w:r w:rsidR="001E7E30">
        <w:t xml:space="preserve"> the</w:t>
      </w:r>
      <w:r w:rsidRPr="00FC1976">
        <w:t xml:space="preserve"> recommendation</w:t>
      </w:r>
      <w:r w:rsidR="00395F78">
        <w:t>(</w:t>
      </w:r>
      <w:r w:rsidRPr="00FC1976">
        <w:t>s</w:t>
      </w:r>
      <w:r w:rsidR="00395F78">
        <w:t>)</w:t>
      </w:r>
      <w:r w:rsidRPr="00FC1976">
        <w:t xml:space="preserve"> of the </w:t>
      </w:r>
      <w:r w:rsidR="001E7E30">
        <w:t>c</w:t>
      </w:r>
      <w:r w:rsidRPr="00FC1976">
        <w:t xml:space="preserve">linical </w:t>
      </w:r>
      <w:r w:rsidR="001E7E30">
        <w:t>e</w:t>
      </w:r>
      <w:r w:rsidRPr="00FC1976">
        <w:t>xperts and why the recommendation</w:t>
      </w:r>
      <w:r w:rsidR="00395F78">
        <w:t>(s)</w:t>
      </w:r>
      <w:r w:rsidRPr="00FC1976">
        <w:t xml:space="preserve"> has been made.</w:t>
      </w:r>
    </w:p>
    <w:p w14:paraId="3F312A9C" w14:textId="77777777" w:rsidR="00740D54" w:rsidRPr="00AE06DE" w:rsidRDefault="00740D54" w:rsidP="00013A45">
      <w:bookmarkStart w:id="188" w:name="_Toc477786676"/>
      <w:bookmarkStart w:id="189" w:name="_Toc478249946"/>
      <w:r w:rsidRPr="00C702A9">
        <w:t xml:space="preserve">Recommendation </w:t>
      </w:r>
      <w:r w:rsidRPr="00C702A9">
        <w:fldChar w:fldCharType="begin"/>
      </w:r>
      <w:r w:rsidRPr="00AE06DE">
        <w:instrText xml:space="preserve"> SEQ Recommendation \* ARABIC </w:instrText>
      </w:r>
      <w:r w:rsidRPr="00C702A9">
        <w:fldChar w:fldCharType="separate"/>
      </w:r>
      <w:r w:rsidR="005C3364">
        <w:rPr>
          <w:noProof/>
        </w:rPr>
        <w:t>1</w:t>
      </w:r>
      <w:r w:rsidRPr="00C702A9">
        <w:fldChar w:fldCharType="end"/>
      </w:r>
      <w:r w:rsidRPr="00C702A9">
        <w:t>:</w:t>
      </w:r>
      <w:r w:rsidR="004C14B9" w:rsidRPr="00C702A9">
        <w:t xml:space="preserve"> Blood </w:t>
      </w:r>
      <w:r w:rsidR="004B620F" w:rsidRPr="00C702A9">
        <w:t>group and blood group antibody</w:t>
      </w:r>
      <w:r w:rsidR="00940A3D" w:rsidRPr="00AE06DE">
        <w:t xml:space="preserve"> items</w:t>
      </w:r>
      <w:bookmarkEnd w:id="188"/>
      <w:bookmarkEnd w:id="189"/>
      <w:r w:rsidR="00940A3D" w:rsidRPr="00AE06DE">
        <w:t xml:space="preserve"> </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Appendix C - Summary for Consumers "/>
        <w:tblDescription w:val="Appendix C is a summary for consumers of recommendations. There are 12 recommendation tables listed that describe the medical service, the recommendation(s) of the clinical experts and why the recommendation(s) has/have been made.&#10;Each recommendation section contains 5 column headings: column 1: Item(s), column 2: What it does, column 3: Committee recommendation, column 4: What would be different, and column 5: Why.  Recommendation 1 table describes the recommendation related to Blood Group and Blood Group antibodies."/>
      </w:tblPr>
      <w:tblGrid>
        <w:gridCol w:w="2126"/>
        <w:gridCol w:w="3118"/>
        <w:gridCol w:w="3086"/>
        <w:gridCol w:w="2977"/>
        <w:gridCol w:w="3118"/>
      </w:tblGrid>
      <w:tr w:rsidR="0013441A" w:rsidRPr="00FC1976" w14:paraId="00091B7C" w14:textId="77777777" w:rsidTr="00740D54">
        <w:trPr>
          <w:cantSplit/>
          <w:tblHeader/>
        </w:trPr>
        <w:tc>
          <w:tcPr>
            <w:tcW w:w="2126" w:type="dxa"/>
          </w:tcPr>
          <w:p w14:paraId="5C3C737B" w14:textId="77777777" w:rsidR="0013441A" w:rsidRPr="00FC1976" w:rsidRDefault="0013441A" w:rsidP="00B325D6">
            <w:pPr>
              <w:pStyle w:val="01Tableheaderrow"/>
              <w:rPr>
                <w:color w:val="222222"/>
                <w:lang w:val="en-AU"/>
              </w:rPr>
            </w:pPr>
            <w:r w:rsidRPr="00FC1976">
              <w:rPr>
                <w:lang w:val="en-AU"/>
              </w:rPr>
              <w:t xml:space="preserve">Item </w:t>
            </w:r>
          </w:p>
        </w:tc>
        <w:tc>
          <w:tcPr>
            <w:tcW w:w="3118" w:type="dxa"/>
          </w:tcPr>
          <w:p w14:paraId="16271EE3" w14:textId="77777777" w:rsidR="0013441A" w:rsidRPr="00FC1976" w:rsidRDefault="0013441A" w:rsidP="00B325D6">
            <w:pPr>
              <w:pStyle w:val="01Tableheaderrow"/>
              <w:rPr>
                <w:color w:val="222222"/>
                <w:lang w:val="en-AU"/>
              </w:rPr>
            </w:pPr>
            <w:r w:rsidRPr="00FC1976">
              <w:rPr>
                <w:lang w:val="en-AU"/>
              </w:rPr>
              <w:t xml:space="preserve">What it does </w:t>
            </w:r>
          </w:p>
        </w:tc>
        <w:tc>
          <w:tcPr>
            <w:tcW w:w="3086" w:type="dxa"/>
          </w:tcPr>
          <w:p w14:paraId="75D89ED6" w14:textId="77777777" w:rsidR="0013441A" w:rsidRPr="00FC1976" w:rsidRDefault="0013441A" w:rsidP="00B325D6">
            <w:pPr>
              <w:pStyle w:val="01Tableheaderrow"/>
              <w:rPr>
                <w:lang w:val="en-AU"/>
              </w:rPr>
            </w:pPr>
            <w:r w:rsidRPr="00FC1976">
              <w:rPr>
                <w:lang w:val="en-AU"/>
              </w:rPr>
              <w:t xml:space="preserve">Committee </w:t>
            </w:r>
            <w:r w:rsidR="00515E46">
              <w:rPr>
                <w:lang w:val="en-AU"/>
              </w:rPr>
              <w:t>r</w:t>
            </w:r>
            <w:r w:rsidRPr="00FC1976">
              <w:rPr>
                <w:lang w:val="en-AU"/>
              </w:rPr>
              <w:t>ecommendation</w:t>
            </w:r>
          </w:p>
        </w:tc>
        <w:tc>
          <w:tcPr>
            <w:tcW w:w="2977" w:type="dxa"/>
          </w:tcPr>
          <w:p w14:paraId="125276AD" w14:textId="77777777" w:rsidR="0013441A" w:rsidRPr="00FC1976" w:rsidRDefault="0013441A" w:rsidP="00B325D6">
            <w:pPr>
              <w:pStyle w:val="01Tableheaderrow"/>
              <w:rPr>
                <w:lang w:val="en-AU"/>
              </w:rPr>
            </w:pPr>
            <w:r w:rsidRPr="00FC1976">
              <w:rPr>
                <w:lang w:val="en-AU"/>
              </w:rPr>
              <w:t>What would be different</w:t>
            </w:r>
          </w:p>
        </w:tc>
        <w:tc>
          <w:tcPr>
            <w:tcW w:w="3118" w:type="dxa"/>
          </w:tcPr>
          <w:p w14:paraId="009F72F0" w14:textId="77777777" w:rsidR="0013441A" w:rsidRPr="00FC1976" w:rsidRDefault="0013441A" w:rsidP="00B325D6">
            <w:pPr>
              <w:pStyle w:val="01Tableheaderrow"/>
              <w:rPr>
                <w:lang w:val="en-AU"/>
              </w:rPr>
            </w:pPr>
            <w:r w:rsidRPr="00FC1976">
              <w:rPr>
                <w:lang w:val="en-AU"/>
              </w:rPr>
              <w:t>Why</w:t>
            </w:r>
          </w:p>
        </w:tc>
      </w:tr>
      <w:tr w:rsidR="00EF79EC" w:rsidRPr="00FC1976" w14:paraId="17A9AB3D" w14:textId="77777777" w:rsidTr="00740D54">
        <w:trPr>
          <w:cantSplit/>
        </w:trPr>
        <w:tc>
          <w:tcPr>
            <w:tcW w:w="2126" w:type="dxa"/>
          </w:tcPr>
          <w:p w14:paraId="787023A9" w14:textId="77777777" w:rsidR="00EF79EC" w:rsidRPr="002A1292" w:rsidRDefault="00341852" w:rsidP="002A1292">
            <w:pPr>
              <w:pStyle w:val="02Tabletext"/>
            </w:pPr>
            <w:r>
              <w:t>65096 and 650XX</w:t>
            </w:r>
          </w:p>
        </w:tc>
        <w:tc>
          <w:tcPr>
            <w:tcW w:w="3118" w:type="dxa"/>
          </w:tcPr>
          <w:p w14:paraId="0114F7E7" w14:textId="77777777" w:rsidR="007D1989" w:rsidRDefault="00AC547A" w:rsidP="002A1292">
            <w:pPr>
              <w:pStyle w:val="02Tabletext"/>
            </w:pPr>
            <w:r>
              <w:t>Every</w:t>
            </w:r>
            <w:r w:rsidR="007D1989">
              <w:t xml:space="preserve"> individual has one of many blood groups on their blood cells and may develop antibodies to ‘foreign’ blood groups that may cause transfusion reactions when tran</w:t>
            </w:r>
            <w:r w:rsidR="004B620F">
              <w:t>s</w:t>
            </w:r>
            <w:r w:rsidR="007D1989">
              <w:t>fused. When being transfused it is important to transfuse the same blood group to prevent reactions</w:t>
            </w:r>
            <w:r w:rsidR="004B620F">
              <w:t>.</w:t>
            </w:r>
          </w:p>
          <w:p w14:paraId="1C771CBB" w14:textId="77777777" w:rsidR="00EF79EC" w:rsidRPr="002A1292" w:rsidRDefault="00AF0566" w:rsidP="00C702A9">
            <w:pPr>
              <w:pStyle w:val="02Tabletext"/>
            </w:pPr>
            <w:r>
              <w:t xml:space="preserve">Blood </w:t>
            </w:r>
            <w:r w:rsidR="00341852">
              <w:t xml:space="preserve">group and blood group antibody tests are used to determine a patient’s blood </w:t>
            </w:r>
            <w:r w:rsidR="004B620F">
              <w:t>group</w:t>
            </w:r>
            <w:r w:rsidR="00341852">
              <w:t xml:space="preserve">, screen for any antibodies, and if </w:t>
            </w:r>
            <w:r w:rsidR="00781A3E">
              <w:t>antibodies are detected</w:t>
            </w:r>
            <w:r w:rsidR="0022327B">
              <w:t xml:space="preserve"> (</w:t>
            </w:r>
            <w:r w:rsidR="004B620F">
              <w:t xml:space="preserve">i.e. </w:t>
            </w:r>
            <w:r w:rsidR="0022327B">
              <w:t xml:space="preserve">they are </w:t>
            </w:r>
            <w:r w:rsidR="00781A3E">
              <w:t>antibody positive</w:t>
            </w:r>
            <w:r w:rsidR="0022327B">
              <w:t>)</w:t>
            </w:r>
            <w:r w:rsidR="00D72F75">
              <w:t>,</w:t>
            </w:r>
            <w:r w:rsidR="00341852">
              <w:t xml:space="preserve"> then to identify and measure them.</w:t>
            </w:r>
          </w:p>
        </w:tc>
        <w:tc>
          <w:tcPr>
            <w:tcW w:w="3086" w:type="dxa"/>
          </w:tcPr>
          <w:p w14:paraId="2095F42C" w14:textId="77777777" w:rsidR="00EF79EC" w:rsidRPr="002A1292" w:rsidRDefault="00D72F75" w:rsidP="00DE1B16">
            <w:pPr>
              <w:pStyle w:val="02Tabletext"/>
            </w:pPr>
            <w:r>
              <w:t xml:space="preserve">Split the current item into two </w:t>
            </w:r>
            <w:r w:rsidR="00781A3E">
              <w:t>items—an initial test that includes screening for antibodies, and a second</w:t>
            </w:r>
            <w:r>
              <w:t xml:space="preserve"> item that includes the identification and measurement only if </w:t>
            </w:r>
            <w:r w:rsidR="00DE1B16">
              <w:t>the initial test is positive for antibodies.</w:t>
            </w:r>
          </w:p>
        </w:tc>
        <w:tc>
          <w:tcPr>
            <w:tcW w:w="2977" w:type="dxa"/>
          </w:tcPr>
          <w:p w14:paraId="33C510D7" w14:textId="77777777" w:rsidR="00EF79EC" w:rsidRDefault="00D72F75" w:rsidP="002A1292">
            <w:pPr>
              <w:pStyle w:val="02Tabletext"/>
            </w:pPr>
            <w:r>
              <w:t>Instead of one item that includes all aspects of the testing, there would one item for the in</w:t>
            </w:r>
            <w:r w:rsidR="00781A3E">
              <w:t>itial screening for antibodies and a</w:t>
            </w:r>
            <w:r>
              <w:t xml:space="preserve"> second item </w:t>
            </w:r>
            <w:r w:rsidR="00781A3E">
              <w:t xml:space="preserve">that </w:t>
            </w:r>
            <w:r>
              <w:t>woul</w:t>
            </w:r>
            <w:r w:rsidR="00781A3E">
              <w:t>d only be used if the antibody screen was</w:t>
            </w:r>
            <w:r w:rsidR="004B620F">
              <w:t xml:space="preserve"> positive (antibodies detected in the blood).</w:t>
            </w:r>
          </w:p>
          <w:p w14:paraId="2A23E9ED" w14:textId="77777777" w:rsidR="00781A3E" w:rsidRPr="00781A3E" w:rsidRDefault="00781A3E" w:rsidP="00781A3E">
            <w:pPr>
              <w:rPr>
                <w:rFonts w:ascii="Arial" w:hAnsi="Arial" w:cs="Arial"/>
                <w:sz w:val="18"/>
                <w:szCs w:val="18"/>
                <w:lang w:eastAsia="en-US"/>
              </w:rPr>
            </w:pPr>
            <w:r w:rsidRPr="00781A3E">
              <w:rPr>
                <w:rFonts w:ascii="Arial" w:hAnsi="Arial" w:cs="Arial"/>
                <w:sz w:val="18"/>
                <w:szCs w:val="18"/>
                <w:lang w:eastAsia="en-US"/>
              </w:rPr>
              <w:t xml:space="preserve">There will be </w:t>
            </w:r>
            <w:r w:rsidR="004F41A6">
              <w:rPr>
                <w:rFonts w:ascii="Arial" w:hAnsi="Arial" w:cs="Arial"/>
                <w:sz w:val="18"/>
                <w:szCs w:val="18"/>
                <w:lang w:eastAsia="en-US"/>
              </w:rPr>
              <w:t>no impact on</w:t>
            </w:r>
            <w:r w:rsidRPr="00781A3E">
              <w:rPr>
                <w:rFonts w:ascii="Arial" w:hAnsi="Arial" w:cs="Arial"/>
                <w:sz w:val="18"/>
                <w:szCs w:val="18"/>
                <w:lang w:eastAsia="en-US"/>
              </w:rPr>
              <w:t xml:space="preserve"> patients</w:t>
            </w:r>
            <w:r>
              <w:rPr>
                <w:rFonts w:ascii="Arial" w:hAnsi="Arial" w:cs="Arial"/>
                <w:sz w:val="18"/>
                <w:szCs w:val="18"/>
                <w:lang w:eastAsia="en-US"/>
              </w:rPr>
              <w:t>.</w:t>
            </w:r>
          </w:p>
        </w:tc>
        <w:tc>
          <w:tcPr>
            <w:tcW w:w="3118" w:type="dxa"/>
          </w:tcPr>
          <w:p w14:paraId="3ED1F4D0" w14:textId="77777777" w:rsidR="00417AB1" w:rsidRPr="00417AB1" w:rsidRDefault="000B7F50" w:rsidP="00417AB1">
            <w:pPr>
              <w:pStyle w:val="02Tabletext"/>
            </w:pPr>
            <w:r>
              <w:t xml:space="preserve">About </w:t>
            </w:r>
            <w:r w:rsidR="00D72F75">
              <w:t>95 per</w:t>
            </w:r>
            <w:r>
              <w:t xml:space="preserve"> </w:t>
            </w:r>
            <w:r w:rsidR="00D72F75">
              <w:t>cent of tests do not detect any antibodies (they are antibody negative). Only five per</w:t>
            </w:r>
            <w:r>
              <w:t xml:space="preserve"> </w:t>
            </w:r>
            <w:r w:rsidR="00D72F75">
              <w:t>cent of test</w:t>
            </w:r>
            <w:r w:rsidR="00781A3E">
              <w:t>s</w:t>
            </w:r>
            <w:r w:rsidR="00D72F75">
              <w:t xml:space="preserve"> are antibody positive and need further investigation. The work required to perform the second part of this</w:t>
            </w:r>
            <w:r w:rsidR="00781A3E">
              <w:t xml:space="preserve"> test is</w:t>
            </w:r>
            <w:r w:rsidR="00D72F75">
              <w:t xml:space="preserve"> significantly higher and more complex</w:t>
            </w:r>
            <w:r w:rsidR="00781A3E">
              <w:t>. S</w:t>
            </w:r>
            <w:r w:rsidR="00D72F75">
              <w:t>p</w:t>
            </w:r>
            <w:r w:rsidR="00781A3E">
              <w:t>litting the item will allow each part</w:t>
            </w:r>
            <w:r w:rsidR="00D72F75">
              <w:t xml:space="preserve"> to be costed separately and more fairly.</w:t>
            </w:r>
            <w:r w:rsidR="00417AB1">
              <w:t xml:space="preserve"> This also follows the practical steps in the laboratory processes.</w:t>
            </w:r>
          </w:p>
        </w:tc>
      </w:tr>
    </w:tbl>
    <w:p w14:paraId="631B12E2" w14:textId="77777777" w:rsidR="00740D54" w:rsidRDefault="00740D54" w:rsidP="00013A45">
      <w:bookmarkStart w:id="190" w:name="_Toc477786677"/>
      <w:bookmarkStart w:id="191" w:name="_Toc478249947"/>
      <w:r>
        <w:t xml:space="preserve">Recommendation </w:t>
      </w:r>
      <w:r w:rsidR="00B932AE">
        <w:fldChar w:fldCharType="begin"/>
      </w:r>
      <w:r w:rsidR="00B932AE">
        <w:instrText xml:space="preserve"> SEQ Recommendation \* ARABIC </w:instrText>
      </w:r>
      <w:r w:rsidR="00B932AE">
        <w:fldChar w:fldCharType="separate"/>
      </w:r>
      <w:r w:rsidR="005C3364">
        <w:rPr>
          <w:noProof/>
        </w:rPr>
        <w:t>2</w:t>
      </w:r>
      <w:r w:rsidR="00B932AE">
        <w:rPr>
          <w:noProof/>
        </w:rPr>
        <w:fldChar w:fldCharType="end"/>
      </w:r>
      <w:r>
        <w:t xml:space="preserve">: </w:t>
      </w:r>
      <w:r w:rsidR="005F057F">
        <w:t>Compatibility testing</w:t>
      </w:r>
      <w:r w:rsidR="00940A3D">
        <w:t xml:space="preserve"> items</w:t>
      </w:r>
      <w:r w:rsidR="00C710AB">
        <w:t xml:space="preserve"> 65099, 65102, 65105 and 65108</w:t>
      </w:r>
      <w:bookmarkEnd w:id="190"/>
      <w:bookmarkEnd w:id="191"/>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C is a summary for consumers. There are 12 recommendation tables.  Recommendation 2 table looks at compatability testing items 65099, 65102, 65105 and 65108.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940A3D" w:rsidRPr="00FC1976" w14:paraId="0A178866" w14:textId="77777777" w:rsidTr="00940A3D">
        <w:trPr>
          <w:cantSplit/>
          <w:tblHeader/>
        </w:trPr>
        <w:tc>
          <w:tcPr>
            <w:tcW w:w="2126" w:type="dxa"/>
          </w:tcPr>
          <w:p w14:paraId="20B04C22" w14:textId="77777777" w:rsidR="00940A3D" w:rsidRPr="00FC1976" w:rsidRDefault="00940A3D" w:rsidP="00B325D6">
            <w:pPr>
              <w:pStyle w:val="01Tableheaderrow"/>
              <w:rPr>
                <w:color w:val="222222"/>
                <w:lang w:val="en-AU"/>
              </w:rPr>
            </w:pPr>
            <w:r w:rsidRPr="00FC1976">
              <w:rPr>
                <w:lang w:val="en-AU"/>
              </w:rPr>
              <w:t xml:space="preserve">Item </w:t>
            </w:r>
          </w:p>
        </w:tc>
        <w:tc>
          <w:tcPr>
            <w:tcW w:w="3118" w:type="dxa"/>
          </w:tcPr>
          <w:p w14:paraId="26657AA3" w14:textId="77777777" w:rsidR="00940A3D" w:rsidRPr="00FC1976" w:rsidRDefault="00940A3D" w:rsidP="00B325D6">
            <w:pPr>
              <w:pStyle w:val="01Tableheaderrow"/>
              <w:rPr>
                <w:color w:val="222222"/>
                <w:lang w:val="en-AU"/>
              </w:rPr>
            </w:pPr>
            <w:r w:rsidRPr="00FC1976">
              <w:rPr>
                <w:lang w:val="en-AU"/>
              </w:rPr>
              <w:t xml:space="preserve">What it does </w:t>
            </w:r>
          </w:p>
        </w:tc>
        <w:tc>
          <w:tcPr>
            <w:tcW w:w="3086" w:type="dxa"/>
          </w:tcPr>
          <w:p w14:paraId="1E1E813B" w14:textId="77777777" w:rsidR="00940A3D" w:rsidRPr="00FC1976" w:rsidRDefault="00940A3D"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135068E3" w14:textId="77777777" w:rsidR="00940A3D" w:rsidRPr="00FC1976" w:rsidRDefault="00940A3D" w:rsidP="00B325D6">
            <w:pPr>
              <w:pStyle w:val="01Tableheaderrow"/>
              <w:rPr>
                <w:lang w:val="en-AU"/>
              </w:rPr>
            </w:pPr>
            <w:r w:rsidRPr="00FC1976">
              <w:rPr>
                <w:lang w:val="en-AU"/>
              </w:rPr>
              <w:t>What would be different</w:t>
            </w:r>
          </w:p>
        </w:tc>
        <w:tc>
          <w:tcPr>
            <w:tcW w:w="3118" w:type="dxa"/>
          </w:tcPr>
          <w:p w14:paraId="0ED485A3" w14:textId="77777777" w:rsidR="00940A3D" w:rsidRPr="00FC1976" w:rsidRDefault="00940A3D" w:rsidP="00B325D6">
            <w:pPr>
              <w:pStyle w:val="01Tableheaderrow"/>
              <w:rPr>
                <w:lang w:val="en-AU"/>
              </w:rPr>
            </w:pPr>
            <w:r w:rsidRPr="00FC1976">
              <w:rPr>
                <w:lang w:val="en-AU"/>
              </w:rPr>
              <w:t>Why</w:t>
            </w:r>
          </w:p>
        </w:tc>
      </w:tr>
      <w:tr w:rsidR="00940A3D" w:rsidRPr="00FC1976" w14:paraId="5A33998E" w14:textId="77777777" w:rsidTr="00940A3D">
        <w:trPr>
          <w:cantSplit/>
        </w:trPr>
        <w:tc>
          <w:tcPr>
            <w:tcW w:w="2126" w:type="dxa"/>
          </w:tcPr>
          <w:p w14:paraId="43D85DC9" w14:textId="77777777" w:rsidR="00940A3D" w:rsidRPr="002A1292" w:rsidRDefault="00940A3D" w:rsidP="002A1292">
            <w:pPr>
              <w:pStyle w:val="02Tabletext"/>
            </w:pPr>
            <w:r>
              <w:t>65099 and 650YY</w:t>
            </w:r>
          </w:p>
        </w:tc>
        <w:tc>
          <w:tcPr>
            <w:tcW w:w="3118" w:type="dxa"/>
          </w:tcPr>
          <w:p w14:paraId="5E92D2B7" w14:textId="77777777" w:rsidR="00940A3D" w:rsidRPr="002A1292" w:rsidRDefault="00940A3D" w:rsidP="00C702A9">
            <w:pPr>
              <w:pStyle w:val="02Tabletext"/>
            </w:pPr>
            <w:r>
              <w:t>Compatibility testing is used in blood transfusions to check that patient and donor blood is compatible</w:t>
            </w:r>
            <w:r w:rsidR="004B620F">
              <w:t xml:space="preserve"> to ensure there is no reaction</w:t>
            </w:r>
            <w:r>
              <w:t>. This requires screening for antibodies. If antibodies are detected, further tests including cross-matching are required. Once checked, the blood is released for use. Often many units of blood may need to be released.</w:t>
            </w:r>
          </w:p>
        </w:tc>
        <w:tc>
          <w:tcPr>
            <w:tcW w:w="3086" w:type="dxa"/>
          </w:tcPr>
          <w:p w14:paraId="41AAA97F" w14:textId="77777777" w:rsidR="00940A3D" w:rsidRDefault="00940A3D" w:rsidP="002A1292">
            <w:pPr>
              <w:pStyle w:val="02Tabletext"/>
            </w:pPr>
            <w:r>
              <w:t>Combine the existing four items into two items, based on whether positive antibodies are detected. One item will be for the screening and release of antibody</w:t>
            </w:r>
            <w:r w:rsidR="000B7F50">
              <w:t>-</w:t>
            </w:r>
            <w:r>
              <w:t>negative blood, and the other for further testing and release of antibody</w:t>
            </w:r>
            <w:r w:rsidR="000B7F50">
              <w:t>-</w:t>
            </w:r>
            <w:r>
              <w:t xml:space="preserve">positive blood. Most cases do not require more than </w:t>
            </w:r>
            <w:r w:rsidR="000B7F50">
              <w:t xml:space="preserve">6 </w:t>
            </w:r>
            <w:r>
              <w:t xml:space="preserve">units to be released in any </w:t>
            </w:r>
            <w:r w:rsidR="000B7F50">
              <w:t xml:space="preserve">1 </w:t>
            </w:r>
            <w:r>
              <w:t>day.</w:t>
            </w:r>
          </w:p>
          <w:p w14:paraId="4B354002" w14:textId="77777777" w:rsidR="00940A3D" w:rsidRPr="005F057F" w:rsidRDefault="00940A3D" w:rsidP="005F057F">
            <w:pPr>
              <w:rPr>
                <w:lang w:eastAsia="en-US"/>
              </w:rPr>
            </w:pPr>
            <w:r w:rsidRPr="00781A3E">
              <w:rPr>
                <w:rFonts w:ascii="Arial" w:hAnsi="Arial" w:cs="Arial"/>
                <w:sz w:val="18"/>
                <w:szCs w:val="18"/>
                <w:lang w:eastAsia="en-US"/>
              </w:rPr>
              <w:t>There will be no difference for patients</w:t>
            </w:r>
            <w:r>
              <w:rPr>
                <w:rFonts w:ascii="Arial" w:hAnsi="Arial" w:cs="Arial"/>
                <w:sz w:val="18"/>
                <w:szCs w:val="18"/>
                <w:lang w:eastAsia="en-US"/>
              </w:rPr>
              <w:t>.</w:t>
            </w:r>
          </w:p>
        </w:tc>
        <w:tc>
          <w:tcPr>
            <w:tcW w:w="2977" w:type="dxa"/>
          </w:tcPr>
          <w:p w14:paraId="54E56285" w14:textId="77777777" w:rsidR="00940A3D" w:rsidRDefault="00940A3D" w:rsidP="002A1292">
            <w:pPr>
              <w:pStyle w:val="02Tabletext"/>
            </w:pPr>
            <w:r>
              <w:t xml:space="preserve">There would be </w:t>
            </w:r>
            <w:r w:rsidR="000B7F50">
              <w:t xml:space="preserve">2 </w:t>
            </w:r>
            <w:r>
              <w:t xml:space="preserve">items instead of </w:t>
            </w:r>
            <w:r w:rsidR="000B7F50">
              <w:t xml:space="preserve">4 </w:t>
            </w:r>
            <w:r>
              <w:t xml:space="preserve">items. The </w:t>
            </w:r>
            <w:r w:rsidR="000B7F50">
              <w:t xml:space="preserve">2 </w:t>
            </w:r>
            <w:r>
              <w:t xml:space="preserve">items will be based on whether antibodies are detected. If antibodies are not detected the process is simpler. If antibodies are detected, further testing is required. </w:t>
            </w:r>
          </w:p>
          <w:p w14:paraId="7F016154" w14:textId="77777777" w:rsidR="004F41A6" w:rsidRPr="004F41A6" w:rsidRDefault="004F41A6" w:rsidP="004F41A6">
            <w:pPr>
              <w:rPr>
                <w:rFonts w:ascii="Arial" w:hAnsi="Arial" w:cs="Arial"/>
                <w:sz w:val="18"/>
                <w:szCs w:val="18"/>
                <w:lang w:eastAsia="en-US"/>
              </w:rPr>
            </w:pPr>
            <w:r w:rsidRPr="004F41A6">
              <w:rPr>
                <w:rFonts w:ascii="Arial" w:hAnsi="Arial" w:cs="Arial"/>
                <w:sz w:val="18"/>
                <w:szCs w:val="18"/>
                <w:lang w:eastAsia="en-US"/>
              </w:rPr>
              <w:t>There will be no impact on patients.</w:t>
            </w:r>
          </w:p>
        </w:tc>
        <w:tc>
          <w:tcPr>
            <w:tcW w:w="3118" w:type="dxa"/>
          </w:tcPr>
          <w:p w14:paraId="72FFCB9F" w14:textId="77777777" w:rsidR="00940A3D" w:rsidRPr="002A1292" w:rsidRDefault="000B7F50" w:rsidP="00C702A9">
            <w:pPr>
              <w:pStyle w:val="02Tabletext"/>
            </w:pPr>
            <w:r>
              <w:t xml:space="preserve">About 10 </w:t>
            </w:r>
            <w:r w:rsidR="00940A3D">
              <w:t xml:space="preserve">per cent of patients requiring a transfusion are antibody positive or have had a history of antibodies. This requires </w:t>
            </w:r>
            <w:proofErr w:type="gramStart"/>
            <w:r w:rsidR="00940A3D">
              <w:t>cross-match</w:t>
            </w:r>
            <w:proofErr w:type="gramEnd"/>
            <w:r w:rsidR="00940A3D">
              <w:t xml:space="preserve"> testing that is more complex and more expensive to perform. </w:t>
            </w:r>
            <w:r>
              <w:t xml:space="preserve">About </w:t>
            </w:r>
            <w:r w:rsidR="00940A3D">
              <w:t xml:space="preserve">90 per cent of patients will be antibody negative and no further testing will be required. Basing the items on </w:t>
            </w:r>
            <w:proofErr w:type="gramStart"/>
            <w:r w:rsidR="00940A3D">
              <w:t>whether or not</w:t>
            </w:r>
            <w:proofErr w:type="gramEnd"/>
            <w:r w:rsidR="00940A3D">
              <w:t xml:space="preserve"> antibodies are detected will mean that the </w:t>
            </w:r>
            <w:r>
              <w:t>2 </w:t>
            </w:r>
            <w:r w:rsidR="00940A3D">
              <w:t>items can be more appropriately costed. This also follows the practical steps in the laboratory processes.</w:t>
            </w:r>
          </w:p>
        </w:tc>
      </w:tr>
    </w:tbl>
    <w:p w14:paraId="0896D41A" w14:textId="77777777" w:rsidR="00740D54" w:rsidRDefault="00740D54" w:rsidP="00013A45">
      <w:bookmarkStart w:id="192" w:name="_Toc477786678"/>
      <w:bookmarkStart w:id="193" w:name="_Toc478249948"/>
      <w:r>
        <w:lastRenderedPageBreak/>
        <w:t xml:space="preserve">Recommendation </w:t>
      </w:r>
      <w:r w:rsidR="00B932AE">
        <w:fldChar w:fldCharType="begin"/>
      </w:r>
      <w:r w:rsidR="00B932AE">
        <w:instrText xml:space="preserve"> SEQ Recommendation \* ARABIC </w:instrText>
      </w:r>
      <w:r w:rsidR="00B932AE">
        <w:fldChar w:fldCharType="separate"/>
      </w:r>
      <w:r w:rsidR="005C3364">
        <w:rPr>
          <w:noProof/>
        </w:rPr>
        <w:t>3</w:t>
      </w:r>
      <w:r w:rsidR="00B932AE">
        <w:rPr>
          <w:noProof/>
        </w:rPr>
        <w:fldChar w:fldCharType="end"/>
      </w:r>
      <w:r>
        <w:t xml:space="preserve">: </w:t>
      </w:r>
      <w:r w:rsidR="00940A3D">
        <w:t>Coagulation test items 65120, 65123, 65126 and 65129</w:t>
      </w:r>
      <w:bookmarkEnd w:id="192"/>
      <w:bookmarkEnd w:id="193"/>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3"/>
        <w:tblDescription w:val="Appendix C is a summary for consumers. There are 12 recommendation tables listed. Recommendation 3 table looks at coagulation test items 65120, 65123, 65126 and 65129.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1707A" w:rsidRPr="00FC1976" w14:paraId="7D7DA60D" w14:textId="77777777" w:rsidTr="00740D54">
        <w:trPr>
          <w:cantSplit/>
          <w:tblHeader/>
        </w:trPr>
        <w:tc>
          <w:tcPr>
            <w:tcW w:w="2126" w:type="dxa"/>
          </w:tcPr>
          <w:p w14:paraId="1D53920F" w14:textId="77777777" w:rsidR="00A1707A" w:rsidRPr="00FC1976" w:rsidRDefault="00A1707A" w:rsidP="00B325D6">
            <w:pPr>
              <w:pStyle w:val="01Tableheaderrow"/>
              <w:rPr>
                <w:color w:val="222222"/>
                <w:lang w:val="en-AU"/>
              </w:rPr>
            </w:pPr>
            <w:r w:rsidRPr="00FC1976">
              <w:rPr>
                <w:lang w:val="en-AU"/>
              </w:rPr>
              <w:t xml:space="preserve">Item </w:t>
            </w:r>
          </w:p>
        </w:tc>
        <w:tc>
          <w:tcPr>
            <w:tcW w:w="3118" w:type="dxa"/>
          </w:tcPr>
          <w:p w14:paraId="2A170E29" w14:textId="77777777" w:rsidR="00A1707A" w:rsidRPr="00FC1976" w:rsidRDefault="00A1707A" w:rsidP="00B325D6">
            <w:pPr>
              <w:pStyle w:val="01Tableheaderrow"/>
              <w:rPr>
                <w:color w:val="222222"/>
                <w:lang w:val="en-AU"/>
              </w:rPr>
            </w:pPr>
            <w:r w:rsidRPr="00FC1976">
              <w:rPr>
                <w:lang w:val="en-AU"/>
              </w:rPr>
              <w:t xml:space="preserve">What it does </w:t>
            </w:r>
          </w:p>
        </w:tc>
        <w:tc>
          <w:tcPr>
            <w:tcW w:w="3086" w:type="dxa"/>
          </w:tcPr>
          <w:p w14:paraId="51870406" w14:textId="77777777" w:rsidR="00A1707A" w:rsidRPr="00FC1976" w:rsidRDefault="00A1707A"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43B23ECF" w14:textId="77777777" w:rsidR="00A1707A" w:rsidRPr="00FC1976" w:rsidRDefault="00A1707A" w:rsidP="00B325D6">
            <w:pPr>
              <w:pStyle w:val="01Tableheaderrow"/>
              <w:rPr>
                <w:lang w:val="en-AU"/>
              </w:rPr>
            </w:pPr>
            <w:r w:rsidRPr="00FC1976">
              <w:rPr>
                <w:lang w:val="en-AU"/>
              </w:rPr>
              <w:t>What would be different</w:t>
            </w:r>
          </w:p>
        </w:tc>
        <w:tc>
          <w:tcPr>
            <w:tcW w:w="3118" w:type="dxa"/>
          </w:tcPr>
          <w:p w14:paraId="282062DE" w14:textId="77777777" w:rsidR="00A1707A" w:rsidRPr="00FC1976" w:rsidRDefault="00A1707A" w:rsidP="00B325D6">
            <w:pPr>
              <w:pStyle w:val="01Tableheaderrow"/>
              <w:rPr>
                <w:lang w:val="en-AU"/>
              </w:rPr>
            </w:pPr>
            <w:r w:rsidRPr="00FC1976">
              <w:rPr>
                <w:lang w:val="en-AU"/>
              </w:rPr>
              <w:t>Why</w:t>
            </w:r>
          </w:p>
        </w:tc>
      </w:tr>
      <w:tr w:rsidR="00A1707A" w:rsidRPr="00FC1976" w14:paraId="4AF850A4" w14:textId="77777777" w:rsidTr="002A1292">
        <w:trPr>
          <w:cantSplit/>
        </w:trPr>
        <w:tc>
          <w:tcPr>
            <w:tcW w:w="2126" w:type="dxa"/>
          </w:tcPr>
          <w:p w14:paraId="585844E5" w14:textId="77777777" w:rsidR="00A1707A" w:rsidRPr="00FC1976" w:rsidRDefault="005F057F" w:rsidP="0074549B">
            <w:pPr>
              <w:pStyle w:val="02Tabletext"/>
              <w:rPr>
                <w:lang w:val="en-AU"/>
              </w:rPr>
            </w:pPr>
            <w:r>
              <w:rPr>
                <w:lang w:val="en-AU"/>
              </w:rPr>
              <w:t>65120—65129</w:t>
            </w:r>
          </w:p>
        </w:tc>
        <w:tc>
          <w:tcPr>
            <w:tcW w:w="3118" w:type="dxa"/>
          </w:tcPr>
          <w:p w14:paraId="4D57EEEA" w14:textId="77777777" w:rsidR="00A1707A" w:rsidRPr="00FC1976" w:rsidRDefault="00AF0566" w:rsidP="00C702A9">
            <w:pPr>
              <w:pStyle w:val="02Tabletext"/>
              <w:rPr>
                <w:lang w:val="en-AU"/>
              </w:rPr>
            </w:pPr>
            <w:r>
              <w:rPr>
                <w:lang w:val="en-AU"/>
              </w:rPr>
              <w:t>Coagulation tests</w:t>
            </w:r>
            <w:r w:rsidR="005F057F">
              <w:rPr>
                <w:lang w:val="en-AU"/>
              </w:rPr>
              <w:t xml:space="preserve"> are used to </w:t>
            </w:r>
            <w:r w:rsidR="009232AF">
              <w:rPr>
                <w:lang w:val="en-AU"/>
              </w:rPr>
              <w:t>assess</w:t>
            </w:r>
            <w:r w:rsidR="005F057F">
              <w:rPr>
                <w:lang w:val="en-AU"/>
              </w:rPr>
              <w:t xml:space="preserve"> how a patient’s blood is clotting. </w:t>
            </w:r>
            <w:r w:rsidR="000B7F50">
              <w:rPr>
                <w:lang w:val="en-AU"/>
              </w:rPr>
              <w:t>S</w:t>
            </w:r>
            <w:r w:rsidR="005F057F">
              <w:rPr>
                <w:lang w:val="en-AU"/>
              </w:rPr>
              <w:t>evera</w:t>
            </w:r>
            <w:r w:rsidR="009232AF">
              <w:rPr>
                <w:lang w:val="en-AU"/>
              </w:rPr>
              <w:t xml:space="preserve">l different types of tests </w:t>
            </w:r>
            <w:r w:rsidR="000B7F50">
              <w:rPr>
                <w:lang w:val="en-AU"/>
              </w:rPr>
              <w:t xml:space="preserve">are </w:t>
            </w:r>
            <w:r w:rsidR="009232AF">
              <w:rPr>
                <w:lang w:val="en-AU"/>
              </w:rPr>
              <w:t>used,</w:t>
            </w:r>
            <w:r w:rsidR="005F057F">
              <w:rPr>
                <w:lang w:val="en-AU"/>
              </w:rPr>
              <w:t xml:space="preserve"> depending on the clinical circumstances for each patient.</w:t>
            </w:r>
          </w:p>
        </w:tc>
        <w:tc>
          <w:tcPr>
            <w:tcW w:w="3086" w:type="dxa"/>
          </w:tcPr>
          <w:p w14:paraId="41756C29" w14:textId="77777777" w:rsidR="00A1707A" w:rsidRPr="00FC1976" w:rsidRDefault="005F057F" w:rsidP="00C702A9">
            <w:pPr>
              <w:pStyle w:val="02Tabletext"/>
              <w:rPr>
                <w:lang w:val="en-AU"/>
              </w:rPr>
            </w:pPr>
            <w:r>
              <w:rPr>
                <w:lang w:val="en-AU"/>
              </w:rPr>
              <w:t xml:space="preserve">Limit the number of tests </w:t>
            </w:r>
            <w:r w:rsidR="009232AF">
              <w:rPr>
                <w:lang w:val="en-AU"/>
              </w:rPr>
              <w:t>funded through the MBS</w:t>
            </w:r>
            <w:r>
              <w:rPr>
                <w:lang w:val="en-AU"/>
              </w:rPr>
              <w:t xml:space="preserve"> to a maximum of </w:t>
            </w:r>
            <w:r w:rsidR="000B7F50">
              <w:rPr>
                <w:lang w:val="en-AU"/>
              </w:rPr>
              <w:t xml:space="preserve">3 </w:t>
            </w:r>
            <w:r>
              <w:rPr>
                <w:lang w:val="en-AU"/>
              </w:rPr>
              <w:t xml:space="preserve">different types of tests rather than </w:t>
            </w:r>
            <w:r w:rsidR="000B7F50">
              <w:rPr>
                <w:lang w:val="en-AU"/>
              </w:rPr>
              <w:t xml:space="preserve">4 </w:t>
            </w:r>
            <w:r>
              <w:rPr>
                <w:lang w:val="en-AU"/>
              </w:rPr>
              <w:t xml:space="preserve">tests. </w:t>
            </w:r>
          </w:p>
        </w:tc>
        <w:tc>
          <w:tcPr>
            <w:tcW w:w="2977" w:type="dxa"/>
          </w:tcPr>
          <w:p w14:paraId="50C342FA" w14:textId="77777777" w:rsidR="004F41A6" w:rsidRPr="004F41A6" w:rsidRDefault="00980370" w:rsidP="004F41A6">
            <w:pPr>
              <w:pStyle w:val="02Tabletext"/>
              <w:rPr>
                <w:lang w:val="en-AU"/>
              </w:rPr>
            </w:pPr>
            <w:r w:rsidRPr="00980370">
              <w:rPr>
                <w:lang w:val="en-AU"/>
              </w:rPr>
              <w:t xml:space="preserve">Doctors can still order more tests, and more tests can be performed by the </w:t>
            </w:r>
            <w:r w:rsidR="000B7F50">
              <w:rPr>
                <w:lang w:val="en-AU"/>
              </w:rPr>
              <w:t>p</w:t>
            </w:r>
            <w:r w:rsidR="000B7F50" w:rsidRPr="00980370">
              <w:rPr>
                <w:lang w:val="en-AU"/>
              </w:rPr>
              <w:t>athologist</w:t>
            </w:r>
            <w:r w:rsidRPr="00980370">
              <w:rPr>
                <w:lang w:val="en-AU"/>
              </w:rPr>
              <w:t>, but the maximum fee payable will be for ‘</w:t>
            </w:r>
            <w:r w:rsidR="000B7F50">
              <w:rPr>
                <w:lang w:val="en-AU"/>
              </w:rPr>
              <w:t>3</w:t>
            </w:r>
            <w:r w:rsidR="000B7F50" w:rsidRPr="00980370">
              <w:rPr>
                <w:lang w:val="en-AU"/>
              </w:rPr>
              <w:t xml:space="preserve"> </w:t>
            </w:r>
            <w:r w:rsidRPr="00980370">
              <w:rPr>
                <w:lang w:val="en-AU"/>
              </w:rPr>
              <w:t>or more tests’’. The Committee believe</w:t>
            </w:r>
            <w:r>
              <w:rPr>
                <w:lang w:val="en-AU"/>
              </w:rPr>
              <w:t>s</w:t>
            </w:r>
            <w:r w:rsidRPr="00980370">
              <w:rPr>
                <w:lang w:val="en-AU"/>
              </w:rPr>
              <w:t xml:space="preserve"> that in </w:t>
            </w:r>
            <w:r w:rsidR="000B7F50">
              <w:rPr>
                <w:lang w:val="en-AU"/>
              </w:rPr>
              <w:t xml:space="preserve">most </w:t>
            </w:r>
            <w:r w:rsidRPr="00980370">
              <w:rPr>
                <w:lang w:val="en-AU"/>
              </w:rPr>
              <w:t xml:space="preserve">cases a maximum of </w:t>
            </w:r>
            <w:r w:rsidR="000B7F50">
              <w:rPr>
                <w:lang w:val="en-AU"/>
              </w:rPr>
              <w:t xml:space="preserve">3 </w:t>
            </w:r>
            <w:r w:rsidRPr="00980370">
              <w:rPr>
                <w:lang w:val="en-AU"/>
              </w:rPr>
              <w:t>tests is sufficient.</w:t>
            </w:r>
          </w:p>
          <w:p w14:paraId="6DED41BE" w14:textId="77777777" w:rsidR="004F41A6" w:rsidRDefault="004F41A6" w:rsidP="00980370">
            <w:pPr>
              <w:pStyle w:val="02Tabletext"/>
              <w:rPr>
                <w:lang w:val="en-AU"/>
              </w:rPr>
            </w:pPr>
          </w:p>
          <w:p w14:paraId="41FFF675" w14:textId="77777777" w:rsidR="009232AF" w:rsidRPr="009232AF" w:rsidRDefault="00940A3D" w:rsidP="00980370">
            <w:pPr>
              <w:pStyle w:val="02Tabletext"/>
              <w:rPr>
                <w:lang w:val="en-AU"/>
              </w:rPr>
            </w:pPr>
            <w:r w:rsidRPr="00980370">
              <w:rPr>
                <w:lang w:val="en-AU"/>
              </w:rPr>
              <w:t>There will be</w:t>
            </w:r>
            <w:r w:rsidR="00E46149">
              <w:rPr>
                <w:lang w:val="en-AU"/>
              </w:rPr>
              <w:t xml:space="preserve"> no difference to patients in terms of having blood </w:t>
            </w:r>
            <w:r w:rsidR="002260BA">
              <w:rPr>
                <w:lang w:val="en-AU"/>
              </w:rPr>
              <w:t xml:space="preserve">samples </w:t>
            </w:r>
            <w:r w:rsidR="00E46149">
              <w:rPr>
                <w:lang w:val="en-AU"/>
              </w:rPr>
              <w:t xml:space="preserve">taken, but </w:t>
            </w:r>
            <w:r w:rsidR="002260BA">
              <w:rPr>
                <w:lang w:val="en-AU"/>
              </w:rPr>
              <w:t xml:space="preserve">only clinically relevant coagulation tests would be </w:t>
            </w:r>
            <w:r w:rsidR="00E46149">
              <w:rPr>
                <w:lang w:val="en-AU"/>
              </w:rPr>
              <w:t>performed on the blood sample</w:t>
            </w:r>
            <w:r w:rsidR="002260BA">
              <w:rPr>
                <w:lang w:val="en-AU"/>
              </w:rPr>
              <w:t>.</w:t>
            </w:r>
            <w:r w:rsidR="00E46149">
              <w:rPr>
                <w:lang w:val="en-AU"/>
              </w:rPr>
              <w:t xml:space="preserve"> </w:t>
            </w:r>
          </w:p>
        </w:tc>
        <w:tc>
          <w:tcPr>
            <w:tcW w:w="3118" w:type="dxa"/>
          </w:tcPr>
          <w:p w14:paraId="139EB7A7" w14:textId="77777777" w:rsidR="00A1707A" w:rsidRPr="00FC1976" w:rsidRDefault="00980370" w:rsidP="00C702A9">
            <w:pPr>
              <w:pStyle w:val="02Tabletext"/>
              <w:rPr>
                <w:lang w:val="en-AU"/>
              </w:rPr>
            </w:pPr>
            <w:r>
              <w:rPr>
                <w:lang w:val="en-AU"/>
              </w:rPr>
              <w:t>R</w:t>
            </w:r>
            <w:r w:rsidR="009232AF">
              <w:rPr>
                <w:lang w:val="en-AU"/>
              </w:rPr>
              <w:t xml:space="preserve">equesters should order the </w:t>
            </w:r>
            <w:r>
              <w:rPr>
                <w:lang w:val="en-AU"/>
              </w:rPr>
              <w:t xml:space="preserve">specific </w:t>
            </w:r>
            <w:r w:rsidR="009232AF">
              <w:rPr>
                <w:lang w:val="en-AU"/>
              </w:rPr>
              <w:t xml:space="preserve">tests that they need, but often this does not </w:t>
            </w:r>
            <w:proofErr w:type="gramStart"/>
            <w:r w:rsidR="009232AF">
              <w:rPr>
                <w:lang w:val="en-AU"/>
              </w:rPr>
              <w:t>happen</w:t>
            </w:r>
            <w:proofErr w:type="gramEnd"/>
            <w:r w:rsidR="009232AF">
              <w:rPr>
                <w:lang w:val="en-AU"/>
              </w:rPr>
              <w:t xml:space="preserve"> and more tests </w:t>
            </w:r>
            <w:r w:rsidR="00940A3D">
              <w:rPr>
                <w:lang w:val="en-AU"/>
              </w:rPr>
              <w:t>may be</w:t>
            </w:r>
            <w:r w:rsidR="009232AF">
              <w:rPr>
                <w:lang w:val="en-AU"/>
              </w:rPr>
              <w:t xml:space="preserve"> performed than clinically required. By limiting the number of tests to ‘</w:t>
            </w:r>
            <w:r w:rsidR="00E0052D">
              <w:rPr>
                <w:lang w:val="en-AU"/>
              </w:rPr>
              <w:t xml:space="preserve">3 </w:t>
            </w:r>
            <w:r w:rsidR="009232AF">
              <w:rPr>
                <w:lang w:val="en-AU"/>
              </w:rPr>
              <w:t xml:space="preserve">or more’, there is an incentive for laboratories to only perform the necessary tests. Very occasionally more than </w:t>
            </w:r>
            <w:r w:rsidR="00E0052D">
              <w:rPr>
                <w:lang w:val="en-AU"/>
              </w:rPr>
              <w:t xml:space="preserve">3 </w:t>
            </w:r>
            <w:r w:rsidR="009232AF">
              <w:rPr>
                <w:lang w:val="en-AU"/>
              </w:rPr>
              <w:t>tests will be required, but this is the not common.</w:t>
            </w:r>
          </w:p>
        </w:tc>
      </w:tr>
    </w:tbl>
    <w:p w14:paraId="333A8EA7" w14:textId="77777777" w:rsidR="00740D54" w:rsidRDefault="00740D54" w:rsidP="00013A45">
      <w:bookmarkStart w:id="194" w:name="_Toc477786679"/>
      <w:bookmarkStart w:id="195" w:name="_Toc478249949"/>
      <w:r>
        <w:t xml:space="preserve">Recommendation </w:t>
      </w:r>
      <w:r w:rsidR="00B932AE">
        <w:fldChar w:fldCharType="begin"/>
      </w:r>
      <w:r w:rsidR="00B932AE">
        <w:instrText xml:space="preserve"> SEQ Recommendation \* ARABIC </w:instrText>
      </w:r>
      <w:r w:rsidR="00B932AE">
        <w:fldChar w:fldCharType="separate"/>
      </w:r>
      <w:r w:rsidR="005C3364">
        <w:rPr>
          <w:noProof/>
        </w:rPr>
        <w:t>4</w:t>
      </w:r>
      <w:r w:rsidR="00B932AE">
        <w:rPr>
          <w:noProof/>
        </w:rPr>
        <w:fldChar w:fldCharType="end"/>
      </w:r>
      <w:r>
        <w:t xml:space="preserve">: </w:t>
      </w:r>
      <w:r w:rsidR="00940A3D">
        <w:t>D-dimer</w:t>
      </w:r>
      <w:bookmarkEnd w:id="194"/>
      <w:bookmarkEnd w:id="195"/>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4"/>
        <w:tblDescription w:val="Appendix D is a summary for consumers. There are 12 recommendation tables listed. Recommendation 4 table looks at D-dimer.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B1675C" w:rsidRPr="00FC1976" w14:paraId="1038AF01" w14:textId="77777777" w:rsidTr="000B6ED6">
        <w:trPr>
          <w:cantSplit/>
          <w:tblHeader/>
        </w:trPr>
        <w:tc>
          <w:tcPr>
            <w:tcW w:w="2126" w:type="dxa"/>
          </w:tcPr>
          <w:p w14:paraId="687F65CC" w14:textId="77777777" w:rsidR="00B1675C" w:rsidRPr="00FC1976" w:rsidRDefault="00B1675C" w:rsidP="00B325D6">
            <w:pPr>
              <w:pStyle w:val="01Tableheaderrow"/>
              <w:rPr>
                <w:color w:val="222222"/>
                <w:lang w:val="en-AU"/>
              </w:rPr>
            </w:pPr>
            <w:r w:rsidRPr="00FC1976">
              <w:rPr>
                <w:lang w:val="en-AU"/>
              </w:rPr>
              <w:t xml:space="preserve">Item </w:t>
            </w:r>
          </w:p>
        </w:tc>
        <w:tc>
          <w:tcPr>
            <w:tcW w:w="3118" w:type="dxa"/>
          </w:tcPr>
          <w:p w14:paraId="7A7127BC" w14:textId="77777777" w:rsidR="00B1675C" w:rsidRPr="00FC1976" w:rsidRDefault="00B1675C" w:rsidP="00B325D6">
            <w:pPr>
              <w:pStyle w:val="01Tableheaderrow"/>
              <w:rPr>
                <w:color w:val="222222"/>
                <w:lang w:val="en-AU"/>
              </w:rPr>
            </w:pPr>
            <w:r w:rsidRPr="00FC1976">
              <w:rPr>
                <w:lang w:val="en-AU"/>
              </w:rPr>
              <w:t xml:space="preserve">What it does </w:t>
            </w:r>
          </w:p>
        </w:tc>
        <w:tc>
          <w:tcPr>
            <w:tcW w:w="3086" w:type="dxa"/>
          </w:tcPr>
          <w:p w14:paraId="620E5553" w14:textId="77777777" w:rsidR="00B1675C" w:rsidRPr="00FC1976" w:rsidRDefault="00B1675C"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5AEC3F12" w14:textId="77777777" w:rsidR="00B1675C" w:rsidRPr="00FC1976" w:rsidRDefault="00B1675C" w:rsidP="00B325D6">
            <w:pPr>
              <w:pStyle w:val="01Tableheaderrow"/>
              <w:rPr>
                <w:lang w:val="en-AU"/>
              </w:rPr>
            </w:pPr>
            <w:r w:rsidRPr="00FC1976">
              <w:rPr>
                <w:lang w:val="en-AU"/>
              </w:rPr>
              <w:t>What would be different</w:t>
            </w:r>
          </w:p>
        </w:tc>
        <w:tc>
          <w:tcPr>
            <w:tcW w:w="3118" w:type="dxa"/>
          </w:tcPr>
          <w:p w14:paraId="343C8149" w14:textId="77777777" w:rsidR="00B1675C" w:rsidRPr="00FC1976" w:rsidRDefault="00B1675C" w:rsidP="00B325D6">
            <w:pPr>
              <w:pStyle w:val="01Tableheaderrow"/>
              <w:rPr>
                <w:lang w:val="en-AU"/>
              </w:rPr>
            </w:pPr>
            <w:r w:rsidRPr="00FC1976">
              <w:rPr>
                <w:lang w:val="en-AU"/>
              </w:rPr>
              <w:t>Why</w:t>
            </w:r>
          </w:p>
        </w:tc>
      </w:tr>
      <w:tr w:rsidR="00B1675C" w:rsidRPr="00FC1976" w14:paraId="71593C8D" w14:textId="77777777" w:rsidTr="000B6ED6">
        <w:trPr>
          <w:cantSplit/>
        </w:trPr>
        <w:tc>
          <w:tcPr>
            <w:tcW w:w="2126" w:type="dxa"/>
          </w:tcPr>
          <w:p w14:paraId="699E78E6" w14:textId="77777777" w:rsidR="00B1675C" w:rsidRPr="00FC1976" w:rsidRDefault="00B1675C" w:rsidP="002A1292">
            <w:pPr>
              <w:pStyle w:val="02Tabletext"/>
              <w:rPr>
                <w:lang w:val="en-AU"/>
              </w:rPr>
            </w:pPr>
            <w:r>
              <w:rPr>
                <w:lang w:val="en-AU"/>
              </w:rPr>
              <w:t>Split item from 65120</w:t>
            </w:r>
          </w:p>
        </w:tc>
        <w:tc>
          <w:tcPr>
            <w:tcW w:w="3118" w:type="dxa"/>
          </w:tcPr>
          <w:p w14:paraId="7F9110F4" w14:textId="77777777" w:rsidR="00B1675C" w:rsidRPr="00FC1976" w:rsidRDefault="00B1675C" w:rsidP="00C702A9">
            <w:pPr>
              <w:pStyle w:val="02Tabletext"/>
              <w:rPr>
                <w:lang w:val="en-AU"/>
              </w:rPr>
            </w:pPr>
            <w:r>
              <w:rPr>
                <w:lang w:val="en-AU"/>
              </w:rPr>
              <w:t xml:space="preserve">D-dimer is a test </w:t>
            </w:r>
            <w:r w:rsidR="004B620F">
              <w:rPr>
                <w:lang w:val="en-AU"/>
              </w:rPr>
              <w:t>used to rule out blood clotting in the veins of the leg or arm (deep venous thrombosis</w:t>
            </w:r>
            <w:r w:rsidR="00E0052D">
              <w:rPr>
                <w:lang w:val="en-AU"/>
              </w:rPr>
              <w:t>—</w:t>
            </w:r>
            <w:r w:rsidR="004B620F">
              <w:rPr>
                <w:lang w:val="en-AU"/>
              </w:rPr>
              <w:t>DVT) or clotting in the lung (pulmonary embolus</w:t>
            </w:r>
            <w:r w:rsidR="00E0052D">
              <w:rPr>
                <w:lang w:val="en-AU"/>
              </w:rPr>
              <w:t>—</w:t>
            </w:r>
            <w:r w:rsidR="004B620F">
              <w:rPr>
                <w:lang w:val="en-AU"/>
              </w:rPr>
              <w:t>PE).</w:t>
            </w:r>
          </w:p>
        </w:tc>
        <w:tc>
          <w:tcPr>
            <w:tcW w:w="3086" w:type="dxa"/>
          </w:tcPr>
          <w:p w14:paraId="7B445513" w14:textId="77777777" w:rsidR="00B1675C" w:rsidRPr="00FC1976" w:rsidRDefault="00B1675C" w:rsidP="0074549B">
            <w:pPr>
              <w:pStyle w:val="02Tabletext"/>
              <w:rPr>
                <w:lang w:val="en-AU"/>
              </w:rPr>
            </w:pPr>
            <w:r>
              <w:rPr>
                <w:lang w:val="en-AU"/>
              </w:rPr>
              <w:t>Split D-dimer into a separate item with clinical restrictors to ensure its appropriate use.</w:t>
            </w:r>
          </w:p>
        </w:tc>
        <w:tc>
          <w:tcPr>
            <w:tcW w:w="2977" w:type="dxa"/>
          </w:tcPr>
          <w:p w14:paraId="0780C499" w14:textId="77777777" w:rsidR="00B1675C" w:rsidRDefault="00B1675C" w:rsidP="0074549B">
            <w:pPr>
              <w:pStyle w:val="02Tabletext"/>
              <w:rPr>
                <w:lang w:val="en-AU"/>
              </w:rPr>
            </w:pPr>
            <w:r>
              <w:rPr>
                <w:lang w:val="en-AU"/>
              </w:rPr>
              <w:t xml:space="preserve">D-dimer would be ordered separately. The descriptor would include the clinical situations </w:t>
            </w:r>
            <w:r w:rsidR="00E0052D">
              <w:rPr>
                <w:lang w:val="en-AU"/>
              </w:rPr>
              <w:t xml:space="preserve">in which </w:t>
            </w:r>
            <w:r>
              <w:rPr>
                <w:lang w:val="en-AU"/>
              </w:rPr>
              <w:t>the test is appropriate, to help guide requesters to order the test only when necessary. It will be possible to monitor how this test is being used if it has a separate item number.</w:t>
            </w:r>
          </w:p>
          <w:p w14:paraId="7202DD72" w14:textId="77777777" w:rsidR="00433608" w:rsidRPr="00433608" w:rsidRDefault="002260BA" w:rsidP="00433608">
            <w:pPr>
              <w:rPr>
                <w:rFonts w:ascii="Arial" w:hAnsi="Arial" w:cs="Arial"/>
                <w:sz w:val="18"/>
                <w:szCs w:val="18"/>
                <w:lang w:val="en-AU" w:eastAsia="en-US"/>
              </w:rPr>
            </w:pPr>
            <w:r>
              <w:rPr>
                <w:rFonts w:ascii="Arial" w:hAnsi="Arial" w:cs="Arial"/>
                <w:sz w:val="18"/>
                <w:szCs w:val="18"/>
                <w:lang w:val="en-AU" w:eastAsia="en-US"/>
              </w:rPr>
              <w:t>Patients will benefit if</w:t>
            </w:r>
            <w:r w:rsidR="00433608" w:rsidRPr="00433608">
              <w:rPr>
                <w:rFonts w:ascii="Arial" w:hAnsi="Arial" w:cs="Arial"/>
                <w:sz w:val="18"/>
                <w:szCs w:val="18"/>
                <w:lang w:val="en-AU" w:eastAsia="en-US"/>
              </w:rPr>
              <w:t xml:space="preserve"> requesters have clear guid</w:t>
            </w:r>
            <w:r>
              <w:rPr>
                <w:rFonts w:ascii="Arial" w:hAnsi="Arial" w:cs="Arial"/>
                <w:sz w:val="18"/>
                <w:szCs w:val="18"/>
                <w:lang w:val="en-AU" w:eastAsia="en-US"/>
              </w:rPr>
              <w:t>ance on when this test is appropriate to order.</w:t>
            </w:r>
          </w:p>
        </w:tc>
        <w:tc>
          <w:tcPr>
            <w:tcW w:w="3118" w:type="dxa"/>
          </w:tcPr>
          <w:p w14:paraId="72F663A2" w14:textId="77777777" w:rsidR="00B1675C" w:rsidRPr="00FC1976" w:rsidRDefault="00B1675C" w:rsidP="00C702A9">
            <w:pPr>
              <w:pStyle w:val="02Tabletext"/>
              <w:rPr>
                <w:lang w:val="en-AU"/>
              </w:rPr>
            </w:pPr>
            <w:r>
              <w:rPr>
                <w:lang w:val="en-AU"/>
              </w:rPr>
              <w:t>D-dimer is a useful</w:t>
            </w:r>
            <w:r w:rsidR="00433608">
              <w:rPr>
                <w:lang w:val="en-AU"/>
              </w:rPr>
              <w:t xml:space="preserve"> test</w:t>
            </w:r>
            <w:r>
              <w:rPr>
                <w:lang w:val="en-AU"/>
              </w:rPr>
              <w:t xml:space="preserve"> when it is used in the appropriate situations. </w:t>
            </w:r>
            <w:r w:rsidR="00A24D67">
              <w:rPr>
                <w:lang w:val="en-AU"/>
              </w:rPr>
              <w:t xml:space="preserve">It has very specific use, and the results need to be carefully interpreted. </w:t>
            </w:r>
            <w:r w:rsidR="00E0052D">
              <w:rPr>
                <w:lang w:val="en-AU"/>
              </w:rPr>
              <w:t>G</w:t>
            </w:r>
            <w:r>
              <w:rPr>
                <w:lang w:val="en-AU"/>
              </w:rPr>
              <w:t xml:space="preserve">uidelines </w:t>
            </w:r>
            <w:r w:rsidR="00E0052D">
              <w:rPr>
                <w:lang w:val="en-AU"/>
              </w:rPr>
              <w:t xml:space="preserve">are </w:t>
            </w:r>
            <w:r>
              <w:rPr>
                <w:lang w:val="en-AU"/>
              </w:rPr>
              <w:t>available but it is important that the requesters understand that the</w:t>
            </w:r>
            <w:r w:rsidR="00433608">
              <w:rPr>
                <w:lang w:val="en-AU"/>
              </w:rPr>
              <w:t>y should only order the</w:t>
            </w:r>
            <w:r>
              <w:rPr>
                <w:lang w:val="en-AU"/>
              </w:rPr>
              <w:t xml:space="preserve"> test </w:t>
            </w:r>
            <w:r w:rsidR="00433608">
              <w:rPr>
                <w:lang w:val="en-AU"/>
              </w:rPr>
              <w:t xml:space="preserve">for </w:t>
            </w:r>
            <w:r>
              <w:rPr>
                <w:lang w:val="en-AU"/>
              </w:rPr>
              <w:t>certain clinical situations. At the moment</w:t>
            </w:r>
            <w:r w:rsidR="000367A3">
              <w:rPr>
                <w:lang w:val="en-AU"/>
              </w:rPr>
              <w:t>,</w:t>
            </w:r>
            <w:r>
              <w:rPr>
                <w:lang w:val="en-AU"/>
              </w:rPr>
              <w:t xml:space="preserve"> it is not possible to know how often the test is being </w:t>
            </w:r>
            <w:proofErr w:type="gramStart"/>
            <w:r>
              <w:rPr>
                <w:lang w:val="en-AU"/>
              </w:rPr>
              <w:t>used</w:t>
            </w:r>
            <w:r w:rsidR="00E0052D">
              <w:rPr>
                <w:lang w:val="en-AU"/>
              </w:rPr>
              <w:t>,</w:t>
            </w:r>
            <w:r>
              <w:rPr>
                <w:lang w:val="en-AU"/>
              </w:rPr>
              <w:t xml:space="preserve"> and</w:t>
            </w:r>
            <w:proofErr w:type="gramEnd"/>
            <w:r>
              <w:rPr>
                <w:lang w:val="en-AU"/>
              </w:rPr>
              <w:t xml:space="preserve"> splitting it out</w:t>
            </w:r>
            <w:r w:rsidR="00433608">
              <w:rPr>
                <w:lang w:val="en-AU"/>
              </w:rPr>
              <w:t xml:space="preserve"> </w:t>
            </w:r>
            <w:r>
              <w:rPr>
                <w:lang w:val="en-AU"/>
              </w:rPr>
              <w:t>will</w:t>
            </w:r>
            <w:r w:rsidR="00433608">
              <w:rPr>
                <w:lang w:val="en-AU"/>
              </w:rPr>
              <w:t xml:space="preserve"> make monitoring and education programs </w:t>
            </w:r>
            <w:r w:rsidR="00980370">
              <w:rPr>
                <w:lang w:val="en-AU"/>
              </w:rPr>
              <w:t xml:space="preserve">in the future </w:t>
            </w:r>
            <w:r w:rsidR="00433608">
              <w:rPr>
                <w:lang w:val="en-AU"/>
              </w:rPr>
              <w:t>easier to implement.</w:t>
            </w:r>
          </w:p>
        </w:tc>
      </w:tr>
    </w:tbl>
    <w:p w14:paraId="0774F36C" w14:textId="77777777" w:rsidR="00DB6624" w:rsidRDefault="00DB6624" w:rsidP="00013A45">
      <w:pPr>
        <w:keepNext/>
      </w:pPr>
      <w:bookmarkStart w:id="196" w:name="_Toc477786680"/>
      <w:bookmarkStart w:id="197" w:name="_Toc478249950"/>
    </w:p>
    <w:p w14:paraId="2CAB3600" w14:textId="77777777" w:rsidR="00DB6624" w:rsidRDefault="00DB6624">
      <w:pPr>
        <w:spacing w:before="0" w:after="0"/>
      </w:pPr>
      <w:r>
        <w:br w:type="page"/>
      </w:r>
    </w:p>
    <w:p w14:paraId="3F436794" w14:textId="77777777" w:rsidR="00740D54" w:rsidRDefault="00740D54" w:rsidP="00013A45">
      <w:pPr>
        <w:keepNext/>
      </w:pPr>
      <w:r>
        <w:lastRenderedPageBreak/>
        <w:t xml:space="preserve">Recommendation </w:t>
      </w:r>
      <w:r w:rsidR="00B932AE">
        <w:fldChar w:fldCharType="begin"/>
      </w:r>
      <w:r w:rsidR="00B932AE">
        <w:instrText xml:space="preserve"> SEQ Recommendation \* ARABIC </w:instrText>
      </w:r>
      <w:r w:rsidR="00B932AE">
        <w:fldChar w:fldCharType="separate"/>
      </w:r>
      <w:r w:rsidR="005C3364">
        <w:rPr>
          <w:noProof/>
        </w:rPr>
        <w:t>5</w:t>
      </w:r>
      <w:r w:rsidR="00B932AE">
        <w:rPr>
          <w:noProof/>
        </w:rPr>
        <w:fldChar w:fldCharType="end"/>
      </w:r>
      <w:r>
        <w:t xml:space="preserve">: </w:t>
      </w:r>
      <w:r w:rsidR="003B16AE">
        <w:t>Platelet</w:t>
      </w:r>
      <w:r w:rsidR="00C710AB">
        <w:t xml:space="preserve"> function</w:t>
      </w:r>
      <w:r w:rsidR="003B16AE">
        <w:t xml:space="preserve"> tests</w:t>
      </w:r>
      <w:bookmarkEnd w:id="196"/>
      <w:bookmarkEnd w:id="197"/>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5"/>
        <w:tblDescription w:val="Appendix C is a summary for consumers. There are 12 recommendation tables listed. Recommendation 5 table looks at platelet function tests.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1707A" w:rsidRPr="00FC1976" w14:paraId="5B2AF49D" w14:textId="77777777" w:rsidTr="00740D54">
        <w:trPr>
          <w:cantSplit/>
          <w:tblHeader/>
        </w:trPr>
        <w:tc>
          <w:tcPr>
            <w:tcW w:w="2126" w:type="dxa"/>
          </w:tcPr>
          <w:p w14:paraId="17E980D8" w14:textId="77777777" w:rsidR="00A1707A" w:rsidRPr="00FC1976" w:rsidRDefault="00A1707A" w:rsidP="00B325D6">
            <w:pPr>
              <w:pStyle w:val="01Tableheaderrow"/>
              <w:rPr>
                <w:color w:val="222222"/>
                <w:lang w:val="en-AU"/>
              </w:rPr>
            </w:pPr>
            <w:r w:rsidRPr="00FC1976">
              <w:rPr>
                <w:lang w:val="en-AU"/>
              </w:rPr>
              <w:t xml:space="preserve">Item </w:t>
            </w:r>
          </w:p>
        </w:tc>
        <w:tc>
          <w:tcPr>
            <w:tcW w:w="3118" w:type="dxa"/>
          </w:tcPr>
          <w:p w14:paraId="74009D68" w14:textId="77777777" w:rsidR="00A1707A" w:rsidRPr="00FC1976" w:rsidRDefault="00A1707A" w:rsidP="00B325D6">
            <w:pPr>
              <w:pStyle w:val="01Tableheaderrow"/>
              <w:rPr>
                <w:color w:val="222222"/>
                <w:lang w:val="en-AU"/>
              </w:rPr>
            </w:pPr>
            <w:r w:rsidRPr="00FC1976">
              <w:rPr>
                <w:lang w:val="en-AU"/>
              </w:rPr>
              <w:t xml:space="preserve">What it does </w:t>
            </w:r>
          </w:p>
        </w:tc>
        <w:tc>
          <w:tcPr>
            <w:tcW w:w="3086" w:type="dxa"/>
          </w:tcPr>
          <w:p w14:paraId="56A38ECC" w14:textId="77777777" w:rsidR="00A1707A" w:rsidRPr="00FC1976" w:rsidRDefault="00A1707A"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5BAA173A" w14:textId="77777777" w:rsidR="00A1707A" w:rsidRPr="00FC1976" w:rsidRDefault="00A1707A" w:rsidP="00B325D6">
            <w:pPr>
              <w:pStyle w:val="01Tableheaderrow"/>
              <w:rPr>
                <w:lang w:val="en-AU"/>
              </w:rPr>
            </w:pPr>
            <w:r w:rsidRPr="00FC1976">
              <w:rPr>
                <w:lang w:val="en-AU"/>
              </w:rPr>
              <w:t>What would be different</w:t>
            </w:r>
          </w:p>
        </w:tc>
        <w:tc>
          <w:tcPr>
            <w:tcW w:w="3118" w:type="dxa"/>
          </w:tcPr>
          <w:p w14:paraId="2749F439" w14:textId="77777777" w:rsidR="00A1707A" w:rsidRPr="00FC1976" w:rsidRDefault="00A1707A" w:rsidP="00B325D6">
            <w:pPr>
              <w:pStyle w:val="01Tableheaderrow"/>
              <w:rPr>
                <w:lang w:val="en-AU"/>
              </w:rPr>
            </w:pPr>
            <w:r w:rsidRPr="00FC1976">
              <w:rPr>
                <w:lang w:val="en-AU"/>
              </w:rPr>
              <w:t>Why</w:t>
            </w:r>
          </w:p>
        </w:tc>
      </w:tr>
      <w:tr w:rsidR="00A1707A" w:rsidRPr="00FC1976" w14:paraId="210C1837" w14:textId="77777777" w:rsidTr="002A1292">
        <w:trPr>
          <w:cantSplit/>
        </w:trPr>
        <w:tc>
          <w:tcPr>
            <w:tcW w:w="2126" w:type="dxa"/>
          </w:tcPr>
          <w:p w14:paraId="19F716EF" w14:textId="77777777" w:rsidR="00A1707A" w:rsidRPr="00FC1976" w:rsidRDefault="00433608" w:rsidP="00EC145E">
            <w:pPr>
              <w:pStyle w:val="02Tabletext"/>
              <w:rPr>
                <w:lang w:val="en-AU"/>
              </w:rPr>
            </w:pPr>
            <w:r>
              <w:rPr>
                <w:lang w:val="en-AU"/>
              </w:rPr>
              <w:t>65144 and 651XX</w:t>
            </w:r>
          </w:p>
        </w:tc>
        <w:tc>
          <w:tcPr>
            <w:tcW w:w="3118" w:type="dxa"/>
          </w:tcPr>
          <w:p w14:paraId="373797E1" w14:textId="77777777" w:rsidR="004B620F" w:rsidRDefault="004B620F" w:rsidP="00EC145E">
            <w:pPr>
              <w:pStyle w:val="02Tabletext"/>
              <w:rPr>
                <w:lang w:val="en-AU"/>
              </w:rPr>
            </w:pPr>
            <w:r>
              <w:rPr>
                <w:lang w:val="en-AU"/>
              </w:rPr>
              <w:t>Platelets are circulating particles in the blood that are an important part of the clotting mechanism in the body. Abnormalities of platelets may cause easy bleeding. Platelet tests are used to identify and diagnose bleeding disorders related to abnormalities of platelets.</w:t>
            </w:r>
          </w:p>
          <w:p w14:paraId="6ACA7065" w14:textId="77777777" w:rsidR="00EC145E" w:rsidRPr="00EC145E" w:rsidRDefault="00433608" w:rsidP="00C702A9">
            <w:pPr>
              <w:pStyle w:val="02Tabletext"/>
              <w:rPr>
                <w:lang w:val="en-AU"/>
              </w:rPr>
            </w:pPr>
            <w:r>
              <w:rPr>
                <w:lang w:val="en-AU"/>
              </w:rPr>
              <w:t xml:space="preserve">There are two broad types of tests—one for initial assessment of platelet function using simpler methods, and another for formally assessing platelet </w:t>
            </w:r>
            <w:r w:rsidR="002D5227">
              <w:rPr>
                <w:lang w:val="en-AU"/>
              </w:rPr>
              <w:t>aggregation</w:t>
            </w:r>
            <w:r w:rsidR="002D5227" w:rsidDel="002D5227">
              <w:rPr>
                <w:lang w:val="en-AU"/>
              </w:rPr>
              <w:t xml:space="preserve"> </w:t>
            </w:r>
            <w:r w:rsidR="002D5227">
              <w:rPr>
                <w:lang w:val="en-AU"/>
              </w:rPr>
              <w:t xml:space="preserve">(clumping) </w:t>
            </w:r>
            <w:r>
              <w:rPr>
                <w:lang w:val="en-AU"/>
              </w:rPr>
              <w:t>that uses more complex methods.</w:t>
            </w:r>
          </w:p>
        </w:tc>
        <w:tc>
          <w:tcPr>
            <w:tcW w:w="3086" w:type="dxa"/>
          </w:tcPr>
          <w:p w14:paraId="7346D4D7" w14:textId="77777777" w:rsidR="00A1707A" w:rsidRPr="00FC1976" w:rsidRDefault="00433608" w:rsidP="00BD61B1">
            <w:pPr>
              <w:pStyle w:val="02Tabletext"/>
              <w:rPr>
                <w:lang w:val="en-AU"/>
              </w:rPr>
            </w:pPr>
            <w:r>
              <w:rPr>
                <w:lang w:val="en-AU"/>
              </w:rPr>
              <w:t>Split the existing item into two separate items</w:t>
            </w:r>
            <w:r w:rsidR="00980370">
              <w:rPr>
                <w:lang w:val="en-AU"/>
              </w:rPr>
              <w:t>—</w:t>
            </w:r>
            <w:r>
              <w:rPr>
                <w:lang w:val="en-AU"/>
              </w:rPr>
              <w:t xml:space="preserve">initial platelet function </w:t>
            </w:r>
            <w:r w:rsidR="00980370">
              <w:rPr>
                <w:lang w:val="en-AU"/>
              </w:rPr>
              <w:t xml:space="preserve">tests </w:t>
            </w:r>
            <w:r>
              <w:rPr>
                <w:lang w:val="en-AU"/>
              </w:rPr>
              <w:t>invol</w:t>
            </w:r>
            <w:r w:rsidR="003B16AE">
              <w:rPr>
                <w:lang w:val="en-AU"/>
              </w:rPr>
              <w:t xml:space="preserve">ving </w:t>
            </w:r>
            <w:r>
              <w:rPr>
                <w:lang w:val="en-AU"/>
              </w:rPr>
              <w:t>simpler methods</w:t>
            </w:r>
            <w:r w:rsidR="00980370">
              <w:rPr>
                <w:lang w:val="en-AU"/>
              </w:rPr>
              <w:t>, and—</w:t>
            </w:r>
            <w:r>
              <w:rPr>
                <w:lang w:val="en-AU"/>
              </w:rPr>
              <w:t>platelet aggregation</w:t>
            </w:r>
            <w:r w:rsidR="00980370">
              <w:rPr>
                <w:lang w:val="en-AU"/>
              </w:rPr>
              <w:t xml:space="preserve"> tests</w:t>
            </w:r>
            <w:r>
              <w:rPr>
                <w:lang w:val="en-AU"/>
              </w:rPr>
              <w:t xml:space="preserve"> </w:t>
            </w:r>
            <w:r w:rsidR="003B16AE">
              <w:rPr>
                <w:lang w:val="en-AU"/>
              </w:rPr>
              <w:t>involving</w:t>
            </w:r>
            <w:r>
              <w:rPr>
                <w:lang w:val="en-AU"/>
              </w:rPr>
              <w:t xml:space="preserve"> more complex</w:t>
            </w:r>
            <w:r w:rsidR="003B16AE">
              <w:rPr>
                <w:lang w:val="en-AU"/>
              </w:rPr>
              <w:t xml:space="preserve"> and expensive methods. The second item</w:t>
            </w:r>
            <w:r>
              <w:rPr>
                <w:lang w:val="en-AU"/>
              </w:rPr>
              <w:t xml:space="preserve"> should only be ordered by</w:t>
            </w:r>
            <w:r w:rsidR="002D5227">
              <w:rPr>
                <w:lang w:val="en-AU"/>
              </w:rPr>
              <w:t>,</w:t>
            </w:r>
            <w:r>
              <w:rPr>
                <w:lang w:val="en-AU"/>
              </w:rPr>
              <w:t xml:space="preserve"> or in </w:t>
            </w:r>
            <w:r w:rsidR="00BD61B1">
              <w:rPr>
                <w:lang w:val="en-AU"/>
              </w:rPr>
              <w:t>communication</w:t>
            </w:r>
            <w:r>
              <w:rPr>
                <w:lang w:val="en-AU"/>
              </w:rPr>
              <w:t xml:space="preserve"> with</w:t>
            </w:r>
            <w:r w:rsidR="002D5227">
              <w:rPr>
                <w:lang w:val="en-AU"/>
              </w:rPr>
              <w:t>,</w:t>
            </w:r>
            <w:r>
              <w:rPr>
                <w:lang w:val="en-AU"/>
              </w:rPr>
              <w:t xml:space="preserve"> a specialist to ensure</w:t>
            </w:r>
            <w:r w:rsidR="003B16AE">
              <w:rPr>
                <w:lang w:val="en-AU"/>
              </w:rPr>
              <w:t xml:space="preserve"> its</w:t>
            </w:r>
            <w:r>
              <w:rPr>
                <w:lang w:val="en-AU"/>
              </w:rPr>
              <w:t xml:space="preserve"> appropriate use.</w:t>
            </w:r>
          </w:p>
        </w:tc>
        <w:tc>
          <w:tcPr>
            <w:tcW w:w="2977" w:type="dxa"/>
          </w:tcPr>
          <w:p w14:paraId="7F602992" w14:textId="77777777" w:rsidR="00A1707A" w:rsidRDefault="00CB6D18" w:rsidP="0074549B">
            <w:pPr>
              <w:pStyle w:val="02Tabletext"/>
              <w:rPr>
                <w:lang w:val="en-AU"/>
              </w:rPr>
            </w:pPr>
            <w:r>
              <w:rPr>
                <w:lang w:val="en-AU"/>
              </w:rPr>
              <w:t>Basic platelet function tests will still be available to</w:t>
            </w:r>
            <w:r w:rsidR="00C532C6">
              <w:rPr>
                <w:lang w:val="en-AU"/>
              </w:rPr>
              <w:t xml:space="preserve"> be</w:t>
            </w:r>
            <w:r>
              <w:rPr>
                <w:lang w:val="en-AU"/>
              </w:rPr>
              <w:t xml:space="preserve"> order</w:t>
            </w:r>
            <w:r w:rsidR="002D5227">
              <w:rPr>
                <w:lang w:val="en-AU"/>
              </w:rPr>
              <w:t>ed</w:t>
            </w:r>
            <w:r w:rsidR="00C532C6">
              <w:rPr>
                <w:lang w:val="en-AU"/>
              </w:rPr>
              <w:t xml:space="preserve"> by current requesters</w:t>
            </w:r>
            <w:r>
              <w:rPr>
                <w:lang w:val="en-AU"/>
              </w:rPr>
              <w:t xml:space="preserve">. More formal platelet aggregation tests will require a patient to see a specialist, because these tests are complex and expensive and should only be ordered for specific investigations. Splitting the item will enable both types of tests to be costed appropriately. </w:t>
            </w:r>
            <w:r w:rsidR="003B16AE">
              <w:rPr>
                <w:lang w:val="en-AU"/>
              </w:rPr>
              <w:t>T</w:t>
            </w:r>
            <w:r>
              <w:rPr>
                <w:lang w:val="en-AU"/>
              </w:rPr>
              <w:t>he current item is being used for both types of tests</w:t>
            </w:r>
            <w:r w:rsidR="002D5227">
              <w:rPr>
                <w:lang w:val="en-AU"/>
              </w:rPr>
              <w:t>,</w:t>
            </w:r>
            <w:r>
              <w:rPr>
                <w:lang w:val="en-AU"/>
              </w:rPr>
              <w:t xml:space="preserve"> </w:t>
            </w:r>
            <w:r w:rsidR="004F41A6">
              <w:rPr>
                <w:lang w:val="en-AU"/>
              </w:rPr>
              <w:t>which</w:t>
            </w:r>
            <w:r w:rsidR="003B16AE">
              <w:rPr>
                <w:lang w:val="en-AU"/>
              </w:rPr>
              <w:t xml:space="preserve"> was</w:t>
            </w:r>
            <w:r>
              <w:rPr>
                <w:lang w:val="en-AU"/>
              </w:rPr>
              <w:t xml:space="preserve"> not </w:t>
            </w:r>
            <w:r w:rsidR="003B16AE">
              <w:rPr>
                <w:lang w:val="en-AU"/>
              </w:rPr>
              <w:t>the intention of this item</w:t>
            </w:r>
            <w:r w:rsidR="004F41A6">
              <w:rPr>
                <w:lang w:val="en-AU"/>
              </w:rPr>
              <w:t xml:space="preserve"> when introduced on the </w:t>
            </w:r>
            <w:r w:rsidR="00E71499">
              <w:rPr>
                <w:lang w:val="en-AU"/>
              </w:rPr>
              <w:t>Schedule</w:t>
            </w:r>
            <w:r>
              <w:rPr>
                <w:lang w:val="en-AU"/>
              </w:rPr>
              <w:t>.</w:t>
            </w:r>
          </w:p>
          <w:p w14:paraId="2727D4C8" w14:textId="77777777" w:rsidR="00CB6D18" w:rsidRPr="00CB6D18" w:rsidRDefault="00CB6D18" w:rsidP="00CB6D18">
            <w:pPr>
              <w:rPr>
                <w:rFonts w:ascii="Arial" w:hAnsi="Arial" w:cs="Arial"/>
                <w:sz w:val="18"/>
                <w:szCs w:val="18"/>
                <w:lang w:val="en-AU" w:eastAsia="en-US"/>
              </w:rPr>
            </w:pPr>
            <w:r w:rsidRPr="00CB6D18">
              <w:rPr>
                <w:rFonts w:ascii="Arial" w:hAnsi="Arial" w:cs="Arial"/>
                <w:sz w:val="18"/>
                <w:szCs w:val="18"/>
                <w:lang w:val="en-AU" w:eastAsia="en-US"/>
              </w:rPr>
              <w:t>Patients requiring formal platelet aggregation studies will need to see a specialist</w:t>
            </w:r>
            <w:r>
              <w:rPr>
                <w:rFonts w:ascii="Arial" w:hAnsi="Arial" w:cs="Arial"/>
                <w:sz w:val="18"/>
                <w:szCs w:val="18"/>
                <w:lang w:val="en-AU" w:eastAsia="en-US"/>
              </w:rPr>
              <w:t>, which may mean an additional consultation</w:t>
            </w:r>
            <w:r w:rsidRPr="00CB6D18">
              <w:rPr>
                <w:rFonts w:ascii="Arial" w:hAnsi="Arial" w:cs="Arial"/>
                <w:sz w:val="18"/>
                <w:szCs w:val="18"/>
                <w:lang w:val="en-AU" w:eastAsia="en-US"/>
              </w:rPr>
              <w:t xml:space="preserve">. This </w:t>
            </w:r>
            <w:r w:rsidR="003B16AE">
              <w:rPr>
                <w:rFonts w:ascii="Arial" w:hAnsi="Arial" w:cs="Arial"/>
                <w:sz w:val="18"/>
                <w:szCs w:val="18"/>
                <w:lang w:val="en-AU" w:eastAsia="en-US"/>
              </w:rPr>
              <w:t xml:space="preserve">is required </w:t>
            </w:r>
            <w:r w:rsidRPr="00CB6D18">
              <w:rPr>
                <w:rFonts w:ascii="Arial" w:hAnsi="Arial" w:cs="Arial"/>
                <w:sz w:val="18"/>
                <w:szCs w:val="18"/>
                <w:lang w:val="en-AU" w:eastAsia="en-US"/>
              </w:rPr>
              <w:t xml:space="preserve">to ensure that the test is </w:t>
            </w:r>
            <w:r w:rsidR="003B16AE">
              <w:rPr>
                <w:rFonts w:ascii="Arial" w:hAnsi="Arial" w:cs="Arial"/>
                <w:sz w:val="18"/>
                <w:szCs w:val="18"/>
                <w:lang w:val="en-AU" w:eastAsia="en-US"/>
              </w:rPr>
              <w:t xml:space="preserve">clinically </w:t>
            </w:r>
            <w:r w:rsidRPr="00CB6D18">
              <w:rPr>
                <w:rFonts w:ascii="Arial" w:hAnsi="Arial" w:cs="Arial"/>
                <w:sz w:val="18"/>
                <w:szCs w:val="18"/>
                <w:lang w:val="en-AU" w:eastAsia="en-US"/>
              </w:rPr>
              <w:t>appropriate.</w:t>
            </w:r>
          </w:p>
        </w:tc>
        <w:tc>
          <w:tcPr>
            <w:tcW w:w="3118" w:type="dxa"/>
          </w:tcPr>
          <w:p w14:paraId="3E1AB12E" w14:textId="77777777" w:rsidR="00A1707A" w:rsidRPr="00FC1976" w:rsidRDefault="003B16AE" w:rsidP="0074549B">
            <w:pPr>
              <w:pStyle w:val="02Tabletext"/>
              <w:rPr>
                <w:lang w:val="en-AU"/>
              </w:rPr>
            </w:pPr>
            <w:r>
              <w:rPr>
                <w:lang w:val="en-AU"/>
              </w:rPr>
              <w:t>The</w:t>
            </w:r>
            <w:r w:rsidR="00CB6D18">
              <w:rPr>
                <w:lang w:val="en-AU"/>
              </w:rPr>
              <w:t xml:space="preserve"> current item is being used to fund initial platelet function testing as well as the formal </w:t>
            </w:r>
            <w:r>
              <w:rPr>
                <w:lang w:val="en-AU"/>
              </w:rPr>
              <w:t>platelet</w:t>
            </w:r>
            <w:r w:rsidR="00CB6D18">
              <w:rPr>
                <w:lang w:val="en-AU"/>
              </w:rPr>
              <w:t xml:space="preserve"> aggregation studies. Splitting the item will enable </w:t>
            </w:r>
            <w:r>
              <w:rPr>
                <w:lang w:val="en-AU"/>
              </w:rPr>
              <w:t xml:space="preserve">restrictions to be introduced to platelet aggregation tests to ensure the test is only ordered when clinically appropriate. </w:t>
            </w:r>
            <w:r w:rsidR="00CB6D18">
              <w:rPr>
                <w:lang w:val="en-AU"/>
              </w:rPr>
              <w:t>It will also enable more appropriate costing of both types of tests.</w:t>
            </w:r>
          </w:p>
        </w:tc>
      </w:tr>
    </w:tbl>
    <w:p w14:paraId="6809BC09" w14:textId="77777777" w:rsidR="00AF0566" w:rsidRDefault="00AF0566" w:rsidP="00013A45">
      <w:bookmarkStart w:id="198" w:name="_Toc477786681"/>
      <w:bookmarkStart w:id="199" w:name="_Toc478249951"/>
      <w:r>
        <w:t>Recommendation 6:</w:t>
      </w:r>
      <w:r w:rsidR="00C532C6">
        <w:t xml:space="preserve"> Assessment of haemolysis or metabolic enzymes item 65075</w:t>
      </w:r>
      <w:bookmarkEnd w:id="198"/>
      <w:bookmarkEnd w:id="199"/>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6"/>
        <w:tblDescription w:val="Appendix C is a summary for consumers. There are 12 recommendation tables listed. Recommendation 6 table looks at assessment of haemolysis or metabolic enzymes item 65075.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F0566" w:rsidRPr="00FC1976" w14:paraId="3056CAFA" w14:textId="77777777" w:rsidTr="00AF0566">
        <w:trPr>
          <w:cantSplit/>
          <w:tblHeader/>
        </w:trPr>
        <w:tc>
          <w:tcPr>
            <w:tcW w:w="2126" w:type="dxa"/>
          </w:tcPr>
          <w:p w14:paraId="587F9F1A" w14:textId="77777777" w:rsidR="00AF0566" w:rsidRPr="00FC1976" w:rsidRDefault="00AF0566" w:rsidP="00AF0566">
            <w:pPr>
              <w:pStyle w:val="01Tableheaderrow"/>
              <w:rPr>
                <w:color w:val="222222"/>
                <w:lang w:val="en-AU"/>
              </w:rPr>
            </w:pPr>
            <w:r w:rsidRPr="00FC1976">
              <w:rPr>
                <w:lang w:val="en-AU"/>
              </w:rPr>
              <w:t xml:space="preserve">Item </w:t>
            </w:r>
          </w:p>
        </w:tc>
        <w:tc>
          <w:tcPr>
            <w:tcW w:w="3118" w:type="dxa"/>
          </w:tcPr>
          <w:p w14:paraId="33078F9F" w14:textId="77777777" w:rsidR="00AF0566" w:rsidRPr="00FC1976" w:rsidRDefault="00AF0566" w:rsidP="00AF0566">
            <w:pPr>
              <w:pStyle w:val="01Tableheaderrow"/>
              <w:rPr>
                <w:color w:val="222222"/>
                <w:lang w:val="en-AU"/>
              </w:rPr>
            </w:pPr>
            <w:r w:rsidRPr="00FC1976">
              <w:rPr>
                <w:lang w:val="en-AU"/>
              </w:rPr>
              <w:t xml:space="preserve">What it does </w:t>
            </w:r>
          </w:p>
        </w:tc>
        <w:tc>
          <w:tcPr>
            <w:tcW w:w="3086" w:type="dxa"/>
          </w:tcPr>
          <w:p w14:paraId="441DA52C" w14:textId="77777777" w:rsidR="00AF0566" w:rsidRPr="00FC1976" w:rsidRDefault="00AF0566" w:rsidP="00AF056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40565DBB" w14:textId="77777777" w:rsidR="00AF0566" w:rsidRPr="00FC1976" w:rsidRDefault="00AF0566" w:rsidP="00AF0566">
            <w:pPr>
              <w:pStyle w:val="01Tableheaderrow"/>
              <w:rPr>
                <w:lang w:val="en-AU"/>
              </w:rPr>
            </w:pPr>
            <w:r w:rsidRPr="00FC1976">
              <w:rPr>
                <w:lang w:val="en-AU"/>
              </w:rPr>
              <w:t>What would be different</w:t>
            </w:r>
          </w:p>
        </w:tc>
        <w:tc>
          <w:tcPr>
            <w:tcW w:w="3118" w:type="dxa"/>
          </w:tcPr>
          <w:p w14:paraId="4C56931E" w14:textId="77777777" w:rsidR="00AF0566" w:rsidRPr="00FC1976" w:rsidRDefault="00AF0566" w:rsidP="00AF0566">
            <w:pPr>
              <w:pStyle w:val="01Tableheaderrow"/>
              <w:rPr>
                <w:lang w:val="en-AU"/>
              </w:rPr>
            </w:pPr>
            <w:r w:rsidRPr="00FC1976">
              <w:rPr>
                <w:lang w:val="en-AU"/>
              </w:rPr>
              <w:t>Why</w:t>
            </w:r>
          </w:p>
        </w:tc>
      </w:tr>
      <w:tr w:rsidR="00AF0566" w:rsidRPr="00FC1976" w14:paraId="34E88D60" w14:textId="77777777" w:rsidTr="00AF0566">
        <w:trPr>
          <w:cantSplit/>
        </w:trPr>
        <w:tc>
          <w:tcPr>
            <w:tcW w:w="2126" w:type="dxa"/>
          </w:tcPr>
          <w:p w14:paraId="0CB5B3F0" w14:textId="77777777" w:rsidR="00AF0566" w:rsidRPr="002A1292" w:rsidRDefault="00C532C6" w:rsidP="00AF0566">
            <w:pPr>
              <w:pStyle w:val="02Tabletext"/>
            </w:pPr>
            <w:r>
              <w:t>65075</w:t>
            </w:r>
          </w:p>
        </w:tc>
        <w:tc>
          <w:tcPr>
            <w:tcW w:w="3118" w:type="dxa"/>
          </w:tcPr>
          <w:p w14:paraId="31C4ACDE" w14:textId="77777777" w:rsidR="004B620F" w:rsidRPr="004B620F" w:rsidRDefault="004B620F" w:rsidP="00C702A9">
            <w:pPr>
              <w:pStyle w:val="02Tabletext"/>
            </w:pPr>
            <w:r w:rsidRPr="004B620F">
              <w:t xml:space="preserve">Red blood cells carry </w:t>
            </w:r>
            <w:r w:rsidR="002D5227">
              <w:t>h</w:t>
            </w:r>
            <w:r w:rsidRPr="004B620F">
              <w:t>aemoglobin and transport oxygen to tissues</w:t>
            </w:r>
            <w:r>
              <w:t xml:space="preserve">. </w:t>
            </w:r>
            <w:r w:rsidR="002D5227">
              <w:t xml:space="preserve">Several </w:t>
            </w:r>
            <w:r w:rsidRPr="004B620F">
              <w:t xml:space="preserve">tests </w:t>
            </w:r>
            <w:r w:rsidR="002D5227">
              <w:t xml:space="preserve">are </w:t>
            </w:r>
            <w:r w:rsidRPr="004B620F">
              <w:t>available to help assess and diagnose causes of red cells breaking down</w:t>
            </w:r>
            <w:r>
              <w:t xml:space="preserve"> (</w:t>
            </w:r>
            <w:r w:rsidRPr="004B620F">
              <w:t>haemolysis) or red blood cell damage. Some of these tests are no longer used, and newer tests have become the gold standard.</w:t>
            </w:r>
          </w:p>
        </w:tc>
        <w:tc>
          <w:tcPr>
            <w:tcW w:w="3086" w:type="dxa"/>
          </w:tcPr>
          <w:p w14:paraId="6128A0B4" w14:textId="77777777" w:rsidR="00AF0566" w:rsidRPr="002A1292" w:rsidRDefault="00C532C6" w:rsidP="00C702A9">
            <w:pPr>
              <w:pStyle w:val="02Tabletext"/>
            </w:pPr>
            <w:r>
              <w:t xml:space="preserve">Remove several obsolete tests no longer </w:t>
            </w:r>
            <w:proofErr w:type="gramStart"/>
            <w:r>
              <w:t>used, and</w:t>
            </w:r>
            <w:proofErr w:type="gramEnd"/>
            <w:r>
              <w:t xml:space="preserve"> add a new test (E5M) which is </w:t>
            </w:r>
            <w:r w:rsidR="002D5227">
              <w:t xml:space="preserve">now </w:t>
            </w:r>
            <w:r>
              <w:t xml:space="preserve">the </w:t>
            </w:r>
            <w:r w:rsidR="002D5227">
              <w:t xml:space="preserve">best way of </w:t>
            </w:r>
            <w:r>
              <w:t xml:space="preserve">diagnosing a </w:t>
            </w:r>
            <w:r w:rsidR="00980370">
              <w:t>common cause of haemolysis</w:t>
            </w:r>
            <w:r w:rsidR="00E71499">
              <w:t>.</w:t>
            </w:r>
          </w:p>
        </w:tc>
        <w:tc>
          <w:tcPr>
            <w:tcW w:w="2977" w:type="dxa"/>
          </w:tcPr>
          <w:p w14:paraId="6EAA1458" w14:textId="77777777" w:rsidR="00AF0566" w:rsidRDefault="00980370" w:rsidP="00AF0566">
            <w:pPr>
              <w:pStyle w:val="02Tabletext"/>
            </w:pPr>
            <w:r>
              <w:t xml:space="preserve">The </w:t>
            </w:r>
            <w:r w:rsidR="002D5227">
              <w:t xml:space="preserve">best </w:t>
            </w:r>
            <w:r>
              <w:t>test would be available for diagnosing haemolysis. The item would be modernised by removing obsolete tests no longer recommended.</w:t>
            </w:r>
          </w:p>
          <w:p w14:paraId="0DDB76F2" w14:textId="77777777" w:rsidR="00980370" w:rsidRPr="00980370" w:rsidRDefault="00980370" w:rsidP="00980370">
            <w:pPr>
              <w:rPr>
                <w:rFonts w:ascii="Arial" w:hAnsi="Arial" w:cs="Arial"/>
                <w:sz w:val="18"/>
                <w:szCs w:val="18"/>
                <w:lang w:eastAsia="en-US"/>
              </w:rPr>
            </w:pPr>
            <w:r w:rsidRPr="00980370">
              <w:rPr>
                <w:rFonts w:ascii="Arial" w:hAnsi="Arial" w:cs="Arial"/>
                <w:sz w:val="18"/>
                <w:szCs w:val="18"/>
                <w:lang w:eastAsia="en-US"/>
              </w:rPr>
              <w:t>Patients will have access to the most relevant tests.</w:t>
            </w:r>
          </w:p>
        </w:tc>
        <w:tc>
          <w:tcPr>
            <w:tcW w:w="3118" w:type="dxa"/>
          </w:tcPr>
          <w:p w14:paraId="376EE8DF" w14:textId="77777777" w:rsidR="00AF0566" w:rsidRPr="002A1292" w:rsidRDefault="000367A3" w:rsidP="00AF0566">
            <w:pPr>
              <w:pStyle w:val="02Tabletext"/>
            </w:pPr>
            <w:r>
              <w:t>The current item includes tests that are no longer used. Adding new tests</w:t>
            </w:r>
            <w:r w:rsidR="0008026A">
              <w:t xml:space="preserve"> such as E5M </w:t>
            </w:r>
            <w:r>
              <w:t>that are now routinely use</w:t>
            </w:r>
            <w:r w:rsidR="0008026A">
              <w:t>d</w:t>
            </w:r>
            <w:r>
              <w:t xml:space="preserve"> and considered to be the most appropriate</w:t>
            </w:r>
            <w:r w:rsidR="0008026A">
              <w:t>,</w:t>
            </w:r>
            <w:r>
              <w:t xml:space="preserve"> will </w:t>
            </w:r>
            <w:r w:rsidR="0008026A">
              <w:t>update the item descriptor and enable funding of the most appropriate tests.</w:t>
            </w:r>
          </w:p>
        </w:tc>
      </w:tr>
    </w:tbl>
    <w:p w14:paraId="588477F6" w14:textId="77777777" w:rsidR="00DB6624" w:rsidRDefault="00DB6624">
      <w:pPr>
        <w:spacing w:before="0" w:after="0"/>
      </w:pPr>
      <w:bookmarkStart w:id="200" w:name="_Toc477786682"/>
      <w:bookmarkStart w:id="201" w:name="_Toc478249952"/>
      <w:r>
        <w:br w:type="page"/>
      </w:r>
    </w:p>
    <w:p w14:paraId="6CFAFB45" w14:textId="77777777" w:rsidR="00AF0566" w:rsidRDefault="00AF0566" w:rsidP="00013A45">
      <w:r>
        <w:lastRenderedPageBreak/>
        <w:t>Recommendation 7:</w:t>
      </w:r>
      <w:r w:rsidR="004F41A6">
        <w:t xml:space="preserve"> Full Blood Examination</w:t>
      </w:r>
      <w:r w:rsidR="00D63DDF">
        <w:t xml:space="preserve"> item 65070</w:t>
      </w:r>
      <w:bookmarkEnd w:id="200"/>
      <w:bookmarkEnd w:id="201"/>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7"/>
        <w:tblDescription w:val="Appendix C is a summary for consumers. There are 12 recommendation tables listed. Recommendation 7 table looks at full blood examination item 65070.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F0566" w:rsidRPr="00FC1976" w14:paraId="7D64B9C1" w14:textId="77777777" w:rsidTr="00AF0566">
        <w:trPr>
          <w:cantSplit/>
          <w:tblHeader/>
        </w:trPr>
        <w:tc>
          <w:tcPr>
            <w:tcW w:w="2126" w:type="dxa"/>
          </w:tcPr>
          <w:p w14:paraId="73867D46" w14:textId="77777777" w:rsidR="00AF0566" w:rsidRPr="00FC1976" w:rsidRDefault="00AF0566" w:rsidP="00AF0566">
            <w:pPr>
              <w:pStyle w:val="01Tableheaderrow"/>
              <w:rPr>
                <w:color w:val="222222"/>
                <w:lang w:val="en-AU"/>
              </w:rPr>
            </w:pPr>
            <w:r w:rsidRPr="00FC1976">
              <w:rPr>
                <w:lang w:val="en-AU"/>
              </w:rPr>
              <w:t xml:space="preserve">Item </w:t>
            </w:r>
          </w:p>
        </w:tc>
        <w:tc>
          <w:tcPr>
            <w:tcW w:w="3118" w:type="dxa"/>
          </w:tcPr>
          <w:p w14:paraId="0980E656" w14:textId="77777777" w:rsidR="00AF0566" w:rsidRPr="00FC1976" w:rsidRDefault="00AF0566" w:rsidP="00AF0566">
            <w:pPr>
              <w:pStyle w:val="01Tableheaderrow"/>
              <w:rPr>
                <w:color w:val="222222"/>
                <w:lang w:val="en-AU"/>
              </w:rPr>
            </w:pPr>
            <w:r w:rsidRPr="00FC1976">
              <w:rPr>
                <w:lang w:val="en-AU"/>
              </w:rPr>
              <w:t xml:space="preserve">What it does </w:t>
            </w:r>
          </w:p>
        </w:tc>
        <w:tc>
          <w:tcPr>
            <w:tcW w:w="3086" w:type="dxa"/>
          </w:tcPr>
          <w:p w14:paraId="3111271E" w14:textId="77777777" w:rsidR="00AF0566" w:rsidRPr="00FC1976" w:rsidRDefault="00AF0566" w:rsidP="00AF056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7A167460" w14:textId="77777777" w:rsidR="00AF0566" w:rsidRPr="00FC1976" w:rsidRDefault="00AF0566" w:rsidP="00AF0566">
            <w:pPr>
              <w:pStyle w:val="01Tableheaderrow"/>
              <w:rPr>
                <w:lang w:val="en-AU"/>
              </w:rPr>
            </w:pPr>
            <w:r w:rsidRPr="00FC1976">
              <w:rPr>
                <w:lang w:val="en-AU"/>
              </w:rPr>
              <w:t>What would be different</w:t>
            </w:r>
          </w:p>
        </w:tc>
        <w:tc>
          <w:tcPr>
            <w:tcW w:w="3118" w:type="dxa"/>
          </w:tcPr>
          <w:p w14:paraId="4A7B75D8" w14:textId="77777777" w:rsidR="00AF0566" w:rsidRPr="00FC1976" w:rsidRDefault="00AF0566" w:rsidP="00AF0566">
            <w:pPr>
              <w:pStyle w:val="01Tableheaderrow"/>
              <w:rPr>
                <w:lang w:val="en-AU"/>
              </w:rPr>
            </w:pPr>
            <w:r w:rsidRPr="00FC1976">
              <w:rPr>
                <w:lang w:val="en-AU"/>
              </w:rPr>
              <w:t>Why</w:t>
            </w:r>
          </w:p>
        </w:tc>
      </w:tr>
      <w:tr w:rsidR="00AF0566" w:rsidRPr="00FC1976" w14:paraId="5DC3B1C2" w14:textId="77777777" w:rsidTr="00AF0566">
        <w:trPr>
          <w:cantSplit/>
        </w:trPr>
        <w:tc>
          <w:tcPr>
            <w:tcW w:w="2126" w:type="dxa"/>
          </w:tcPr>
          <w:p w14:paraId="1C371C99" w14:textId="77777777" w:rsidR="00AF0566" w:rsidRPr="002A1292" w:rsidRDefault="004F41A6" w:rsidP="00AF0566">
            <w:pPr>
              <w:pStyle w:val="02Tabletext"/>
            </w:pPr>
            <w:r>
              <w:t>65070</w:t>
            </w:r>
          </w:p>
        </w:tc>
        <w:tc>
          <w:tcPr>
            <w:tcW w:w="3118" w:type="dxa"/>
          </w:tcPr>
          <w:p w14:paraId="0950DA40" w14:textId="77777777" w:rsidR="00AF0566" w:rsidRPr="002A1292" w:rsidRDefault="004F41A6" w:rsidP="00C702A9">
            <w:pPr>
              <w:pStyle w:val="02Tabletext"/>
            </w:pPr>
            <w:r>
              <w:t xml:space="preserve">A </w:t>
            </w:r>
            <w:r w:rsidR="002D5227">
              <w:t xml:space="preserve">full blood examination </w:t>
            </w:r>
            <w:r>
              <w:t xml:space="preserve">provides a count of the various components in blood, and if abnormalities are detected, assessment </w:t>
            </w:r>
            <w:r w:rsidR="002D5227">
              <w:t xml:space="preserve">of the blood </w:t>
            </w:r>
            <w:r>
              <w:t xml:space="preserve">is performed </w:t>
            </w:r>
            <w:r w:rsidR="002D5227">
              <w:t xml:space="preserve">by microscope </w:t>
            </w:r>
            <w:r>
              <w:t>to further describe these.</w:t>
            </w:r>
          </w:p>
        </w:tc>
        <w:tc>
          <w:tcPr>
            <w:tcW w:w="3086" w:type="dxa"/>
          </w:tcPr>
          <w:p w14:paraId="7DD1735B" w14:textId="77777777" w:rsidR="00AF0566" w:rsidRPr="002A1292" w:rsidRDefault="004F41A6" w:rsidP="00AF0566">
            <w:pPr>
              <w:pStyle w:val="02Tabletext"/>
            </w:pPr>
            <w:r>
              <w:t>No change</w:t>
            </w:r>
            <w:r w:rsidR="00D63DDF">
              <w:t xml:space="preserve"> to the </w:t>
            </w:r>
            <w:proofErr w:type="gramStart"/>
            <w:r w:rsidR="00D63DDF">
              <w:t>tests, but</w:t>
            </w:r>
            <w:proofErr w:type="gramEnd"/>
            <w:r w:rsidR="00D63DDF">
              <w:t xml:space="preserve"> add an explanatory note to guide requesters to order the tests for the most appropriate patients.</w:t>
            </w:r>
          </w:p>
        </w:tc>
        <w:tc>
          <w:tcPr>
            <w:tcW w:w="2977" w:type="dxa"/>
          </w:tcPr>
          <w:p w14:paraId="67436D68" w14:textId="77777777" w:rsidR="00AF0566" w:rsidRPr="002A1292" w:rsidRDefault="004F41A6" w:rsidP="00AF0566">
            <w:pPr>
              <w:pStyle w:val="02Tabletext"/>
            </w:pPr>
            <w:r>
              <w:t>Not applicable</w:t>
            </w:r>
            <w:r w:rsidR="005366A9">
              <w:t>.</w:t>
            </w:r>
          </w:p>
        </w:tc>
        <w:tc>
          <w:tcPr>
            <w:tcW w:w="3118" w:type="dxa"/>
          </w:tcPr>
          <w:p w14:paraId="20C918A8" w14:textId="77777777" w:rsidR="00AF0566" w:rsidRPr="002A1292" w:rsidRDefault="004F41A6" w:rsidP="00AF0566">
            <w:pPr>
              <w:pStyle w:val="02Tabletext"/>
            </w:pPr>
            <w:r>
              <w:t>Not applicable</w:t>
            </w:r>
            <w:r w:rsidR="005366A9">
              <w:t>.</w:t>
            </w:r>
          </w:p>
        </w:tc>
      </w:tr>
    </w:tbl>
    <w:p w14:paraId="37873951" w14:textId="77777777" w:rsidR="00AF0566" w:rsidRDefault="00AF0566">
      <w:pPr>
        <w:spacing w:before="0" w:after="0"/>
      </w:pPr>
    </w:p>
    <w:p w14:paraId="59AEAA19" w14:textId="77777777" w:rsidR="00AF0566" w:rsidRDefault="00AF0566" w:rsidP="00013A45">
      <w:bookmarkStart w:id="202" w:name="_Toc477786683"/>
      <w:bookmarkStart w:id="203" w:name="_Toc478249953"/>
      <w:r>
        <w:t>Recommendation 8:</w:t>
      </w:r>
      <w:r w:rsidR="004F41A6">
        <w:t xml:space="preserve"> Thrombophilia items 65171—65181</w:t>
      </w:r>
      <w:bookmarkEnd w:id="202"/>
      <w:bookmarkEnd w:id="203"/>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8"/>
        <w:tblDescription w:val="Appendix C is a summary for consumers. There are 12 recommendation tables listed. Recommendation 8 table looks at thrombophilia items 65171—65181.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F0566" w:rsidRPr="00FC1976" w14:paraId="4437E00D" w14:textId="77777777" w:rsidTr="00AF0566">
        <w:trPr>
          <w:cantSplit/>
          <w:tblHeader/>
        </w:trPr>
        <w:tc>
          <w:tcPr>
            <w:tcW w:w="2126" w:type="dxa"/>
          </w:tcPr>
          <w:p w14:paraId="1CC05A79" w14:textId="77777777" w:rsidR="00AF0566" w:rsidRPr="00FC1976" w:rsidRDefault="00AF0566" w:rsidP="00AF0566">
            <w:pPr>
              <w:pStyle w:val="01Tableheaderrow"/>
              <w:rPr>
                <w:color w:val="222222"/>
                <w:lang w:val="en-AU"/>
              </w:rPr>
            </w:pPr>
            <w:r w:rsidRPr="00FC1976">
              <w:rPr>
                <w:lang w:val="en-AU"/>
              </w:rPr>
              <w:t xml:space="preserve">Item </w:t>
            </w:r>
          </w:p>
        </w:tc>
        <w:tc>
          <w:tcPr>
            <w:tcW w:w="3118" w:type="dxa"/>
          </w:tcPr>
          <w:p w14:paraId="1A5BA22F" w14:textId="77777777" w:rsidR="00AF0566" w:rsidRPr="00FC1976" w:rsidRDefault="00AF0566" w:rsidP="00AF0566">
            <w:pPr>
              <w:pStyle w:val="01Tableheaderrow"/>
              <w:rPr>
                <w:color w:val="222222"/>
                <w:lang w:val="en-AU"/>
              </w:rPr>
            </w:pPr>
            <w:r w:rsidRPr="00FC1976">
              <w:rPr>
                <w:lang w:val="en-AU"/>
              </w:rPr>
              <w:t xml:space="preserve">What it does </w:t>
            </w:r>
          </w:p>
        </w:tc>
        <w:tc>
          <w:tcPr>
            <w:tcW w:w="3086" w:type="dxa"/>
          </w:tcPr>
          <w:p w14:paraId="4869B0D4" w14:textId="77777777" w:rsidR="00AF0566" w:rsidRPr="00FC1976" w:rsidRDefault="00AF0566" w:rsidP="00AF056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19B180FF" w14:textId="77777777" w:rsidR="00AF0566" w:rsidRPr="00FC1976" w:rsidRDefault="00AF0566" w:rsidP="00AF0566">
            <w:pPr>
              <w:pStyle w:val="01Tableheaderrow"/>
              <w:rPr>
                <w:lang w:val="en-AU"/>
              </w:rPr>
            </w:pPr>
            <w:r w:rsidRPr="00FC1976">
              <w:rPr>
                <w:lang w:val="en-AU"/>
              </w:rPr>
              <w:t>What would be different</w:t>
            </w:r>
          </w:p>
        </w:tc>
        <w:tc>
          <w:tcPr>
            <w:tcW w:w="3118" w:type="dxa"/>
          </w:tcPr>
          <w:p w14:paraId="49AE7128" w14:textId="77777777" w:rsidR="00AF0566" w:rsidRPr="00FC1976" w:rsidRDefault="00AF0566" w:rsidP="00AF0566">
            <w:pPr>
              <w:pStyle w:val="01Tableheaderrow"/>
              <w:rPr>
                <w:lang w:val="en-AU"/>
              </w:rPr>
            </w:pPr>
            <w:r w:rsidRPr="00FC1976">
              <w:rPr>
                <w:lang w:val="en-AU"/>
              </w:rPr>
              <w:t>Why</w:t>
            </w:r>
          </w:p>
        </w:tc>
      </w:tr>
      <w:tr w:rsidR="00AF0566" w:rsidRPr="00FC1976" w14:paraId="7B3F538E" w14:textId="77777777" w:rsidTr="00AF0566">
        <w:trPr>
          <w:cantSplit/>
        </w:trPr>
        <w:tc>
          <w:tcPr>
            <w:tcW w:w="2126" w:type="dxa"/>
          </w:tcPr>
          <w:p w14:paraId="2E9B285E" w14:textId="77777777" w:rsidR="00AF0566" w:rsidRPr="002A1292" w:rsidRDefault="004F41A6" w:rsidP="00AF0566">
            <w:pPr>
              <w:pStyle w:val="02Tabletext"/>
            </w:pPr>
            <w:r>
              <w:t>65171—65181</w:t>
            </w:r>
          </w:p>
        </w:tc>
        <w:tc>
          <w:tcPr>
            <w:tcW w:w="3118" w:type="dxa"/>
          </w:tcPr>
          <w:p w14:paraId="1168693B" w14:textId="77777777" w:rsidR="00AF0566" w:rsidRPr="002A1292" w:rsidRDefault="00F92C06" w:rsidP="00AF0566">
            <w:pPr>
              <w:pStyle w:val="02Tabletext"/>
            </w:pPr>
            <w:r>
              <w:t>Thrombophilia tests</w:t>
            </w:r>
            <w:r w:rsidR="004F41A6">
              <w:t xml:space="preserve"> are used to </w:t>
            </w:r>
            <w:r>
              <w:t>investigate and diagnose clotting disorders.</w:t>
            </w:r>
          </w:p>
        </w:tc>
        <w:tc>
          <w:tcPr>
            <w:tcW w:w="3086" w:type="dxa"/>
          </w:tcPr>
          <w:p w14:paraId="6D99B00F" w14:textId="77777777" w:rsidR="00AF0566" w:rsidRPr="002A1292" w:rsidRDefault="00745C7F" w:rsidP="00AF0566">
            <w:pPr>
              <w:pStyle w:val="02Tabletext"/>
            </w:pPr>
            <w:r>
              <w:t>Minor</w:t>
            </w:r>
            <w:r w:rsidR="004F41A6">
              <w:t xml:space="preserve"> change</w:t>
            </w:r>
            <w:r w:rsidR="005366A9">
              <w:t>.</w:t>
            </w:r>
          </w:p>
        </w:tc>
        <w:tc>
          <w:tcPr>
            <w:tcW w:w="2977" w:type="dxa"/>
          </w:tcPr>
          <w:p w14:paraId="3C040F0F" w14:textId="77777777" w:rsidR="00AF0566" w:rsidRPr="002A1292" w:rsidRDefault="004F41A6" w:rsidP="00AF0566">
            <w:pPr>
              <w:pStyle w:val="02Tabletext"/>
            </w:pPr>
            <w:r>
              <w:t>Not applicable</w:t>
            </w:r>
            <w:r w:rsidR="005366A9">
              <w:t>.</w:t>
            </w:r>
          </w:p>
        </w:tc>
        <w:tc>
          <w:tcPr>
            <w:tcW w:w="3118" w:type="dxa"/>
          </w:tcPr>
          <w:p w14:paraId="02C2839A" w14:textId="77777777" w:rsidR="00AF0566" w:rsidRPr="002A1292" w:rsidRDefault="004F41A6" w:rsidP="00AF0566">
            <w:pPr>
              <w:pStyle w:val="02Tabletext"/>
            </w:pPr>
            <w:r>
              <w:t>Not applicable</w:t>
            </w:r>
            <w:r w:rsidR="005366A9">
              <w:t>.</w:t>
            </w:r>
          </w:p>
        </w:tc>
      </w:tr>
    </w:tbl>
    <w:p w14:paraId="477559A9" w14:textId="77777777" w:rsidR="00B51037" w:rsidRDefault="00B51037">
      <w:pPr>
        <w:spacing w:before="0" w:after="0"/>
      </w:pPr>
    </w:p>
    <w:p w14:paraId="7BFD8886" w14:textId="77777777" w:rsidR="00B51037" w:rsidRDefault="00B51037" w:rsidP="00013A45">
      <w:bookmarkStart w:id="204" w:name="_Toc477786684"/>
      <w:bookmarkStart w:id="205" w:name="_Toc478249954"/>
      <w:r>
        <w:t>Recommendation 9:</w:t>
      </w:r>
      <w:r w:rsidR="00E71499">
        <w:t xml:space="preserve"> </w:t>
      </w:r>
      <w:r w:rsidR="004F41A6">
        <w:t>Erythrocyte sedimentation rate</w:t>
      </w:r>
      <w:r w:rsidR="00D63DDF">
        <w:t xml:space="preserve"> and blood viscosity</w:t>
      </w:r>
      <w:bookmarkEnd w:id="204"/>
      <w:bookmarkEnd w:id="205"/>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9"/>
        <w:tblDescription w:val="Appendix C is a summary for consumers. There are 12 recommendation tables listed. Recommendation 9 table looks at erythrocyte sedimentation rate item 65060.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B51037" w:rsidRPr="00FC1976" w14:paraId="2AA23BD2" w14:textId="77777777" w:rsidTr="004904C7">
        <w:trPr>
          <w:cantSplit/>
          <w:tblHeader/>
        </w:trPr>
        <w:tc>
          <w:tcPr>
            <w:tcW w:w="2126" w:type="dxa"/>
          </w:tcPr>
          <w:p w14:paraId="486B7E9B" w14:textId="77777777" w:rsidR="00B51037" w:rsidRPr="00FC1976" w:rsidRDefault="00B51037" w:rsidP="004904C7">
            <w:pPr>
              <w:pStyle w:val="01Tableheaderrow"/>
              <w:rPr>
                <w:color w:val="222222"/>
                <w:lang w:val="en-AU"/>
              </w:rPr>
            </w:pPr>
            <w:r w:rsidRPr="00FC1976">
              <w:rPr>
                <w:lang w:val="en-AU"/>
              </w:rPr>
              <w:t xml:space="preserve">Item </w:t>
            </w:r>
          </w:p>
        </w:tc>
        <w:tc>
          <w:tcPr>
            <w:tcW w:w="3118" w:type="dxa"/>
          </w:tcPr>
          <w:p w14:paraId="5EE4D8F2" w14:textId="77777777" w:rsidR="00B51037" w:rsidRPr="00FC1976" w:rsidRDefault="00B51037" w:rsidP="004904C7">
            <w:pPr>
              <w:pStyle w:val="01Tableheaderrow"/>
              <w:rPr>
                <w:color w:val="222222"/>
                <w:lang w:val="en-AU"/>
              </w:rPr>
            </w:pPr>
            <w:r w:rsidRPr="00FC1976">
              <w:rPr>
                <w:lang w:val="en-AU"/>
              </w:rPr>
              <w:t xml:space="preserve">What it does </w:t>
            </w:r>
          </w:p>
        </w:tc>
        <w:tc>
          <w:tcPr>
            <w:tcW w:w="3086" w:type="dxa"/>
          </w:tcPr>
          <w:p w14:paraId="0C63B78D" w14:textId="77777777" w:rsidR="00B51037" w:rsidRPr="00FC1976" w:rsidRDefault="00B51037" w:rsidP="004904C7">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68854475" w14:textId="77777777" w:rsidR="00B51037" w:rsidRPr="00FC1976" w:rsidRDefault="00B51037" w:rsidP="004904C7">
            <w:pPr>
              <w:pStyle w:val="01Tableheaderrow"/>
              <w:rPr>
                <w:lang w:val="en-AU"/>
              </w:rPr>
            </w:pPr>
            <w:r w:rsidRPr="00FC1976">
              <w:rPr>
                <w:lang w:val="en-AU"/>
              </w:rPr>
              <w:t>What would be different</w:t>
            </w:r>
          </w:p>
        </w:tc>
        <w:tc>
          <w:tcPr>
            <w:tcW w:w="3118" w:type="dxa"/>
          </w:tcPr>
          <w:p w14:paraId="5BA02B19" w14:textId="77777777" w:rsidR="00B51037" w:rsidRPr="00FC1976" w:rsidRDefault="00B51037" w:rsidP="004904C7">
            <w:pPr>
              <w:pStyle w:val="01Tableheaderrow"/>
              <w:rPr>
                <w:lang w:val="en-AU"/>
              </w:rPr>
            </w:pPr>
            <w:r w:rsidRPr="00FC1976">
              <w:rPr>
                <w:lang w:val="en-AU"/>
              </w:rPr>
              <w:t>Why</w:t>
            </w:r>
          </w:p>
        </w:tc>
      </w:tr>
      <w:tr w:rsidR="00B51037" w:rsidRPr="00FC1976" w14:paraId="1529BD56" w14:textId="77777777" w:rsidTr="004904C7">
        <w:trPr>
          <w:cantSplit/>
        </w:trPr>
        <w:tc>
          <w:tcPr>
            <w:tcW w:w="2126" w:type="dxa"/>
          </w:tcPr>
          <w:p w14:paraId="2CDDA3AF" w14:textId="77777777" w:rsidR="00B51037" w:rsidRPr="002A1292" w:rsidRDefault="004F41A6" w:rsidP="004904C7">
            <w:pPr>
              <w:pStyle w:val="02Tabletext"/>
            </w:pPr>
            <w:r>
              <w:t>65060</w:t>
            </w:r>
          </w:p>
        </w:tc>
        <w:tc>
          <w:tcPr>
            <w:tcW w:w="3118" w:type="dxa"/>
          </w:tcPr>
          <w:p w14:paraId="4DDD337C" w14:textId="77777777" w:rsidR="00B51037" w:rsidRDefault="00F92C06" w:rsidP="004904C7">
            <w:pPr>
              <w:pStyle w:val="02Tabletext"/>
            </w:pPr>
            <w:r>
              <w:t>Erythrocyte sedimentation rate</w:t>
            </w:r>
            <w:r w:rsidR="00D3153D">
              <w:t xml:space="preserve"> (ESR)</w:t>
            </w:r>
            <w:r>
              <w:t xml:space="preserve"> is a test used to help diagnose some di</w:t>
            </w:r>
            <w:r w:rsidR="004B620F">
              <w:t xml:space="preserve">seases. It is also used </w:t>
            </w:r>
            <w:r>
              <w:t>to assess inflammation, although its usefulness is limited.</w:t>
            </w:r>
          </w:p>
          <w:p w14:paraId="3A0CFDC1" w14:textId="77777777" w:rsidR="00D63DDF" w:rsidRPr="00D63DDF" w:rsidRDefault="00D63DDF" w:rsidP="00D63DDF">
            <w:pPr>
              <w:rPr>
                <w:rFonts w:ascii="Arial" w:hAnsi="Arial" w:cs="Arial"/>
                <w:sz w:val="18"/>
                <w:szCs w:val="18"/>
                <w:lang w:eastAsia="en-US"/>
              </w:rPr>
            </w:pPr>
            <w:r w:rsidRPr="00D63DDF">
              <w:rPr>
                <w:rFonts w:ascii="Arial" w:hAnsi="Arial" w:cs="Arial"/>
                <w:sz w:val="18"/>
                <w:szCs w:val="18"/>
                <w:lang w:eastAsia="en-US"/>
              </w:rPr>
              <w:t>Blood viscosity is a test used to determine the thickness or stickiness of an individual’s blood.</w:t>
            </w:r>
          </w:p>
        </w:tc>
        <w:tc>
          <w:tcPr>
            <w:tcW w:w="3086" w:type="dxa"/>
          </w:tcPr>
          <w:p w14:paraId="1F6FA98F" w14:textId="77777777" w:rsidR="00B51037" w:rsidRPr="002A1292" w:rsidRDefault="00D3153D" w:rsidP="004904C7">
            <w:pPr>
              <w:pStyle w:val="02Tabletext"/>
            </w:pPr>
            <w:r>
              <w:t xml:space="preserve">No change to the ESR part of the </w:t>
            </w:r>
            <w:proofErr w:type="gramStart"/>
            <w:r>
              <w:t>tests, but</w:t>
            </w:r>
            <w:proofErr w:type="gramEnd"/>
            <w:r w:rsidR="00D63DDF">
              <w:t xml:space="preserve"> remove blood viscosity from this item.</w:t>
            </w:r>
          </w:p>
        </w:tc>
        <w:tc>
          <w:tcPr>
            <w:tcW w:w="2977" w:type="dxa"/>
          </w:tcPr>
          <w:p w14:paraId="19C8A1A0" w14:textId="77777777" w:rsidR="00B51037" w:rsidRDefault="00D3153D" w:rsidP="004904C7">
            <w:pPr>
              <w:pStyle w:val="02Tabletext"/>
            </w:pPr>
            <w:r>
              <w:t>This is a test that is no longer used and is now obsolete.</w:t>
            </w:r>
          </w:p>
          <w:p w14:paraId="40ED4653" w14:textId="77777777" w:rsidR="00D3153D" w:rsidRPr="00D3153D" w:rsidRDefault="00D3153D" w:rsidP="00D3153D">
            <w:pPr>
              <w:rPr>
                <w:rFonts w:ascii="Arial" w:hAnsi="Arial" w:cs="Arial"/>
                <w:sz w:val="18"/>
                <w:szCs w:val="18"/>
                <w:lang w:eastAsia="en-US"/>
              </w:rPr>
            </w:pPr>
            <w:r w:rsidRPr="00D3153D">
              <w:rPr>
                <w:rFonts w:ascii="Arial" w:hAnsi="Arial" w:cs="Arial"/>
                <w:sz w:val="18"/>
                <w:szCs w:val="18"/>
                <w:lang w:eastAsia="en-US"/>
              </w:rPr>
              <w:t>Removing it will not impact patient care.</w:t>
            </w:r>
          </w:p>
        </w:tc>
        <w:tc>
          <w:tcPr>
            <w:tcW w:w="3118" w:type="dxa"/>
          </w:tcPr>
          <w:p w14:paraId="69AFB7C4" w14:textId="77777777" w:rsidR="00B51037" w:rsidRPr="002A1292" w:rsidRDefault="00D3153D" w:rsidP="004904C7">
            <w:pPr>
              <w:pStyle w:val="02Tabletext"/>
            </w:pPr>
            <w:r>
              <w:t>This test is no longer relevant.</w:t>
            </w:r>
          </w:p>
        </w:tc>
      </w:tr>
    </w:tbl>
    <w:p w14:paraId="7D514BA1" w14:textId="77777777" w:rsidR="00DB6624" w:rsidRDefault="00DB6624">
      <w:pPr>
        <w:spacing w:before="0" w:after="0"/>
      </w:pPr>
      <w:r>
        <w:br w:type="page"/>
      </w:r>
    </w:p>
    <w:p w14:paraId="32CF52F4" w14:textId="77777777" w:rsidR="00B51037" w:rsidRDefault="00B51037" w:rsidP="00013A45">
      <w:pPr>
        <w:keepNext/>
      </w:pPr>
      <w:bookmarkStart w:id="206" w:name="_Toc477786685"/>
      <w:bookmarkStart w:id="207" w:name="_Toc478249955"/>
      <w:r>
        <w:lastRenderedPageBreak/>
        <w:t>Recommendation 10:</w:t>
      </w:r>
      <w:r w:rsidR="009C5CBA">
        <w:t xml:space="preserve"> Release of immunoglobulin</w:t>
      </w:r>
      <w:bookmarkEnd w:id="206"/>
      <w:bookmarkEnd w:id="207"/>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0"/>
        <w:tblDescription w:val="Appendix C is a summary for consumers. There are 12 recommendation tables listed. Recommendation 10 table looks at release of immunoglobulin.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B51037" w:rsidRPr="00FC1976" w14:paraId="5DAD4312" w14:textId="77777777" w:rsidTr="004904C7">
        <w:trPr>
          <w:cantSplit/>
          <w:tblHeader/>
        </w:trPr>
        <w:tc>
          <w:tcPr>
            <w:tcW w:w="2126" w:type="dxa"/>
          </w:tcPr>
          <w:p w14:paraId="56AE3108" w14:textId="77777777" w:rsidR="00B51037" w:rsidRPr="00FC1976" w:rsidRDefault="00B51037" w:rsidP="004904C7">
            <w:pPr>
              <w:pStyle w:val="01Tableheaderrow"/>
              <w:rPr>
                <w:color w:val="222222"/>
                <w:lang w:val="en-AU"/>
              </w:rPr>
            </w:pPr>
            <w:r w:rsidRPr="00FC1976">
              <w:rPr>
                <w:lang w:val="en-AU"/>
              </w:rPr>
              <w:t xml:space="preserve">Item </w:t>
            </w:r>
          </w:p>
        </w:tc>
        <w:tc>
          <w:tcPr>
            <w:tcW w:w="3118" w:type="dxa"/>
          </w:tcPr>
          <w:p w14:paraId="739BEA4D" w14:textId="77777777" w:rsidR="00B51037" w:rsidRPr="00FC1976" w:rsidRDefault="00B51037" w:rsidP="004904C7">
            <w:pPr>
              <w:pStyle w:val="01Tableheaderrow"/>
              <w:rPr>
                <w:color w:val="222222"/>
                <w:lang w:val="en-AU"/>
              </w:rPr>
            </w:pPr>
            <w:r w:rsidRPr="00FC1976">
              <w:rPr>
                <w:lang w:val="en-AU"/>
              </w:rPr>
              <w:t xml:space="preserve">What it does </w:t>
            </w:r>
          </w:p>
        </w:tc>
        <w:tc>
          <w:tcPr>
            <w:tcW w:w="3086" w:type="dxa"/>
          </w:tcPr>
          <w:p w14:paraId="3F78897A" w14:textId="77777777" w:rsidR="00B51037" w:rsidRPr="00FC1976" w:rsidRDefault="00B51037" w:rsidP="004904C7">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0E3EF0C1" w14:textId="77777777" w:rsidR="00B51037" w:rsidRPr="00FC1976" w:rsidRDefault="00B51037" w:rsidP="004904C7">
            <w:pPr>
              <w:pStyle w:val="01Tableheaderrow"/>
              <w:rPr>
                <w:lang w:val="en-AU"/>
              </w:rPr>
            </w:pPr>
            <w:r w:rsidRPr="00FC1976">
              <w:rPr>
                <w:lang w:val="en-AU"/>
              </w:rPr>
              <w:t>What would be different</w:t>
            </w:r>
          </w:p>
        </w:tc>
        <w:tc>
          <w:tcPr>
            <w:tcW w:w="3118" w:type="dxa"/>
          </w:tcPr>
          <w:p w14:paraId="1FA6D104" w14:textId="77777777" w:rsidR="00B51037" w:rsidRPr="00FC1976" w:rsidRDefault="00B51037" w:rsidP="004904C7">
            <w:pPr>
              <w:pStyle w:val="01Tableheaderrow"/>
              <w:rPr>
                <w:lang w:val="en-AU"/>
              </w:rPr>
            </w:pPr>
            <w:r w:rsidRPr="00FC1976">
              <w:rPr>
                <w:lang w:val="en-AU"/>
              </w:rPr>
              <w:t>Why</w:t>
            </w:r>
          </w:p>
        </w:tc>
      </w:tr>
      <w:tr w:rsidR="00B51037" w:rsidRPr="00FC1976" w14:paraId="547F8775" w14:textId="77777777" w:rsidTr="004904C7">
        <w:trPr>
          <w:cantSplit/>
        </w:trPr>
        <w:tc>
          <w:tcPr>
            <w:tcW w:w="2126" w:type="dxa"/>
          </w:tcPr>
          <w:p w14:paraId="5AF2E15B" w14:textId="77777777" w:rsidR="00B51037" w:rsidRPr="002A1292" w:rsidRDefault="00F92C06" w:rsidP="004904C7">
            <w:pPr>
              <w:pStyle w:val="02Tabletext"/>
            </w:pPr>
            <w:r>
              <w:t>New item</w:t>
            </w:r>
          </w:p>
        </w:tc>
        <w:tc>
          <w:tcPr>
            <w:tcW w:w="3118" w:type="dxa"/>
          </w:tcPr>
          <w:p w14:paraId="32BC3567" w14:textId="77777777" w:rsidR="00B51037" w:rsidRPr="007C4E41" w:rsidRDefault="00E24117" w:rsidP="004904C7">
            <w:pPr>
              <w:pStyle w:val="02Tabletext"/>
            </w:pPr>
            <w:r w:rsidRPr="007C4E41">
              <w:t>This item will provide funding for the provision of i</w:t>
            </w:r>
            <w:r w:rsidR="00B51037" w:rsidRPr="007C4E41">
              <w:t>mmunoglobulin</w:t>
            </w:r>
            <w:r w:rsidRPr="007C4E41">
              <w:t xml:space="preserve"> </w:t>
            </w:r>
            <w:r w:rsidR="007C4E41" w:rsidRPr="007C4E41">
              <w:t xml:space="preserve">to approved patients. </w:t>
            </w:r>
            <w:r w:rsidR="007C4E41" w:rsidRPr="007C4E41">
              <w:rPr>
                <w:rStyle w:val="Strong"/>
                <w:b w:val="0"/>
                <w:shd w:val="clear" w:color="auto" w:fill="FFFFFF"/>
              </w:rPr>
              <w:t>Immunoglobulin replacement therapy is one of the most imp</w:t>
            </w:r>
            <w:r w:rsidR="007C4E41">
              <w:rPr>
                <w:rStyle w:val="Strong"/>
                <w:b w:val="0"/>
                <w:shd w:val="clear" w:color="auto" w:fill="FFFFFF"/>
              </w:rPr>
              <w:t xml:space="preserve">ortant and successful therapies </w:t>
            </w:r>
            <w:r w:rsidR="007C4E41" w:rsidRPr="007C4E41">
              <w:rPr>
                <w:rStyle w:val="Strong"/>
                <w:b w:val="0"/>
                <w:shd w:val="clear" w:color="auto" w:fill="FFFFFF"/>
              </w:rPr>
              <w:t>for people with primary immunodeficiency diseases.</w:t>
            </w:r>
            <w:r w:rsidR="007C4E41">
              <w:t xml:space="preserve"> </w:t>
            </w:r>
            <w:r w:rsidRPr="007C4E41">
              <w:t>Approval for</w:t>
            </w:r>
            <w:r w:rsidR="00321F10" w:rsidRPr="007C4E41">
              <w:t xml:space="preserve"> the</w:t>
            </w:r>
            <w:r w:rsidRPr="007C4E41">
              <w:t xml:space="preserve"> use </w:t>
            </w:r>
            <w:r w:rsidR="00321F10" w:rsidRPr="007C4E41">
              <w:t xml:space="preserve">of immunoglobulin </w:t>
            </w:r>
            <w:r w:rsidRPr="007C4E41">
              <w:t xml:space="preserve">and </w:t>
            </w:r>
            <w:r w:rsidR="00321F10" w:rsidRPr="007C4E41">
              <w:t xml:space="preserve">its </w:t>
            </w:r>
            <w:r w:rsidRPr="007C4E41">
              <w:t>supply is overseen by the National Blood Authority</w:t>
            </w:r>
            <w:r w:rsidR="00321F10" w:rsidRPr="007C4E41">
              <w:t>.</w:t>
            </w:r>
            <w:r w:rsidRPr="007C4E41">
              <w:t xml:space="preserve"> </w:t>
            </w:r>
            <w:r w:rsidR="00321F10" w:rsidRPr="007C4E41">
              <w:t>It has</w:t>
            </w:r>
            <w:r w:rsidRPr="007C4E41">
              <w:t xml:space="preserve"> protocols </w:t>
            </w:r>
            <w:r w:rsidR="00684D05" w:rsidRPr="007C4E41">
              <w:t>outlining ordering, dispensing and reporting</w:t>
            </w:r>
            <w:r w:rsidRPr="007C4E41">
              <w:t xml:space="preserve"> requirements</w:t>
            </w:r>
            <w:r w:rsidR="00321F10" w:rsidRPr="007C4E41">
              <w:t xml:space="preserve"> that must be met by laboratories</w:t>
            </w:r>
            <w:r w:rsidRPr="007C4E41">
              <w:t xml:space="preserve">. </w:t>
            </w:r>
          </w:p>
          <w:p w14:paraId="795985FC" w14:textId="77777777" w:rsidR="00E24117" w:rsidRPr="00E24117" w:rsidRDefault="00E24117" w:rsidP="00E24117">
            <w:pPr>
              <w:rPr>
                <w:lang w:eastAsia="en-US"/>
              </w:rPr>
            </w:pPr>
            <w:r w:rsidRPr="007C4E41">
              <w:rPr>
                <w:rFonts w:ascii="Arial" w:hAnsi="Arial" w:cs="Arial"/>
                <w:sz w:val="18"/>
                <w:szCs w:val="18"/>
                <w:lang w:eastAsia="en-US"/>
              </w:rPr>
              <w:t>There is currently no funding for this service under the MBS.</w:t>
            </w:r>
          </w:p>
        </w:tc>
        <w:tc>
          <w:tcPr>
            <w:tcW w:w="3086" w:type="dxa"/>
          </w:tcPr>
          <w:p w14:paraId="7A75FF04" w14:textId="77777777" w:rsidR="00B51037" w:rsidRPr="002A1292" w:rsidRDefault="00E24117" w:rsidP="004904C7">
            <w:pPr>
              <w:pStyle w:val="02Tabletext"/>
            </w:pPr>
            <w:r>
              <w:t xml:space="preserve">Introduce a new MBS item for the release of immunoglobulin (see section 5.1.1 of </w:t>
            </w:r>
            <w:r w:rsidR="00E71499">
              <w:t xml:space="preserve">the </w:t>
            </w:r>
            <w:r>
              <w:t>full report for detail)</w:t>
            </w:r>
            <w:r w:rsidR="00E71499">
              <w:t>.</w:t>
            </w:r>
          </w:p>
        </w:tc>
        <w:tc>
          <w:tcPr>
            <w:tcW w:w="2977" w:type="dxa"/>
          </w:tcPr>
          <w:p w14:paraId="1BC54101" w14:textId="77777777" w:rsidR="00B51037" w:rsidRPr="00684D05" w:rsidRDefault="00E24117" w:rsidP="004904C7">
            <w:pPr>
              <w:pStyle w:val="02Tabletext"/>
            </w:pPr>
            <w:r>
              <w:t xml:space="preserve">The </w:t>
            </w:r>
            <w:r w:rsidR="00684D05">
              <w:t>proposed</w:t>
            </w:r>
            <w:r>
              <w:t xml:space="preserve"> MBS item number would </w:t>
            </w:r>
            <w:r w:rsidR="00684D05">
              <w:t>be used to reimburse laboratories for the work involved in managing immunoglobulin.</w:t>
            </w:r>
          </w:p>
          <w:p w14:paraId="795B8346" w14:textId="77777777" w:rsidR="00684D05" w:rsidRDefault="00684D05" w:rsidP="00684D05">
            <w:pPr>
              <w:rPr>
                <w:rFonts w:ascii="Arial" w:hAnsi="Arial" w:cs="Arial"/>
                <w:sz w:val="18"/>
                <w:szCs w:val="18"/>
                <w:lang w:eastAsia="en-US"/>
              </w:rPr>
            </w:pPr>
            <w:r w:rsidRPr="00684D05">
              <w:rPr>
                <w:rFonts w:ascii="Arial" w:hAnsi="Arial" w:cs="Arial"/>
                <w:sz w:val="18"/>
                <w:szCs w:val="18"/>
                <w:lang w:eastAsia="en-US"/>
              </w:rPr>
              <w:t>There are existing items in the Schedule for the release of platelets and fresh frozen plasma.</w:t>
            </w:r>
          </w:p>
          <w:p w14:paraId="46C8124F" w14:textId="77777777" w:rsidR="00684D05" w:rsidRPr="00684D05" w:rsidRDefault="00684D05" w:rsidP="00684D05">
            <w:pPr>
              <w:rPr>
                <w:lang w:eastAsia="en-US"/>
              </w:rPr>
            </w:pPr>
            <w:r>
              <w:rPr>
                <w:rFonts w:ascii="Arial" w:hAnsi="Arial" w:cs="Arial"/>
                <w:sz w:val="18"/>
                <w:szCs w:val="18"/>
                <w:lang w:eastAsia="en-US"/>
              </w:rPr>
              <w:t>There would be no impact on patients.</w:t>
            </w:r>
          </w:p>
        </w:tc>
        <w:tc>
          <w:tcPr>
            <w:tcW w:w="3118" w:type="dxa"/>
          </w:tcPr>
          <w:p w14:paraId="04734089" w14:textId="77777777" w:rsidR="00B51037" w:rsidRPr="002A1292" w:rsidRDefault="00E24117" w:rsidP="00C702A9">
            <w:pPr>
              <w:pStyle w:val="02Tabletext"/>
            </w:pPr>
            <w:r>
              <w:t xml:space="preserve">At present these services have been provided without funding. The demand for immunoglobulins has increased by </w:t>
            </w:r>
            <w:r w:rsidR="005366A9">
              <w:t xml:space="preserve">10 </w:t>
            </w:r>
            <w:r>
              <w:t xml:space="preserve">per cent per year over the past decade. The NBA has recently introduced protocols governing the ordering, dispensing and </w:t>
            </w:r>
            <w:r w:rsidR="00684D05">
              <w:t>reporting</w:t>
            </w:r>
            <w:r>
              <w:t xml:space="preserve"> that all laboratories involved must adhere</w:t>
            </w:r>
            <w:r w:rsidR="00684D05">
              <w:t xml:space="preserve"> to</w:t>
            </w:r>
            <w:r>
              <w:t>.</w:t>
            </w:r>
            <w:r w:rsidR="00684D05">
              <w:t xml:space="preserve"> This has significantly increased the administrative burden for these laboratories.</w:t>
            </w:r>
          </w:p>
        </w:tc>
      </w:tr>
    </w:tbl>
    <w:p w14:paraId="3B7C7C7B" w14:textId="77777777" w:rsidR="00B51037" w:rsidRDefault="00B51037">
      <w:pPr>
        <w:spacing w:before="0" w:after="0"/>
      </w:pPr>
    </w:p>
    <w:p w14:paraId="31C04085" w14:textId="77777777" w:rsidR="00B51037" w:rsidRDefault="00B51037" w:rsidP="00013A45">
      <w:bookmarkStart w:id="208" w:name="_Toc477786686"/>
      <w:bookmarkStart w:id="209" w:name="_Toc478249956"/>
      <w:r>
        <w:t>Recommendation 11:</w:t>
      </w:r>
      <w:r w:rsidR="00E71499">
        <w:t xml:space="preserve"> </w:t>
      </w:r>
      <w:r w:rsidR="00684D05">
        <w:t xml:space="preserve">Alpha thalassaemia </w:t>
      </w:r>
      <w:r w:rsidR="00D3153D">
        <w:t>genetic testing</w:t>
      </w:r>
      <w:bookmarkEnd w:id="208"/>
      <w:bookmarkEnd w:id="209"/>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1"/>
        <w:tblDescription w:val="Appendix C is a summary for consumers. There are 12 recommendation tables listed. Recommendation 11 table looks at alpha thalassaemia genetic testing.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B51037" w:rsidRPr="00FC1976" w14:paraId="1F41C018" w14:textId="77777777" w:rsidTr="004904C7">
        <w:trPr>
          <w:cantSplit/>
          <w:tblHeader/>
        </w:trPr>
        <w:tc>
          <w:tcPr>
            <w:tcW w:w="2126" w:type="dxa"/>
          </w:tcPr>
          <w:p w14:paraId="3777ECE2" w14:textId="77777777" w:rsidR="00B51037" w:rsidRPr="00FC1976" w:rsidRDefault="00B51037" w:rsidP="004904C7">
            <w:pPr>
              <w:pStyle w:val="01Tableheaderrow"/>
              <w:rPr>
                <w:color w:val="222222"/>
                <w:lang w:val="en-AU"/>
              </w:rPr>
            </w:pPr>
            <w:r w:rsidRPr="00FC1976">
              <w:rPr>
                <w:lang w:val="en-AU"/>
              </w:rPr>
              <w:t xml:space="preserve">Item </w:t>
            </w:r>
          </w:p>
        </w:tc>
        <w:tc>
          <w:tcPr>
            <w:tcW w:w="3118" w:type="dxa"/>
          </w:tcPr>
          <w:p w14:paraId="0EC76748" w14:textId="77777777" w:rsidR="00B51037" w:rsidRPr="00FC1976" w:rsidRDefault="00B51037" w:rsidP="004904C7">
            <w:pPr>
              <w:pStyle w:val="01Tableheaderrow"/>
              <w:rPr>
                <w:color w:val="222222"/>
                <w:lang w:val="en-AU"/>
              </w:rPr>
            </w:pPr>
            <w:r w:rsidRPr="00FC1976">
              <w:rPr>
                <w:lang w:val="en-AU"/>
              </w:rPr>
              <w:t xml:space="preserve">What it does </w:t>
            </w:r>
          </w:p>
        </w:tc>
        <w:tc>
          <w:tcPr>
            <w:tcW w:w="3086" w:type="dxa"/>
          </w:tcPr>
          <w:p w14:paraId="12D1EC15" w14:textId="77777777" w:rsidR="00B51037" w:rsidRPr="00FC1976" w:rsidRDefault="00B51037" w:rsidP="004904C7">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1A5A9A94" w14:textId="77777777" w:rsidR="00B51037" w:rsidRPr="00FC1976" w:rsidRDefault="00B51037" w:rsidP="004904C7">
            <w:pPr>
              <w:pStyle w:val="01Tableheaderrow"/>
              <w:rPr>
                <w:lang w:val="en-AU"/>
              </w:rPr>
            </w:pPr>
            <w:r w:rsidRPr="00FC1976">
              <w:rPr>
                <w:lang w:val="en-AU"/>
              </w:rPr>
              <w:t>What would be different</w:t>
            </w:r>
          </w:p>
        </w:tc>
        <w:tc>
          <w:tcPr>
            <w:tcW w:w="3118" w:type="dxa"/>
          </w:tcPr>
          <w:p w14:paraId="20E8D50B" w14:textId="77777777" w:rsidR="00B51037" w:rsidRPr="00FC1976" w:rsidRDefault="00B51037" w:rsidP="004904C7">
            <w:pPr>
              <w:pStyle w:val="01Tableheaderrow"/>
              <w:rPr>
                <w:lang w:val="en-AU"/>
              </w:rPr>
            </w:pPr>
            <w:r w:rsidRPr="00FC1976">
              <w:rPr>
                <w:lang w:val="en-AU"/>
              </w:rPr>
              <w:t>Why</w:t>
            </w:r>
          </w:p>
        </w:tc>
      </w:tr>
      <w:tr w:rsidR="00B51037" w:rsidRPr="00FC1976" w14:paraId="7CB1D9B8" w14:textId="77777777" w:rsidTr="004904C7">
        <w:trPr>
          <w:cantSplit/>
        </w:trPr>
        <w:tc>
          <w:tcPr>
            <w:tcW w:w="2126" w:type="dxa"/>
          </w:tcPr>
          <w:p w14:paraId="38731BEE" w14:textId="77777777" w:rsidR="00B51037" w:rsidRPr="002A1292" w:rsidRDefault="00684D05" w:rsidP="004904C7">
            <w:pPr>
              <w:pStyle w:val="02Tabletext"/>
            </w:pPr>
            <w:r>
              <w:t>New item</w:t>
            </w:r>
          </w:p>
        </w:tc>
        <w:tc>
          <w:tcPr>
            <w:tcW w:w="3118" w:type="dxa"/>
          </w:tcPr>
          <w:p w14:paraId="330350AE" w14:textId="77777777" w:rsidR="00B51037" w:rsidRPr="002A1292" w:rsidRDefault="00684D05" w:rsidP="004904C7">
            <w:pPr>
              <w:pStyle w:val="02Tabletext"/>
            </w:pPr>
            <w:r>
              <w:t>This item will provide a genetic test for the testing of alpha thalassaemia</w:t>
            </w:r>
            <w:r w:rsidR="00AC49F7">
              <w:t xml:space="preserve"> (</w:t>
            </w:r>
            <w:r w:rsidR="0008026A">
              <w:rPr>
                <w:color w:val="222222"/>
                <w:shd w:val="clear" w:color="auto" w:fill="FFFFFF"/>
              </w:rPr>
              <w:t>a blood disorder that reduces the production of haemoglobin</w:t>
            </w:r>
            <w:r w:rsidR="00AC49F7">
              <w:t>)</w:t>
            </w:r>
            <w:r>
              <w:t>,</w:t>
            </w:r>
            <w:r w:rsidR="007C4E41">
              <w:t xml:space="preserve"> which is</w:t>
            </w:r>
            <w:r>
              <w:t xml:space="preserve"> not currently covered under the MBS.</w:t>
            </w:r>
          </w:p>
        </w:tc>
        <w:tc>
          <w:tcPr>
            <w:tcW w:w="3086" w:type="dxa"/>
          </w:tcPr>
          <w:p w14:paraId="213AE72C" w14:textId="77777777" w:rsidR="00B51037" w:rsidRPr="002A1292" w:rsidRDefault="00684D05" w:rsidP="004904C7">
            <w:pPr>
              <w:pStyle w:val="02Tabletext"/>
            </w:pPr>
            <w:r>
              <w:t>Introduce a new MBS item to test for alpha thalassaemia (see section 5.1.2 of the full report for detail)</w:t>
            </w:r>
            <w:r w:rsidR="00AC49F7">
              <w:t>.</w:t>
            </w:r>
          </w:p>
        </w:tc>
        <w:tc>
          <w:tcPr>
            <w:tcW w:w="2977" w:type="dxa"/>
          </w:tcPr>
          <w:p w14:paraId="6BC35328" w14:textId="77777777" w:rsidR="00B51037" w:rsidRPr="002A1292" w:rsidRDefault="00563171" w:rsidP="004904C7">
            <w:pPr>
              <w:pStyle w:val="02Tabletext"/>
            </w:pPr>
            <w:r>
              <w:t>This test would be funded under the MBS, enabling clinically relevant people to have this test without cost.</w:t>
            </w:r>
          </w:p>
        </w:tc>
        <w:tc>
          <w:tcPr>
            <w:tcW w:w="3118" w:type="dxa"/>
          </w:tcPr>
          <w:p w14:paraId="3F5A0D02" w14:textId="77777777" w:rsidR="00B51037" w:rsidRPr="002A1292" w:rsidRDefault="00563171" w:rsidP="004904C7">
            <w:pPr>
              <w:pStyle w:val="02Tabletext"/>
            </w:pPr>
            <w:r>
              <w:t>This is a significant gap in the Schedule. It is a significant risk in specific populations and the lack of funding may mean some people do not have this test</w:t>
            </w:r>
            <w:r w:rsidR="00AC49F7">
              <w:t>,</w:t>
            </w:r>
            <w:r>
              <w:t xml:space="preserve"> as they do not have the resources to pay for it privately. The consequences are significant</w:t>
            </w:r>
            <w:r w:rsidR="00AC49F7">
              <w:t>,</w:t>
            </w:r>
            <w:r>
              <w:t xml:space="preserve"> with neonatal death and significant maternal morbidity. </w:t>
            </w:r>
          </w:p>
        </w:tc>
      </w:tr>
    </w:tbl>
    <w:p w14:paraId="4DFA596F" w14:textId="77777777" w:rsidR="00DB6624" w:rsidRDefault="00DB6624">
      <w:pPr>
        <w:spacing w:before="0" w:after="0"/>
      </w:pPr>
      <w:r>
        <w:br w:type="page"/>
      </w:r>
    </w:p>
    <w:p w14:paraId="1845DF41" w14:textId="77777777" w:rsidR="00B51037" w:rsidRDefault="00B51037">
      <w:pPr>
        <w:spacing w:before="0" w:after="0"/>
      </w:pPr>
    </w:p>
    <w:p w14:paraId="4B92719E" w14:textId="77777777" w:rsidR="00B51037" w:rsidRDefault="00B51037" w:rsidP="00013A45">
      <w:pPr>
        <w:keepNext/>
      </w:pPr>
      <w:bookmarkStart w:id="210" w:name="_Toc477786687"/>
      <w:bookmarkStart w:id="211" w:name="_Toc478249957"/>
      <w:r>
        <w:t>Recommendation 12:</w:t>
      </w:r>
      <w:r w:rsidR="00563171">
        <w:t xml:space="preserve"> Warfarin care programs</w:t>
      </w:r>
      <w:bookmarkEnd w:id="210"/>
      <w:bookmarkEnd w:id="211"/>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2"/>
        <w:tblDescription w:val="Appendix C is a summary for consumers. There are 12 recommendation tables listed. Recommendation 12 table looks at warfarin care programs.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B51037" w:rsidRPr="00FC1976" w14:paraId="51B94965" w14:textId="77777777" w:rsidTr="004904C7">
        <w:trPr>
          <w:cantSplit/>
          <w:tblHeader/>
        </w:trPr>
        <w:tc>
          <w:tcPr>
            <w:tcW w:w="2126" w:type="dxa"/>
          </w:tcPr>
          <w:p w14:paraId="4C1D8C4B" w14:textId="77777777" w:rsidR="00B51037" w:rsidRPr="00FC1976" w:rsidRDefault="00B51037" w:rsidP="004904C7">
            <w:pPr>
              <w:pStyle w:val="01Tableheaderrow"/>
              <w:rPr>
                <w:color w:val="222222"/>
                <w:lang w:val="en-AU"/>
              </w:rPr>
            </w:pPr>
            <w:r w:rsidRPr="00FC1976">
              <w:rPr>
                <w:lang w:val="en-AU"/>
              </w:rPr>
              <w:t xml:space="preserve">Item </w:t>
            </w:r>
          </w:p>
        </w:tc>
        <w:tc>
          <w:tcPr>
            <w:tcW w:w="3118" w:type="dxa"/>
          </w:tcPr>
          <w:p w14:paraId="249C078B" w14:textId="77777777" w:rsidR="00B51037" w:rsidRPr="00FC1976" w:rsidRDefault="00B51037" w:rsidP="004904C7">
            <w:pPr>
              <w:pStyle w:val="01Tableheaderrow"/>
              <w:rPr>
                <w:color w:val="222222"/>
                <w:lang w:val="en-AU"/>
              </w:rPr>
            </w:pPr>
            <w:r w:rsidRPr="00FC1976">
              <w:rPr>
                <w:lang w:val="en-AU"/>
              </w:rPr>
              <w:t xml:space="preserve">What it does </w:t>
            </w:r>
          </w:p>
        </w:tc>
        <w:tc>
          <w:tcPr>
            <w:tcW w:w="3086" w:type="dxa"/>
          </w:tcPr>
          <w:p w14:paraId="10DA215C" w14:textId="77777777" w:rsidR="00B51037" w:rsidRPr="00FC1976" w:rsidRDefault="00B51037" w:rsidP="004904C7">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1B3E934D" w14:textId="77777777" w:rsidR="00B51037" w:rsidRPr="00FC1976" w:rsidRDefault="00B51037" w:rsidP="004904C7">
            <w:pPr>
              <w:pStyle w:val="01Tableheaderrow"/>
              <w:rPr>
                <w:lang w:val="en-AU"/>
              </w:rPr>
            </w:pPr>
            <w:r w:rsidRPr="00FC1976">
              <w:rPr>
                <w:lang w:val="en-AU"/>
              </w:rPr>
              <w:t>What would be different</w:t>
            </w:r>
          </w:p>
        </w:tc>
        <w:tc>
          <w:tcPr>
            <w:tcW w:w="3118" w:type="dxa"/>
          </w:tcPr>
          <w:p w14:paraId="4AA5B262" w14:textId="77777777" w:rsidR="00B51037" w:rsidRPr="00FC1976" w:rsidRDefault="00B51037" w:rsidP="004904C7">
            <w:pPr>
              <w:pStyle w:val="01Tableheaderrow"/>
              <w:rPr>
                <w:lang w:val="en-AU"/>
              </w:rPr>
            </w:pPr>
            <w:r w:rsidRPr="00FC1976">
              <w:rPr>
                <w:lang w:val="en-AU"/>
              </w:rPr>
              <w:t>Why</w:t>
            </w:r>
          </w:p>
        </w:tc>
      </w:tr>
      <w:tr w:rsidR="00B51037" w:rsidRPr="00FC1976" w14:paraId="4529CB89" w14:textId="77777777" w:rsidTr="004904C7">
        <w:trPr>
          <w:cantSplit/>
        </w:trPr>
        <w:tc>
          <w:tcPr>
            <w:tcW w:w="2126" w:type="dxa"/>
          </w:tcPr>
          <w:p w14:paraId="4C4181D4" w14:textId="77777777" w:rsidR="00B51037" w:rsidRPr="002A1292" w:rsidRDefault="00563171" w:rsidP="004904C7">
            <w:pPr>
              <w:pStyle w:val="02Tabletext"/>
            </w:pPr>
            <w:r>
              <w:t>New item</w:t>
            </w:r>
          </w:p>
        </w:tc>
        <w:tc>
          <w:tcPr>
            <w:tcW w:w="3118" w:type="dxa"/>
          </w:tcPr>
          <w:p w14:paraId="081E8F91" w14:textId="77777777" w:rsidR="00B51037" w:rsidRPr="002A1292" w:rsidRDefault="00AC49F7" w:rsidP="00C702A9">
            <w:pPr>
              <w:pStyle w:val="02Tabletext"/>
            </w:pPr>
            <w:r>
              <w:t xml:space="preserve">Warfarin prevents inappropriate blood clotting. </w:t>
            </w:r>
            <w:r w:rsidR="00563171">
              <w:t>This item w</w:t>
            </w:r>
            <w:r w:rsidR="00E71499">
              <w:t>ould provide</w:t>
            </w:r>
            <w:r w:rsidR="00563171">
              <w:t xml:space="preserve"> funding for </w:t>
            </w:r>
            <w:r w:rsidR="00E71499">
              <w:t>p</w:t>
            </w:r>
            <w:r w:rsidR="00563171">
              <w:t>athology laboratory warfarin programs that manage warfarin monitoring and dosing for individual patients.</w:t>
            </w:r>
          </w:p>
        </w:tc>
        <w:tc>
          <w:tcPr>
            <w:tcW w:w="3086" w:type="dxa"/>
          </w:tcPr>
          <w:p w14:paraId="17765038" w14:textId="77777777" w:rsidR="00B51037" w:rsidRPr="002A1292" w:rsidRDefault="00AC49F7" w:rsidP="004904C7">
            <w:pPr>
              <w:pStyle w:val="02Tabletext"/>
            </w:pPr>
            <w:r>
              <w:t xml:space="preserve">The </w:t>
            </w:r>
            <w:r w:rsidR="00E71499">
              <w:t>M</w:t>
            </w:r>
            <w:r>
              <w:t xml:space="preserve">edical </w:t>
            </w:r>
            <w:r w:rsidR="00E71499">
              <w:t>S</w:t>
            </w:r>
            <w:r>
              <w:t xml:space="preserve">ervices </w:t>
            </w:r>
            <w:r w:rsidR="00E71499">
              <w:t>A</w:t>
            </w:r>
            <w:r>
              <w:t xml:space="preserve">dvisory </w:t>
            </w:r>
            <w:r w:rsidR="00E71499">
              <w:t>C</w:t>
            </w:r>
            <w:r>
              <w:t>ommittee (MSAC)</w:t>
            </w:r>
            <w:r w:rsidR="00E71499">
              <w:t xml:space="preserve"> consider Recommendation 12 of the </w:t>
            </w:r>
            <w:r w:rsidR="00E71499" w:rsidRPr="007C4E41">
              <w:rPr>
                <w:i/>
              </w:rPr>
              <w:t>Sansom Review of Anticoagulation Therapies in Atrial Fibrillation</w:t>
            </w:r>
            <w:r w:rsidR="00E71499">
              <w:t xml:space="preserve"> (see section 5.1.3 of the full report for detail).</w:t>
            </w:r>
          </w:p>
        </w:tc>
        <w:tc>
          <w:tcPr>
            <w:tcW w:w="2977" w:type="dxa"/>
          </w:tcPr>
          <w:p w14:paraId="30F04412" w14:textId="77777777" w:rsidR="00B51037" w:rsidRPr="002A1292" w:rsidRDefault="00E71499" w:rsidP="004904C7">
            <w:pPr>
              <w:pStyle w:val="02Tabletext"/>
            </w:pPr>
            <w:r>
              <w:t>Patients on warfarin could have the option of having their warfarin therapy managed through a formal program offered by pathology laboratories</w:t>
            </w:r>
            <w:r w:rsidR="00E46149">
              <w:t xml:space="preserve"> providing this service</w:t>
            </w:r>
            <w:r>
              <w:t>.</w:t>
            </w:r>
            <w:r w:rsidR="00E46149">
              <w:t xml:space="preserve"> </w:t>
            </w:r>
          </w:p>
        </w:tc>
        <w:tc>
          <w:tcPr>
            <w:tcW w:w="3118" w:type="dxa"/>
          </w:tcPr>
          <w:p w14:paraId="0C702435" w14:textId="77777777" w:rsidR="00B51037" w:rsidRPr="002A1292" w:rsidRDefault="00E71499" w:rsidP="004904C7">
            <w:pPr>
              <w:pStyle w:val="02Tabletext"/>
            </w:pPr>
            <w:r>
              <w:t xml:space="preserve">Evidence supports that pathology laboratories can effectively provide these </w:t>
            </w:r>
            <w:proofErr w:type="gramStart"/>
            <w:r>
              <w:t>services</w:t>
            </w:r>
            <w:proofErr w:type="gramEnd"/>
            <w:r>
              <w:t xml:space="preserve"> and this could provide an alternative model to GP managed care for warfarin dosing. </w:t>
            </w:r>
          </w:p>
        </w:tc>
      </w:tr>
    </w:tbl>
    <w:p w14:paraId="6F722F24" w14:textId="77777777" w:rsidR="0013441A" w:rsidRPr="00FC1976" w:rsidRDefault="0013441A" w:rsidP="00984BD0">
      <w:pPr>
        <w:spacing w:before="60"/>
        <w:contextualSpacing/>
        <w:rPr>
          <w:lang w:val="en-AU"/>
        </w:rPr>
        <w:sectPr w:rsidR="0013441A" w:rsidRPr="00FC1976" w:rsidSect="00C54F6B">
          <w:footerReference w:type="default" r:id="rId23"/>
          <w:footnotePr>
            <w:pos w:val="beneathText"/>
            <w:numFmt w:val="lowerRoman"/>
          </w:footnotePr>
          <w:pgSz w:w="16838" w:h="11906" w:orient="landscape" w:code="9"/>
          <w:pgMar w:top="1077" w:right="1440" w:bottom="624" w:left="1276" w:header="720" w:footer="720" w:gutter="0"/>
          <w:paperSrc w:first="2" w:other="2"/>
          <w:cols w:space="720"/>
          <w:docGrid w:linePitch="326"/>
        </w:sectPr>
      </w:pPr>
    </w:p>
    <w:p w14:paraId="0A877942" w14:textId="77777777" w:rsidR="002D0E0A" w:rsidRPr="00FC1976" w:rsidRDefault="00BE1330" w:rsidP="002C0890">
      <w:pPr>
        <w:pStyle w:val="Heading1"/>
        <w:numPr>
          <w:ilvl w:val="0"/>
          <w:numId w:val="0"/>
        </w:numPr>
        <w:ind w:left="432" w:hanging="432"/>
      </w:pPr>
      <w:bookmarkStart w:id="212" w:name="_Toc456045468"/>
      <w:bookmarkStart w:id="213" w:name="_Toc495403432"/>
      <w:r>
        <w:lastRenderedPageBreak/>
        <w:t>Appendix D</w:t>
      </w:r>
      <w:r w:rsidR="00D43FA8">
        <w:t>—</w:t>
      </w:r>
      <w:r w:rsidR="00D10783" w:rsidRPr="00D10783">
        <w:t>Glossary</w:t>
      </w:r>
      <w:bookmarkEnd w:id="212"/>
      <w:bookmarkEnd w:id="213"/>
      <w:r w:rsidR="00871A49">
        <w:t xml:space="preserve"> </w:t>
      </w:r>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Glossary"/>
        <w:tblDescription w:val="Appendix D is a glossary table containing two heading columns: column 1 (Term) and column 2 (Description)."/>
      </w:tblPr>
      <w:tblGrid>
        <w:gridCol w:w="2128"/>
        <w:gridCol w:w="6888"/>
      </w:tblGrid>
      <w:tr w:rsidR="00D10783" w:rsidRPr="00FC1976" w14:paraId="0F02E7A5" w14:textId="77777777" w:rsidTr="00D10783">
        <w:trPr>
          <w:cnfStyle w:val="100000000000" w:firstRow="1" w:lastRow="0" w:firstColumn="0" w:lastColumn="0" w:oddVBand="0" w:evenVBand="0" w:oddHBand="0" w:evenHBand="0" w:firstRowFirstColumn="0" w:firstRowLastColumn="0" w:lastRowFirstColumn="0" w:lastRowLastColumn="0"/>
          <w:tblHeader/>
        </w:trPr>
        <w:tc>
          <w:tcPr>
            <w:tcW w:w="2128" w:type="dxa"/>
            <w:shd w:val="clear" w:color="auto" w:fill="F2F2F2" w:themeFill="background1" w:themeFillShade="F2"/>
            <w:vAlign w:val="bottom"/>
          </w:tcPr>
          <w:p w14:paraId="0A439227" w14:textId="77777777" w:rsidR="00D10783" w:rsidRPr="00FC1976" w:rsidRDefault="00D10783" w:rsidP="00D10783">
            <w:pPr>
              <w:pStyle w:val="01Tableheaderrow"/>
              <w:rPr>
                <w:b/>
                <w:lang w:val="en-AU"/>
              </w:rPr>
            </w:pPr>
            <w:r w:rsidRPr="00FC1976">
              <w:rPr>
                <w:b/>
                <w:lang w:val="en-AU"/>
              </w:rPr>
              <w:t>Term</w:t>
            </w:r>
          </w:p>
        </w:tc>
        <w:tc>
          <w:tcPr>
            <w:tcW w:w="6888" w:type="dxa"/>
            <w:shd w:val="clear" w:color="auto" w:fill="F2F2F2" w:themeFill="background1" w:themeFillShade="F2"/>
            <w:vAlign w:val="bottom"/>
          </w:tcPr>
          <w:p w14:paraId="5D4A85FB" w14:textId="77777777" w:rsidR="00D10783" w:rsidRPr="00FC1976" w:rsidRDefault="00D10783" w:rsidP="00D10783">
            <w:pPr>
              <w:pStyle w:val="01Tableheaderrow"/>
              <w:rPr>
                <w:b/>
                <w:lang w:val="en-AU"/>
              </w:rPr>
            </w:pPr>
            <w:r w:rsidRPr="00FC1976">
              <w:rPr>
                <w:b/>
                <w:lang w:val="en-AU"/>
              </w:rPr>
              <w:t>Description</w:t>
            </w:r>
          </w:p>
        </w:tc>
      </w:tr>
      <w:tr w:rsidR="00D10783" w:rsidRPr="00FC1976" w14:paraId="623E095C" w14:textId="77777777" w:rsidTr="00D10783">
        <w:tc>
          <w:tcPr>
            <w:tcW w:w="2128" w:type="dxa"/>
          </w:tcPr>
          <w:p w14:paraId="7D7D6946" w14:textId="77777777" w:rsidR="00D10783" w:rsidRPr="00FC1976" w:rsidRDefault="00D10783" w:rsidP="00D10783">
            <w:pPr>
              <w:pStyle w:val="02Tabletext"/>
              <w:rPr>
                <w:lang w:val="en-AU"/>
              </w:rPr>
            </w:pPr>
            <w:r w:rsidRPr="00FC1976">
              <w:rPr>
                <w:lang w:val="en-AU"/>
              </w:rPr>
              <w:t>ABS</w:t>
            </w:r>
          </w:p>
        </w:tc>
        <w:tc>
          <w:tcPr>
            <w:tcW w:w="6888" w:type="dxa"/>
          </w:tcPr>
          <w:p w14:paraId="4F3C9572" w14:textId="77777777" w:rsidR="00D10783" w:rsidRPr="00FC1976" w:rsidRDefault="00D10783" w:rsidP="00D10783">
            <w:pPr>
              <w:pStyle w:val="02Tabletext"/>
              <w:rPr>
                <w:lang w:val="en-AU"/>
              </w:rPr>
            </w:pPr>
            <w:r w:rsidRPr="00FC1976">
              <w:rPr>
                <w:lang w:val="en-AU"/>
              </w:rPr>
              <w:t xml:space="preserve">Australian Bureau of Statistics </w:t>
            </w:r>
          </w:p>
        </w:tc>
      </w:tr>
      <w:tr w:rsidR="003217FF" w:rsidRPr="00FC1976" w14:paraId="003C8238" w14:textId="77777777" w:rsidTr="00D10783">
        <w:tc>
          <w:tcPr>
            <w:tcW w:w="2128" w:type="dxa"/>
          </w:tcPr>
          <w:p w14:paraId="00F9EB30" w14:textId="77777777" w:rsidR="003217FF" w:rsidRPr="00FC1976" w:rsidRDefault="003217FF" w:rsidP="00D10783">
            <w:pPr>
              <w:pStyle w:val="02Tabletext"/>
              <w:rPr>
                <w:lang w:val="en-AU"/>
              </w:rPr>
            </w:pPr>
            <w:r>
              <w:rPr>
                <w:lang w:val="en-AU"/>
              </w:rPr>
              <w:t>APCR</w:t>
            </w:r>
          </w:p>
        </w:tc>
        <w:tc>
          <w:tcPr>
            <w:tcW w:w="6888" w:type="dxa"/>
          </w:tcPr>
          <w:p w14:paraId="0EC03EF9" w14:textId="77777777" w:rsidR="003217FF" w:rsidRPr="003217FF" w:rsidRDefault="003217FF" w:rsidP="00D10783">
            <w:pPr>
              <w:pStyle w:val="02Tabletext"/>
              <w:rPr>
                <w:lang w:val="en-AU"/>
              </w:rPr>
            </w:pPr>
            <w:r w:rsidRPr="003217FF">
              <w:rPr>
                <w:iCs/>
              </w:rPr>
              <w:t>Activated protein C</w:t>
            </w:r>
            <w:r>
              <w:rPr>
                <w:iCs/>
              </w:rPr>
              <w:t xml:space="preserve"> resistance – a test used in the investigation of </w:t>
            </w:r>
            <w:r w:rsidRPr="003217FF">
              <w:rPr>
                <w:iCs/>
              </w:rPr>
              <w:t>tendency to venous thromboembolism</w:t>
            </w:r>
          </w:p>
        </w:tc>
      </w:tr>
      <w:tr w:rsidR="00D10783" w:rsidRPr="00FC1976" w14:paraId="529FECFC" w14:textId="77777777" w:rsidTr="00D10783">
        <w:tc>
          <w:tcPr>
            <w:tcW w:w="2128" w:type="dxa"/>
          </w:tcPr>
          <w:p w14:paraId="2C5C6052" w14:textId="77777777" w:rsidR="00D10783" w:rsidRPr="00FC1976" w:rsidRDefault="00D10783" w:rsidP="00D10783">
            <w:pPr>
              <w:pStyle w:val="02Tabletext"/>
              <w:rPr>
                <w:lang w:val="en-AU"/>
              </w:rPr>
            </w:pPr>
            <w:r w:rsidRPr="00FC1976">
              <w:rPr>
                <w:lang w:val="en-AU"/>
              </w:rPr>
              <w:t>CAGR</w:t>
            </w:r>
          </w:p>
        </w:tc>
        <w:tc>
          <w:tcPr>
            <w:tcW w:w="6888" w:type="dxa"/>
          </w:tcPr>
          <w:p w14:paraId="6EE7EDEF" w14:textId="77777777" w:rsidR="00D10783" w:rsidRPr="00FC1976" w:rsidRDefault="00D10783" w:rsidP="00D10783">
            <w:pPr>
              <w:pStyle w:val="02Tabletext"/>
              <w:rPr>
                <w:lang w:val="en-AU"/>
              </w:rPr>
            </w:pPr>
            <w:r w:rsidRPr="00FC1976">
              <w:rPr>
                <w:lang w:val="en-AU"/>
              </w:rPr>
              <w:t xml:space="preserve">Compound </w:t>
            </w:r>
            <w:r>
              <w:rPr>
                <w:lang w:val="en-AU"/>
              </w:rPr>
              <w:t>a</w:t>
            </w:r>
            <w:r w:rsidRPr="00FC1976">
              <w:rPr>
                <w:lang w:val="en-AU"/>
              </w:rPr>
              <w:t xml:space="preserve">nnual </w:t>
            </w:r>
            <w:r>
              <w:rPr>
                <w:lang w:val="en-AU"/>
              </w:rPr>
              <w:t>g</w:t>
            </w:r>
            <w:r w:rsidRPr="00FC1976">
              <w:rPr>
                <w:lang w:val="en-AU"/>
              </w:rPr>
              <w:t xml:space="preserve">rowth </w:t>
            </w:r>
            <w:r>
              <w:rPr>
                <w:lang w:val="en-AU"/>
              </w:rPr>
              <w:t>r</w:t>
            </w:r>
            <w:r w:rsidRPr="00FC1976">
              <w:rPr>
                <w:lang w:val="en-AU"/>
              </w:rPr>
              <w:t xml:space="preserve">ate, or the average annual growth rate over a specified time period. </w:t>
            </w:r>
          </w:p>
        </w:tc>
      </w:tr>
      <w:tr w:rsidR="00A54553" w:rsidRPr="00FC1976" w14:paraId="01974496" w14:textId="77777777" w:rsidTr="00D10783">
        <w:tc>
          <w:tcPr>
            <w:tcW w:w="2128" w:type="dxa"/>
          </w:tcPr>
          <w:p w14:paraId="5C536B38" w14:textId="77777777" w:rsidR="00A54553" w:rsidRPr="00A54553" w:rsidRDefault="00A54553" w:rsidP="00A54553">
            <w:pPr>
              <w:pStyle w:val="02Tabletext"/>
              <w:rPr>
                <w:lang w:val="en-AU"/>
              </w:rPr>
            </w:pPr>
            <w:r w:rsidRPr="00A54553">
              <w:rPr>
                <w:lang w:val="en-AU"/>
              </w:rPr>
              <w:t>Change</w:t>
            </w:r>
          </w:p>
        </w:tc>
        <w:tc>
          <w:tcPr>
            <w:tcW w:w="6888" w:type="dxa"/>
          </w:tcPr>
          <w:p w14:paraId="07451DDC" w14:textId="77777777" w:rsidR="00A54553" w:rsidRPr="00A54553" w:rsidRDefault="00A54553" w:rsidP="00C702A9">
            <w:pPr>
              <w:pStyle w:val="02Tabletext"/>
              <w:rPr>
                <w:lang w:val="en-AU"/>
              </w:rPr>
            </w:pPr>
            <w:r w:rsidRPr="00A54553">
              <w:rPr>
                <w:lang w:val="en-AU"/>
              </w:rPr>
              <w:t>When referring to an item, describes when the item and/or its services will be affected by the recommendations. This could result from a range of recommendations, such as: (</w:t>
            </w:r>
            <w:proofErr w:type="spellStart"/>
            <w:r w:rsidRPr="00A54553">
              <w:rPr>
                <w:lang w:val="en-AU"/>
              </w:rPr>
              <w:t>i</w:t>
            </w:r>
            <w:proofErr w:type="spellEnd"/>
            <w:r w:rsidRPr="00A54553">
              <w:rPr>
                <w:lang w:val="en-AU"/>
              </w:rPr>
              <w:t xml:space="preserve">) specific recommendations that affect the services provided by changing item descriptors or explanatory notes, (ii) the consolidation of item numbers, and (iii) splitting item numbers (e.g. splitting the current services provided across </w:t>
            </w:r>
            <w:r w:rsidR="009D1154">
              <w:rPr>
                <w:lang w:val="en-AU"/>
              </w:rPr>
              <w:t xml:space="preserve">2 </w:t>
            </w:r>
            <w:r w:rsidRPr="00A54553">
              <w:rPr>
                <w:lang w:val="en-AU"/>
              </w:rPr>
              <w:t xml:space="preserve">or more items). </w:t>
            </w:r>
          </w:p>
        </w:tc>
      </w:tr>
      <w:tr w:rsidR="00D10783" w:rsidRPr="00FC1976" w14:paraId="3F86A8E4" w14:textId="77777777" w:rsidTr="00D10783">
        <w:tc>
          <w:tcPr>
            <w:tcW w:w="2128" w:type="dxa"/>
          </w:tcPr>
          <w:p w14:paraId="232EE2CB" w14:textId="77777777" w:rsidR="00D10783" w:rsidRPr="00FC1976" w:rsidRDefault="00772505" w:rsidP="00D10783">
            <w:pPr>
              <w:pStyle w:val="02Tabletext"/>
              <w:rPr>
                <w:lang w:val="en-AU"/>
              </w:rPr>
            </w:pPr>
            <w:r>
              <w:rPr>
                <w:lang w:val="en-AU"/>
              </w:rPr>
              <w:t>Coning, or episode coning</w:t>
            </w:r>
          </w:p>
        </w:tc>
        <w:tc>
          <w:tcPr>
            <w:tcW w:w="6888" w:type="dxa"/>
          </w:tcPr>
          <w:p w14:paraId="58BF5758" w14:textId="77777777" w:rsidR="00D10783" w:rsidRPr="00FC1976" w:rsidRDefault="00772505">
            <w:pPr>
              <w:pStyle w:val="02Tabletext"/>
              <w:rPr>
                <w:lang w:val="en-AU"/>
              </w:rPr>
            </w:pPr>
            <w:r w:rsidRPr="00772505">
              <w:t>Episode coning is an arrangement</w:t>
            </w:r>
            <w:r w:rsidR="00D43FA8">
              <w:t xml:space="preserve"> that </w:t>
            </w:r>
            <w:r w:rsidRPr="00772505">
              <w:t xml:space="preserve">places an upper limit on the number of services in an episode for which Medicare benefits are </w:t>
            </w:r>
            <w:proofErr w:type="gramStart"/>
            <w:r w:rsidRPr="00772505">
              <w:t>payable</w:t>
            </w:r>
            <w:r w:rsidR="00D43FA8">
              <w:t>,</w:t>
            </w:r>
            <w:r w:rsidRPr="00772505">
              <w:t xml:space="preserve"> and</w:t>
            </w:r>
            <w:proofErr w:type="gramEnd"/>
            <w:r w:rsidRPr="00772505">
              <w:t xml:space="preserve"> was introduced to prevent over</w:t>
            </w:r>
            <w:r w:rsidR="00D43FA8">
              <w:t>-</w:t>
            </w:r>
            <w:r w:rsidRPr="00772505">
              <w:t xml:space="preserve">servicing by doctors. Generally, when more than three items are requested in an episode by a </w:t>
            </w:r>
            <w:r w:rsidR="00D43FA8">
              <w:t xml:space="preserve">GP </w:t>
            </w:r>
            <w:r w:rsidRPr="00772505">
              <w:t>for an out-of-hospital service, Medicare only pays for the three most expensive items. Pathology services requested for hospital in-patients, or ordered by specialists, are not subject to these coning arrangements.</w:t>
            </w:r>
          </w:p>
        </w:tc>
      </w:tr>
      <w:tr w:rsidR="00D10783" w:rsidRPr="00FC1976" w14:paraId="0BC909C1" w14:textId="77777777" w:rsidTr="00D10783">
        <w:tc>
          <w:tcPr>
            <w:tcW w:w="2128" w:type="dxa"/>
          </w:tcPr>
          <w:p w14:paraId="2C0A13C9" w14:textId="77777777" w:rsidR="00D10783" w:rsidRPr="00FC1976" w:rsidRDefault="00D10783" w:rsidP="00D10783">
            <w:pPr>
              <w:pStyle w:val="02Tabletext"/>
              <w:rPr>
                <w:lang w:val="en-AU"/>
              </w:rPr>
            </w:pPr>
            <w:r w:rsidRPr="00FC1976">
              <w:rPr>
                <w:lang w:val="en-AU"/>
              </w:rPr>
              <w:t>Department, The</w:t>
            </w:r>
          </w:p>
        </w:tc>
        <w:tc>
          <w:tcPr>
            <w:tcW w:w="6888" w:type="dxa"/>
          </w:tcPr>
          <w:p w14:paraId="19A5E182" w14:textId="77777777" w:rsidR="00D10783" w:rsidRPr="00FC1976" w:rsidRDefault="00D10783" w:rsidP="00D10783">
            <w:pPr>
              <w:pStyle w:val="02Tabletext"/>
              <w:rPr>
                <w:lang w:val="en-AU"/>
              </w:rPr>
            </w:pPr>
            <w:r w:rsidRPr="00FC1976">
              <w:rPr>
                <w:lang w:val="en-AU"/>
              </w:rPr>
              <w:t>Australian Government Department of Health</w:t>
            </w:r>
          </w:p>
        </w:tc>
      </w:tr>
      <w:tr w:rsidR="00A54553" w:rsidRPr="00FC1976" w14:paraId="6924176C" w14:textId="77777777" w:rsidTr="00D10783">
        <w:tc>
          <w:tcPr>
            <w:tcW w:w="2128" w:type="dxa"/>
          </w:tcPr>
          <w:p w14:paraId="3A87D634" w14:textId="77777777" w:rsidR="00A54553" w:rsidRPr="00A54553" w:rsidRDefault="00A54553" w:rsidP="00A54553">
            <w:pPr>
              <w:pStyle w:val="02Tabletext"/>
              <w:rPr>
                <w:lang w:val="en-AU"/>
              </w:rPr>
            </w:pPr>
            <w:r w:rsidRPr="00024291">
              <w:rPr>
                <w:lang w:val="en-AU"/>
              </w:rPr>
              <w:t>Delete</w:t>
            </w:r>
          </w:p>
        </w:tc>
        <w:tc>
          <w:tcPr>
            <w:tcW w:w="6888" w:type="dxa"/>
          </w:tcPr>
          <w:p w14:paraId="08315F5D" w14:textId="77777777" w:rsidR="00A54553" w:rsidRPr="00A54553" w:rsidRDefault="00A54553" w:rsidP="00A54553">
            <w:pPr>
              <w:pStyle w:val="02Tabletext"/>
              <w:rPr>
                <w:lang w:val="en-AU"/>
              </w:rPr>
            </w:pPr>
            <w:r w:rsidRPr="00024291">
              <w:rPr>
                <w:lang w:val="en-AU"/>
              </w:rPr>
              <w:t>Describes when an item is recommended for removal from the MBS and its services will no longer be provided under the MBS.</w:t>
            </w:r>
          </w:p>
        </w:tc>
      </w:tr>
      <w:tr w:rsidR="00EA1104" w:rsidRPr="00FC1976" w14:paraId="41F94AC3" w14:textId="77777777" w:rsidTr="00D10783">
        <w:tc>
          <w:tcPr>
            <w:tcW w:w="2128" w:type="dxa"/>
          </w:tcPr>
          <w:p w14:paraId="28A3839F" w14:textId="77777777" w:rsidR="00EA1104" w:rsidRPr="00024291" w:rsidRDefault="00EA1104" w:rsidP="00A54553">
            <w:pPr>
              <w:pStyle w:val="02Tabletext"/>
              <w:rPr>
                <w:lang w:val="en-AU"/>
              </w:rPr>
            </w:pPr>
            <w:r>
              <w:rPr>
                <w:lang w:val="en-AU"/>
              </w:rPr>
              <w:t>DIC</w:t>
            </w:r>
          </w:p>
        </w:tc>
        <w:tc>
          <w:tcPr>
            <w:tcW w:w="6888" w:type="dxa"/>
          </w:tcPr>
          <w:p w14:paraId="23FD2821" w14:textId="77777777" w:rsidR="00EA1104" w:rsidRPr="00024291" w:rsidRDefault="00EA1104" w:rsidP="00A54553">
            <w:pPr>
              <w:pStyle w:val="02Tabletext"/>
              <w:rPr>
                <w:lang w:val="en-AU"/>
              </w:rPr>
            </w:pPr>
            <w:r w:rsidRPr="00EA1104">
              <w:rPr>
                <w:lang w:val="en-AU"/>
              </w:rPr>
              <w:t>Disseminated intravascular coagulation</w:t>
            </w:r>
          </w:p>
        </w:tc>
      </w:tr>
      <w:tr w:rsidR="003217FF" w:rsidRPr="00FC1976" w14:paraId="62339634" w14:textId="77777777" w:rsidTr="00D10783">
        <w:tc>
          <w:tcPr>
            <w:tcW w:w="2128" w:type="dxa"/>
          </w:tcPr>
          <w:p w14:paraId="13B5ED57" w14:textId="77777777" w:rsidR="003217FF" w:rsidRPr="00024291" w:rsidRDefault="003217FF" w:rsidP="00A54553">
            <w:pPr>
              <w:pStyle w:val="02Tabletext"/>
              <w:rPr>
                <w:lang w:val="en-AU"/>
              </w:rPr>
            </w:pPr>
            <w:r>
              <w:rPr>
                <w:lang w:val="en-AU"/>
              </w:rPr>
              <w:t>DMCC</w:t>
            </w:r>
          </w:p>
        </w:tc>
        <w:tc>
          <w:tcPr>
            <w:tcW w:w="6888" w:type="dxa"/>
          </w:tcPr>
          <w:p w14:paraId="455ED58F" w14:textId="77777777" w:rsidR="003217FF" w:rsidRPr="00024291" w:rsidRDefault="003217FF" w:rsidP="00A54553">
            <w:pPr>
              <w:pStyle w:val="02Tabletext"/>
              <w:rPr>
                <w:lang w:val="en-AU"/>
              </w:rPr>
            </w:pPr>
            <w:r>
              <w:rPr>
                <w:lang w:val="en-AU"/>
              </w:rPr>
              <w:t>Diagnostic Medicine Clinical Committee</w:t>
            </w:r>
          </w:p>
        </w:tc>
      </w:tr>
      <w:tr w:rsidR="003217FF" w:rsidRPr="00FC1976" w14:paraId="019DA557" w14:textId="77777777" w:rsidTr="00D10783">
        <w:tc>
          <w:tcPr>
            <w:tcW w:w="2128" w:type="dxa"/>
          </w:tcPr>
          <w:p w14:paraId="70163F20" w14:textId="77777777" w:rsidR="003217FF" w:rsidRDefault="003217FF" w:rsidP="00A54553">
            <w:pPr>
              <w:pStyle w:val="02Tabletext"/>
              <w:rPr>
                <w:lang w:val="en-AU"/>
              </w:rPr>
            </w:pPr>
            <w:r>
              <w:rPr>
                <w:lang w:val="en-AU"/>
              </w:rPr>
              <w:t>DMARDs</w:t>
            </w:r>
          </w:p>
        </w:tc>
        <w:tc>
          <w:tcPr>
            <w:tcW w:w="6888" w:type="dxa"/>
          </w:tcPr>
          <w:p w14:paraId="2080A098" w14:textId="77777777" w:rsidR="003217FF" w:rsidRDefault="003217FF" w:rsidP="00A54553">
            <w:pPr>
              <w:pStyle w:val="02Tabletext"/>
              <w:rPr>
                <w:lang w:val="en-AU"/>
              </w:rPr>
            </w:pPr>
            <w:r>
              <w:t>D</w:t>
            </w:r>
            <w:r w:rsidRPr="003217FF">
              <w:t>isease-modifying anti-rheumatic drugs</w:t>
            </w:r>
          </w:p>
        </w:tc>
      </w:tr>
      <w:tr w:rsidR="00EA1104" w:rsidRPr="00FC1976" w14:paraId="2C26D95F" w14:textId="77777777" w:rsidTr="00D10783">
        <w:tc>
          <w:tcPr>
            <w:tcW w:w="2128" w:type="dxa"/>
          </w:tcPr>
          <w:p w14:paraId="17DC9DF9" w14:textId="77777777" w:rsidR="00EA1104" w:rsidRDefault="00EA1104" w:rsidP="00A54553">
            <w:pPr>
              <w:pStyle w:val="02Tabletext"/>
              <w:rPr>
                <w:lang w:val="en-AU"/>
              </w:rPr>
            </w:pPr>
            <w:r>
              <w:rPr>
                <w:lang w:val="en-AU"/>
              </w:rPr>
              <w:t>E5M</w:t>
            </w:r>
          </w:p>
        </w:tc>
        <w:tc>
          <w:tcPr>
            <w:tcW w:w="6888" w:type="dxa"/>
          </w:tcPr>
          <w:p w14:paraId="05A5291C" w14:textId="77777777" w:rsidR="00EA1104" w:rsidRDefault="00DD26CA" w:rsidP="00A54553">
            <w:pPr>
              <w:pStyle w:val="02Tabletext"/>
            </w:pPr>
            <w:r w:rsidRPr="00DD26CA">
              <w:t>Eosin-5-maleimide</w:t>
            </w:r>
            <w:r>
              <w:t xml:space="preserve"> </w:t>
            </w:r>
          </w:p>
        </w:tc>
      </w:tr>
      <w:tr w:rsidR="00513C44" w:rsidRPr="00FC1976" w14:paraId="182670A7" w14:textId="77777777" w:rsidTr="00D10783">
        <w:tc>
          <w:tcPr>
            <w:tcW w:w="2128" w:type="dxa"/>
          </w:tcPr>
          <w:p w14:paraId="696DEA90" w14:textId="77777777" w:rsidR="00513C44" w:rsidRPr="00024291" w:rsidRDefault="00513C44" w:rsidP="00A54553">
            <w:pPr>
              <w:pStyle w:val="02Tabletext"/>
              <w:rPr>
                <w:lang w:val="en-AU"/>
              </w:rPr>
            </w:pPr>
            <w:r>
              <w:rPr>
                <w:lang w:val="en-AU"/>
              </w:rPr>
              <w:t>ESR</w:t>
            </w:r>
          </w:p>
        </w:tc>
        <w:tc>
          <w:tcPr>
            <w:tcW w:w="6888" w:type="dxa"/>
          </w:tcPr>
          <w:p w14:paraId="38CC7EBA" w14:textId="77777777" w:rsidR="00513C44" w:rsidRPr="00024291" w:rsidRDefault="00513C44" w:rsidP="00A54553">
            <w:pPr>
              <w:pStyle w:val="02Tabletext"/>
              <w:rPr>
                <w:lang w:val="en-AU"/>
              </w:rPr>
            </w:pPr>
            <w:r>
              <w:rPr>
                <w:lang w:val="en-AU"/>
              </w:rPr>
              <w:t>Erythrocyte sedimentation rate</w:t>
            </w:r>
          </w:p>
        </w:tc>
      </w:tr>
      <w:tr w:rsidR="00D10783" w:rsidRPr="00FC1976" w14:paraId="484908B5" w14:textId="77777777" w:rsidTr="00D10783">
        <w:tc>
          <w:tcPr>
            <w:tcW w:w="2128" w:type="dxa"/>
          </w:tcPr>
          <w:p w14:paraId="15BC6A4C" w14:textId="77777777" w:rsidR="00D10783" w:rsidRPr="00FC1976" w:rsidRDefault="00D10783" w:rsidP="00D10783">
            <w:pPr>
              <w:pStyle w:val="02Tabletext"/>
              <w:rPr>
                <w:lang w:val="en-AU"/>
              </w:rPr>
            </w:pPr>
            <w:r>
              <w:rPr>
                <w:lang w:val="en-AU"/>
              </w:rPr>
              <w:t>FY</w:t>
            </w:r>
          </w:p>
        </w:tc>
        <w:tc>
          <w:tcPr>
            <w:tcW w:w="6888" w:type="dxa"/>
          </w:tcPr>
          <w:p w14:paraId="78469EDA" w14:textId="77777777" w:rsidR="00D10783" w:rsidRPr="00FC1976" w:rsidRDefault="00D10783" w:rsidP="00D10783">
            <w:pPr>
              <w:pStyle w:val="02Tabletext"/>
              <w:rPr>
                <w:lang w:val="en-AU"/>
              </w:rPr>
            </w:pPr>
            <w:r>
              <w:rPr>
                <w:lang w:val="en-AU"/>
              </w:rPr>
              <w:t>Financial year</w:t>
            </w:r>
          </w:p>
        </w:tc>
      </w:tr>
      <w:tr w:rsidR="00D10783" w:rsidRPr="00FC1976" w14:paraId="63F654F6" w14:textId="77777777" w:rsidTr="00D10783">
        <w:tc>
          <w:tcPr>
            <w:tcW w:w="2128" w:type="dxa"/>
          </w:tcPr>
          <w:p w14:paraId="34DFD6CE" w14:textId="77777777" w:rsidR="00D10783" w:rsidRPr="00FC1976" w:rsidRDefault="00D10783" w:rsidP="00D10783">
            <w:pPr>
              <w:pStyle w:val="02Tabletext"/>
              <w:rPr>
                <w:lang w:val="en-AU"/>
              </w:rPr>
            </w:pPr>
            <w:r w:rsidRPr="00FC1976">
              <w:rPr>
                <w:lang w:val="en-AU"/>
              </w:rPr>
              <w:t>GP</w:t>
            </w:r>
          </w:p>
        </w:tc>
        <w:tc>
          <w:tcPr>
            <w:tcW w:w="6888" w:type="dxa"/>
          </w:tcPr>
          <w:p w14:paraId="0A406884" w14:textId="77777777" w:rsidR="00D10783" w:rsidRPr="00FC1976" w:rsidRDefault="00D10783" w:rsidP="00D10783">
            <w:pPr>
              <w:pStyle w:val="02Tabletext"/>
              <w:rPr>
                <w:lang w:val="en-AU"/>
              </w:rPr>
            </w:pPr>
            <w:r w:rsidRPr="00FC1976">
              <w:rPr>
                <w:lang w:val="en-AU"/>
              </w:rPr>
              <w:t>General practitioner</w:t>
            </w:r>
          </w:p>
        </w:tc>
      </w:tr>
      <w:tr w:rsidR="00513C44" w:rsidRPr="00FC1976" w14:paraId="6E15CC45" w14:textId="77777777" w:rsidTr="00513C44">
        <w:tc>
          <w:tcPr>
            <w:tcW w:w="2128" w:type="dxa"/>
            <w:vAlign w:val="center"/>
          </w:tcPr>
          <w:p w14:paraId="7C26465E" w14:textId="77777777" w:rsidR="00513C44" w:rsidRPr="00FC1976" w:rsidRDefault="00513C44" w:rsidP="00513C44">
            <w:pPr>
              <w:pStyle w:val="02Tabletext"/>
              <w:rPr>
                <w:lang w:val="en-AU"/>
              </w:rPr>
            </w:pPr>
            <w:r>
              <w:rPr>
                <w:lang w:val="en-AU"/>
              </w:rPr>
              <w:t>GP</w:t>
            </w:r>
            <w:r w:rsidRPr="00FC1976">
              <w:rPr>
                <w:lang w:val="en-AU"/>
              </w:rPr>
              <w:t>PCCC</w:t>
            </w:r>
          </w:p>
        </w:tc>
        <w:tc>
          <w:tcPr>
            <w:tcW w:w="6888" w:type="dxa"/>
            <w:vAlign w:val="center"/>
          </w:tcPr>
          <w:p w14:paraId="63667EA8" w14:textId="77777777" w:rsidR="00513C44" w:rsidRPr="00FC1976" w:rsidRDefault="00513C44" w:rsidP="00513C44">
            <w:pPr>
              <w:pStyle w:val="02Tabletext"/>
              <w:rPr>
                <w:lang w:val="en-AU"/>
              </w:rPr>
            </w:pPr>
            <w:r>
              <w:rPr>
                <w:lang w:val="en-AU"/>
              </w:rPr>
              <w:t xml:space="preserve">General Practice and </w:t>
            </w:r>
            <w:r w:rsidRPr="00FC1976">
              <w:rPr>
                <w:lang w:val="en-AU"/>
              </w:rPr>
              <w:t>Primary Care Clinical Committee</w:t>
            </w:r>
          </w:p>
        </w:tc>
      </w:tr>
      <w:tr w:rsidR="00513C44" w:rsidRPr="00FC1976" w14:paraId="3A18B213" w14:textId="77777777" w:rsidTr="00D10783">
        <w:tc>
          <w:tcPr>
            <w:tcW w:w="2128" w:type="dxa"/>
          </w:tcPr>
          <w:p w14:paraId="554A59B8" w14:textId="77777777" w:rsidR="00513C44" w:rsidRPr="00FC1976" w:rsidRDefault="00513C44" w:rsidP="00513C44">
            <w:pPr>
              <w:pStyle w:val="02Tabletext"/>
              <w:rPr>
                <w:lang w:val="en-AU"/>
              </w:rPr>
            </w:pPr>
            <w:r w:rsidRPr="00FC1976">
              <w:rPr>
                <w:lang w:val="en-AU"/>
              </w:rPr>
              <w:t>High-value care</w:t>
            </w:r>
          </w:p>
        </w:tc>
        <w:tc>
          <w:tcPr>
            <w:tcW w:w="6888" w:type="dxa"/>
          </w:tcPr>
          <w:p w14:paraId="2060BBFE" w14:textId="77777777" w:rsidR="00513C44" w:rsidRPr="00FC1976" w:rsidRDefault="00513C44" w:rsidP="00513C44">
            <w:pPr>
              <w:pStyle w:val="02Tabletext"/>
              <w:rPr>
                <w:lang w:val="en-AU"/>
              </w:rPr>
            </w:pPr>
            <w:r w:rsidRPr="00FC1976">
              <w:rPr>
                <w:lang w:val="en-AU"/>
              </w:rPr>
              <w:t>Services of proven efficacy reflecting current best medical practice, or for which the potential benefit to consumers exceeds the risk and costs.</w:t>
            </w:r>
          </w:p>
        </w:tc>
      </w:tr>
      <w:tr w:rsidR="00DD26CA" w:rsidRPr="00FC1976" w14:paraId="7ADFE786" w14:textId="77777777" w:rsidTr="00D10783">
        <w:tc>
          <w:tcPr>
            <w:tcW w:w="2128" w:type="dxa"/>
          </w:tcPr>
          <w:p w14:paraId="60746296" w14:textId="77777777" w:rsidR="00DD26CA" w:rsidRPr="00FC1976" w:rsidRDefault="00DD26CA" w:rsidP="00513C44">
            <w:pPr>
              <w:pStyle w:val="02Tabletext"/>
              <w:rPr>
                <w:lang w:val="en-AU"/>
              </w:rPr>
            </w:pPr>
            <w:r>
              <w:rPr>
                <w:lang w:val="en-AU"/>
              </w:rPr>
              <w:t>HS</w:t>
            </w:r>
          </w:p>
        </w:tc>
        <w:tc>
          <w:tcPr>
            <w:tcW w:w="6888" w:type="dxa"/>
          </w:tcPr>
          <w:p w14:paraId="6BF6EC9B" w14:textId="77777777" w:rsidR="00DD26CA" w:rsidRPr="00FC1976" w:rsidRDefault="00DD26CA" w:rsidP="00513C44">
            <w:pPr>
              <w:pStyle w:val="02Tabletext"/>
              <w:rPr>
                <w:lang w:val="en-AU"/>
              </w:rPr>
            </w:pPr>
            <w:r>
              <w:t xml:space="preserve">hereditary spherocytosis </w:t>
            </w:r>
          </w:p>
        </w:tc>
      </w:tr>
      <w:tr w:rsidR="00513C44" w:rsidRPr="00FC1976" w14:paraId="61C70571" w14:textId="77777777" w:rsidTr="00D10783">
        <w:tc>
          <w:tcPr>
            <w:tcW w:w="2128" w:type="dxa"/>
          </w:tcPr>
          <w:p w14:paraId="7AC1EB33" w14:textId="77777777" w:rsidR="00513C44" w:rsidRPr="00FC1976" w:rsidRDefault="00513C44" w:rsidP="00513C44">
            <w:pPr>
              <w:pStyle w:val="02Tabletext"/>
              <w:rPr>
                <w:lang w:val="en-AU"/>
              </w:rPr>
            </w:pPr>
            <w:r w:rsidRPr="00FC1976">
              <w:rPr>
                <w:lang w:val="en-AU"/>
              </w:rPr>
              <w:t>Inappropriate use / misuse</w:t>
            </w:r>
          </w:p>
        </w:tc>
        <w:tc>
          <w:tcPr>
            <w:tcW w:w="6888" w:type="dxa"/>
          </w:tcPr>
          <w:p w14:paraId="7C68F68A" w14:textId="77777777" w:rsidR="00513C44" w:rsidRPr="00FC1976" w:rsidRDefault="00513C44" w:rsidP="00513C44">
            <w:pPr>
              <w:pStyle w:val="02Tabletext"/>
              <w:rPr>
                <w:lang w:val="en-AU"/>
              </w:rPr>
            </w:pPr>
            <w:r w:rsidRPr="00FC1976">
              <w:rPr>
                <w:lang w:val="en-AU"/>
              </w:rPr>
              <w:t>The use of MBS services for purposes other than those intended. This includes a range of behaviours</w:t>
            </w:r>
            <w:r>
              <w:rPr>
                <w:lang w:val="en-AU"/>
              </w:rPr>
              <w:t>,</w:t>
            </w:r>
            <w:r w:rsidRPr="00FC1976">
              <w:rPr>
                <w:lang w:val="en-AU"/>
              </w:rPr>
              <w:t xml:space="preserve"> from failing to adhere to </w:t>
            </w:r>
            <w:proofErr w:type="gramStart"/>
            <w:r w:rsidRPr="00FC1976">
              <w:rPr>
                <w:lang w:val="en-AU"/>
              </w:rPr>
              <w:t>particular item</w:t>
            </w:r>
            <w:proofErr w:type="gramEnd"/>
            <w:r w:rsidRPr="00FC1976">
              <w:rPr>
                <w:lang w:val="en-AU"/>
              </w:rPr>
              <w:t xml:space="preserve"> descriptors or rules through to deliberate fraud.</w:t>
            </w:r>
          </w:p>
        </w:tc>
      </w:tr>
      <w:tr w:rsidR="003217FF" w:rsidRPr="00FC1976" w14:paraId="326F4084" w14:textId="77777777" w:rsidTr="00D10783">
        <w:tc>
          <w:tcPr>
            <w:tcW w:w="2128" w:type="dxa"/>
          </w:tcPr>
          <w:p w14:paraId="2B289CE3" w14:textId="77777777" w:rsidR="003217FF" w:rsidRPr="00FC1976" w:rsidRDefault="003217FF" w:rsidP="00513C44">
            <w:pPr>
              <w:pStyle w:val="02Tabletext"/>
              <w:rPr>
                <w:lang w:val="en-AU"/>
              </w:rPr>
            </w:pPr>
            <w:r>
              <w:rPr>
                <w:lang w:val="en-AU"/>
              </w:rPr>
              <w:t>INR</w:t>
            </w:r>
          </w:p>
        </w:tc>
        <w:tc>
          <w:tcPr>
            <w:tcW w:w="6888" w:type="dxa"/>
          </w:tcPr>
          <w:p w14:paraId="50178C54" w14:textId="77777777" w:rsidR="003217FF" w:rsidRPr="00FC1976" w:rsidRDefault="003217FF" w:rsidP="00513C44">
            <w:pPr>
              <w:pStyle w:val="02Tabletext"/>
              <w:rPr>
                <w:lang w:val="en-AU"/>
              </w:rPr>
            </w:pPr>
            <w:r>
              <w:rPr>
                <w:lang w:val="en-AU"/>
              </w:rPr>
              <w:t xml:space="preserve">International normalised ratio – a </w:t>
            </w:r>
            <w:r w:rsidR="00CC431F">
              <w:rPr>
                <w:lang w:val="en-AU"/>
              </w:rPr>
              <w:t xml:space="preserve">test used in </w:t>
            </w:r>
            <w:r w:rsidR="00CC431F" w:rsidRPr="003217FF">
              <w:t>monitoring</w:t>
            </w:r>
            <w:r w:rsidRPr="003217FF">
              <w:t xml:space="preserve"> warfarin therapy and part of broader testing of anticoagulation.</w:t>
            </w:r>
          </w:p>
        </w:tc>
      </w:tr>
      <w:tr w:rsidR="00CC431F" w:rsidRPr="00FC1976" w14:paraId="6FE8516A" w14:textId="77777777" w:rsidTr="00D10783">
        <w:tc>
          <w:tcPr>
            <w:tcW w:w="2128" w:type="dxa"/>
          </w:tcPr>
          <w:p w14:paraId="710AE529" w14:textId="77777777" w:rsidR="00CC431F" w:rsidRDefault="00CC431F" w:rsidP="00513C44">
            <w:pPr>
              <w:pStyle w:val="02Tabletext"/>
              <w:rPr>
                <w:lang w:val="en-AU"/>
              </w:rPr>
            </w:pPr>
            <w:r>
              <w:rPr>
                <w:lang w:val="en-AU"/>
              </w:rPr>
              <w:t xml:space="preserve">IVIg </w:t>
            </w:r>
          </w:p>
        </w:tc>
        <w:tc>
          <w:tcPr>
            <w:tcW w:w="6888" w:type="dxa"/>
          </w:tcPr>
          <w:p w14:paraId="4A065499" w14:textId="77777777" w:rsidR="00CC431F" w:rsidRDefault="00CC431F" w:rsidP="00513C44">
            <w:pPr>
              <w:pStyle w:val="02Tabletext"/>
              <w:rPr>
                <w:lang w:val="en-AU"/>
              </w:rPr>
            </w:pPr>
            <w:r>
              <w:rPr>
                <w:lang w:val="en-AU"/>
              </w:rPr>
              <w:t>Intravenous immunoglobulin</w:t>
            </w:r>
          </w:p>
        </w:tc>
      </w:tr>
      <w:tr w:rsidR="00EA1104" w:rsidRPr="00FC1976" w14:paraId="4285E4AC" w14:textId="77777777" w:rsidTr="00D10783">
        <w:tc>
          <w:tcPr>
            <w:tcW w:w="2128" w:type="dxa"/>
          </w:tcPr>
          <w:p w14:paraId="3E883590" w14:textId="77777777" w:rsidR="00EA1104" w:rsidRPr="00FC1976" w:rsidRDefault="00EA1104" w:rsidP="00513C44">
            <w:pPr>
              <w:pStyle w:val="02Tabletext"/>
              <w:rPr>
                <w:lang w:val="en-AU"/>
              </w:rPr>
            </w:pPr>
            <w:r>
              <w:rPr>
                <w:lang w:val="en-AU"/>
              </w:rPr>
              <w:t>LTA</w:t>
            </w:r>
          </w:p>
        </w:tc>
        <w:tc>
          <w:tcPr>
            <w:tcW w:w="6888" w:type="dxa"/>
          </w:tcPr>
          <w:p w14:paraId="0A7B9814" w14:textId="77777777" w:rsidR="00EA1104" w:rsidRPr="00FC1976" w:rsidRDefault="00EA1104" w:rsidP="00513C44">
            <w:pPr>
              <w:pStyle w:val="02Tabletext"/>
              <w:rPr>
                <w:lang w:val="en-AU"/>
              </w:rPr>
            </w:pPr>
            <w:r>
              <w:rPr>
                <w:lang w:val="en-AU"/>
              </w:rPr>
              <w:t>Light transmission aggregometry</w:t>
            </w:r>
          </w:p>
        </w:tc>
      </w:tr>
      <w:tr w:rsidR="00513C44" w:rsidRPr="00FC1976" w14:paraId="19A3E0E4" w14:textId="77777777" w:rsidTr="00D10783">
        <w:tc>
          <w:tcPr>
            <w:tcW w:w="2128" w:type="dxa"/>
          </w:tcPr>
          <w:p w14:paraId="25A2772C" w14:textId="77777777" w:rsidR="00513C44" w:rsidRPr="00FC1976" w:rsidRDefault="00513C44" w:rsidP="00513C44">
            <w:pPr>
              <w:pStyle w:val="02Tabletext"/>
              <w:rPr>
                <w:lang w:val="en-AU"/>
              </w:rPr>
            </w:pPr>
            <w:r w:rsidRPr="00FC1976">
              <w:rPr>
                <w:lang w:val="en-AU"/>
              </w:rPr>
              <w:t>Low-value care</w:t>
            </w:r>
            <w:r>
              <w:rPr>
                <w:lang w:val="en-AU"/>
              </w:rPr>
              <w:t xml:space="preserve"> </w:t>
            </w:r>
          </w:p>
        </w:tc>
        <w:tc>
          <w:tcPr>
            <w:tcW w:w="6888" w:type="dxa"/>
          </w:tcPr>
          <w:p w14:paraId="64C2A0E8" w14:textId="77777777" w:rsidR="00513C44" w:rsidRPr="00FC1976" w:rsidRDefault="00513C44" w:rsidP="00513C44">
            <w:pPr>
              <w:pStyle w:val="02Tabletext"/>
              <w:rPr>
                <w:lang w:val="en-AU"/>
              </w:rPr>
            </w:pPr>
            <w:r w:rsidRPr="00FC1976">
              <w:rPr>
                <w:lang w:val="en-AU"/>
              </w:rPr>
              <w:t xml:space="preserve">Services </w:t>
            </w:r>
            <w:r>
              <w:rPr>
                <w:lang w:val="en-AU"/>
              </w:rPr>
              <w:t>that</w:t>
            </w:r>
            <w:r w:rsidRPr="00FC1976">
              <w:rPr>
                <w:lang w:val="en-AU"/>
              </w:rPr>
              <w:t xml:space="preserve"> evidence suggests </w:t>
            </w:r>
            <w:proofErr w:type="gramStart"/>
            <w:r w:rsidRPr="00FC1976">
              <w:rPr>
                <w:lang w:val="en-AU"/>
              </w:rPr>
              <w:t>confer</w:t>
            </w:r>
            <w:proofErr w:type="gramEnd"/>
            <w:r w:rsidRPr="00FC1976">
              <w:rPr>
                <w:lang w:val="en-AU"/>
              </w:rPr>
              <w:t xml:space="preserve"> no</w:t>
            </w:r>
            <w:r>
              <w:rPr>
                <w:lang w:val="en-AU"/>
              </w:rPr>
              <w:t>,</w:t>
            </w:r>
            <w:r w:rsidRPr="00FC1976">
              <w:rPr>
                <w:lang w:val="en-AU"/>
              </w:rPr>
              <w:t xml:space="preserve"> or very little</w:t>
            </w:r>
            <w:r>
              <w:rPr>
                <w:lang w:val="en-AU"/>
              </w:rPr>
              <w:t>,</w:t>
            </w:r>
            <w:r w:rsidRPr="00FC1976">
              <w:rPr>
                <w:lang w:val="en-AU"/>
              </w:rPr>
              <w:t xml:space="preserve"> benefit to consumers</w:t>
            </w:r>
            <w:r>
              <w:rPr>
                <w:lang w:val="en-AU"/>
              </w:rPr>
              <w:t>;</w:t>
            </w:r>
            <w:r w:rsidRPr="00FC1976">
              <w:rPr>
                <w:lang w:val="en-AU"/>
              </w:rPr>
              <w:t xml:space="preserve"> or for which the risk of harm exceeds the likely benefit</w:t>
            </w:r>
            <w:r>
              <w:rPr>
                <w:lang w:val="en-AU"/>
              </w:rPr>
              <w:t>;</w:t>
            </w:r>
            <w:r w:rsidRPr="00FC1976">
              <w:rPr>
                <w:lang w:val="en-AU"/>
              </w:rPr>
              <w:t xml:space="preserve"> or, more broadly, </w:t>
            </w:r>
            <w:r>
              <w:rPr>
                <w:lang w:val="en-AU"/>
              </w:rPr>
              <w:t xml:space="preserve">where </w:t>
            </w:r>
            <w:r w:rsidRPr="00FC1976">
              <w:rPr>
                <w:lang w:val="en-AU"/>
              </w:rPr>
              <w:t>the added costs of services do not provide proportional added benefits.</w:t>
            </w:r>
          </w:p>
        </w:tc>
      </w:tr>
      <w:tr w:rsidR="00513C44" w:rsidRPr="00FC1976" w14:paraId="64C6884A" w14:textId="77777777" w:rsidTr="00D10783">
        <w:tc>
          <w:tcPr>
            <w:tcW w:w="2128" w:type="dxa"/>
            <w:vAlign w:val="center"/>
          </w:tcPr>
          <w:p w14:paraId="3EF740ED" w14:textId="77777777" w:rsidR="00513C44" w:rsidRPr="00FC1976" w:rsidRDefault="00513C44" w:rsidP="00513C44">
            <w:pPr>
              <w:pStyle w:val="02Tabletext"/>
              <w:rPr>
                <w:lang w:val="en-AU"/>
              </w:rPr>
            </w:pPr>
            <w:r w:rsidRPr="00FC1976">
              <w:rPr>
                <w:lang w:val="en-AU"/>
              </w:rPr>
              <w:t>MBS</w:t>
            </w:r>
          </w:p>
        </w:tc>
        <w:tc>
          <w:tcPr>
            <w:tcW w:w="6888" w:type="dxa"/>
            <w:vAlign w:val="center"/>
          </w:tcPr>
          <w:p w14:paraId="2E82A37C" w14:textId="77777777" w:rsidR="00513C44" w:rsidRPr="00FC1976" w:rsidRDefault="00513C44" w:rsidP="00513C44">
            <w:pPr>
              <w:pStyle w:val="02Tabletext"/>
              <w:rPr>
                <w:lang w:val="en-AU"/>
              </w:rPr>
            </w:pPr>
            <w:r w:rsidRPr="00FC1976">
              <w:rPr>
                <w:lang w:val="en-AU"/>
              </w:rPr>
              <w:t xml:space="preserve">Medicare Benefits Schedule </w:t>
            </w:r>
          </w:p>
        </w:tc>
      </w:tr>
      <w:tr w:rsidR="00513C44" w:rsidRPr="00FC1976" w14:paraId="470110F1" w14:textId="77777777" w:rsidTr="00D10783">
        <w:tc>
          <w:tcPr>
            <w:tcW w:w="2128" w:type="dxa"/>
          </w:tcPr>
          <w:p w14:paraId="2F675A39" w14:textId="77777777" w:rsidR="00513C44" w:rsidRPr="00FC1976" w:rsidRDefault="00513C44" w:rsidP="00513C44">
            <w:pPr>
              <w:pStyle w:val="02Tabletext"/>
              <w:rPr>
                <w:lang w:val="en-AU"/>
              </w:rPr>
            </w:pPr>
            <w:r w:rsidRPr="00FC1976">
              <w:rPr>
                <w:lang w:val="en-AU"/>
              </w:rPr>
              <w:t>MBS item</w:t>
            </w:r>
          </w:p>
        </w:tc>
        <w:tc>
          <w:tcPr>
            <w:tcW w:w="6888" w:type="dxa"/>
          </w:tcPr>
          <w:p w14:paraId="2AFD004B" w14:textId="77777777" w:rsidR="00513C44" w:rsidRPr="00FC1976" w:rsidRDefault="00513C44" w:rsidP="00513C44">
            <w:pPr>
              <w:pStyle w:val="02Tabletext"/>
              <w:rPr>
                <w:lang w:val="en-AU"/>
              </w:rPr>
            </w:pPr>
            <w:r w:rsidRPr="00FC1976">
              <w:rPr>
                <w:lang w:val="en-AU"/>
              </w:rPr>
              <w:t xml:space="preserve">An administrative object listed in the MBS and used for the purposes of claiming and paying Medicare benefits, </w:t>
            </w:r>
            <w:r>
              <w:rPr>
                <w:lang w:val="en-AU"/>
              </w:rPr>
              <w:t>consisting of</w:t>
            </w:r>
            <w:r w:rsidRPr="00FC1976">
              <w:rPr>
                <w:lang w:val="en-AU"/>
              </w:rPr>
              <w:t xml:space="preserve"> an item number, service descriptor and supporting information, </w:t>
            </w:r>
            <w:r>
              <w:rPr>
                <w:lang w:val="en-AU"/>
              </w:rPr>
              <w:t>s</w:t>
            </w:r>
            <w:r w:rsidRPr="00FC1976">
              <w:rPr>
                <w:lang w:val="en-AU"/>
              </w:rPr>
              <w:t>chedule fee and Medicare benefits.</w:t>
            </w:r>
          </w:p>
        </w:tc>
      </w:tr>
      <w:tr w:rsidR="00513C44" w:rsidRPr="00FC1976" w14:paraId="13EC2E68" w14:textId="77777777" w:rsidTr="00D10783">
        <w:tc>
          <w:tcPr>
            <w:tcW w:w="2128" w:type="dxa"/>
          </w:tcPr>
          <w:p w14:paraId="0EF3C346" w14:textId="77777777" w:rsidR="00513C44" w:rsidRPr="00FC1976" w:rsidRDefault="00513C44" w:rsidP="00513C44">
            <w:pPr>
              <w:pStyle w:val="02Tabletext"/>
              <w:rPr>
                <w:lang w:val="en-AU"/>
              </w:rPr>
            </w:pPr>
            <w:r w:rsidRPr="00FC1976">
              <w:rPr>
                <w:lang w:val="en-AU"/>
              </w:rPr>
              <w:lastRenderedPageBreak/>
              <w:t>MBS service</w:t>
            </w:r>
          </w:p>
        </w:tc>
        <w:tc>
          <w:tcPr>
            <w:tcW w:w="6888" w:type="dxa"/>
          </w:tcPr>
          <w:p w14:paraId="3897001D" w14:textId="77777777" w:rsidR="00513C44" w:rsidRPr="00FC1976" w:rsidRDefault="00513C44" w:rsidP="00513C44">
            <w:pPr>
              <w:pStyle w:val="02Tabletext"/>
              <w:rPr>
                <w:lang w:val="en-AU"/>
              </w:rPr>
            </w:pPr>
            <w:r w:rsidRPr="00FC1976">
              <w:rPr>
                <w:lang w:val="en-AU"/>
              </w:rPr>
              <w:t xml:space="preserve">The actual </w:t>
            </w:r>
            <w:r>
              <w:rPr>
                <w:lang w:val="en-AU"/>
              </w:rPr>
              <w:t xml:space="preserve">medical </w:t>
            </w:r>
            <w:r w:rsidRPr="00FC1976">
              <w:rPr>
                <w:lang w:val="en-AU"/>
              </w:rPr>
              <w:t>consultation, procedure</w:t>
            </w:r>
            <w:r>
              <w:rPr>
                <w:lang w:val="en-AU"/>
              </w:rPr>
              <w:t xml:space="preserve"> or </w:t>
            </w:r>
            <w:r w:rsidRPr="00FC1976">
              <w:rPr>
                <w:lang w:val="en-AU"/>
              </w:rPr>
              <w:t>test to which the relevant MBS item refers.</w:t>
            </w:r>
          </w:p>
        </w:tc>
      </w:tr>
      <w:tr w:rsidR="00513C44" w:rsidRPr="00FC1976" w14:paraId="17789CBB" w14:textId="77777777" w:rsidTr="00D10783">
        <w:tc>
          <w:tcPr>
            <w:tcW w:w="2128" w:type="dxa"/>
          </w:tcPr>
          <w:p w14:paraId="66BD0566" w14:textId="77777777" w:rsidR="00513C44" w:rsidRPr="00A54553" w:rsidRDefault="00513C44" w:rsidP="00513C44">
            <w:pPr>
              <w:pStyle w:val="02Tabletext"/>
              <w:rPr>
                <w:lang w:val="en-AU"/>
              </w:rPr>
            </w:pPr>
            <w:r w:rsidRPr="00CE268D">
              <w:rPr>
                <w:lang w:val="en-AU"/>
              </w:rPr>
              <w:t>Misuse (of MBS item)</w:t>
            </w:r>
          </w:p>
        </w:tc>
        <w:tc>
          <w:tcPr>
            <w:tcW w:w="6888" w:type="dxa"/>
          </w:tcPr>
          <w:p w14:paraId="7C850E0A" w14:textId="77777777" w:rsidR="00513C44" w:rsidRPr="00A54553" w:rsidRDefault="00513C44" w:rsidP="00513C44">
            <w:pPr>
              <w:pStyle w:val="02Tabletext"/>
              <w:rPr>
                <w:lang w:val="en-AU"/>
              </w:rPr>
            </w:pPr>
            <w:r w:rsidRPr="00CE268D">
              <w:rPr>
                <w:lang w:val="en-AU"/>
              </w:rPr>
              <w:t xml:space="preserve">The use of MBS services for purposes other than those intended. This includes a range of behaviours, from failing to adhere to </w:t>
            </w:r>
            <w:proofErr w:type="gramStart"/>
            <w:r w:rsidRPr="00CE268D">
              <w:rPr>
                <w:lang w:val="en-AU"/>
              </w:rPr>
              <w:t>particular item</w:t>
            </w:r>
            <w:proofErr w:type="gramEnd"/>
            <w:r w:rsidRPr="00CE268D">
              <w:rPr>
                <w:lang w:val="en-AU"/>
              </w:rPr>
              <w:t xml:space="preserve"> descriptors or rules through to deliberate fraud.</w:t>
            </w:r>
          </w:p>
        </w:tc>
      </w:tr>
      <w:tr w:rsidR="00513C44" w:rsidRPr="00FC1976" w14:paraId="25AC9554" w14:textId="77777777" w:rsidTr="00D10783">
        <w:tc>
          <w:tcPr>
            <w:tcW w:w="2128" w:type="dxa"/>
          </w:tcPr>
          <w:p w14:paraId="09217898" w14:textId="77777777" w:rsidR="00513C44" w:rsidRPr="00FC1976" w:rsidRDefault="00513C44" w:rsidP="00513C44">
            <w:pPr>
              <w:pStyle w:val="02Tabletext"/>
              <w:rPr>
                <w:lang w:val="en-AU"/>
              </w:rPr>
            </w:pPr>
            <w:r w:rsidRPr="00FC1976">
              <w:rPr>
                <w:lang w:val="en-AU"/>
              </w:rPr>
              <w:t>MSAC</w:t>
            </w:r>
          </w:p>
        </w:tc>
        <w:tc>
          <w:tcPr>
            <w:tcW w:w="6888" w:type="dxa"/>
          </w:tcPr>
          <w:p w14:paraId="641C1DB5" w14:textId="77777777" w:rsidR="00513C44" w:rsidRPr="00FC1976" w:rsidRDefault="00513C44" w:rsidP="00513C44">
            <w:pPr>
              <w:pStyle w:val="02Tabletext"/>
              <w:rPr>
                <w:lang w:val="en-AU"/>
              </w:rPr>
            </w:pPr>
            <w:r w:rsidRPr="00FC1976">
              <w:rPr>
                <w:lang w:val="en-AU"/>
              </w:rPr>
              <w:t>Medical Services Advisory Committee</w:t>
            </w:r>
          </w:p>
        </w:tc>
      </w:tr>
      <w:tr w:rsidR="003217FF" w:rsidRPr="00FC1976" w14:paraId="5460DB42" w14:textId="77777777" w:rsidTr="00D10783">
        <w:tc>
          <w:tcPr>
            <w:tcW w:w="2128" w:type="dxa"/>
          </w:tcPr>
          <w:p w14:paraId="68E9728F" w14:textId="77777777" w:rsidR="003217FF" w:rsidRPr="00FC1976" w:rsidRDefault="003217FF" w:rsidP="00513C44">
            <w:pPr>
              <w:pStyle w:val="02Tabletext"/>
              <w:rPr>
                <w:lang w:val="en-AU"/>
              </w:rPr>
            </w:pPr>
            <w:r>
              <w:rPr>
                <w:lang w:val="en-AU"/>
              </w:rPr>
              <w:t>NBA</w:t>
            </w:r>
          </w:p>
        </w:tc>
        <w:tc>
          <w:tcPr>
            <w:tcW w:w="6888" w:type="dxa"/>
          </w:tcPr>
          <w:p w14:paraId="5EDCB6E2" w14:textId="77777777" w:rsidR="003217FF" w:rsidRPr="00FC1976" w:rsidRDefault="003217FF" w:rsidP="00513C44">
            <w:pPr>
              <w:pStyle w:val="02Tabletext"/>
              <w:rPr>
                <w:lang w:val="en-AU"/>
              </w:rPr>
            </w:pPr>
            <w:r>
              <w:rPr>
                <w:lang w:val="en-AU"/>
              </w:rPr>
              <w:t>National Blood Authority</w:t>
            </w:r>
          </w:p>
        </w:tc>
      </w:tr>
      <w:tr w:rsidR="00513C44" w:rsidRPr="00FC1976" w14:paraId="2F02EFB4" w14:textId="77777777" w:rsidTr="00D10783">
        <w:tc>
          <w:tcPr>
            <w:tcW w:w="2128" w:type="dxa"/>
          </w:tcPr>
          <w:p w14:paraId="22C8670B" w14:textId="77777777" w:rsidR="00513C44" w:rsidRPr="00FC1976" w:rsidRDefault="00513C44" w:rsidP="00513C44">
            <w:pPr>
              <w:pStyle w:val="02Tabletext"/>
              <w:rPr>
                <w:lang w:val="en-AU"/>
              </w:rPr>
            </w:pPr>
            <w:r w:rsidRPr="00B9100C">
              <w:t>New service</w:t>
            </w:r>
          </w:p>
        </w:tc>
        <w:tc>
          <w:tcPr>
            <w:tcW w:w="6888" w:type="dxa"/>
          </w:tcPr>
          <w:p w14:paraId="7D25D255" w14:textId="77777777" w:rsidR="00513C44" w:rsidRPr="00FC1976" w:rsidRDefault="00513C44" w:rsidP="00513C44">
            <w:pPr>
              <w:pStyle w:val="02Tabletext"/>
              <w:rPr>
                <w:lang w:val="en-AU"/>
              </w:rPr>
            </w:pPr>
            <w:r w:rsidRPr="00B9100C">
              <w:rPr>
                <w:color w:val="000000" w:themeColor="text1"/>
              </w:rPr>
              <w:t xml:space="preserve">Describes when </w:t>
            </w:r>
            <w:r>
              <w:rPr>
                <w:color w:val="000000" w:themeColor="text1"/>
              </w:rPr>
              <w:t xml:space="preserve">a </w:t>
            </w:r>
            <w:r w:rsidRPr="00B9100C">
              <w:rPr>
                <w:color w:val="000000" w:themeColor="text1"/>
              </w:rPr>
              <w:t>new service</w:t>
            </w:r>
            <w:r>
              <w:rPr>
                <w:color w:val="000000" w:themeColor="text1"/>
              </w:rPr>
              <w:t xml:space="preserve"> has</w:t>
            </w:r>
            <w:r w:rsidRPr="00B9100C">
              <w:rPr>
                <w:color w:val="000000" w:themeColor="text1"/>
              </w:rPr>
              <w:t xml:space="preserve"> been recommended, with </w:t>
            </w:r>
            <w:r>
              <w:rPr>
                <w:color w:val="000000" w:themeColor="text1"/>
              </w:rPr>
              <w:t>a new item number</w:t>
            </w:r>
            <w:r w:rsidRPr="00B9100C">
              <w:rPr>
                <w:color w:val="000000" w:themeColor="text1"/>
              </w:rPr>
              <w:t xml:space="preserve">. In most circumstances these will need to go through MSAC. It is worth noting that implementation of the recommendation may result in more or fewer item numbers than specifically stated.  </w:t>
            </w:r>
          </w:p>
        </w:tc>
      </w:tr>
      <w:tr w:rsidR="00513C44" w:rsidRPr="00FC1976" w14:paraId="5A5871A3" w14:textId="77777777" w:rsidTr="008F5BCA">
        <w:tc>
          <w:tcPr>
            <w:tcW w:w="2128" w:type="dxa"/>
          </w:tcPr>
          <w:p w14:paraId="1EB2AABA" w14:textId="77777777" w:rsidR="00513C44" w:rsidRPr="00A54553" w:rsidRDefault="00513C44" w:rsidP="00513C44">
            <w:pPr>
              <w:pStyle w:val="02Tabletext"/>
              <w:rPr>
                <w:lang w:val="en-AU"/>
              </w:rPr>
            </w:pPr>
            <w:r w:rsidRPr="00D718B1">
              <w:rPr>
                <w:lang w:val="en-AU"/>
              </w:rPr>
              <w:t xml:space="preserve">No change or unchanged </w:t>
            </w:r>
          </w:p>
        </w:tc>
        <w:tc>
          <w:tcPr>
            <w:tcW w:w="6888" w:type="dxa"/>
          </w:tcPr>
          <w:p w14:paraId="474C6F59" w14:textId="77777777" w:rsidR="00513C44" w:rsidRPr="00A54553" w:rsidRDefault="00513C44" w:rsidP="00513C44">
            <w:pPr>
              <w:pStyle w:val="02Tabletext"/>
              <w:rPr>
                <w:lang w:val="en-AU"/>
              </w:rPr>
            </w:pPr>
            <w:r w:rsidRPr="00D718B1">
              <w:rPr>
                <w:lang w:val="en-AU"/>
              </w:rPr>
              <w:t>Describes when the services provided under these items will not be changed or affected by the recommendations. This does not rule out small changes in item descriptors (e.g. references to other items, which may have changed as a result of the MBS Review or prior reviews).</w:t>
            </w:r>
          </w:p>
        </w:tc>
      </w:tr>
      <w:tr w:rsidR="00513C44" w:rsidRPr="00FC1976" w14:paraId="69E4DC03" w14:textId="77777777" w:rsidTr="00D10783">
        <w:tc>
          <w:tcPr>
            <w:tcW w:w="2128" w:type="dxa"/>
          </w:tcPr>
          <w:p w14:paraId="0E0C5EEC" w14:textId="77777777" w:rsidR="00513C44" w:rsidRPr="00FC1976" w:rsidRDefault="00513C44" w:rsidP="00513C44">
            <w:pPr>
              <w:pStyle w:val="02Tabletext"/>
              <w:rPr>
                <w:lang w:val="en-AU"/>
              </w:rPr>
            </w:pPr>
            <w:r w:rsidRPr="00FC1976">
              <w:rPr>
                <w:lang w:val="en-AU"/>
              </w:rPr>
              <w:t>Obsolete services</w:t>
            </w:r>
            <w:r>
              <w:rPr>
                <w:lang w:val="en-AU"/>
              </w:rPr>
              <w:t>/items</w:t>
            </w:r>
          </w:p>
        </w:tc>
        <w:tc>
          <w:tcPr>
            <w:tcW w:w="6888" w:type="dxa"/>
          </w:tcPr>
          <w:p w14:paraId="0BA23C02" w14:textId="77777777" w:rsidR="00513C44" w:rsidRPr="00FC1976" w:rsidRDefault="00513C44" w:rsidP="00513C44">
            <w:pPr>
              <w:pStyle w:val="02Tabletext"/>
              <w:rPr>
                <w:lang w:val="en-AU"/>
              </w:rPr>
            </w:pPr>
            <w:r w:rsidRPr="00FC1976">
              <w:rPr>
                <w:lang w:val="en-AU"/>
              </w:rPr>
              <w:t xml:space="preserve">Services that should no longer be </w:t>
            </w:r>
            <w:r>
              <w:rPr>
                <w:lang w:val="en-AU"/>
              </w:rPr>
              <w:t>provided,</w:t>
            </w:r>
            <w:r w:rsidRPr="00FC1976">
              <w:rPr>
                <w:lang w:val="en-AU"/>
              </w:rPr>
              <w:t xml:space="preserve"> as they do not represent current clinical best practice and have been superseded by superior tests or procedures.</w:t>
            </w:r>
          </w:p>
        </w:tc>
      </w:tr>
      <w:tr w:rsidR="00CC431F" w:rsidRPr="00FC1976" w14:paraId="1DEFF367" w14:textId="77777777" w:rsidTr="00D10783">
        <w:tc>
          <w:tcPr>
            <w:tcW w:w="2128" w:type="dxa"/>
          </w:tcPr>
          <w:p w14:paraId="0BD93D47" w14:textId="77777777" w:rsidR="00CC431F" w:rsidRPr="00FC1976" w:rsidRDefault="00CC431F" w:rsidP="00513C44">
            <w:pPr>
              <w:pStyle w:val="02Tabletext"/>
              <w:rPr>
                <w:lang w:val="en-AU"/>
              </w:rPr>
            </w:pPr>
            <w:r>
              <w:rPr>
                <w:lang w:val="en-AU"/>
              </w:rPr>
              <w:t>PBAC</w:t>
            </w:r>
          </w:p>
        </w:tc>
        <w:tc>
          <w:tcPr>
            <w:tcW w:w="6888" w:type="dxa"/>
          </w:tcPr>
          <w:p w14:paraId="28108CA2" w14:textId="77777777" w:rsidR="00CC431F" w:rsidRPr="00FC1976" w:rsidRDefault="00CC431F" w:rsidP="00513C44">
            <w:pPr>
              <w:pStyle w:val="02Tabletext"/>
              <w:rPr>
                <w:lang w:val="en-AU"/>
              </w:rPr>
            </w:pPr>
            <w:r>
              <w:rPr>
                <w:lang w:val="en-AU"/>
              </w:rPr>
              <w:t>Pharmaceutical Benefits Advisory Committee</w:t>
            </w:r>
          </w:p>
        </w:tc>
      </w:tr>
      <w:tr w:rsidR="00513C44" w:rsidRPr="00FC1976" w14:paraId="623399EA" w14:textId="77777777" w:rsidTr="00D10783">
        <w:tc>
          <w:tcPr>
            <w:tcW w:w="2128" w:type="dxa"/>
          </w:tcPr>
          <w:p w14:paraId="19597403" w14:textId="77777777" w:rsidR="00513C44" w:rsidRPr="00FC1976" w:rsidRDefault="00513C44" w:rsidP="00513C44">
            <w:pPr>
              <w:pStyle w:val="02Tabletext"/>
              <w:rPr>
                <w:lang w:val="en-AU"/>
              </w:rPr>
            </w:pPr>
            <w:r w:rsidRPr="00FC1976">
              <w:rPr>
                <w:lang w:val="en-AU"/>
              </w:rPr>
              <w:t>PBS</w:t>
            </w:r>
          </w:p>
        </w:tc>
        <w:tc>
          <w:tcPr>
            <w:tcW w:w="6888" w:type="dxa"/>
          </w:tcPr>
          <w:p w14:paraId="17C45668" w14:textId="77777777" w:rsidR="00513C44" w:rsidRPr="00FC1976" w:rsidRDefault="00513C44" w:rsidP="00513C44">
            <w:pPr>
              <w:pStyle w:val="02Tabletext"/>
              <w:rPr>
                <w:lang w:val="en-AU"/>
              </w:rPr>
            </w:pPr>
            <w:r w:rsidRPr="00FC1976">
              <w:rPr>
                <w:lang w:val="en-AU"/>
              </w:rPr>
              <w:t>Pharmaceutical Benefits Scheme</w:t>
            </w:r>
          </w:p>
        </w:tc>
      </w:tr>
      <w:tr w:rsidR="00EA1104" w:rsidRPr="00FC1976" w14:paraId="4B7A7287" w14:textId="77777777" w:rsidTr="00D10783">
        <w:tc>
          <w:tcPr>
            <w:tcW w:w="2128" w:type="dxa"/>
          </w:tcPr>
          <w:p w14:paraId="70A48072" w14:textId="77777777" w:rsidR="00EA1104" w:rsidRPr="00FC1976" w:rsidRDefault="00EA1104" w:rsidP="00513C44">
            <w:pPr>
              <w:pStyle w:val="02Tabletext"/>
              <w:rPr>
                <w:lang w:val="en-AU"/>
              </w:rPr>
            </w:pPr>
            <w:r>
              <w:rPr>
                <w:lang w:val="en-AU"/>
              </w:rPr>
              <w:t>PE</w:t>
            </w:r>
          </w:p>
        </w:tc>
        <w:tc>
          <w:tcPr>
            <w:tcW w:w="6888" w:type="dxa"/>
          </w:tcPr>
          <w:p w14:paraId="71E07877" w14:textId="77777777" w:rsidR="00EA1104" w:rsidRPr="00FC1976" w:rsidRDefault="00EA1104" w:rsidP="00513C44">
            <w:pPr>
              <w:pStyle w:val="02Tabletext"/>
              <w:rPr>
                <w:lang w:val="en-AU"/>
              </w:rPr>
            </w:pPr>
            <w:r>
              <w:rPr>
                <w:lang w:val="en-AU"/>
              </w:rPr>
              <w:t>Pulmonary embolism</w:t>
            </w:r>
          </w:p>
        </w:tc>
      </w:tr>
      <w:tr w:rsidR="00EA1104" w:rsidRPr="00FC1976" w14:paraId="2A18CE73" w14:textId="77777777" w:rsidTr="00D10783">
        <w:tc>
          <w:tcPr>
            <w:tcW w:w="2128" w:type="dxa"/>
          </w:tcPr>
          <w:p w14:paraId="33888447" w14:textId="77777777" w:rsidR="00EA1104" w:rsidRDefault="00EA1104" w:rsidP="00513C44">
            <w:pPr>
              <w:pStyle w:val="02Tabletext"/>
              <w:rPr>
                <w:lang w:val="en-AU"/>
              </w:rPr>
            </w:pPr>
            <w:proofErr w:type="spellStart"/>
            <w:r>
              <w:rPr>
                <w:lang w:val="en-AU"/>
              </w:rPr>
              <w:t>PoCT</w:t>
            </w:r>
            <w:proofErr w:type="spellEnd"/>
          </w:p>
        </w:tc>
        <w:tc>
          <w:tcPr>
            <w:tcW w:w="6888" w:type="dxa"/>
          </w:tcPr>
          <w:p w14:paraId="17476C77" w14:textId="77777777" w:rsidR="00EA1104" w:rsidRDefault="00EA1104" w:rsidP="00513C44">
            <w:pPr>
              <w:pStyle w:val="02Tabletext"/>
              <w:rPr>
                <w:lang w:val="en-AU"/>
              </w:rPr>
            </w:pPr>
            <w:r>
              <w:rPr>
                <w:lang w:val="en-AU"/>
              </w:rPr>
              <w:t>Point of care testing</w:t>
            </w:r>
          </w:p>
        </w:tc>
      </w:tr>
      <w:tr w:rsidR="00513C44" w:rsidRPr="00FC1976" w14:paraId="4C46357F" w14:textId="77777777" w:rsidTr="00D10783">
        <w:tc>
          <w:tcPr>
            <w:tcW w:w="2128" w:type="dxa"/>
            <w:vAlign w:val="center"/>
          </w:tcPr>
          <w:p w14:paraId="14B4D49E" w14:textId="77777777" w:rsidR="00513C44" w:rsidRPr="00FC1976" w:rsidRDefault="00CC431F" w:rsidP="00513C44">
            <w:pPr>
              <w:pStyle w:val="02Tabletext"/>
              <w:rPr>
                <w:lang w:val="en-AU"/>
              </w:rPr>
            </w:pPr>
            <w:r>
              <w:rPr>
                <w:lang w:val="en-AU"/>
              </w:rPr>
              <w:t>RANZCR</w:t>
            </w:r>
          </w:p>
        </w:tc>
        <w:tc>
          <w:tcPr>
            <w:tcW w:w="6888" w:type="dxa"/>
            <w:vAlign w:val="center"/>
          </w:tcPr>
          <w:p w14:paraId="784D65C5" w14:textId="77777777" w:rsidR="00513C44" w:rsidRPr="00FC1976" w:rsidRDefault="00CC431F" w:rsidP="00513C44">
            <w:pPr>
              <w:pStyle w:val="02Tabletext"/>
              <w:rPr>
                <w:lang w:val="en-AU"/>
              </w:rPr>
            </w:pPr>
            <w:r>
              <w:rPr>
                <w:lang w:val="en-AU"/>
              </w:rPr>
              <w:t>Royal Australian and New Zealand College of Radiologists</w:t>
            </w:r>
          </w:p>
        </w:tc>
      </w:tr>
      <w:tr w:rsidR="00513C44" w:rsidRPr="00FC1976" w14:paraId="3330B5C9" w14:textId="77777777" w:rsidTr="00D10783">
        <w:tc>
          <w:tcPr>
            <w:tcW w:w="2128" w:type="dxa"/>
            <w:vAlign w:val="center"/>
          </w:tcPr>
          <w:p w14:paraId="3C7F1796" w14:textId="77777777" w:rsidR="00513C44" w:rsidRPr="00FC1976" w:rsidRDefault="00513C44" w:rsidP="00513C44">
            <w:pPr>
              <w:pStyle w:val="02Tabletext"/>
              <w:rPr>
                <w:lang w:val="en-AU"/>
              </w:rPr>
            </w:pPr>
            <w:r>
              <w:rPr>
                <w:lang w:val="en-AU"/>
              </w:rPr>
              <w:t>RCPA</w:t>
            </w:r>
          </w:p>
        </w:tc>
        <w:tc>
          <w:tcPr>
            <w:tcW w:w="6888" w:type="dxa"/>
            <w:vAlign w:val="center"/>
          </w:tcPr>
          <w:p w14:paraId="72B8B626" w14:textId="77777777" w:rsidR="00513C44" w:rsidRPr="00FC1976" w:rsidRDefault="00513C44" w:rsidP="00513C44">
            <w:pPr>
              <w:pStyle w:val="02Tabletext"/>
              <w:rPr>
                <w:lang w:val="en-AU"/>
              </w:rPr>
            </w:pPr>
            <w:r>
              <w:rPr>
                <w:lang w:val="en-AU"/>
              </w:rPr>
              <w:t>The Royal College of Pathologists of Australia</w:t>
            </w:r>
          </w:p>
        </w:tc>
      </w:tr>
      <w:tr w:rsidR="00CC431F" w:rsidRPr="00FC1976" w14:paraId="6E399E8F" w14:textId="77777777" w:rsidTr="00D10783">
        <w:tc>
          <w:tcPr>
            <w:tcW w:w="2128" w:type="dxa"/>
            <w:vAlign w:val="center"/>
          </w:tcPr>
          <w:p w14:paraId="6EBA9BBC" w14:textId="77777777" w:rsidR="00CC431F" w:rsidRDefault="00CC431F" w:rsidP="00513C44">
            <w:pPr>
              <w:pStyle w:val="02Tabletext"/>
              <w:rPr>
                <w:lang w:val="en-AU"/>
              </w:rPr>
            </w:pPr>
            <w:r>
              <w:rPr>
                <w:lang w:val="en-AU"/>
              </w:rPr>
              <w:t>SCIg</w:t>
            </w:r>
          </w:p>
        </w:tc>
        <w:tc>
          <w:tcPr>
            <w:tcW w:w="6888" w:type="dxa"/>
            <w:vAlign w:val="center"/>
          </w:tcPr>
          <w:p w14:paraId="07F57296" w14:textId="77777777" w:rsidR="00CC431F" w:rsidRDefault="00CC431F" w:rsidP="00513C44">
            <w:pPr>
              <w:pStyle w:val="02Tabletext"/>
              <w:rPr>
                <w:lang w:val="en-AU"/>
              </w:rPr>
            </w:pPr>
            <w:r>
              <w:rPr>
                <w:lang w:val="en-AU"/>
              </w:rPr>
              <w:t>Subcutaneous immunoglobulin</w:t>
            </w:r>
          </w:p>
        </w:tc>
      </w:tr>
      <w:tr w:rsidR="00513C44" w:rsidRPr="00FC1976" w14:paraId="7FB04506" w14:textId="77777777" w:rsidTr="00D10783">
        <w:tc>
          <w:tcPr>
            <w:tcW w:w="2128" w:type="dxa"/>
          </w:tcPr>
          <w:p w14:paraId="3384CB63" w14:textId="77777777" w:rsidR="00513C44" w:rsidRPr="00FC1976" w:rsidRDefault="00513C44" w:rsidP="00513C44">
            <w:pPr>
              <w:pStyle w:val="02Tabletext"/>
              <w:rPr>
                <w:lang w:val="en-AU"/>
              </w:rPr>
            </w:pPr>
            <w:r w:rsidRPr="00FC1976">
              <w:rPr>
                <w:lang w:val="en-AU"/>
              </w:rPr>
              <w:t>Services average annual growth</w:t>
            </w:r>
          </w:p>
        </w:tc>
        <w:tc>
          <w:tcPr>
            <w:tcW w:w="6888" w:type="dxa"/>
          </w:tcPr>
          <w:p w14:paraId="087B5D20" w14:textId="77777777" w:rsidR="00513C44" w:rsidRPr="00FC1976" w:rsidRDefault="00513C44" w:rsidP="00513C44">
            <w:pPr>
              <w:pStyle w:val="02Tabletext"/>
              <w:rPr>
                <w:lang w:val="en-AU"/>
              </w:rPr>
            </w:pPr>
            <w:r w:rsidRPr="00FC1976">
              <w:rPr>
                <w:lang w:val="en-AU"/>
              </w:rPr>
              <w:t xml:space="preserve">The average growth per year, over </w:t>
            </w:r>
            <w:r>
              <w:rPr>
                <w:lang w:val="en-AU"/>
              </w:rPr>
              <w:t>5</w:t>
            </w:r>
            <w:r w:rsidRPr="00FC1976">
              <w:rPr>
                <w:lang w:val="en-AU"/>
              </w:rPr>
              <w:t xml:space="preserve"> years to </w:t>
            </w:r>
            <w:r>
              <w:rPr>
                <w:lang w:val="en-AU"/>
              </w:rPr>
              <w:t xml:space="preserve">FY </w:t>
            </w:r>
            <w:r w:rsidRPr="00FC1976">
              <w:rPr>
                <w:lang w:val="en-AU"/>
              </w:rPr>
              <w:t>2014</w:t>
            </w:r>
            <w:r>
              <w:rPr>
                <w:lang w:val="en-AU"/>
              </w:rPr>
              <w:t>–</w:t>
            </w:r>
            <w:r w:rsidRPr="00FC1976">
              <w:rPr>
                <w:lang w:val="en-AU"/>
              </w:rPr>
              <w:t xml:space="preserve">15, in utilisation of services. Also known as </w:t>
            </w:r>
            <w:r>
              <w:rPr>
                <w:lang w:val="en-AU"/>
              </w:rPr>
              <w:t xml:space="preserve">the </w:t>
            </w:r>
            <w:r w:rsidRPr="00FC1976">
              <w:rPr>
                <w:lang w:val="en-AU"/>
              </w:rPr>
              <w:t>compound annual growth rate (CAGR).</w:t>
            </w:r>
          </w:p>
        </w:tc>
      </w:tr>
      <w:tr w:rsidR="00513C44" w:rsidRPr="00FC1976" w14:paraId="2B2AFBAB" w14:textId="77777777" w:rsidTr="00D10783">
        <w:tc>
          <w:tcPr>
            <w:tcW w:w="2128" w:type="dxa"/>
          </w:tcPr>
          <w:p w14:paraId="2855046C" w14:textId="77777777" w:rsidR="00513C44" w:rsidRPr="00FC1976" w:rsidRDefault="00513C44" w:rsidP="00513C44">
            <w:pPr>
              <w:pStyle w:val="02Tabletext"/>
              <w:rPr>
                <w:lang w:val="en-AU"/>
              </w:rPr>
            </w:pPr>
            <w:r>
              <w:rPr>
                <w:lang w:val="en-AU"/>
              </w:rPr>
              <w:t>Split items</w:t>
            </w:r>
          </w:p>
        </w:tc>
        <w:tc>
          <w:tcPr>
            <w:tcW w:w="6888" w:type="dxa"/>
          </w:tcPr>
          <w:p w14:paraId="609765D8" w14:textId="77777777" w:rsidR="00513C44" w:rsidRPr="00FC1976" w:rsidRDefault="00513C44" w:rsidP="00513C44">
            <w:pPr>
              <w:pStyle w:val="02Tabletext"/>
              <w:rPr>
                <w:lang w:val="en-AU"/>
              </w:rPr>
            </w:pPr>
            <w:r>
              <w:rPr>
                <w:lang w:val="en-AU"/>
              </w:rPr>
              <w:t>Where an item contains more than 1 test or more than 1 process, a recommendation to split the item means that that part of the test would become a separate item number.</w:t>
            </w:r>
          </w:p>
        </w:tc>
      </w:tr>
      <w:tr w:rsidR="00513C44" w:rsidRPr="00FC1976" w14:paraId="5C6F43D2" w14:textId="77777777" w:rsidTr="00D10783">
        <w:tc>
          <w:tcPr>
            <w:tcW w:w="2128" w:type="dxa"/>
            <w:vAlign w:val="center"/>
          </w:tcPr>
          <w:p w14:paraId="2B058DB0" w14:textId="77777777" w:rsidR="00513C44" w:rsidRPr="00FC1976" w:rsidRDefault="00513C44" w:rsidP="00513C44">
            <w:pPr>
              <w:pStyle w:val="02Tabletext"/>
              <w:rPr>
                <w:lang w:val="en-AU"/>
              </w:rPr>
            </w:pPr>
            <w:r w:rsidRPr="00FC1976">
              <w:rPr>
                <w:lang w:val="en-AU"/>
              </w:rPr>
              <w:t xml:space="preserve">The Committee </w:t>
            </w:r>
          </w:p>
        </w:tc>
        <w:tc>
          <w:tcPr>
            <w:tcW w:w="6888" w:type="dxa"/>
            <w:vAlign w:val="center"/>
          </w:tcPr>
          <w:p w14:paraId="0F19661E" w14:textId="77777777" w:rsidR="00513C44" w:rsidRPr="00FC1976" w:rsidRDefault="00513C44" w:rsidP="00513C44">
            <w:pPr>
              <w:pStyle w:val="02Tabletext"/>
              <w:rPr>
                <w:lang w:val="en-AU"/>
              </w:rPr>
            </w:pPr>
            <w:r w:rsidRPr="00FC1976">
              <w:rPr>
                <w:lang w:val="en-AU"/>
              </w:rPr>
              <w:t xml:space="preserve">The </w:t>
            </w:r>
            <w:r>
              <w:rPr>
                <w:lang w:val="en-AU"/>
              </w:rPr>
              <w:t xml:space="preserve">Pathology </w:t>
            </w:r>
            <w:r w:rsidRPr="00FC1976">
              <w:rPr>
                <w:lang w:val="en-AU"/>
              </w:rPr>
              <w:t xml:space="preserve">Clinical Committee </w:t>
            </w:r>
          </w:p>
        </w:tc>
      </w:tr>
      <w:tr w:rsidR="00513C44" w:rsidRPr="00FC1976" w14:paraId="357AE6CE" w14:textId="77777777" w:rsidTr="00D10783">
        <w:tc>
          <w:tcPr>
            <w:tcW w:w="2128" w:type="dxa"/>
            <w:vAlign w:val="center"/>
          </w:tcPr>
          <w:p w14:paraId="3389AE99" w14:textId="77777777" w:rsidR="00513C44" w:rsidRPr="00FC1976" w:rsidRDefault="00513C44" w:rsidP="00513C44">
            <w:pPr>
              <w:pStyle w:val="02Tabletext"/>
              <w:rPr>
                <w:lang w:val="en-AU"/>
              </w:rPr>
            </w:pPr>
            <w:r w:rsidRPr="00FC1976">
              <w:rPr>
                <w:lang w:val="en-AU"/>
              </w:rPr>
              <w:t xml:space="preserve">The Taskforce </w:t>
            </w:r>
          </w:p>
        </w:tc>
        <w:tc>
          <w:tcPr>
            <w:tcW w:w="6888" w:type="dxa"/>
            <w:vAlign w:val="center"/>
          </w:tcPr>
          <w:p w14:paraId="43FBFF38" w14:textId="77777777" w:rsidR="00513C44" w:rsidRPr="00FC1976" w:rsidRDefault="00513C44" w:rsidP="00513C44">
            <w:pPr>
              <w:pStyle w:val="02Tabletext"/>
              <w:rPr>
                <w:lang w:val="en-AU"/>
              </w:rPr>
            </w:pPr>
            <w:r w:rsidRPr="00FC1976">
              <w:rPr>
                <w:lang w:val="en-AU"/>
              </w:rPr>
              <w:t xml:space="preserve">The MBS Review Taskforce </w:t>
            </w:r>
          </w:p>
        </w:tc>
      </w:tr>
      <w:tr w:rsidR="00513C44" w:rsidRPr="00FC1976" w14:paraId="2698D8BA" w14:textId="77777777" w:rsidTr="00D10783">
        <w:tc>
          <w:tcPr>
            <w:tcW w:w="2128" w:type="dxa"/>
          </w:tcPr>
          <w:p w14:paraId="46F5300C" w14:textId="77777777" w:rsidR="00513C44" w:rsidRPr="00FC1976" w:rsidRDefault="00513C44" w:rsidP="00513C44">
            <w:pPr>
              <w:pStyle w:val="02Tabletext"/>
              <w:rPr>
                <w:lang w:val="en-AU"/>
              </w:rPr>
            </w:pPr>
            <w:r w:rsidRPr="00FC1976">
              <w:rPr>
                <w:lang w:val="en-AU"/>
              </w:rPr>
              <w:t>Total benefits</w:t>
            </w:r>
          </w:p>
        </w:tc>
        <w:tc>
          <w:tcPr>
            <w:tcW w:w="6888" w:type="dxa"/>
          </w:tcPr>
          <w:p w14:paraId="47411393" w14:textId="77777777" w:rsidR="00513C44" w:rsidRPr="00FC1976" w:rsidRDefault="00513C44" w:rsidP="00513C44">
            <w:pPr>
              <w:pStyle w:val="02Tabletext"/>
              <w:rPr>
                <w:lang w:val="en-AU"/>
              </w:rPr>
            </w:pPr>
            <w:r w:rsidRPr="00FC1976">
              <w:rPr>
                <w:lang w:val="en-AU"/>
              </w:rPr>
              <w:t>Total benefits paid in 2014</w:t>
            </w:r>
            <w:r>
              <w:rPr>
                <w:lang w:val="en-AU"/>
              </w:rPr>
              <w:t>–</w:t>
            </w:r>
            <w:r w:rsidRPr="00FC1976">
              <w:rPr>
                <w:lang w:val="en-AU"/>
              </w:rPr>
              <w:t>15 unless otherwise specified.</w:t>
            </w:r>
          </w:p>
        </w:tc>
      </w:tr>
      <w:tr w:rsidR="00CC431F" w:rsidRPr="00FC1976" w14:paraId="3C48816C" w14:textId="77777777" w:rsidTr="00D10783">
        <w:tc>
          <w:tcPr>
            <w:tcW w:w="2128" w:type="dxa"/>
          </w:tcPr>
          <w:p w14:paraId="50BF27BE" w14:textId="77777777" w:rsidR="00CC431F" w:rsidRPr="00FC1976" w:rsidRDefault="00CC431F" w:rsidP="00513C44">
            <w:pPr>
              <w:pStyle w:val="02Tabletext"/>
              <w:rPr>
                <w:lang w:val="en-AU"/>
              </w:rPr>
            </w:pPr>
            <w:r>
              <w:rPr>
                <w:lang w:val="en-AU"/>
              </w:rPr>
              <w:t>VTE</w:t>
            </w:r>
          </w:p>
        </w:tc>
        <w:tc>
          <w:tcPr>
            <w:tcW w:w="6888" w:type="dxa"/>
          </w:tcPr>
          <w:p w14:paraId="50648B80" w14:textId="77777777" w:rsidR="00CC431F" w:rsidRPr="00FC1976" w:rsidRDefault="00CC431F" w:rsidP="00513C44">
            <w:pPr>
              <w:pStyle w:val="02Tabletext"/>
              <w:rPr>
                <w:lang w:val="en-AU"/>
              </w:rPr>
            </w:pPr>
            <w:r>
              <w:rPr>
                <w:lang w:val="en-AU"/>
              </w:rPr>
              <w:t>Venous thromboembolism</w:t>
            </w:r>
          </w:p>
        </w:tc>
      </w:tr>
    </w:tbl>
    <w:p w14:paraId="4499D07E" w14:textId="77777777" w:rsidR="007547A9" w:rsidRDefault="007547A9" w:rsidP="00DB6624">
      <w:pPr>
        <w:tabs>
          <w:tab w:val="left" w:pos="3334"/>
        </w:tabs>
        <w:rPr>
          <w:lang w:val="en-AU" w:eastAsia="en-US"/>
        </w:rPr>
      </w:pPr>
    </w:p>
    <w:sectPr w:rsidR="007547A9" w:rsidSect="00151F01">
      <w:headerReference w:type="even" r:id="rId24"/>
      <w:headerReference w:type="default" r:id="rId25"/>
      <w:footerReference w:type="even" r:id="rId26"/>
      <w:footerReference w:type="default" r:id="rId27"/>
      <w:headerReference w:type="first" r:id="rId28"/>
      <w:footerReference w:type="first" r:id="rId29"/>
      <w:footnotePr>
        <w:pos w:val="beneathText"/>
        <w:numFmt w:val="lowerRoman"/>
      </w:footnotePr>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59E7E" w14:textId="77777777" w:rsidR="009835C7" w:rsidRDefault="009835C7" w:rsidP="00082595">
      <w:r>
        <w:separator/>
      </w:r>
    </w:p>
    <w:p w14:paraId="7C9DF1BB" w14:textId="77777777" w:rsidR="009835C7" w:rsidRDefault="009835C7" w:rsidP="00082595"/>
    <w:p w14:paraId="524F8858" w14:textId="77777777" w:rsidR="009835C7" w:rsidRDefault="009835C7"/>
  </w:endnote>
  <w:endnote w:type="continuationSeparator" w:id="0">
    <w:p w14:paraId="247439F9" w14:textId="77777777" w:rsidR="009835C7" w:rsidRDefault="009835C7" w:rsidP="00082595">
      <w:r>
        <w:continuationSeparator/>
      </w:r>
    </w:p>
    <w:p w14:paraId="19E0BFFB" w14:textId="77777777" w:rsidR="009835C7" w:rsidRDefault="009835C7" w:rsidP="00082595"/>
    <w:p w14:paraId="5E31AE57" w14:textId="77777777" w:rsidR="009835C7" w:rsidRDefault="009835C7"/>
  </w:endnote>
  <w:endnote w:type="continuationNotice" w:id="1">
    <w:p w14:paraId="3F0E0354" w14:textId="77777777" w:rsidR="009835C7" w:rsidRDefault="009835C7" w:rsidP="00082595"/>
    <w:p w14:paraId="17A28782" w14:textId="77777777" w:rsidR="009835C7" w:rsidRDefault="00983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D61C" w14:textId="77777777" w:rsidR="00CD792C" w:rsidRDefault="00CD792C" w:rsidP="00A31669">
    <w:pPr>
      <w:pStyle w:val="Footer"/>
    </w:pPr>
    <w:r w:rsidRPr="008460E3">
      <w:t xml:space="preserve">Report from the </w:t>
    </w:r>
    <w:r>
      <w:t xml:space="preserve">Pathology </w:t>
    </w:r>
    <w:r w:rsidRPr="008460E3">
      <w:t xml:space="preserve">Clinical Committee </w:t>
    </w:r>
    <w:r>
      <w:t>– Haematology, October</w:t>
    </w:r>
    <w:r w:rsidRPr="008460E3">
      <w:t xml:space="preserve"> </w:t>
    </w:r>
    <w:r>
      <w:t>2017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240385"/>
      <w:docPartObj>
        <w:docPartGallery w:val="Page Numbers (Bottom of Page)"/>
        <w:docPartUnique/>
      </w:docPartObj>
    </w:sdtPr>
    <w:sdtEndPr>
      <w:rPr>
        <w:noProof/>
      </w:rPr>
    </w:sdtEndPr>
    <w:sdtContent>
      <w:p w14:paraId="7E9C1BBA" w14:textId="77777777" w:rsidR="00CD792C" w:rsidRDefault="00CD792C" w:rsidP="000B702D">
        <w:pPr>
          <w:pStyle w:val="Footer"/>
        </w:pPr>
        <w:r>
          <w:t xml:space="preserve">Pathology </w:t>
        </w:r>
        <w:r w:rsidRPr="008460E3">
          <w:t xml:space="preserve">Clinical Committee </w:t>
        </w:r>
        <w:r>
          <w:t>– Haematology, October</w:t>
        </w:r>
        <w:r w:rsidRPr="008460E3">
          <w:t xml:space="preserve"> </w:t>
        </w:r>
        <w:r>
          <w:t xml:space="preserve">2017 v1 – Page </w:t>
        </w:r>
        <w:r>
          <w:fldChar w:fldCharType="begin"/>
        </w:r>
        <w:r>
          <w:instrText xml:space="preserve"> PAGE   \* MERGEFORMAT </w:instrText>
        </w:r>
        <w:r>
          <w:fldChar w:fldCharType="separate"/>
        </w:r>
        <w:r w:rsidR="006E1674">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100720"/>
      <w:docPartObj>
        <w:docPartGallery w:val="Page Numbers (Bottom of Page)"/>
        <w:docPartUnique/>
      </w:docPartObj>
    </w:sdtPr>
    <w:sdtEndPr>
      <w:rPr>
        <w:noProof/>
      </w:rPr>
    </w:sdtEndPr>
    <w:sdtContent>
      <w:p w14:paraId="588F28D0" w14:textId="77777777" w:rsidR="00CD792C" w:rsidRDefault="00CD792C" w:rsidP="00A31669">
        <w:pPr>
          <w:pStyle w:val="Footer"/>
        </w:pPr>
        <w:r>
          <w:t xml:space="preserve">Pathology </w:t>
        </w:r>
        <w:r w:rsidRPr="008460E3">
          <w:t xml:space="preserve">Clinical Committee </w:t>
        </w:r>
        <w:r>
          <w:t>– Haematology, October</w:t>
        </w:r>
        <w:r w:rsidRPr="008460E3">
          <w:t xml:space="preserve"> </w:t>
        </w:r>
        <w:r>
          <w:t xml:space="preserve">2017 v1 – Page </w:t>
        </w:r>
        <w:r>
          <w:fldChar w:fldCharType="begin"/>
        </w:r>
        <w:r>
          <w:instrText xml:space="preserve"> PAGE   \* MERGEFORMAT </w:instrText>
        </w:r>
        <w:r>
          <w:fldChar w:fldCharType="separate"/>
        </w:r>
        <w:r w:rsidR="006E1674">
          <w:rPr>
            <w:noProof/>
          </w:rPr>
          <w:t>v</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E1065" w14:textId="77777777" w:rsidR="00CD792C" w:rsidRPr="008460E3" w:rsidRDefault="00CD792C" w:rsidP="00A31669">
    <w:pPr>
      <w:pStyle w:val="Footer"/>
    </w:pPr>
    <w:r>
      <w:t>Pathology</w:t>
    </w:r>
    <w:r w:rsidRPr="008460E3">
      <w:t xml:space="preserve"> Clinical Committee –</w:t>
    </w:r>
    <w:r>
      <w:t xml:space="preserve"> Haematology, October 2017 v1</w:t>
    </w:r>
    <w:r>
      <w:tab/>
      <w:t xml:space="preserve">Page </w:t>
    </w:r>
    <w:r w:rsidRPr="0050434D">
      <w:fldChar w:fldCharType="begin"/>
    </w:r>
    <w:r w:rsidRPr="0050434D">
      <w:instrText xml:space="preserve"> PAGE   \* MERGEFORMAT </w:instrText>
    </w:r>
    <w:r w:rsidRPr="0050434D">
      <w:fldChar w:fldCharType="separate"/>
    </w:r>
    <w:r w:rsidR="00D574EF">
      <w:rPr>
        <w:noProof/>
      </w:rPr>
      <w:t>42</w:t>
    </w:r>
    <w:r w:rsidRPr="0050434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9F5D1" w14:textId="77777777" w:rsidR="00CD792C" w:rsidRPr="008460E3" w:rsidRDefault="00CD792C" w:rsidP="00A31669">
    <w:pPr>
      <w:pStyle w:val="Footer"/>
    </w:pPr>
    <w:r w:rsidRPr="008460E3">
      <w:t xml:space="preserve">Report from </w:t>
    </w:r>
    <w:r>
      <w:t>Pathology</w:t>
    </w:r>
    <w:r w:rsidRPr="005D41CC">
      <w:t xml:space="preserve"> Clinical Committee </w:t>
    </w:r>
    <w:r>
      <w:t>–</w:t>
    </w:r>
    <w:r w:rsidRPr="005D41CC">
      <w:t xml:space="preserve"> </w:t>
    </w:r>
    <w:r>
      <w:t>Haematology, October 2017 v1</w:t>
    </w:r>
    <w:r>
      <w:tab/>
    </w:r>
    <w:r>
      <w:tab/>
    </w:r>
    <w:r>
      <w:tab/>
    </w:r>
    <w:r>
      <w:tab/>
    </w:r>
    <w:r>
      <w:tab/>
    </w:r>
    <w:r>
      <w:tab/>
    </w:r>
    <w:r>
      <w:tab/>
      <w:t xml:space="preserve">         Page </w:t>
    </w:r>
    <w:r w:rsidRPr="0050434D">
      <w:fldChar w:fldCharType="begin"/>
    </w:r>
    <w:r w:rsidRPr="0050434D">
      <w:instrText xml:space="preserve"> PAGE   \* MERGEFORMAT </w:instrText>
    </w:r>
    <w:r w:rsidRPr="0050434D">
      <w:fldChar w:fldCharType="separate"/>
    </w:r>
    <w:r w:rsidR="00D574EF">
      <w:rPr>
        <w:noProof/>
      </w:rPr>
      <w:t>46</w:t>
    </w:r>
    <w:r w:rsidRPr="0050434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5B3C" w14:textId="77777777" w:rsidR="00CD792C" w:rsidRDefault="00CD792C" w:rsidP="00A31669">
    <w:pPr>
      <w:pStyle w:val="Footer"/>
    </w:pPr>
  </w:p>
  <w:p w14:paraId="6D84EFA0" w14:textId="77777777" w:rsidR="00CD792C" w:rsidRDefault="00CD792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57CAD" w14:textId="77777777" w:rsidR="00CD792C" w:rsidRPr="006B6DBF" w:rsidRDefault="00CD792C" w:rsidP="00A31669">
    <w:pPr>
      <w:pStyle w:val="Footer"/>
    </w:pPr>
    <w:r w:rsidRPr="008460E3">
      <w:t xml:space="preserve">Report from </w:t>
    </w:r>
    <w:r>
      <w:t xml:space="preserve">Pathology </w:t>
    </w:r>
    <w:r w:rsidRPr="005D41CC">
      <w:t xml:space="preserve">Clinical Committee </w:t>
    </w:r>
    <w:r>
      <w:t>– Haematology, October 2017</w:t>
    </w:r>
    <w:r w:rsidRPr="00013A45">
      <w:t xml:space="preserve"> </w:t>
    </w:r>
    <w:r>
      <w:t>v1</w:t>
    </w:r>
    <w:r>
      <w:tab/>
      <w:t xml:space="preserve">Page </w:t>
    </w:r>
    <w:r w:rsidRPr="0050434D">
      <w:fldChar w:fldCharType="begin"/>
    </w:r>
    <w:r w:rsidRPr="0050434D">
      <w:instrText xml:space="preserve"> PAGE   \* MERGEFORMAT </w:instrText>
    </w:r>
    <w:r w:rsidRPr="0050434D">
      <w:fldChar w:fldCharType="separate"/>
    </w:r>
    <w:r w:rsidR="00D574EF">
      <w:rPr>
        <w:noProof/>
      </w:rPr>
      <w:t>50</w:t>
    </w:r>
    <w:r w:rsidRPr="0050434D">
      <w:rPr>
        <w:noProof/>
      </w:rPr>
      <w:fldChar w:fldCharType="end"/>
    </w:r>
  </w:p>
  <w:p w14:paraId="045CF6E2" w14:textId="77777777" w:rsidR="00CD792C" w:rsidRDefault="00CD792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777B0" w14:textId="77777777" w:rsidR="00CD792C" w:rsidRDefault="00CD792C" w:rsidP="00A31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CF899" w14:textId="77777777" w:rsidR="009835C7" w:rsidRPr="002025F9" w:rsidRDefault="009835C7" w:rsidP="002025F9">
      <w:pPr>
        <w:pStyle w:val="Footer"/>
      </w:pPr>
    </w:p>
  </w:footnote>
  <w:footnote w:type="continuationSeparator" w:id="0">
    <w:p w14:paraId="2BAA8FDD" w14:textId="77777777" w:rsidR="009835C7" w:rsidRPr="00AC3B4B" w:rsidRDefault="009835C7" w:rsidP="00AC3B4B">
      <w:pPr>
        <w:pStyle w:val="Footer"/>
      </w:pPr>
    </w:p>
  </w:footnote>
  <w:footnote w:type="continuationNotice" w:id="1">
    <w:p w14:paraId="2F438824" w14:textId="77777777" w:rsidR="009835C7" w:rsidRPr="002025F9" w:rsidRDefault="009835C7" w:rsidP="002025F9">
      <w:pPr>
        <w:pStyle w:val="Footer"/>
        <w:pBdr>
          <w:top w:val="single" w:sz="4" w:space="0" w:color="E36C0A" w:themeColor="accent6" w:themeShade="BF"/>
        </w:pBdr>
      </w:pPr>
    </w:p>
  </w:footnote>
  <w:footnote w:id="2">
    <w:p w14:paraId="047157E9" w14:textId="77777777" w:rsidR="00CD792C" w:rsidRPr="005D4B5F" w:rsidRDefault="00CD792C" w:rsidP="005D4B5F">
      <w:pPr>
        <w:pStyle w:val="FootnoteText"/>
        <w:keepLines/>
        <w:contextualSpacing/>
        <w:rPr>
          <w:lang w:val="en-AU"/>
        </w:rPr>
      </w:pPr>
      <w:r>
        <w:rPr>
          <w:rStyle w:val="FootnoteReference"/>
        </w:rPr>
        <w:footnoteRef/>
      </w:r>
      <w:r>
        <w:t xml:space="preserve"> Recommendations that are eventually made for consideration by the Government will not necessarily reflect the final recommendations made to the Taskforce by the Committee after consultation. As stated, the Taskforce will consider these recommendations, and it may alter recommendations to bring items in line with broader changes that are being made. Additionally, the wording or structuring of item descriptors and explanatory notes may be changed to ensure consistency with the language and structure of the MBS. It should also be noted that the recommendations focus on the services provided by the items. Specific item numbers may be altered during implementation of the eventual recommendations proposed by the Minister for Health. For example, where the Committee has requested that services for item A be consolidated under item B, the actual item number for item B may be changed in some circumstances.</w:t>
      </w:r>
    </w:p>
  </w:footnote>
  <w:footnote w:id="3">
    <w:p w14:paraId="0B462CD6" w14:textId="77777777" w:rsidR="00CD792C" w:rsidRPr="005D4B5F" w:rsidRDefault="00CD792C" w:rsidP="005D4B5F">
      <w:pPr>
        <w:pStyle w:val="FootnoteText"/>
        <w:keepLines/>
        <w:contextualSpacing/>
      </w:pPr>
      <w:r>
        <w:rPr>
          <w:rStyle w:val="FootnoteReference"/>
        </w:rPr>
        <w:footnoteRef/>
      </w:r>
      <w:r>
        <w:t xml:space="preserve"> Describes when an item is recommended for removal from the MBS and its services will no longer be provided under the MBS.</w:t>
      </w:r>
    </w:p>
  </w:footnote>
  <w:footnote w:id="4">
    <w:p w14:paraId="1E32C125" w14:textId="77777777" w:rsidR="00CD792C" w:rsidRPr="005D4B5F" w:rsidRDefault="00CD792C" w:rsidP="005D4B5F">
      <w:pPr>
        <w:pStyle w:val="FootnoteText"/>
        <w:keepLines/>
        <w:contextualSpacing/>
        <w:rPr>
          <w:lang w:val="en-AU"/>
        </w:rPr>
      </w:pPr>
      <w:r>
        <w:rPr>
          <w:rStyle w:val="FootnoteReference"/>
        </w:rPr>
        <w:footnoteRef/>
      </w:r>
      <w:r>
        <w:t xml:space="preserve"> Describes when the item and/or its services will be affected by the recommendations. This could result from a range of recommendations, such as: (a) specific recommendations that affect the services provided by changing item descriptors or explanatory notes, (b) the consolidation of item numbers, and (c) splitting item numbers (e.g., splitting the current services provided across two or more items).</w:t>
      </w:r>
    </w:p>
  </w:footnote>
  <w:footnote w:id="5">
    <w:p w14:paraId="1C287326" w14:textId="77777777" w:rsidR="00CD792C" w:rsidRPr="002025F9" w:rsidRDefault="00CD792C">
      <w:pPr>
        <w:pStyle w:val="FootnoteText"/>
        <w:rPr>
          <w:lang w:val="en-AU"/>
        </w:rPr>
      </w:pPr>
      <w:r>
        <w:rPr>
          <w:rStyle w:val="FootnoteReference"/>
        </w:rPr>
        <w:footnoteRef/>
      </w:r>
      <w:r>
        <w:t xml:space="preserve"> </w:t>
      </w:r>
      <w:r>
        <w:rPr>
          <w:lang w:val="en-AU"/>
        </w:rPr>
        <w:t xml:space="preserve">The use of an intervention that evidence suggests confers no benefit or very little benefit on patients; or where the risk of harm exceeds the </w:t>
      </w:r>
      <w:r w:rsidRPr="002025F9">
        <w:rPr>
          <w:lang w:val="en-AU"/>
        </w:rPr>
        <w:t>likely benefit; or, more broadly, where the added costs of the intervention do not provide proportional added benefits.</w:t>
      </w:r>
    </w:p>
  </w:footnote>
  <w:footnote w:id="6">
    <w:p w14:paraId="56D62FF3" w14:textId="77777777" w:rsidR="00CD792C" w:rsidRDefault="00CD792C" w:rsidP="002025F9">
      <w:pPr>
        <w:pStyle w:val="FootnoteText"/>
      </w:pPr>
      <w:r>
        <w:rPr>
          <w:rStyle w:val="FootnoteReference"/>
        </w:rPr>
        <w:footnoteRef/>
      </w:r>
      <w:r>
        <w:t xml:space="preserve"> The use of MBS services for purposes other than those intended. This includes a range of behaviours ranging from failing to adhere to</w:t>
      </w:r>
    </w:p>
    <w:p w14:paraId="71FA717D" w14:textId="77777777" w:rsidR="00CD792C" w:rsidRPr="002025F9" w:rsidRDefault="00CD792C" w:rsidP="002025F9">
      <w:pPr>
        <w:pStyle w:val="FootnoteText"/>
        <w:rPr>
          <w:lang w:val="en-AU"/>
        </w:rPr>
      </w:pPr>
      <w:r>
        <w:t>particular item descriptors or rules through to deliberate fraud.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1B58" w14:textId="77777777" w:rsidR="00CD792C" w:rsidRDefault="00CD792C" w:rsidP="00082595">
    <w:pPr>
      <w:pStyle w:val="Header"/>
    </w:pPr>
  </w:p>
  <w:p w14:paraId="7A30D2E3" w14:textId="77777777" w:rsidR="00CD792C" w:rsidRDefault="00CD79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ED1E" w14:textId="77777777" w:rsidR="00CD792C" w:rsidRDefault="00CD792C" w:rsidP="00082595">
    <w:pPr>
      <w:pStyle w:val="Header"/>
    </w:pPr>
  </w:p>
  <w:p w14:paraId="44964F7F" w14:textId="77777777" w:rsidR="00CD792C" w:rsidRDefault="00CD79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BB240" w14:textId="77777777" w:rsidR="00CD792C" w:rsidRDefault="00CD792C" w:rsidP="0008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7549"/>
    <w:multiLevelType w:val="hybridMultilevel"/>
    <w:tmpl w:val="0C5A4E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92C8B"/>
    <w:multiLevelType w:val="hybridMultilevel"/>
    <w:tmpl w:val="C5A606F0"/>
    <w:lvl w:ilvl="0" w:tplc="82708660">
      <w:start w:val="1"/>
      <w:numFmt w:val="lowerLetter"/>
      <w:pStyle w:val="06letter2"/>
      <w:lvlText w:val="%1."/>
      <w:lvlJc w:val="left"/>
      <w:pPr>
        <w:ind w:left="1077" w:hanging="360"/>
      </w:pPr>
      <w:rPr>
        <w:rFonts w:ascii="Arial" w:hAnsi="Arial" w:hint="default"/>
        <w:color w:val="auto"/>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23834"/>
    <w:multiLevelType w:val="hybridMultilevel"/>
    <w:tmpl w:val="9E665A86"/>
    <w:lvl w:ilvl="0" w:tplc="4B92833A">
      <w:start w:val="1"/>
      <w:numFmt w:val="upperLetter"/>
      <w:pStyle w:val="AppendixStyle1"/>
      <w:lvlText w:val="Appendix %1 - "/>
      <w:lvlJc w:val="left"/>
      <w:pPr>
        <w:ind w:left="928" w:hanging="360"/>
      </w:pPr>
      <w:rPr>
        <w:rFonts w:hint="default"/>
        <w:color w:val="76923C" w:themeColor="accent3"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3593547"/>
    <w:multiLevelType w:val="multilevel"/>
    <w:tmpl w:val="8DB4AC64"/>
    <w:styleLink w:val="Style2"/>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F11481"/>
    <w:multiLevelType w:val="multilevel"/>
    <w:tmpl w:val="4FCA497A"/>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AD4055A"/>
    <w:multiLevelType w:val="hybridMultilevel"/>
    <w:tmpl w:val="BCDA7686"/>
    <w:lvl w:ilvl="0" w:tplc="02AE39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9"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5C574A11"/>
    <w:multiLevelType w:val="multilevel"/>
    <w:tmpl w:val="8DB4AC64"/>
    <w:numStyleLink w:val="Style2"/>
  </w:abstractNum>
  <w:abstractNum w:abstractNumId="15"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6" w15:restartNumberingAfterBreak="0">
    <w:nsid w:val="67E9153F"/>
    <w:multiLevelType w:val="hybridMultilevel"/>
    <w:tmpl w:val="F346639E"/>
    <w:lvl w:ilvl="0" w:tplc="1CE4970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8"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9" w15:restartNumberingAfterBreak="0">
    <w:nsid w:val="7B8E557E"/>
    <w:multiLevelType w:val="multilevel"/>
    <w:tmpl w:val="B04AABB8"/>
    <w:lvl w:ilvl="0">
      <w:start w:val="1"/>
      <w:numFmt w:val="decimal"/>
      <w:pStyle w:val="05number1"/>
      <w:lvlText w:val="%1."/>
      <w:lvlJc w:val="left"/>
      <w:pPr>
        <w:ind w:left="360" w:hanging="360"/>
      </w:pPr>
      <w:rPr>
        <w:rFonts w:asciiTheme="minorHAnsi" w:hAnsiTheme="minorHAnsi" w:hint="default"/>
        <w:color w:val="auto"/>
        <w:sz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EDB59BA"/>
    <w:multiLevelType w:val="multilevel"/>
    <w:tmpl w:val="8DB4AC64"/>
    <w:numStyleLink w:val="Style2"/>
  </w:abstractNum>
  <w:num w:numId="1">
    <w:abstractNumId w:val="12"/>
  </w:num>
  <w:num w:numId="2">
    <w:abstractNumId w:val="6"/>
  </w:num>
  <w:num w:numId="3">
    <w:abstractNumId w:val="10"/>
  </w:num>
  <w:num w:numId="4">
    <w:abstractNumId w:val="5"/>
  </w:num>
  <w:num w:numId="5">
    <w:abstractNumId w:val="3"/>
  </w:num>
  <w:num w:numId="6">
    <w:abstractNumId w:val="14"/>
    <w:lvlOverride w:ilvl="1">
      <w:lvl w:ilvl="1">
        <w:start w:val="1"/>
        <w:numFmt w:val="bullet"/>
        <w:pStyle w:val="02dash"/>
        <w:lvlText w:val="–"/>
        <w:lvlJc w:val="left"/>
        <w:pPr>
          <w:tabs>
            <w:tab w:val="num" w:pos="1421"/>
          </w:tabs>
          <w:ind w:left="1419" w:hanging="284"/>
        </w:pPr>
        <w:rPr>
          <w:rFonts w:ascii="Arial" w:hAnsi="Arial" w:hint="default"/>
          <w:color w:val="auto"/>
          <w:sz w:val="24"/>
        </w:rPr>
      </w:lvl>
    </w:lvlOverride>
  </w:num>
  <w:num w:numId="7">
    <w:abstractNumId w:val="20"/>
  </w:num>
  <w:num w:numId="8">
    <w:abstractNumId w:val="13"/>
  </w:num>
  <w:num w:numId="9">
    <w:abstractNumId w:val="19"/>
  </w:num>
  <w:num w:numId="10">
    <w:abstractNumId w:val="1"/>
  </w:num>
  <w:num w:numId="11">
    <w:abstractNumId w:val="8"/>
  </w:num>
  <w:num w:numId="12">
    <w:abstractNumId w:val="18"/>
  </w:num>
  <w:num w:numId="13">
    <w:abstractNumId w:val="15"/>
  </w:num>
  <w:num w:numId="14">
    <w:abstractNumId w:val="11"/>
  </w:num>
  <w:num w:numId="15">
    <w:abstractNumId w:val="16"/>
  </w:num>
  <w:num w:numId="16">
    <w:abstractNumId w:val="4"/>
  </w:num>
  <w:num w:numId="17">
    <w:abstractNumId w:val="21"/>
  </w:num>
  <w:num w:numId="18">
    <w:abstractNumId w:val="2"/>
  </w:num>
  <w:num w:numId="19">
    <w:abstractNumId w:val="17"/>
  </w:num>
  <w:num w:numId="20">
    <w:abstractNumId w:val="9"/>
  </w:num>
  <w:num w:numId="21">
    <w:abstractNumId w:val="4"/>
    <w:lvlOverride w:ilvl="1">
      <w:lvl w:ilvl="1">
        <w:start w:val="1"/>
        <w:numFmt w:val="bullet"/>
        <w:pStyle w:val="02dash"/>
        <w:lvlText w:val="–"/>
        <w:lvlJc w:val="left"/>
        <w:pPr>
          <w:tabs>
            <w:tab w:val="num" w:pos="286"/>
          </w:tabs>
          <w:ind w:left="284" w:hanging="284"/>
        </w:pPr>
        <w:rPr>
          <w:rFonts w:ascii="Arial" w:hAnsi="Arial" w:hint="default"/>
          <w:color w:val="auto"/>
          <w:sz w:val="24"/>
        </w:rPr>
      </w:lvl>
    </w:lvlOverride>
  </w:num>
  <w:num w:numId="22">
    <w:abstractNumId w:val="0"/>
  </w:num>
  <w:num w:numId="23">
    <w:abstractNumId w:val="7"/>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6145"/>
  </w:hdrShapeDefaults>
  <w:footnotePr>
    <w:pos w:val="beneathText"/>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NewDoc" w:val="No"/>
  </w:docVars>
  <w:rsids>
    <w:rsidRoot w:val="00093404"/>
    <w:rsid w:val="000005DB"/>
    <w:rsid w:val="000006E3"/>
    <w:rsid w:val="000007FA"/>
    <w:rsid w:val="00000940"/>
    <w:rsid w:val="00000A1D"/>
    <w:rsid w:val="00000C05"/>
    <w:rsid w:val="00000EF0"/>
    <w:rsid w:val="000012D6"/>
    <w:rsid w:val="000017F9"/>
    <w:rsid w:val="0000185E"/>
    <w:rsid w:val="00001B0E"/>
    <w:rsid w:val="00001F7B"/>
    <w:rsid w:val="000021A9"/>
    <w:rsid w:val="00002477"/>
    <w:rsid w:val="00002678"/>
    <w:rsid w:val="00002FBF"/>
    <w:rsid w:val="000037EE"/>
    <w:rsid w:val="000037FE"/>
    <w:rsid w:val="000041AB"/>
    <w:rsid w:val="000044E9"/>
    <w:rsid w:val="00004920"/>
    <w:rsid w:val="00004CCA"/>
    <w:rsid w:val="0000566B"/>
    <w:rsid w:val="00005C8B"/>
    <w:rsid w:val="00005D04"/>
    <w:rsid w:val="00006020"/>
    <w:rsid w:val="000060B8"/>
    <w:rsid w:val="00006876"/>
    <w:rsid w:val="00006915"/>
    <w:rsid w:val="00006AE9"/>
    <w:rsid w:val="00007682"/>
    <w:rsid w:val="00007CFB"/>
    <w:rsid w:val="00007E33"/>
    <w:rsid w:val="000103C1"/>
    <w:rsid w:val="000107B3"/>
    <w:rsid w:val="0001084A"/>
    <w:rsid w:val="0001152B"/>
    <w:rsid w:val="000126EA"/>
    <w:rsid w:val="00012A7D"/>
    <w:rsid w:val="0001353E"/>
    <w:rsid w:val="00013630"/>
    <w:rsid w:val="00013662"/>
    <w:rsid w:val="00013881"/>
    <w:rsid w:val="0001393A"/>
    <w:rsid w:val="00013A45"/>
    <w:rsid w:val="00013CD5"/>
    <w:rsid w:val="000140C8"/>
    <w:rsid w:val="00014305"/>
    <w:rsid w:val="00014712"/>
    <w:rsid w:val="000149D2"/>
    <w:rsid w:val="000150D7"/>
    <w:rsid w:val="0001513D"/>
    <w:rsid w:val="000152FC"/>
    <w:rsid w:val="0001545C"/>
    <w:rsid w:val="00015973"/>
    <w:rsid w:val="00015B17"/>
    <w:rsid w:val="00015DF8"/>
    <w:rsid w:val="00015E01"/>
    <w:rsid w:val="00017509"/>
    <w:rsid w:val="00017D59"/>
    <w:rsid w:val="00020196"/>
    <w:rsid w:val="000202A1"/>
    <w:rsid w:val="000202DB"/>
    <w:rsid w:val="00020431"/>
    <w:rsid w:val="000205C1"/>
    <w:rsid w:val="000206BB"/>
    <w:rsid w:val="000208B5"/>
    <w:rsid w:val="00020D13"/>
    <w:rsid w:val="00021A9A"/>
    <w:rsid w:val="00021BEE"/>
    <w:rsid w:val="00022183"/>
    <w:rsid w:val="0002237C"/>
    <w:rsid w:val="00022E87"/>
    <w:rsid w:val="00022FC4"/>
    <w:rsid w:val="0002331A"/>
    <w:rsid w:val="0002353D"/>
    <w:rsid w:val="00023693"/>
    <w:rsid w:val="00023948"/>
    <w:rsid w:val="00023C89"/>
    <w:rsid w:val="00023E5B"/>
    <w:rsid w:val="00024197"/>
    <w:rsid w:val="00024FB5"/>
    <w:rsid w:val="00024FE0"/>
    <w:rsid w:val="0002528B"/>
    <w:rsid w:val="000253EC"/>
    <w:rsid w:val="00025655"/>
    <w:rsid w:val="00025668"/>
    <w:rsid w:val="00026021"/>
    <w:rsid w:val="00026792"/>
    <w:rsid w:val="00026891"/>
    <w:rsid w:val="00026C4F"/>
    <w:rsid w:val="00026C6C"/>
    <w:rsid w:val="000278CF"/>
    <w:rsid w:val="00027D1B"/>
    <w:rsid w:val="0003004C"/>
    <w:rsid w:val="000307DA"/>
    <w:rsid w:val="00030912"/>
    <w:rsid w:val="000309CE"/>
    <w:rsid w:val="00030DEA"/>
    <w:rsid w:val="00031095"/>
    <w:rsid w:val="000310C6"/>
    <w:rsid w:val="00031871"/>
    <w:rsid w:val="00031ADE"/>
    <w:rsid w:val="00031E84"/>
    <w:rsid w:val="00032108"/>
    <w:rsid w:val="00032349"/>
    <w:rsid w:val="000334A2"/>
    <w:rsid w:val="000337EF"/>
    <w:rsid w:val="00033CD0"/>
    <w:rsid w:val="00033DA4"/>
    <w:rsid w:val="00033EBC"/>
    <w:rsid w:val="00035797"/>
    <w:rsid w:val="00036133"/>
    <w:rsid w:val="000364A0"/>
    <w:rsid w:val="000367A3"/>
    <w:rsid w:val="00036C0E"/>
    <w:rsid w:val="0003762C"/>
    <w:rsid w:val="00040275"/>
    <w:rsid w:val="00040418"/>
    <w:rsid w:val="00040EAC"/>
    <w:rsid w:val="0004104B"/>
    <w:rsid w:val="0004124F"/>
    <w:rsid w:val="00041A9D"/>
    <w:rsid w:val="00041F35"/>
    <w:rsid w:val="0004246F"/>
    <w:rsid w:val="00042A17"/>
    <w:rsid w:val="00042C25"/>
    <w:rsid w:val="00043742"/>
    <w:rsid w:val="0004432C"/>
    <w:rsid w:val="0004434C"/>
    <w:rsid w:val="0004465B"/>
    <w:rsid w:val="00044AA2"/>
    <w:rsid w:val="00044C42"/>
    <w:rsid w:val="00045066"/>
    <w:rsid w:val="000452BA"/>
    <w:rsid w:val="00045495"/>
    <w:rsid w:val="000459AD"/>
    <w:rsid w:val="00045C6A"/>
    <w:rsid w:val="00045F6B"/>
    <w:rsid w:val="00045FE6"/>
    <w:rsid w:val="00046491"/>
    <w:rsid w:val="00046AB1"/>
    <w:rsid w:val="00046AF0"/>
    <w:rsid w:val="00046C9C"/>
    <w:rsid w:val="00047145"/>
    <w:rsid w:val="00047FB5"/>
    <w:rsid w:val="000501C9"/>
    <w:rsid w:val="00050514"/>
    <w:rsid w:val="000507BA"/>
    <w:rsid w:val="000508E2"/>
    <w:rsid w:val="00050ED2"/>
    <w:rsid w:val="00050EF0"/>
    <w:rsid w:val="00051583"/>
    <w:rsid w:val="0005181B"/>
    <w:rsid w:val="00051874"/>
    <w:rsid w:val="00051A50"/>
    <w:rsid w:val="00051D6D"/>
    <w:rsid w:val="00052A7E"/>
    <w:rsid w:val="000532A7"/>
    <w:rsid w:val="000537C0"/>
    <w:rsid w:val="00053800"/>
    <w:rsid w:val="00054036"/>
    <w:rsid w:val="00054178"/>
    <w:rsid w:val="000549A1"/>
    <w:rsid w:val="00054D23"/>
    <w:rsid w:val="0005501C"/>
    <w:rsid w:val="0005522D"/>
    <w:rsid w:val="0005557F"/>
    <w:rsid w:val="0005562E"/>
    <w:rsid w:val="00055766"/>
    <w:rsid w:val="000558E5"/>
    <w:rsid w:val="00055F39"/>
    <w:rsid w:val="00056426"/>
    <w:rsid w:val="00056545"/>
    <w:rsid w:val="00056CF7"/>
    <w:rsid w:val="00056D16"/>
    <w:rsid w:val="0005707D"/>
    <w:rsid w:val="000576DC"/>
    <w:rsid w:val="00057876"/>
    <w:rsid w:val="00057AB0"/>
    <w:rsid w:val="00057F0D"/>
    <w:rsid w:val="000607B6"/>
    <w:rsid w:val="000607EE"/>
    <w:rsid w:val="000608B1"/>
    <w:rsid w:val="00060C76"/>
    <w:rsid w:val="000612B9"/>
    <w:rsid w:val="0006140B"/>
    <w:rsid w:val="00061567"/>
    <w:rsid w:val="00061600"/>
    <w:rsid w:val="00061B23"/>
    <w:rsid w:val="00062ADD"/>
    <w:rsid w:val="00062B15"/>
    <w:rsid w:val="0006309D"/>
    <w:rsid w:val="00063587"/>
    <w:rsid w:val="00063889"/>
    <w:rsid w:val="00063B43"/>
    <w:rsid w:val="00064465"/>
    <w:rsid w:val="00064685"/>
    <w:rsid w:val="00064B26"/>
    <w:rsid w:val="00064B9C"/>
    <w:rsid w:val="000653C1"/>
    <w:rsid w:val="000655C1"/>
    <w:rsid w:val="00065855"/>
    <w:rsid w:val="00065ADB"/>
    <w:rsid w:val="00065CD7"/>
    <w:rsid w:val="00066AF2"/>
    <w:rsid w:val="000671CD"/>
    <w:rsid w:val="00067BEC"/>
    <w:rsid w:val="00070210"/>
    <w:rsid w:val="00070239"/>
    <w:rsid w:val="000703EC"/>
    <w:rsid w:val="00070689"/>
    <w:rsid w:val="000707D3"/>
    <w:rsid w:val="00070CD8"/>
    <w:rsid w:val="0007194A"/>
    <w:rsid w:val="00071EB7"/>
    <w:rsid w:val="0007261D"/>
    <w:rsid w:val="00072697"/>
    <w:rsid w:val="000728DD"/>
    <w:rsid w:val="00072B98"/>
    <w:rsid w:val="00072D68"/>
    <w:rsid w:val="00072F16"/>
    <w:rsid w:val="000733AA"/>
    <w:rsid w:val="00073660"/>
    <w:rsid w:val="00073A98"/>
    <w:rsid w:val="00073B40"/>
    <w:rsid w:val="00074357"/>
    <w:rsid w:val="000744E0"/>
    <w:rsid w:val="00074825"/>
    <w:rsid w:val="00074C33"/>
    <w:rsid w:val="0007506F"/>
    <w:rsid w:val="00075123"/>
    <w:rsid w:val="00075436"/>
    <w:rsid w:val="00076103"/>
    <w:rsid w:val="000761F0"/>
    <w:rsid w:val="0007623D"/>
    <w:rsid w:val="000765ED"/>
    <w:rsid w:val="00076717"/>
    <w:rsid w:val="000767D9"/>
    <w:rsid w:val="00076AB6"/>
    <w:rsid w:val="00076CD4"/>
    <w:rsid w:val="00076D08"/>
    <w:rsid w:val="00077225"/>
    <w:rsid w:val="00077D61"/>
    <w:rsid w:val="00080238"/>
    <w:rsid w:val="0008026A"/>
    <w:rsid w:val="000812CF"/>
    <w:rsid w:val="00081320"/>
    <w:rsid w:val="000817B3"/>
    <w:rsid w:val="00081875"/>
    <w:rsid w:val="000819B5"/>
    <w:rsid w:val="00081F8E"/>
    <w:rsid w:val="00082595"/>
    <w:rsid w:val="0008304E"/>
    <w:rsid w:val="000831B4"/>
    <w:rsid w:val="000831DB"/>
    <w:rsid w:val="000831FF"/>
    <w:rsid w:val="000838B7"/>
    <w:rsid w:val="00083E2A"/>
    <w:rsid w:val="00083F66"/>
    <w:rsid w:val="0008446C"/>
    <w:rsid w:val="0008448B"/>
    <w:rsid w:val="000848EC"/>
    <w:rsid w:val="00084B53"/>
    <w:rsid w:val="00084F7A"/>
    <w:rsid w:val="00085AD3"/>
    <w:rsid w:val="00085E97"/>
    <w:rsid w:val="00086AFF"/>
    <w:rsid w:val="00086C40"/>
    <w:rsid w:val="00086E14"/>
    <w:rsid w:val="00086FD0"/>
    <w:rsid w:val="00087366"/>
    <w:rsid w:val="0008778F"/>
    <w:rsid w:val="00087975"/>
    <w:rsid w:val="00087FCF"/>
    <w:rsid w:val="00087FDA"/>
    <w:rsid w:val="00090196"/>
    <w:rsid w:val="000904C0"/>
    <w:rsid w:val="00090C6A"/>
    <w:rsid w:val="00090D74"/>
    <w:rsid w:val="0009183B"/>
    <w:rsid w:val="000919D8"/>
    <w:rsid w:val="000923EA"/>
    <w:rsid w:val="0009240C"/>
    <w:rsid w:val="00092463"/>
    <w:rsid w:val="000926F0"/>
    <w:rsid w:val="00092723"/>
    <w:rsid w:val="0009284F"/>
    <w:rsid w:val="00092967"/>
    <w:rsid w:val="00092AB5"/>
    <w:rsid w:val="00093404"/>
    <w:rsid w:val="00093558"/>
    <w:rsid w:val="000938D4"/>
    <w:rsid w:val="00093FBE"/>
    <w:rsid w:val="00094411"/>
    <w:rsid w:val="00094B40"/>
    <w:rsid w:val="00094F63"/>
    <w:rsid w:val="000967E6"/>
    <w:rsid w:val="000968E7"/>
    <w:rsid w:val="00097A82"/>
    <w:rsid w:val="000A014A"/>
    <w:rsid w:val="000A0939"/>
    <w:rsid w:val="000A09A1"/>
    <w:rsid w:val="000A0C01"/>
    <w:rsid w:val="000A10E3"/>
    <w:rsid w:val="000A126D"/>
    <w:rsid w:val="000A17D0"/>
    <w:rsid w:val="000A1C0D"/>
    <w:rsid w:val="000A1F85"/>
    <w:rsid w:val="000A226B"/>
    <w:rsid w:val="000A2B77"/>
    <w:rsid w:val="000A2C3B"/>
    <w:rsid w:val="000A33A1"/>
    <w:rsid w:val="000A3729"/>
    <w:rsid w:val="000A38E3"/>
    <w:rsid w:val="000A3998"/>
    <w:rsid w:val="000A3C55"/>
    <w:rsid w:val="000A3CE0"/>
    <w:rsid w:val="000A3E5E"/>
    <w:rsid w:val="000A3FBE"/>
    <w:rsid w:val="000A43FB"/>
    <w:rsid w:val="000A473B"/>
    <w:rsid w:val="000A4A5E"/>
    <w:rsid w:val="000A4A72"/>
    <w:rsid w:val="000A4EF9"/>
    <w:rsid w:val="000A5376"/>
    <w:rsid w:val="000A5E11"/>
    <w:rsid w:val="000A69A9"/>
    <w:rsid w:val="000A69D4"/>
    <w:rsid w:val="000A6DFE"/>
    <w:rsid w:val="000A705B"/>
    <w:rsid w:val="000A7921"/>
    <w:rsid w:val="000B07AA"/>
    <w:rsid w:val="000B0F22"/>
    <w:rsid w:val="000B0FB3"/>
    <w:rsid w:val="000B167F"/>
    <w:rsid w:val="000B18B2"/>
    <w:rsid w:val="000B1908"/>
    <w:rsid w:val="000B197F"/>
    <w:rsid w:val="000B214E"/>
    <w:rsid w:val="000B2534"/>
    <w:rsid w:val="000B30AF"/>
    <w:rsid w:val="000B30DE"/>
    <w:rsid w:val="000B328A"/>
    <w:rsid w:val="000B34A7"/>
    <w:rsid w:val="000B3A6B"/>
    <w:rsid w:val="000B3C1A"/>
    <w:rsid w:val="000B3D44"/>
    <w:rsid w:val="000B44A0"/>
    <w:rsid w:val="000B4557"/>
    <w:rsid w:val="000B4726"/>
    <w:rsid w:val="000B48DB"/>
    <w:rsid w:val="000B4B1F"/>
    <w:rsid w:val="000B4BA7"/>
    <w:rsid w:val="000B4CE8"/>
    <w:rsid w:val="000B4D14"/>
    <w:rsid w:val="000B4EB8"/>
    <w:rsid w:val="000B4FE7"/>
    <w:rsid w:val="000B5054"/>
    <w:rsid w:val="000B52C9"/>
    <w:rsid w:val="000B560B"/>
    <w:rsid w:val="000B5AEE"/>
    <w:rsid w:val="000B6ED6"/>
    <w:rsid w:val="000B702D"/>
    <w:rsid w:val="000B710A"/>
    <w:rsid w:val="000B7216"/>
    <w:rsid w:val="000B76F2"/>
    <w:rsid w:val="000B7A70"/>
    <w:rsid w:val="000B7F50"/>
    <w:rsid w:val="000C01B2"/>
    <w:rsid w:val="000C10BE"/>
    <w:rsid w:val="000C1841"/>
    <w:rsid w:val="000C1D2C"/>
    <w:rsid w:val="000C207C"/>
    <w:rsid w:val="000C2086"/>
    <w:rsid w:val="000C2699"/>
    <w:rsid w:val="000C2768"/>
    <w:rsid w:val="000C2E10"/>
    <w:rsid w:val="000C3060"/>
    <w:rsid w:val="000C32E6"/>
    <w:rsid w:val="000C366C"/>
    <w:rsid w:val="000C3F6C"/>
    <w:rsid w:val="000C4035"/>
    <w:rsid w:val="000C41CB"/>
    <w:rsid w:val="000C421B"/>
    <w:rsid w:val="000C439E"/>
    <w:rsid w:val="000C498A"/>
    <w:rsid w:val="000C4AA4"/>
    <w:rsid w:val="000C4BA0"/>
    <w:rsid w:val="000C4E15"/>
    <w:rsid w:val="000C5088"/>
    <w:rsid w:val="000C50DE"/>
    <w:rsid w:val="000C548F"/>
    <w:rsid w:val="000C54E8"/>
    <w:rsid w:val="000C55A3"/>
    <w:rsid w:val="000C565E"/>
    <w:rsid w:val="000C5EC0"/>
    <w:rsid w:val="000C5F18"/>
    <w:rsid w:val="000C674E"/>
    <w:rsid w:val="000C694D"/>
    <w:rsid w:val="000C6A0D"/>
    <w:rsid w:val="000C6C05"/>
    <w:rsid w:val="000C70F5"/>
    <w:rsid w:val="000C7588"/>
    <w:rsid w:val="000C7A37"/>
    <w:rsid w:val="000C7AE4"/>
    <w:rsid w:val="000D03DB"/>
    <w:rsid w:val="000D0765"/>
    <w:rsid w:val="000D0C10"/>
    <w:rsid w:val="000D0FA4"/>
    <w:rsid w:val="000D1176"/>
    <w:rsid w:val="000D14E3"/>
    <w:rsid w:val="000D15BA"/>
    <w:rsid w:val="000D171F"/>
    <w:rsid w:val="000D1905"/>
    <w:rsid w:val="000D1C08"/>
    <w:rsid w:val="000D1CF6"/>
    <w:rsid w:val="000D22C2"/>
    <w:rsid w:val="000D2368"/>
    <w:rsid w:val="000D2520"/>
    <w:rsid w:val="000D2AED"/>
    <w:rsid w:val="000D2B65"/>
    <w:rsid w:val="000D2E58"/>
    <w:rsid w:val="000D2E96"/>
    <w:rsid w:val="000D2EBE"/>
    <w:rsid w:val="000D37B1"/>
    <w:rsid w:val="000D39E2"/>
    <w:rsid w:val="000D3DE1"/>
    <w:rsid w:val="000D41C0"/>
    <w:rsid w:val="000D429F"/>
    <w:rsid w:val="000D4345"/>
    <w:rsid w:val="000D4490"/>
    <w:rsid w:val="000D4585"/>
    <w:rsid w:val="000D4B9F"/>
    <w:rsid w:val="000D5093"/>
    <w:rsid w:val="000D5132"/>
    <w:rsid w:val="000D532B"/>
    <w:rsid w:val="000D5653"/>
    <w:rsid w:val="000D5AEE"/>
    <w:rsid w:val="000D5E90"/>
    <w:rsid w:val="000D677B"/>
    <w:rsid w:val="000D67CB"/>
    <w:rsid w:val="000D68B2"/>
    <w:rsid w:val="000D6922"/>
    <w:rsid w:val="000D69A0"/>
    <w:rsid w:val="000D6C33"/>
    <w:rsid w:val="000D73DF"/>
    <w:rsid w:val="000D76D7"/>
    <w:rsid w:val="000D7716"/>
    <w:rsid w:val="000D7F4F"/>
    <w:rsid w:val="000E015A"/>
    <w:rsid w:val="000E03E7"/>
    <w:rsid w:val="000E049D"/>
    <w:rsid w:val="000E0690"/>
    <w:rsid w:val="000E0950"/>
    <w:rsid w:val="000E0A8A"/>
    <w:rsid w:val="000E13E8"/>
    <w:rsid w:val="000E1534"/>
    <w:rsid w:val="000E169C"/>
    <w:rsid w:val="000E1934"/>
    <w:rsid w:val="000E1B03"/>
    <w:rsid w:val="000E2BA4"/>
    <w:rsid w:val="000E2F64"/>
    <w:rsid w:val="000E2FF7"/>
    <w:rsid w:val="000E3A72"/>
    <w:rsid w:val="000E3BF6"/>
    <w:rsid w:val="000E3E29"/>
    <w:rsid w:val="000E4A79"/>
    <w:rsid w:val="000E5204"/>
    <w:rsid w:val="000E5530"/>
    <w:rsid w:val="000E55F2"/>
    <w:rsid w:val="000E5945"/>
    <w:rsid w:val="000E6B0A"/>
    <w:rsid w:val="000E6B3D"/>
    <w:rsid w:val="000E6C56"/>
    <w:rsid w:val="000E70E3"/>
    <w:rsid w:val="000E74E5"/>
    <w:rsid w:val="000E7650"/>
    <w:rsid w:val="000E76BF"/>
    <w:rsid w:val="000E7727"/>
    <w:rsid w:val="000E7CEA"/>
    <w:rsid w:val="000F0295"/>
    <w:rsid w:val="000F08C5"/>
    <w:rsid w:val="000F08D3"/>
    <w:rsid w:val="000F0B7D"/>
    <w:rsid w:val="000F0F68"/>
    <w:rsid w:val="000F0F7F"/>
    <w:rsid w:val="000F251A"/>
    <w:rsid w:val="000F2CDA"/>
    <w:rsid w:val="000F2E2B"/>
    <w:rsid w:val="000F2E9B"/>
    <w:rsid w:val="000F3F4F"/>
    <w:rsid w:val="000F402D"/>
    <w:rsid w:val="000F47BC"/>
    <w:rsid w:val="000F4B86"/>
    <w:rsid w:val="000F4DB6"/>
    <w:rsid w:val="000F5115"/>
    <w:rsid w:val="000F6083"/>
    <w:rsid w:val="000F67AE"/>
    <w:rsid w:val="000F6B59"/>
    <w:rsid w:val="000F705F"/>
    <w:rsid w:val="000F70C4"/>
    <w:rsid w:val="000F72BF"/>
    <w:rsid w:val="000F7566"/>
    <w:rsid w:val="000F7930"/>
    <w:rsid w:val="000F7D1F"/>
    <w:rsid w:val="000F7D4A"/>
    <w:rsid w:val="0010003C"/>
    <w:rsid w:val="00100075"/>
    <w:rsid w:val="00100084"/>
    <w:rsid w:val="0010008F"/>
    <w:rsid w:val="00100640"/>
    <w:rsid w:val="00101268"/>
    <w:rsid w:val="0010143D"/>
    <w:rsid w:val="00101452"/>
    <w:rsid w:val="001014EC"/>
    <w:rsid w:val="00101948"/>
    <w:rsid w:val="00101C56"/>
    <w:rsid w:val="00101DE4"/>
    <w:rsid w:val="00101E86"/>
    <w:rsid w:val="001024BA"/>
    <w:rsid w:val="001025AD"/>
    <w:rsid w:val="001025D1"/>
    <w:rsid w:val="00102A5E"/>
    <w:rsid w:val="00102ED0"/>
    <w:rsid w:val="00103669"/>
    <w:rsid w:val="00103857"/>
    <w:rsid w:val="00103C7A"/>
    <w:rsid w:val="00103DA5"/>
    <w:rsid w:val="00104311"/>
    <w:rsid w:val="00104788"/>
    <w:rsid w:val="00104E61"/>
    <w:rsid w:val="0010529D"/>
    <w:rsid w:val="0010546E"/>
    <w:rsid w:val="00105901"/>
    <w:rsid w:val="00105EB2"/>
    <w:rsid w:val="00106078"/>
    <w:rsid w:val="0010664E"/>
    <w:rsid w:val="00106795"/>
    <w:rsid w:val="00107712"/>
    <w:rsid w:val="00107911"/>
    <w:rsid w:val="00107B15"/>
    <w:rsid w:val="00110096"/>
    <w:rsid w:val="0011017F"/>
    <w:rsid w:val="00110431"/>
    <w:rsid w:val="001104FA"/>
    <w:rsid w:val="00110604"/>
    <w:rsid w:val="00110FAC"/>
    <w:rsid w:val="0011158E"/>
    <w:rsid w:val="00111A0E"/>
    <w:rsid w:val="00111A50"/>
    <w:rsid w:val="001121E7"/>
    <w:rsid w:val="001122B9"/>
    <w:rsid w:val="00112A74"/>
    <w:rsid w:val="00112C49"/>
    <w:rsid w:val="001136B9"/>
    <w:rsid w:val="00113725"/>
    <w:rsid w:val="00113907"/>
    <w:rsid w:val="001141BB"/>
    <w:rsid w:val="001143E8"/>
    <w:rsid w:val="00114BDF"/>
    <w:rsid w:val="00114E0F"/>
    <w:rsid w:val="00115189"/>
    <w:rsid w:val="001151D1"/>
    <w:rsid w:val="001156AF"/>
    <w:rsid w:val="001156CB"/>
    <w:rsid w:val="00115759"/>
    <w:rsid w:val="001159F8"/>
    <w:rsid w:val="00115A3B"/>
    <w:rsid w:val="00115F6A"/>
    <w:rsid w:val="00116136"/>
    <w:rsid w:val="001161C6"/>
    <w:rsid w:val="00116B83"/>
    <w:rsid w:val="00116BB6"/>
    <w:rsid w:val="001172B8"/>
    <w:rsid w:val="001173BE"/>
    <w:rsid w:val="0011770F"/>
    <w:rsid w:val="001177E6"/>
    <w:rsid w:val="001201D4"/>
    <w:rsid w:val="00120318"/>
    <w:rsid w:val="00120389"/>
    <w:rsid w:val="001206D7"/>
    <w:rsid w:val="00120C04"/>
    <w:rsid w:val="00120E25"/>
    <w:rsid w:val="00121562"/>
    <w:rsid w:val="00121D6C"/>
    <w:rsid w:val="00122506"/>
    <w:rsid w:val="001226CF"/>
    <w:rsid w:val="00122816"/>
    <w:rsid w:val="00122BFE"/>
    <w:rsid w:val="00122F79"/>
    <w:rsid w:val="00123147"/>
    <w:rsid w:val="001233B2"/>
    <w:rsid w:val="00123A42"/>
    <w:rsid w:val="00123D3B"/>
    <w:rsid w:val="00124A29"/>
    <w:rsid w:val="00124D7A"/>
    <w:rsid w:val="00124F32"/>
    <w:rsid w:val="00124FA4"/>
    <w:rsid w:val="0012562D"/>
    <w:rsid w:val="00126243"/>
    <w:rsid w:val="0012677A"/>
    <w:rsid w:val="00126E67"/>
    <w:rsid w:val="00127A2B"/>
    <w:rsid w:val="00127BD9"/>
    <w:rsid w:val="0013057B"/>
    <w:rsid w:val="00130730"/>
    <w:rsid w:val="00130B82"/>
    <w:rsid w:val="00130E34"/>
    <w:rsid w:val="00130F9E"/>
    <w:rsid w:val="001313C0"/>
    <w:rsid w:val="00131466"/>
    <w:rsid w:val="00131578"/>
    <w:rsid w:val="0013182E"/>
    <w:rsid w:val="00131F22"/>
    <w:rsid w:val="0013258D"/>
    <w:rsid w:val="001329BB"/>
    <w:rsid w:val="00132EE7"/>
    <w:rsid w:val="00132F58"/>
    <w:rsid w:val="00133F28"/>
    <w:rsid w:val="00134245"/>
    <w:rsid w:val="0013441A"/>
    <w:rsid w:val="00134B24"/>
    <w:rsid w:val="00134CA2"/>
    <w:rsid w:val="00135512"/>
    <w:rsid w:val="00135745"/>
    <w:rsid w:val="00135D05"/>
    <w:rsid w:val="00135D45"/>
    <w:rsid w:val="0013619D"/>
    <w:rsid w:val="0013638A"/>
    <w:rsid w:val="001368D1"/>
    <w:rsid w:val="00136A96"/>
    <w:rsid w:val="00136B5C"/>
    <w:rsid w:val="00136C3E"/>
    <w:rsid w:val="0013777C"/>
    <w:rsid w:val="00137EE5"/>
    <w:rsid w:val="0014092E"/>
    <w:rsid w:val="00141FCB"/>
    <w:rsid w:val="00142C57"/>
    <w:rsid w:val="00142CBD"/>
    <w:rsid w:val="0014315F"/>
    <w:rsid w:val="00143804"/>
    <w:rsid w:val="00143948"/>
    <w:rsid w:val="00144740"/>
    <w:rsid w:val="00144944"/>
    <w:rsid w:val="00144B85"/>
    <w:rsid w:val="00144CC3"/>
    <w:rsid w:val="00144EF7"/>
    <w:rsid w:val="00144F76"/>
    <w:rsid w:val="00145358"/>
    <w:rsid w:val="001453BB"/>
    <w:rsid w:val="00145A1D"/>
    <w:rsid w:val="00146161"/>
    <w:rsid w:val="001461F3"/>
    <w:rsid w:val="00146280"/>
    <w:rsid w:val="0014694A"/>
    <w:rsid w:val="001469C0"/>
    <w:rsid w:val="001472FA"/>
    <w:rsid w:val="00147383"/>
    <w:rsid w:val="00147B5B"/>
    <w:rsid w:val="001504C7"/>
    <w:rsid w:val="0015052B"/>
    <w:rsid w:val="00150C38"/>
    <w:rsid w:val="00150E67"/>
    <w:rsid w:val="00151193"/>
    <w:rsid w:val="0015141E"/>
    <w:rsid w:val="001514D7"/>
    <w:rsid w:val="00151894"/>
    <w:rsid w:val="001518DA"/>
    <w:rsid w:val="00151AAE"/>
    <w:rsid w:val="00151F01"/>
    <w:rsid w:val="00152AC0"/>
    <w:rsid w:val="00152C99"/>
    <w:rsid w:val="00153217"/>
    <w:rsid w:val="00153816"/>
    <w:rsid w:val="00153FB2"/>
    <w:rsid w:val="001545AB"/>
    <w:rsid w:val="00154836"/>
    <w:rsid w:val="001548FB"/>
    <w:rsid w:val="00154AE7"/>
    <w:rsid w:val="00154E3B"/>
    <w:rsid w:val="0015505E"/>
    <w:rsid w:val="00155994"/>
    <w:rsid w:val="00155B26"/>
    <w:rsid w:val="00155BCB"/>
    <w:rsid w:val="00155E28"/>
    <w:rsid w:val="00155FA6"/>
    <w:rsid w:val="001560F9"/>
    <w:rsid w:val="00156408"/>
    <w:rsid w:val="00156461"/>
    <w:rsid w:val="001565EA"/>
    <w:rsid w:val="00156CF3"/>
    <w:rsid w:val="00157102"/>
    <w:rsid w:val="00157337"/>
    <w:rsid w:val="001576E8"/>
    <w:rsid w:val="0015789A"/>
    <w:rsid w:val="0015796C"/>
    <w:rsid w:val="00157E0E"/>
    <w:rsid w:val="00157F85"/>
    <w:rsid w:val="00157FDB"/>
    <w:rsid w:val="00160601"/>
    <w:rsid w:val="00160629"/>
    <w:rsid w:val="00160A9F"/>
    <w:rsid w:val="001614A0"/>
    <w:rsid w:val="001615B7"/>
    <w:rsid w:val="00161871"/>
    <w:rsid w:val="00161998"/>
    <w:rsid w:val="0016207A"/>
    <w:rsid w:val="0016215E"/>
    <w:rsid w:val="00162883"/>
    <w:rsid w:val="001631CB"/>
    <w:rsid w:val="00163874"/>
    <w:rsid w:val="001639C0"/>
    <w:rsid w:val="00163AA0"/>
    <w:rsid w:val="001643F5"/>
    <w:rsid w:val="00164423"/>
    <w:rsid w:val="00164487"/>
    <w:rsid w:val="00165B7D"/>
    <w:rsid w:val="00166430"/>
    <w:rsid w:val="0016694A"/>
    <w:rsid w:val="00166CAF"/>
    <w:rsid w:val="00166D14"/>
    <w:rsid w:val="00166E01"/>
    <w:rsid w:val="00167047"/>
    <w:rsid w:val="00167150"/>
    <w:rsid w:val="001672F2"/>
    <w:rsid w:val="00167C2E"/>
    <w:rsid w:val="00167DB5"/>
    <w:rsid w:val="001704D2"/>
    <w:rsid w:val="00170685"/>
    <w:rsid w:val="0017098E"/>
    <w:rsid w:val="00170A19"/>
    <w:rsid w:val="00170C97"/>
    <w:rsid w:val="00170CD5"/>
    <w:rsid w:val="00171162"/>
    <w:rsid w:val="00171193"/>
    <w:rsid w:val="00171521"/>
    <w:rsid w:val="001717C6"/>
    <w:rsid w:val="00171A76"/>
    <w:rsid w:val="00171B90"/>
    <w:rsid w:val="00171BA8"/>
    <w:rsid w:val="001720B7"/>
    <w:rsid w:val="001722C6"/>
    <w:rsid w:val="0017270D"/>
    <w:rsid w:val="001727E3"/>
    <w:rsid w:val="001728D7"/>
    <w:rsid w:val="00172A0E"/>
    <w:rsid w:val="001732EB"/>
    <w:rsid w:val="00174822"/>
    <w:rsid w:val="00174940"/>
    <w:rsid w:val="00174BD7"/>
    <w:rsid w:val="00175189"/>
    <w:rsid w:val="001752AC"/>
    <w:rsid w:val="0017587C"/>
    <w:rsid w:val="00175BE3"/>
    <w:rsid w:val="00176080"/>
    <w:rsid w:val="00176E59"/>
    <w:rsid w:val="00176F32"/>
    <w:rsid w:val="00176FAA"/>
    <w:rsid w:val="0017769E"/>
    <w:rsid w:val="00177E5A"/>
    <w:rsid w:val="00177E9F"/>
    <w:rsid w:val="00177F8C"/>
    <w:rsid w:val="0018075E"/>
    <w:rsid w:val="0018076C"/>
    <w:rsid w:val="001807AC"/>
    <w:rsid w:val="001807ED"/>
    <w:rsid w:val="0018094C"/>
    <w:rsid w:val="00180959"/>
    <w:rsid w:val="00180B06"/>
    <w:rsid w:val="00180F07"/>
    <w:rsid w:val="00181145"/>
    <w:rsid w:val="00181195"/>
    <w:rsid w:val="0018172B"/>
    <w:rsid w:val="001819E2"/>
    <w:rsid w:val="00181C5E"/>
    <w:rsid w:val="00181F0F"/>
    <w:rsid w:val="00182A9B"/>
    <w:rsid w:val="001830DA"/>
    <w:rsid w:val="00183251"/>
    <w:rsid w:val="001833A6"/>
    <w:rsid w:val="0018384D"/>
    <w:rsid w:val="0018389D"/>
    <w:rsid w:val="00183FEE"/>
    <w:rsid w:val="001842C4"/>
    <w:rsid w:val="0018460D"/>
    <w:rsid w:val="00184957"/>
    <w:rsid w:val="001849D5"/>
    <w:rsid w:val="00184ECD"/>
    <w:rsid w:val="001855FC"/>
    <w:rsid w:val="00185FA3"/>
    <w:rsid w:val="00186065"/>
    <w:rsid w:val="00186CD0"/>
    <w:rsid w:val="00187050"/>
    <w:rsid w:val="001871A8"/>
    <w:rsid w:val="00187333"/>
    <w:rsid w:val="00187A24"/>
    <w:rsid w:val="00187A9D"/>
    <w:rsid w:val="00187F36"/>
    <w:rsid w:val="00190347"/>
    <w:rsid w:val="001906B0"/>
    <w:rsid w:val="00190AA2"/>
    <w:rsid w:val="00191078"/>
    <w:rsid w:val="0019117E"/>
    <w:rsid w:val="00191B06"/>
    <w:rsid w:val="00191FF2"/>
    <w:rsid w:val="00192413"/>
    <w:rsid w:val="00192436"/>
    <w:rsid w:val="001925E8"/>
    <w:rsid w:val="00192C6B"/>
    <w:rsid w:val="00192F97"/>
    <w:rsid w:val="0019315B"/>
    <w:rsid w:val="0019316F"/>
    <w:rsid w:val="00193776"/>
    <w:rsid w:val="001937BB"/>
    <w:rsid w:val="001938B2"/>
    <w:rsid w:val="001938F8"/>
    <w:rsid w:val="00193946"/>
    <w:rsid w:val="00193B3D"/>
    <w:rsid w:val="00193D49"/>
    <w:rsid w:val="00193FB6"/>
    <w:rsid w:val="001951F7"/>
    <w:rsid w:val="00195552"/>
    <w:rsid w:val="00195D92"/>
    <w:rsid w:val="00195E80"/>
    <w:rsid w:val="00196256"/>
    <w:rsid w:val="00196AA8"/>
    <w:rsid w:val="00196EF6"/>
    <w:rsid w:val="00196F67"/>
    <w:rsid w:val="00197190"/>
    <w:rsid w:val="00197283"/>
    <w:rsid w:val="0019747D"/>
    <w:rsid w:val="00197696"/>
    <w:rsid w:val="001978DE"/>
    <w:rsid w:val="00197F7F"/>
    <w:rsid w:val="00197FA2"/>
    <w:rsid w:val="001A025B"/>
    <w:rsid w:val="001A05DF"/>
    <w:rsid w:val="001A0A2F"/>
    <w:rsid w:val="001A0BE6"/>
    <w:rsid w:val="001A10D5"/>
    <w:rsid w:val="001A1B51"/>
    <w:rsid w:val="001A1D53"/>
    <w:rsid w:val="001A2772"/>
    <w:rsid w:val="001A2F4C"/>
    <w:rsid w:val="001A3164"/>
    <w:rsid w:val="001A3368"/>
    <w:rsid w:val="001A3D86"/>
    <w:rsid w:val="001A442C"/>
    <w:rsid w:val="001A45AB"/>
    <w:rsid w:val="001A5017"/>
    <w:rsid w:val="001A5297"/>
    <w:rsid w:val="001A5639"/>
    <w:rsid w:val="001A569F"/>
    <w:rsid w:val="001A5E3A"/>
    <w:rsid w:val="001A69EF"/>
    <w:rsid w:val="001A6C4B"/>
    <w:rsid w:val="001A7234"/>
    <w:rsid w:val="001A758D"/>
    <w:rsid w:val="001A7644"/>
    <w:rsid w:val="001A7B05"/>
    <w:rsid w:val="001B0195"/>
    <w:rsid w:val="001B01E4"/>
    <w:rsid w:val="001B05C2"/>
    <w:rsid w:val="001B0EFC"/>
    <w:rsid w:val="001B21CA"/>
    <w:rsid w:val="001B3443"/>
    <w:rsid w:val="001B3B27"/>
    <w:rsid w:val="001B3B53"/>
    <w:rsid w:val="001B44C3"/>
    <w:rsid w:val="001B4762"/>
    <w:rsid w:val="001B5198"/>
    <w:rsid w:val="001B53EB"/>
    <w:rsid w:val="001B5AF1"/>
    <w:rsid w:val="001B5B16"/>
    <w:rsid w:val="001B5EBB"/>
    <w:rsid w:val="001B5EEF"/>
    <w:rsid w:val="001B6F8D"/>
    <w:rsid w:val="001B77C9"/>
    <w:rsid w:val="001B7A86"/>
    <w:rsid w:val="001B7D4C"/>
    <w:rsid w:val="001B7DCA"/>
    <w:rsid w:val="001C013C"/>
    <w:rsid w:val="001C032F"/>
    <w:rsid w:val="001C067D"/>
    <w:rsid w:val="001C0B83"/>
    <w:rsid w:val="001C0C8C"/>
    <w:rsid w:val="001C0FDE"/>
    <w:rsid w:val="001C14A7"/>
    <w:rsid w:val="001C152C"/>
    <w:rsid w:val="001C1650"/>
    <w:rsid w:val="001C172A"/>
    <w:rsid w:val="001C1BDF"/>
    <w:rsid w:val="001C2003"/>
    <w:rsid w:val="001C263F"/>
    <w:rsid w:val="001C26CD"/>
    <w:rsid w:val="001C2780"/>
    <w:rsid w:val="001C2AA1"/>
    <w:rsid w:val="001C2CAA"/>
    <w:rsid w:val="001C2D99"/>
    <w:rsid w:val="001C2EB2"/>
    <w:rsid w:val="001C2FE0"/>
    <w:rsid w:val="001C3753"/>
    <w:rsid w:val="001C37C5"/>
    <w:rsid w:val="001C3ECE"/>
    <w:rsid w:val="001C3F3D"/>
    <w:rsid w:val="001C4151"/>
    <w:rsid w:val="001C41B9"/>
    <w:rsid w:val="001C5558"/>
    <w:rsid w:val="001C5746"/>
    <w:rsid w:val="001C588B"/>
    <w:rsid w:val="001C5936"/>
    <w:rsid w:val="001C5CCD"/>
    <w:rsid w:val="001C5E2F"/>
    <w:rsid w:val="001C610D"/>
    <w:rsid w:val="001C7142"/>
    <w:rsid w:val="001C751F"/>
    <w:rsid w:val="001C79A8"/>
    <w:rsid w:val="001C7A4A"/>
    <w:rsid w:val="001D01C2"/>
    <w:rsid w:val="001D0AE4"/>
    <w:rsid w:val="001D0AEF"/>
    <w:rsid w:val="001D0B68"/>
    <w:rsid w:val="001D0D1A"/>
    <w:rsid w:val="001D0EE7"/>
    <w:rsid w:val="001D17CD"/>
    <w:rsid w:val="001D1B84"/>
    <w:rsid w:val="001D209A"/>
    <w:rsid w:val="001D226A"/>
    <w:rsid w:val="001D2AF1"/>
    <w:rsid w:val="001D3587"/>
    <w:rsid w:val="001D3AA1"/>
    <w:rsid w:val="001D4B72"/>
    <w:rsid w:val="001D4FE5"/>
    <w:rsid w:val="001D507E"/>
    <w:rsid w:val="001D50B4"/>
    <w:rsid w:val="001D5611"/>
    <w:rsid w:val="001D593B"/>
    <w:rsid w:val="001D5A0B"/>
    <w:rsid w:val="001D5ECD"/>
    <w:rsid w:val="001D658B"/>
    <w:rsid w:val="001D674F"/>
    <w:rsid w:val="001D6B33"/>
    <w:rsid w:val="001D6C8F"/>
    <w:rsid w:val="001D73E5"/>
    <w:rsid w:val="001D7846"/>
    <w:rsid w:val="001D7927"/>
    <w:rsid w:val="001D7C3C"/>
    <w:rsid w:val="001D7C4E"/>
    <w:rsid w:val="001D7EB6"/>
    <w:rsid w:val="001D7F51"/>
    <w:rsid w:val="001E05FB"/>
    <w:rsid w:val="001E113F"/>
    <w:rsid w:val="001E1192"/>
    <w:rsid w:val="001E146E"/>
    <w:rsid w:val="001E1953"/>
    <w:rsid w:val="001E234B"/>
    <w:rsid w:val="001E2467"/>
    <w:rsid w:val="001E2602"/>
    <w:rsid w:val="001E26B2"/>
    <w:rsid w:val="001E2778"/>
    <w:rsid w:val="001E2A66"/>
    <w:rsid w:val="001E2D81"/>
    <w:rsid w:val="001E2E7D"/>
    <w:rsid w:val="001E2FA6"/>
    <w:rsid w:val="001E35DC"/>
    <w:rsid w:val="001E36E2"/>
    <w:rsid w:val="001E37EA"/>
    <w:rsid w:val="001E3B00"/>
    <w:rsid w:val="001E3E01"/>
    <w:rsid w:val="001E3E66"/>
    <w:rsid w:val="001E3E7E"/>
    <w:rsid w:val="001E4BE7"/>
    <w:rsid w:val="001E58F8"/>
    <w:rsid w:val="001E59A7"/>
    <w:rsid w:val="001E604D"/>
    <w:rsid w:val="001E68C9"/>
    <w:rsid w:val="001E6EB8"/>
    <w:rsid w:val="001E72BC"/>
    <w:rsid w:val="001E7BD7"/>
    <w:rsid w:val="001E7E30"/>
    <w:rsid w:val="001F051E"/>
    <w:rsid w:val="001F0F85"/>
    <w:rsid w:val="001F1810"/>
    <w:rsid w:val="001F1C87"/>
    <w:rsid w:val="001F1CF6"/>
    <w:rsid w:val="001F28B7"/>
    <w:rsid w:val="001F300E"/>
    <w:rsid w:val="001F38C2"/>
    <w:rsid w:val="001F3C6E"/>
    <w:rsid w:val="001F45A9"/>
    <w:rsid w:val="001F4706"/>
    <w:rsid w:val="001F4B20"/>
    <w:rsid w:val="001F4DF5"/>
    <w:rsid w:val="001F502B"/>
    <w:rsid w:val="001F50C1"/>
    <w:rsid w:val="001F50F6"/>
    <w:rsid w:val="001F59CF"/>
    <w:rsid w:val="001F6269"/>
    <w:rsid w:val="001F63BB"/>
    <w:rsid w:val="001F6667"/>
    <w:rsid w:val="001F7873"/>
    <w:rsid w:val="001F7B85"/>
    <w:rsid w:val="001F7D9B"/>
    <w:rsid w:val="0020083B"/>
    <w:rsid w:val="002009CD"/>
    <w:rsid w:val="00200B49"/>
    <w:rsid w:val="00200F16"/>
    <w:rsid w:val="00201084"/>
    <w:rsid w:val="00201125"/>
    <w:rsid w:val="0020199E"/>
    <w:rsid w:val="0020200D"/>
    <w:rsid w:val="00202031"/>
    <w:rsid w:val="002020DE"/>
    <w:rsid w:val="0020226D"/>
    <w:rsid w:val="002025F9"/>
    <w:rsid w:val="00202A4F"/>
    <w:rsid w:val="00202AD5"/>
    <w:rsid w:val="00202BC7"/>
    <w:rsid w:val="00202DB4"/>
    <w:rsid w:val="00202E80"/>
    <w:rsid w:val="002036D3"/>
    <w:rsid w:val="00203768"/>
    <w:rsid w:val="00203CF8"/>
    <w:rsid w:val="00203D0B"/>
    <w:rsid w:val="0020403F"/>
    <w:rsid w:val="00204060"/>
    <w:rsid w:val="002041BF"/>
    <w:rsid w:val="00204229"/>
    <w:rsid w:val="00204534"/>
    <w:rsid w:val="002045E0"/>
    <w:rsid w:val="00204BEE"/>
    <w:rsid w:val="00204E02"/>
    <w:rsid w:val="00205399"/>
    <w:rsid w:val="0020555B"/>
    <w:rsid w:val="00205BC3"/>
    <w:rsid w:val="00205C46"/>
    <w:rsid w:val="00205F91"/>
    <w:rsid w:val="002061EB"/>
    <w:rsid w:val="002067A8"/>
    <w:rsid w:val="00206847"/>
    <w:rsid w:val="00206B71"/>
    <w:rsid w:val="00206D05"/>
    <w:rsid w:val="00206F6E"/>
    <w:rsid w:val="00206FF1"/>
    <w:rsid w:val="002071CD"/>
    <w:rsid w:val="00207450"/>
    <w:rsid w:val="002074CE"/>
    <w:rsid w:val="0020761E"/>
    <w:rsid w:val="002077AE"/>
    <w:rsid w:val="0020796B"/>
    <w:rsid w:val="00207C1C"/>
    <w:rsid w:val="00207EA1"/>
    <w:rsid w:val="00207EFB"/>
    <w:rsid w:val="002105F7"/>
    <w:rsid w:val="0021097C"/>
    <w:rsid w:val="00210A7C"/>
    <w:rsid w:val="0021171A"/>
    <w:rsid w:val="00211A73"/>
    <w:rsid w:val="00211E92"/>
    <w:rsid w:val="002121AB"/>
    <w:rsid w:val="00212250"/>
    <w:rsid w:val="002129AE"/>
    <w:rsid w:val="00212AF8"/>
    <w:rsid w:val="00212BB5"/>
    <w:rsid w:val="00212CF5"/>
    <w:rsid w:val="00213063"/>
    <w:rsid w:val="002132C5"/>
    <w:rsid w:val="0021330F"/>
    <w:rsid w:val="00213442"/>
    <w:rsid w:val="00213592"/>
    <w:rsid w:val="00213B3F"/>
    <w:rsid w:val="00213F0B"/>
    <w:rsid w:val="00214107"/>
    <w:rsid w:val="002144C0"/>
    <w:rsid w:val="002147B7"/>
    <w:rsid w:val="002155D3"/>
    <w:rsid w:val="00215607"/>
    <w:rsid w:val="00215C29"/>
    <w:rsid w:val="00215CDD"/>
    <w:rsid w:val="002161AE"/>
    <w:rsid w:val="002162A1"/>
    <w:rsid w:val="00216340"/>
    <w:rsid w:val="0021682D"/>
    <w:rsid w:val="00216B4E"/>
    <w:rsid w:val="00216DD6"/>
    <w:rsid w:val="0021704D"/>
    <w:rsid w:val="002173D9"/>
    <w:rsid w:val="002175F5"/>
    <w:rsid w:val="0021772A"/>
    <w:rsid w:val="00217B1F"/>
    <w:rsid w:val="00220071"/>
    <w:rsid w:val="0022044A"/>
    <w:rsid w:val="00220D21"/>
    <w:rsid w:val="00221296"/>
    <w:rsid w:val="00221664"/>
    <w:rsid w:val="00221C01"/>
    <w:rsid w:val="00221EE3"/>
    <w:rsid w:val="0022219C"/>
    <w:rsid w:val="00222271"/>
    <w:rsid w:val="002223AC"/>
    <w:rsid w:val="00222609"/>
    <w:rsid w:val="002227B6"/>
    <w:rsid w:val="002227E4"/>
    <w:rsid w:val="002229DB"/>
    <w:rsid w:val="00222AC8"/>
    <w:rsid w:val="00222E15"/>
    <w:rsid w:val="00222E2F"/>
    <w:rsid w:val="0022327B"/>
    <w:rsid w:val="0022331C"/>
    <w:rsid w:val="00223899"/>
    <w:rsid w:val="00223C1A"/>
    <w:rsid w:val="00223C8B"/>
    <w:rsid w:val="00224135"/>
    <w:rsid w:val="002247F1"/>
    <w:rsid w:val="00224A1D"/>
    <w:rsid w:val="00224AC8"/>
    <w:rsid w:val="00225235"/>
    <w:rsid w:val="00225887"/>
    <w:rsid w:val="00225896"/>
    <w:rsid w:val="002260BA"/>
    <w:rsid w:val="00226178"/>
    <w:rsid w:val="002261D2"/>
    <w:rsid w:val="002262DB"/>
    <w:rsid w:val="002264E5"/>
    <w:rsid w:val="002265AF"/>
    <w:rsid w:val="002267F4"/>
    <w:rsid w:val="00226CA6"/>
    <w:rsid w:val="0022729C"/>
    <w:rsid w:val="0022742C"/>
    <w:rsid w:val="00230048"/>
    <w:rsid w:val="002301EA"/>
    <w:rsid w:val="00230619"/>
    <w:rsid w:val="002310DB"/>
    <w:rsid w:val="0023138C"/>
    <w:rsid w:val="00231E16"/>
    <w:rsid w:val="00232F8E"/>
    <w:rsid w:val="002336C9"/>
    <w:rsid w:val="00233A55"/>
    <w:rsid w:val="00233F05"/>
    <w:rsid w:val="002348B7"/>
    <w:rsid w:val="00234A2C"/>
    <w:rsid w:val="00234A93"/>
    <w:rsid w:val="002350AC"/>
    <w:rsid w:val="002351F1"/>
    <w:rsid w:val="002354DE"/>
    <w:rsid w:val="002355B4"/>
    <w:rsid w:val="00235840"/>
    <w:rsid w:val="00235975"/>
    <w:rsid w:val="00235DD0"/>
    <w:rsid w:val="00236BB7"/>
    <w:rsid w:val="00236FB1"/>
    <w:rsid w:val="00237403"/>
    <w:rsid w:val="00237606"/>
    <w:rsid w:val="002376D4"/>
    <w:rsid w:val="002378DB"/>
    <w:rsid w:val="00237BA5"/>
    <w:rsid w:val="00237ECB"/>
    <w:rsid w:val="00237EDF"/>
    <w:rsid w:val="00240099"/>
    <w:rsid w:val="002400C9"/>
    <w:rsid w:val="0024059F"/>
    <w:rsid w:val="002406FB"/>
    <w:rsid w:val="0024074D"/>
    <w:rsid w:val="002407CB"/>
    <w:rsid w:val="00240A81"/>
    <w:rsid w:val="00241429"/>
    <w:rsid w:val="00241D60"/>
    <w:rsid w:val="00241D98"/>
    <w:rsid w:val="00241E3C"/>
    <w:rsid w:val="00242398"/>
    <w:rsid w:val="00242854"/>
    <w:rsid w:val="002429D9"/>
    <w:rsid w:val="00242BA2"/>
    <w:rsid w:val="00242BA3"/>
    <w:rsid w:val="00242CDE"/>
    <w:rsid w:val="0024325A"/>
    <w:rsid w:val="00243438"/>
    <w:rsid w:val="00243A06"/>
    <w:rsid w:val="00243BE2"/>
    <w:rsid w:val="002441E7"/>
    <w:rsid w:val="0024432B"/>
    <w:rsid w:val="00244799"/>
    <w:rsid w:val="00244CFB"/>
    <w:rsid w:val="002451E7"/>
    <w:rsid w:val="002454FD"/>
    <w:rsid w:val="002455A2"/>
    <w:rsid w:val="00245933"/>
    <w:rsid w:val="00245C0E"/>
    <w:rsid w:val="00245EF4"/>
    <w:rsid w:val="0024629F"/>
    <w:rsid w:val="002467CB"/>
    <w:rsid w:val="0024713F"/>
    <w:rsid w:val="00247152"/>
    <w:rsid w:val="00247209"/>
    <w:rsid w:val="00247585"/>
    <w:rsid w:val="002475C5"/>
    <w:rsid w:val="002477A3"/>
    <w:rsid w:val="00247FBB"/>
    <w:rsid w:val="00250279"/>
    <w:rsid w:val="00250524"/>
    <w:rsid w:val="002505A8"/>
    <w:rsid w:val="00250749"/>
    <w:rsid w:val="00250804"/>
    <w:rsid w:val="00250831"/>
    <w:rsid w:val="0025096F"/>
    <w:rsid w:val="00250E64"/>
    <w:rsid w:val="00250E9C"/>
    <w:rsid w:val="002513F9"/>
    <w:rsid w:val="00251931"/>
    <w:rsid w:val="00251B9C"/>
    <w:rsid w:val="00251D4E"/>
    <w:rsid w:val="00251EEE"/>
    <w:rsid w:val="00251FF0"/>
    <w:rsid w:val="00252ACF"/>
    <w:rsid w:val="00252BBC"/>
    <w:rsid w:val="00252DFB"/>
    <w:rsid w:val="0025322B"/>
    <w:rsid w:val="00253414"/>
    <w:rsid w:val="00253577"/>
    <w:rsid w:val="00253728"/>
    <w:rsid w:val="00253780"/>
    <w:rsid w:val="00253C23"/>
    <w:rsid w:val="00253EE4"/>
    <w:rsid w:val="00254557"/>
    <w:rsid w:val="00254BE8"/>
    <w:rsid w:val="00254FB2"/>
    <w:rsid w:val="00255013"/>
    <w:rsid w:val="002552B6"/>
    <w:rsid w:val="002552E4"/>
    <w:rsid w:val="00255AD3"/>
    <w:rsid w:val="00255AF6"/>
    <w:rsid w:val="00255CBF"/>
    <w:rsid w:val="00255E89"/>
    <w:rsid w:val="00255F57"/>
    <w:rsid w:val="0025608F"/>
    <w:rsid w:val="002569BB"/>
    <w:rsid w:val="002569F4"/>
    <w:rsid w:val="00256AEF"/>
    <w:rsid w:val="00256DE4"/>
    <w:rsid w:val="00256FEA"/>
    <w:rsid w:val="00257032"/>
    <w:rsid w:val="0025730A"/>
    <w:rsid w:val="0025740C"/>
    <w:rsid w:val="002575B0"/>
    <w:rsid w:val="002575CA"/>
    <w:rsid w:val="0025772B"/>
    <w:rsid w:val="00257C02"/>
    <w:rsid w:val="00257CB6"/>
    <w:rsid w:val="00257D79"/>
    <w:rsid w:val="0026010C"/>
    <w:rsid w:val="00260182"/>
    <w:rsid w:val="00261E61"/>
    <w:rsid w:val="00262127"/>
    <w:rsid w:val="002640C0"/>
    <w:rsid w:val="00264359"/>
    <w:rsid w:val="00264364"/>
    <w:rsid w:val="00264539"/>
    <w:rsid w:val="002647E1"/>
    <w:rsid w:val="00264D67"/>
    <w:rsid w:val="00265446"/>
    <w:rsid w:val="0026545F"/>
    <w:rsid w:val="00265875"/>
    <w:rsid w:val="00265DC7"/>
    <w:rsid w:val="00266262"/>
    <w:rsid w:val="0026644F"/>
    <w:rsid w:val="00266516"/>
    <w:rsid w:val="0026678E"/>
    <w:rsid w:val="00266968"/>
    <w:rsid w:val="00267E18"/>
    <w:rsid w:val="002701BD"/>
    <w:rsid w:val="00270349"/>
    <w:rsid w:val="0027084B"/>
    <w:rsid w:val="00270866"/>
    <w:rsid w:val="002709A4"/>
    <w:rsid w:val="00270DA4"/>
    <w:rsid w:val="00270E97"/>
    <w:rsid w:val="00270F66"/>
    <w:rsid w:val="0027164A"/>
    <w:rsid w:val="00271B85"/>
    <w:rsid w:val="00272500"/>
    <w:rsid w:val="00272695"/>
    <w:rsid w:val="00272707"/>
    <w:rsid w:val="00272C71"/>
    <w:rsid w:val="00273AAE"/>
    <w:rsid w:val="00273B42"/>
    <w:rsid w:val="002741EF"/>
    <w:rsid w:val="0027474C"/>
    <w:rsid w:val="002747DE"/>
    <w:rsid w:val="002755AF"/>
    <w:rsid w:val="002760A9"/>
    <w:rsid w:val="002764A6"/>
    <w:rsid w:val="0027668C"/>
    <w:rsid w:val="002768F1"/>
    <w:rsid w:val="00276A36"/>
    <w:rsid w:val="00277043"/>
    <w:rsid w:val="00277D46"/>
    <w:rsid w:val="00281508"/>
    <w:rsid w:val="0028172C"/>
    <w:rsid w:val="00281A36"/>
    <w:rsid w:val="00282A80"/>
    <w:rsid w:val="00282D58"/>
    <w:rsid w:val="00282D5E"/>
    <w:rsid w:val="0028345C"/>
    <w:rsid w:val="0028432A"/>
    <w:rsid w:val="002843C6"/>
    <w:rsid w:val="00284D41"/>
    <w:rsid w:val="00284E84"/>
    <w:rsid w:val="00285E03"/>
    <w:rsid w:val="00285EED"/>
    <w:rsid w:val="002863FB"/>
    <w:rsid w:val="002866D5"/>
    <w:rsid w:val="00286DBC"/>
    <w:rsid w:val="00286E9F"/>
    <w:rsid w:val="00286F03"/>
    <w:rsid w:val="00287649"/>
    <w:rsid w:val="00287F0D"/>
    <w:rsid w:val="002907A8"/>
    <w:rsid w:val="00290BF2"/>
    <w:rsid w:val="002911ED"/>
    <w:rsid w:val="00291680"/>
    <w:rsid w:val="00291A31"/>
    <w:rsid w:val="00291BA0"/>
    <w:rsid w:val="00291BD8"/>
    <w:rsid w:val="00291BF6"/>
    <w:rsid w:val="00292272"/>
    <w:rsid w:val="002923B0"/>
    <w:rsid w:val="002926F0"/>
    <w:rsid w:val="00292C7A"/>
    <w:rsid w:val="00292F08"/>
    <w:rsid w:val="0029368F"/>
    <w:rsid w:val="002937DA"/>
    <w:rsid w:val="00293C64"/>
    <w:rsid w:val="00294241"/>
    <w:rsid w:val="002945B4"/>
    <w:rsid w:val="00294895"/>
    <w:rsid w:val="00295167"/>
    <w:rsid w:val="00295954"/>
    <w:rsid w:val="00295AD2"/>
    <w:rsid w:val="00295AF0"/>
    <w:rsid w:val="00295B40"/>
    <w:rsid w:val="00295C3E"/>
    <w:rsid w:val="00296034"/>
    <w:rsid w:val="00296289"/>
    <w:rsid w:val="00296439"/>
    <w:rsid w:val="00296534"/>
    <w:rsid w:val="00296C96"/>
    <w:rsid w:val="00297A90"/>
    <w:rsid w:val="00297CD3"/>
    <w:rsid w:val="00297CEE"/>
    <w:rsid w:val="002A0574"/>
    <w:rsid w:val="002A086B"/>
    <w:rsid w:val="002A0BF1"/>
    <w:rsid w:val="002A1292"/>
    <w:rsid w:val="002A1546"/>
    <w:rsid w:val="002A1756"/>
    <w:rsid w:val="002A191C"/>
    <w:rsid w:val="002A1D35"/>
    <w:rsid w:val="002A1F89"/>
    <w:rsid w:val="002A20A7"/>
    <w:rsid w:val="002A293E"/>
    <w:rsid w:val="002A30E1"/>
    <w:rsid w:val="002A3863"/>
    <w:rsid w:val="002A389E"/>
    <w:rsid w:val="002A3C45"/>
    <w:rsid w:val="002A438C"/>
    <w:rsid w:val="002A53CD"/>
    <w:rsid w:val="002A5BCB"/>
    <w:rsid w:val="002A5C75"/>
    <w:rsid w:val="002A5E16"/>
    <w:rsid w:val="002A614A"/>
    <w:rsid w:val="002A62B0"/>
    <w:rsid w:val="002A7B72"/>
    <w:rsid w:val="002A7D0E"/>
    <w:rsid w:val="002B003D"/>
    <w:rsid w:val="002B03B0"/>
    <w:rsid w:val="002B0616"/>
    <w:rsid w:val="002B06DD"/>
    <w:rsid w:val="002B11A3"/>
    <w:rsid w:val="002B137D"/>
    <w:rsid w:val="002B158C"/>
    <w:rsid w:val="002B1911"/>
    <w:rsid w:val="002B1AE5"/>
    <w:rsid w:val="002B1D8A"/>
    <w:rsid w:val="002B276D"/>
    <w:rsid w:val="002B2866"/>
    <w:rsid w:val="002B288A"/>
    <w:rsid w:val="002B2A6C"/>
    <w:rsid w:val="002B2C08"/>
    <w:rsid w:val="002B2D5B"/>
    <w:rsid w:val="002B2E9C"/>
    <w:rsid w:val="002B357B"/>
    <w:rsid w:val="002B35E8"/>
    <w:rsid w:val="002B3C3D"/>
    <w:rsid w:val="002B3D62"/>
    <w:rsid w:val="002B3FAB"/>
    <w:rsid w:val="002B462B"/>
    <w:rsid w:val="002B46ED"/>
    <w:rsid w:val="002B4774"/>
    <w:rsid w:val="002B51FB"/>
    <w:rsid w:val="002B537D"/>
    <w:rsid w:val="002B5522"/>
    <w:rsid w:val="002B5C09"/>
    <w:rsid w:val="002B5E78"/>
    <w:rsid w:val="002B5EDE"/>
    <w:rsid w:val="002B5FD5"/>
    <w:rsid w:val="002B67AA"/>
    <w:rsid w:val="002B67DA"/>
    <w:rsid w:val="002B6AC6"/>
    <w:rsid w:val="002B7078"/>
    <w:rsid w:val="002B7C6B"/>
    <w:rsid w:val="002C0890"/>
    <w:rsid w:val="002C0E5E"/>
    <w:rsid w:val="002C18C1"/>
    <w:rsid w:val="002C1E6B"/>
    <w:rsid w:val="002C25DF"/>
    <w:rsid w:val="002C2638"/>
    <w:rsid w:val="002C272E"/>
    <w:rsid w:val="002C2805"/>
    <w:rsid w:val="002C2879"/>
    <w:rsid w:val="002C2A74"/>
    <w:rsid w:val="002C2D3B"/>
    <w:rsid w:val="002C30D5"/>
    <w:rsid w:val="002C323E"/>
    <w:rsid w:val="002C3AA9"/>
    <w:rsid w:val="002C4330"/>
    <w:rsid w:val="002C450D"/>
    <w:rsid w:val="002C4624"/>
    <w:rsid w:val="002C4900"/>
    <w:rsid w:val="002C4BDA"/>
    <w:rsid w:val="002C4DCE"/>
    <w:rsid w:val="002C5616"/>
    <w:rsid w:val="002C5905"/>
    <w:rsid w:val="002C5916"/>
    <w:rsid w:val="002C5B4C"/>
    <w:rsid w:val="002C5CD9"/>
    <w:rsid w:val="002C604B"/>
    <w:rsid w:val="002C635C"/>
    <w:rsid w:val="002C63B6"/>
    <w:rsid w:val="002C656B"/>
    <w:rsid w:val="002C6F9F"/>
    <w:rsid w:val="002C7C8F"/>
    <w:rsid w:val="002D0BF2"/>
    <w:rsid w:val="002D0E0A"/>
    <w:rsid w:val="002D10EB"/>
    <w:rsid w:val="002D1275"/>
    <w:rsid w:val="002D12B1"/>
    <w:rsid w:val="002D12ED"/>
    <w:rsid w:val="002D1457"/>
    <w:rsid w:val="002D16D3"/>
    <w:rsid w:val="002D172E"/>
    <w:rsid w:val="002D19FB"/>
    <w:rsid w:val="002D1B5D"/>
    <w:rsid w:val="002D1B90"/>
    <w:rsid w:val="002D1FF3"/>
    <w:rsid w:val="002D2021"/>
    <w:rsid w:val="002D2075"/>
    <w:rsid w:val="002D2F76"/>
    <w:rsid w:val="002D2FD2"/>
    <w:rsid w:val="002D3019"/>
    <w:rsid w:val="002D3243"/>
    <w:rsid w:val="002D32CE"/>
    <w:rsid w:val="002D35C0"/>
    <w:rsid w:val="002D3642"/>
    <w:rsid w:val="002D3A2B"/>
    <w:rsid w:val="002D4220"/>
    <w:rsid w:val="002D4395"/>
    <w:rsid w:val="002D451E"/>
    <w:rsid w:val="002D458B"/>
    <w:rsid w:val="002D4906"/>
    <w:rsid w:val="002D5227"/>
    <w:rsid w:val="002D5258"/>
    <w:rsid w:val="002D554E"/>
    <w:rsid w:val="002D5AA5"/>
    <w:rsid w:val="002D5F27"/>
    <w:rsid w:val="002D5F62"/>
    <w:rsid w:val="002D60CE"/>
    <w:rsid w:val="002D6121"/>
    <w:rsid w:val="002D6286"/>
    <w:rsid w:val="002D63AE"/>
    <w:rsid w:val="002D67EE"/>
    <w:rsid w:val="002D6B03"/>
    <w:rsid w:val="002D6FCA"/>
    <w:rsid w:val="002D72FF"/>
    <w:rsid w:val="002E0927"/>
    <w:rsid w:val="002E0C5D"/>
    <w:rsid w:val="002E1273"/>
    <w:rsid w:val="002E1306"/>
    <w:rsid w:val="002E1B06"/>
    <w:rsid w:val="002E2198"/>
    <w:rsid w:val="002E2233"/>
    <w:rsid w:val="002E28FD"/>
    <w:rsid w:val="002E2E01"/>
    <w:rsid w:val="002E2F45"/>
    <w:rsid w:val="002E2FF1"/>
    <w:rsid w:val="002E3388"/>
    <w:rsid w:val="002E3398"/>
    <w:rsid w:val="002E372E"/>
    <w:rsid w:val="002E3F72"/>
    <w:rsid w:val="002E4168"/>
    <w:rsid w:val="002E41FD"/>
    <w:rsid w:val="002E4513"/>
    <w:rsid w:val="002E454D"/>
    <w:rsid w:val="002E531B"/>
    <w:rsid w:val="002E53BA"/>
    <w:rsid w:val="002E5508"/>
    <w:rsid w:val="002E5561"/>
    <w:rsid w:val="002E562F"/>
    <w:rsid w:val="002E5AC7"/>
    <w:rsid w:val="002E5CDA"/>
    <w:rsid w:val="002E5EDD"/>
    <w:rsid w:val="002E64D2"/>
    <w:rsid w:val="002E6C2C"/>
    <w:rsid w:val="002E6F57"/>
    <w:rsid w:val="002E73EE"/>
    <w:rsid w:val="002E74A9"/>
    <w:rsid w:val="002E79A1"/>
    <w:rsid w:val="002E7C4A"/>
    <w:rsid w:val="002E7F34"/>
    <w:rsid w:val="002F0021"/>
    <w:rsid w:val="002F0CCD"/>
    <w:rsid w:val="002F0D95"/>
    <w:rsid w:val="002F158F"/>
    <w:rsid w:val="002F1747"/>
    <w:rsid w:val="002F18DD"/>
    <w:rsid w:val="002F1CA5"/>
    <w:rsid w:val="002F1D29"/>
    <w:rsid w:val="002F1E12"/>
    <w:rsid w:val="002F246F"/>
    <w:rsid w:val="002F24B5"/>
    <w:rsid w:val="002F25CF"/>
    <w:rsid w:val="002F264B"/>
    <w:rsid w:val="002F300D"/>
    <w:rsid w:val="002F3A20"/>
    <w:rsid w:val="002F4265"/>
    <w:rsid w:val="002F43B8"/>
    <w:rsid w:val="002F54D3"/>
    <w:rsid w:val="002F5A7A"/>
    <w:rsid w:val="002F5BB4"/>
    <w:rsid w:val="002F5F27"/>
    <w:rsid w:val="002F67A0"/>
    <w:rsid w:val="002F6827"/>
    <w:rsid w:val="002F6B7C"/>
    <w:rsid w:val="002F6D24"/>
    <w:rsid w:val="002F702A"/>
    <w:rsid w:val="002F734A"/>
    <w:rsid w:val="002F7B1C"/>
    <w:rsid w:val="003006F5"/>
    <w:rsid w:val="003008EB"/>
    <w:rsid w:val="0030116A"/>
    <w:rsid w:val="00301524"/>
    <w:rsid w:val="00301C06"/>
    <w:rsid w:val="00301CAE"/>
    <w:rsid w:val="00301CCF"/>
    <w:rsid w:val="00302B95"/>
    <w:rsid w:val="00302F55"/>
    <w:rsid w:val="0030361B"/>
    <w:rsid w:val="00304158"/>
    <w:rsid w:val="00304769"/>
    <w:rsid w:val="00304A10"/>
    <w:rsid w:val="00305207"/>
    <w:rsid w:val="00305457"/>
    <w:rsid w:val="0030562B"/>
    <w:rsid w:val="00305651"/>
    <w:rsid w:val="00305745"/>
    <w:rsid w:val="0030579C"/>
    <w:rsid w:val="00305A1A"/>
    <w:rsid w:val="00305F6B"/>
    <w:rsid w:val="00306549"/>
    <w:rsid w:val="00306697"/>
    <w:rsid w:val="003067E4"/>
    <w:rsid w:val="0030696F"/>
    <w:rsid w:val="00306AC2"/>
    <w:rsid w:val="00306CC9"/>
    <w:rsid w:val="00306D5B"/>
    <w:rsid w:val="00306EF2"/>
    <w:rsid w:val="00306FEE"/>
    <w:rsid w:val="003072CD"/>
    <w:rsid w:val="0030740B"/>
    <w:rsid w:val="0030786C"/>
    <w:rsid w:val="0030796F"/>
    <w:rsid w:val="00307B0B"/>
    <w:rsid w:val="0031002A"/>
    <w:rsid w:val="0031021E"/>
    <w:rsid w:val="0031036B"/>
    <w:rsid w:val="00310945"/>
    <w:rsid w:val="00310BCE"/>
    <w:rsid w:val="00310DC6"/>
    <w:rsid w:val="00311AC9"/>
    <w:rsid w:val="003126DB"/>
    <w:rsid w:val="00312873"/>
    <w:rsid w:val="00312CA7"/>
    <w:rsid w:val="0031308D"/>
    <w:rsid w:val="003130BB"/>
    <w:rsid w:val="0031317F"/>
    <w:rsid w:val="003131D1"/>
    <w:rsid w:val="003136F2"/>
    <w:rsid w:val="00314E5A"/>
    <w:rsid w:val="00314F69"/>
    <w:rsid w:val="00315865"/>
    <w:rsid w:val="003159C9"/>
    <w:rsid w:val="00315B01"/>
    <w:rsid w:val="00316081"/>
    <w:rsid w:val="003166B4"/>
    <w:rsid w:val="00316C74"/>
    <w:rsid w:val="00316FFE"/>
    <w:rsid w:val="0031734C"/>
    <w:rsid w:val="003174CF"/>
    <w:rsid w:val="0031799A"/>
    <w:rsid w:val="00317AC9"/>
    <w:rsid w:val="0032056A"/>
    <w:rsid w:val="0032056B"/>
    <w:rsid w:val="0032076A"/>
    <w:rsid w:val="003216B7"/>
    <w:rsid w:val="003217FF"/>
    <w:rsid w:val="00321E01"/>
    <w:rsid w:val="00321F10"/>
    <w:rsid w:val="0032221D"/>
    <w:rsid w:val="00322403"/>
    <w:rsid w:val="00322482"/>
    <w:rsid w:val="00322F7D"/>
    <w:rsid w:val="0032320C"/>
    <w:rsid w:val="00323267"/>
    <w:rsid w:val="00323AE8"/>
    <w:rsid w:val="00323B09"/>
    <w:rsid w:val="00324415"/>
    <w:rsid w:val="003246CB"/>
    <w:rsid w:val="0032471A"/>
    <w:rsid w:val="00324818"/>
    <w:rsid w:val="00324AA4"/>
    <w:rsid w:val="00324AC4"/>
    <w:rsid w:val="00324D37"/>
    <w:rsid w:val="00324FAB"/>
    <w:rsid w:val="003253A9"/>
    <w:rsid w:val="003254A5"/>
    <w:rsid w:val="0032559C"/>
    <w:rsid w:val="00325A53"/>
    <w:rsid w:val="00325C88"/>
    <w:rsid w:val="00326210"/>
    <w:rsid w:val="0032666B"/>
    <w:rsid w:val="003267A7"/>
    <w:rsid w:val="0032717F"/>
    <w:rsid w:val="0032742C"/>
    <w:rsid w:val="003275A5"/>
    <w:rsid w:val="003277A8"/>
    <w:rsid w:val="003302A7"/>
    <w:rsid w:val="0033218F"/>
    <w:rsid w:val="0033224B"/>
    <w:rsid w:val="0033247C"/>
    <w:rsid w:val="0033299B"/>
    <w:rsid w:val="00332A99"/>
    <w:rsid w:val="00332E9E"/>
    <w:rsid w:val="00333A56"/>
    <w:rsid w:val="00334000"/>
    <w:rsid w:val="0033404F"/>
    <w:rsid w:val="0033420E"/>
    <w:rsid w:val="00334550"/>
    <w:rsid w:val="0033471B"/>
    <w:rsid w:val="00334FFC"/>
    <w:rsid w:val="00335277"/>
    <w:rsid w:val="003362BA"/>
    <w:rsid w:val="00336386"/>
    <w:rsid w:val="00336996"/>
    <w:rsid w:val="00336BD9"/>
    <w:rsid w:val="00337817"/>
    <w:rsid w:val="0034005E"/>
    <w:rsid w:val="0034083E"/>
    <w:rsid w:val="00340BB4"/>
    <w:rsid w:val="0034130F"/>
    <w:rsid w:val="00341852"/>
    <w:rsid w:val="00341948"/>
    <w:rsid w:val="00341EE6"/>
    <w:rsid w:val="003420BD"/>
    <w:rsid w:val="0034240E"/>
    <w:rsid w:val="00342BDD"/>
    <w:rsid w:val="00342D62"/>
    <w:rsid w:val="00342F35"/>
    <w:rsid w:val="00342F4B"/>
    <w:rsid w:val="00343F37"/>
    <w:rsid w:val="0034437F"/>
    <w:rsid w:val="0034438D"/>
    <w:rsid w:val="003444D2"/>
    <w:rsid w:val="003446BE"/>
    <w:rsid w:val="00344975"/>
    <w:rsid w:val="00344A70"/>
    <w:rsid w:val="003457C0"/>
    <w:rsid w:val="00346060"/>
    <w:rsid w:val="003465F1"/>
    <w:rsid w:val="0034674B"/>
    <w:rsid w:val="00346F24"/>
    <w:rsid w:val="00346FA4"/>
    <w:rsid w:val="00347BA6"/>
    <w:rsid w:val="00347C4F"/>
    <w:rsid w:val="00347D50"/>
    <w:rsid w:val="00347F89"/>
    <w:rsid w:val="00347FA2"/>
    <w:rsid w:val="00350453"/>
    <w:rsid w:val="00350813"/>
    <w:rsid w:val="00350891"/>
    <w:rsid w:val="00350D59"/>
    <w:rsid w:val="00351109"/>
    <w:rsid w:val="00351217"/>
    <w:rsid w:val="0035187A"/>
    <w:rsid w:val="00351916"/>
    <w:rsid w:val="0035212D"/>
    <w:rsid w:val="00352872"/>
    <w:rsid w:val="00352999"/>
    <w:rsid w:val="003529B8"/>
    <w:rsid w:val="00352A55"/>
    <w:rsid w:val="0035317F"/>
    <w:rsid w:val="00353206"/>
    <w:rsid w:val="0035331E"/>
    <w:rsid w:val="00353DCB"/>
    <w:rsid w:val="00354755"/>
    <w:rsid w:val="003549AB"/>
    <w:rsid w:val="003549E1"/>
    <w:rsid w:val="00354AC7"/>
    <w:rsid w:val="00355663"/>
    <w:rsid w:val="00355977"/>
    <w:rsid w:val="00355A13"/>
    <w:rsid w:val="00355AF5"/>
    <w:rsid w:val="00355BAB"/>
    <w:rsid w:val="00355D10"/>
    <w:rsid w:val="00355E4D"/>
    <w:rsid w:val="00355EB2"/>
    <w:rsid w:val="003562BD"/>
    <w:rsid w:val="00356EC8"/>
    <w:rsid w:val="00356FAF"/>
    <w:rsid w:val="00357085"/>
    <w:rsid w:val="003575BE"/>
    <w:rsid w:val="003579CE"/>
    <w:rsid w:val="00357FE4"/>
    <w:rsid w:val="0036052D"/>
    <w:rsid w:val="003607B2"/>
    <w:rsid w:val="00360B7A"/>
    <w:rsid w:val="00360BDB"/>
    <w:rsid w:val="00360DD1"/>
    <w:rsid w:val="003610BB"/>
    <w:rsid w:val="00361E39"/>
    <w:rsid w:val="00361EC6"/>
    <w:rsid w:val="0036237D"/>
    <w:rsid w:val="00362687"/>
    <w:rsid w:val="003627A4"/>
    <w:rsid w:val="00362A82"/>
    <w:rsid w:val="00362D8A"/>
    <w:rsid w:val="00364411"/>
    <w:rsid w:val="00364BB7"/>
    <w:rsid w:val="00365A92"/>
    <w:rsid w:val="00365AE3"/>
    <w:rsid w:val="00365E46"/>
    <w:rsid w:val="00365F7F"/>
    <w:rsid w:val="00366606"/>
    <w:rsid w:val="00366697"/>
    <w:rsid w:val="00366D0C"/>
    <w:rsid w:val="00367716"/>
    <w:rsid w:val="003678AE"/>
    <w:rsid w:val="00367C5C"/>
    <w:rsid w:val="00367D50"/>
    <w:rsid w:val="003703C9"/>
    <w:rsid w:val="0037062C"/>
    <w:rsid w:val="003706DF"/>
    <w:rsid w:val="00370DEF"/>
    <w:rsid w:val="003711BA"/>
    <w:rsid w:val="003711BF"/>
    <w:rsid w:val="00371573"/>
    <w:rsid w:val="0037183B"/>
    <w:rsid w:val="00371DD4"/>
    <w:rsid w:val="00371E38"/>
    <w:rsid w:val="003720F0"/>
    <w:rsid w:val="003723B2"/>
    <w:rsid w:val="00372460"/>
    <w:rsid w:val="003727F4"/>
    <w:rsid w:val="003728D0"/>
    <w:rsid w:val="00372A48"/>
    <w:rsid w:val="00372AFE"/>
    <w:rsid w:val="00372BF0"/>
    <w:rsid w:val="00372E34"/>
    <w:rsid w:val="0037305C"/>
    <w:rsid w:val="00373476"/>
    <w:rsid w:val="00373CFF"/>
    <w:rsid w:val="00373E4B"/>
    <w:rsid w:val="003744D6"/>
    <w:rsid w:val="0037459C"/>
    <w:rsid w:val="00374D9F"/>
    <w:rsid w:val="0037592D"/>
    <w:rsid w:val="00375BAB"/>
    <w:rsid w:val="00375D4D"/>
    <w:rsid w:val="00375E33"/>
    <w:rsid w:val="00377186"/>
    <w:rsid w:val="00377277"/>
    <w:rsid w:val="003778E1"/>
    <w:rsid w:val="003802F0"/>
    <w:rsid w:val="00380443"/>
    <w:rsid w:val="00380966"/>
    <w:rsid w:val="00380C72"/>
    <w:rsid w:val="00380E39"/>
    <w:rsid w:val="003812CD"/>
    <w:rsid w:val="0038151C"/>
    <w:rsid w:val="003815AE"/>
    <w:rsid w:val="00382C8F"/>
    <w:rsid w:val="00382C96"/>
    <w:rsid w:val="00382CC5"/>
    <w:rsid w:val="00382FC2"/>
    <w:rsid w:val="00383202"/>
    <w:rsid w:val="00383590"/>
    <w:rsid w:val="003837AF"/>
    <w:rsid w:val="00384624"/>
    <w:rsid w:val="00384682"/>
    <w:rsid w:val="003847D3"/>
    <w:rsid w:val="0038491B"/>
    <w:rsid w:val="00384A6E"/>
    <w:rsid w:val="00384C23"/>
    <w:rsid w:val="00384C79"/>
    <w:rsid w:val="003854A9"/>
    <w:rsid w:val="003856EA"/>
    <w:rsid w:val="00385953"/>
    <w:rsid w:val="00386155"/>
    <w:rsid w:val="00386480"/>
    <w:rsid w:val="00386942"/>
    <w:rsid w:val="00386D66"/>
    <w:rsid w:val="00387321"/>
    <w:rsid w:val="003877AB"/>
    <w:rsid w:val="0039008B"/>
    <w:rsid w:val="0039010D"/>
    <w:rsid w:val="00390242"/>
    <w:rsid w:val="00390750"/>
    <w:rsid w:val="00390BD4"/>
    <w:rsid w:val="00390C3D"/>
    <w:rsid w:val="00390F34"/>
    <w:rsid w:val="00391B78"/>
    <w:rsid w:val="00391B9B"/>
    <w:rsid w:val="00391EAA"/>
    <w:rsid w:val="003922A8"/>
    <w:rsid w:val="00392464"/>
    <w:rsid w:val="00392A02"/>
    <w:rsid w:val="00393123"/>
    <w:rsid w:val="003933DB"/>
    <w:rsid w:val="00393A1C"/>
    <w:rsid w:val="00393D14"/>
    <w:rsid w:val="00394AE3"/>
    <w:rsid w:val="00394D35"/>
    <w:rsid w:val="00394EAE"/>
    <w:rsid w:val="00394F20"/>
    <w:rsid w:val="003954DF"/>
    <w:rsid w:val="003955A7"/>
    <w:rsid w:val="003955D7"/>
    <w:rsid w:val="0039568A"/>
    <w:rsid w:val="00395A26"/>
    <w:rsid w:val="00395CB6"/>
    <w:rsid w:val="00395F78"/>
    <w:rsid w:val="00396B69"/>
    <w:rsid w:val="00396DCF"/>
    <w:rsid w:val="003970A7"/>
    <w:rsid w:val="00397141"/>
    <w:rsid w:val="00397B73"/>
    <w:rsid w:val="00397D9D"/>
    <w:rsid w:val="003A0046"/>
    <w:rsid w:val="003A024C"/>
    <w:rsid w:val="003A031F"/>
    <w:rsid w:val="003A0C79"/>
    <w:rsid w:val="003A0D43"/>
    <w:rsid w:val="003A0F85"/>
    <w:rsid w:val="003A1AED"/>
    <w:rsid w:val="003A2586"/>
    <w:rsid w:val="003A34EB"/>
    <w:rsid w:val="003A418B"/>
    <w:rsid w:val="003A438C"/>
    <w:rsid w:val="003A48EB"/>
    <w:rsid w:val="003A4C61"/>
    <w:rsid w:val="003A500A"/>
    <w:rsid w:val="003A54C4"/>
    <w:rsid w:val="003A5665"/>
    <w:rsid w:val="003A5728"/>
    <w:rsid w:val="003A5A46"/>
    <w:rsid w:val="003A5D54"/>
    <w:rsid w:val="003A6E1E"/>
    <w:rsid w:val="003A6E84"/>
    <w:rsid w:val="003A7C5B"/>
    <w:rsid w:val="003A7D3F"/>
    <w:rsid w:val="003B00FD"/>
    <w:rsid w:val="003B029A"/>
    <w:rsid w:val="003B04C3"/>
    <w:rsid w:val="003B0AAD"/>
    <w:rsid w:val="003B0B47"/>
    <w:rsid w:val="003B1590"/>
    <w:rsid w:val="003B16AE"/>
    <w:rsid w:val="003B178C"/>
    <w:rsid w:val="003B23E5"/>
    <w:rsid w:val="003B23FD"/>
    <w:rsid w:val="003B25AE"/>
    <w:rsid w:val="003B2657"/>
    <w:rsid w:val="003B2972"/>
    <w:rsid w:val="003B2A3B"/>
    <w:rsid w:val="003B2C42"/>
    <w:rsid w:val="003B2E5C"/>
    <w:rsid w:val="003B30E4"/>
    <w:rsid w:val="003B367B"/>
    <w:rsid w:val="003B3C7F"/>
    <w:rsid w:val="003B3CE9"/>
    <w:rsid w:val="003B3FB5"/>
    <w:rsid w:val="003B43BC"/>
    <w:rsid w:val="003B44E3"/>
    <w:rsid w:val="003B47EC"/>
    <w:rsid w:val="003B4838"/>
    <w:rsid w:val="003B497A"/>
    <w:rsid w:val="003B512C"/>
    <w:rsid w:val="003B54BC"/>
    <w:rsid w:val="003B5627"/>
    <w:rsid w:val="003B576A"/>
    <w:rsid w:val="003B582B"/>
    <w:rsid w:val="003B59C4"/>
    <w:rsid w:val="003B5AC1"/>
    <w:rsid w:val="003B5D65"/>
    <w:rsid w:val="003B6012"/>
    <w:rsid w:val="003B60A7"/>
    <w:rsid w:val="003B797C"/>
    <w:rsid w:val="003C025B"/>
    <w:rsid w:val="003C0856"/>
    <w:rsid w:val="003C0974"/>
    <w:rsid w:val="003C0A83"/>
    <w:rsid w:val="003C1644"/>
    <w:rsid w:val="003C1B32"/>
    <w:rsid w:val="003C1DD5"/>
    <w:rsid w:val="003C1E3D"/>
    <w:rsid w:val="003C2193"/>
    <w:rsid w:val="003C24D9"/>
    <w:rsid w:val="003C257E"/>
    <w:rsid w:val="003C25D5"/>
    <w:rsid w:val="003C28DB"/>
    <w:rsid w:val="003C2A1B"/>
    <w:rsid w:val="003C2F8E"/>
    <w:rsid w:val="003C36FF"/>
    <w:rsid w:val="003C378C"/>
    <w:rsid w:val="003C3E2A"/>
    <w:rsid w:val="003C502B"/>
    <w:rsid w:val="003C51B9"/>
    <w:rsid w:val="003C6180"/>
    <w:rsid w:val="003C69AE"/>
    <w:rsid w:val="003C6EEF"/>
    <w:rsid w:val="003C729B"/>
    <w:rsid w:val="003C736D"/>
    <w:rsid w:val="003C7513"/>
    <w:rsid w:val="003C7C0B"/>
    <w:rsid w:val="003D0276"/>
    <w:rsid w:val="003D0AA3"/>
    <w:rsid w:val="003D0BA7"/>
    <w:rsid w:val="003D0D16"/>
    <w:rsid w:val="003D0D1C"/>
    <w:rsid w:val="003D1381"/>
    <w:rsid w:val="003D15F8"/>
    <w:rsid w:val="003D1693"/>
    <w:rsid w:val="003D1F57"/>
    <w:rsid w:val="003D1F93"/>
    <w:rsid w:val="003D2F8F"/>
    <w:rsid w:val="003D3218"/>
    <w:rsid w:val="003D37E2"/>
    <w:rsid w:val="003D3A98"/>
    <w:rsid w:val="003D3E15"/>
    <w:rsid w:val="003D417A"/>
    <w:rsid w:val="003D4306"/>
    <w:rsid w:val="003D453E"/>
    <w:rsid w:val="003D49F0"/>
    <w:rsid w:val="003D4C82"/>
    <w:rsid w:val="003D53B7"/>
    <w:rsid w:val="003D5E45"/>
    <w:rsid w:val="003D5F62"/>
    <w:rsid w:val="003D616D"/>
    <w:rsid w:val="003D6171"/>
    <w:rsid w:val="003D64D2"/>
    <w:rsid w:val="003D6BEE"/>
    <w:rsid w:val="003D72F9"/>
    <w:rsid w:val="003D73F1"/>
    <w:rsid w:val="003E0397"/>
    <w:rsid w:val="003E0F8B"/>
    <w:rsid w:val="003E1403"/>
    <w:rsid w:val="003E1A47"/>
    <w:rsid w:val="003E1B9F"/>
    <w:rsid w:val="003E21DE"/>
    <w:rsid w:val="003E24BE"/>
    <w:rsid w:val="003E2AFB"/>
    <w:rsid w:val="003E2BC1"/>
    <w:rsid w:val="003E3189"/>
    <w:rsid w:val="003E34C2"/>
    <w:rsid w:val="003E34F9"/>
    <w:rsid w:val="003E36C5"/>
    <w:rsid w:val="003E39C7"/>
    <w:rsid w:val="003E3BEF"/>
    <w:rsid w:val="003E41B7"/>
    <w:rsid w:val="003E4622"/>
    <w:rsid w:val="003E4902"/>
    <w:rsid w:val="003E494C"/>
    <w:rsid w:val="003E4EDB"/>
    <w:rsid w:val="003E5288"/>
    <w:rsid w:val="003E5BCB"/>
    <w:rsid w:val="003E5EA3"/>
    <w:rsid w:val="003E63E6"/>
    <w:rsid w:val="003E65EF"/>
    <w:rsid w:val="003E6B4C"/>
    <w:rsid w:val="003E76A2"/>
    <w:rsid w:val="003E795E"/>
    <w:rsid w:val="003E7AB4"/>
    <w:rsid w:val="003E7ADD"/>
    <w:rsid w:val="003F03D0"/>
    <w:rsid w:val="003F06B0"/>
    <w:rsid w:val="003F0717"/>
    <w:rsid w:val="003F09FF"/>
    <w:rsid w:val="003F1038"/>
    <w:rsid w:val="003F1431"/>
    <w:rsid w:val="003F19D4"/>
    <w:rsid w:val="003F1D70"/>
    <w:rsid w:val="003F1F10"/>
    <w:rsid w:val="003F1FBB"/>
    <w:rsid w:val="003F21C5"/>
    <w:rsid w:val="003F2676"/>
    <w:rsid w:val="003F2A8D"/>
    <w:rsid w:val="003F2CD7"/>
    <w:rsid w:val="003F308D"/>
    <w:rsid w:val="003F35FA"/>
    <w:rsid w:val="003F3F88"/>
    <w:rsid w:val="003F40FC"/>
    <w:rsid w:val="003F41CA"/>
    <w:rsid w:val="003F485A"/>
    <w:rsid w:val="003F4A7A"/>
    <w:rsid w:val="003F4CF2"/>
    <w:rsid w:val="003F4E26"/>
    <w:rsid w:val="003F4F2C"/>
    <w:rsid w:val="003F54E2"/>
    <w:rsid w:val="003F5919"/>
    <w:rsid w:val="003F5A1C"/>
    <w:rsid w:val="003F6163"/>
    <w:rsid w:val="003F6464"/>
    <w:rsid w:val="003F677B"/>
    <w:rsid w:val="003F67E6"/>
    <w:rsid w:val="003F6E62"/>
    <w:rsid w:val="003F777B"/>
    <w:rsid w:val="003F7882"/>
    <w:rsid w:val="003F7A46"/>
    <w:rsid w:val="003F7A83"/>
    <w:rsid w:val="003F7F62"/>
    <w:rsid w:val="004006F7"/>
    <w:rsid w:val="004007EC"/>
    <w:rsid w:val="004012C7"/>
    <w:rsid w:val="0040164D"/>
    <w:rsid w:val="0040174E"/>
    <w:rsid w:val="00401BD7"/>
    <w:rsid w:val="00401D0C"/>
    <w:rsid w:val="00401E59"/>
    <w:rsid w:val="004022CD"/>
    <w:rsid w:val="00402494"/>
    <w:rsid w:val="0040252E"/>
    <w:rsid w:val="00402696"/>
    <w:rsid w:val="00402D30"/>
    <w:rsid w:val="004037F2"/>
    <w:rsid w:val="00403C76"/>
    <w:rsid w:val="00403D8A"/>
    <w:rsid w:val="00403E1A"/>
    <w:rsid w:val="00403ECA"/>
    <w:rsid w:val="00404394"/>
    <w:rsid w:val="00404471"/>
    <w:rsid w:val="00404475"/>
    <w:rsid w:val="00404599"/>
    <w:rsid w:val="00404E18"/>
    <w:rsid w:val="0040587B"/>
    <w:rsid w:val="0040643B"/>
    <w:rsid w:val="004069AD"/>
    <w:rsid w:val="00406B7B"/>
    <w:rsid w:val="00406DCB"/>
    <w:rsid w:val="00406ED1"/>
    <w:rsid w:val="004072A8"/>
    <w:rsid w:val="004074E1"/>
    <w:rsid w:val="00407505"/>
    <w:rsid w:val="00407921"/>
    <w:rsid w:val="004110A5"/>
    <w:rsid w:val="004115AD"/>
    <w:rsid w:val="00411892"/>
    <w:rsid w:val="00411B3F"/>
    <w:rsid w:val="00412122"/>
    <w:rsid w:val="00412580"/>
    <w:rsid w:val="00412607"/>
    <w:rsid w:val="00412723"/>
    <w:rsid w:val="004129DD"/>
    <w:rsid w:val="00412A94"/>
    <w:rsid w:val="00413087"/>
    <w:rsid w:val="004134F7"/>
    <w:rsid w:val="004142B7"/>
    <w:rsid w:val="00414954"/>
    <w:rsid w:val="00414A40"/>
    <w:rsid w:val="004151A8"/>
    <w:rsid w:val="00415553"/>
    <w:rsid w:val="00416114"/>
    <w:rsid w:val="00416279"/>
    <w:rsid w:val="004165AC"/>
    <w:rsid w:val="00416622"/>
    <w:rsid w:val="0041699A"/>
    <w:rsid w:val="00416C03"/>
    <w:rsid w:val="004174FD"/>
    <w:rsid w:val="004177E1"/>
    <w:rsid w:val="00417AB1"/>
    <w:rsid w:val="00417C34"/>
    <w:rsid w:val="00417E61"/>
    <w:rsid w:val="0042033B"/>
    <w:rsid w:val="00420391"/>
    <w:rsid w:val="0042057E"/>
    <w:rsid w:val="0042071B"/>
    <w:rsid w:val="00420A01"/>
    <w:rsid w:val="00420E1A"/>
    <w:rsid w:val="00421B81"/>
    <w:rsid w:val="00422436"/>
    <w:rsid w:val="00422829"/>
    <w:rsid w:val="00422DDA"/>
    <w:rsid w:val="00423225"/>
    <w:rsid w:val="004235DC"/>
    <w:rsid w:val="00423928"/>
    <w:rsid w:val="00423AB9"/>
    <w:rsid w:val="00423C4D"/>
    <w:rsid w:val="00424DB2"/>
    <w:rsid w:val="004250DB"/>
    <w:rsid w:val="0042540B"/>
    <w:rsid w:val="00425708"/>
    <w:rsid w:val="004257BF"/>
    <w:rsid w:val="00425F0E"/>
    <w:rsid w:val="0042614A"/>
    <w:rsid w:val="00426573"/>
    <w:rsid w:val="0042692C"/>
    <w:rsid w:val="0042696C"/>
    <w:rsid w:val="004273E3"/>
    <w:rsid w:val="0042744A"/>
    <w:rsid w:val="0042752C"/>
    <w:rsid w:val="0042753C"/>
    <w:rsid w:val="00427657"/>
    <w:rsid w:val="00427779"/>
    <w:rsid w:val="0042791B"/>
    <w:rsid w:val="00427E59"/>
    <w:rsid w:val="004307C5"/>
    <w:rsid w:val="00430D5B"/>
    <w:rsid w:val="00430E85"/>
    <w:rsid w:val="00430EC1"/>
    <w:rsid w:val="0043134E"/>
    <w:rsid w:val="00431EC4"/>
    <w:rsid w:val="00432023"/>
    <w:rsid w:val="00432106"/>
    <w:rsid w:val="004326BA"/>
    <w:rsid w:val="00432A68"/>
    <w:rsid w:val="00432EEE"/>
    <w:rsid w:val="0043303C"/>
    <w:rsid w:val="004333AA"/>
    <w:rsid w:val="0043359F"/>
    <w:rsid w:val="00433608"/>
    <w:rsid w:val="00433DA7"/>
    <w:rsid w:val="004346C9"/>
    <w:rsid w:val="0043495D"/>
    <w:rsid w:val="00434AF3"/>
    <w:rsid w:val="00434D9D"/>
    <w:rsid w:val="00434E43"/>
    <w:rsid w:val="0043510F"/>
    <w:rsid w:val="00435432"/>
    <w:rsid w:val="00435810"/>
    <w:rsid w:val="00435A5F"/>
    <w:rsid w:val="00435B4A"/>
    <w:rsid w:val="0043623E"/>
    <w:rsid w:val="0043636D"/>
    <w:rsid w:val="004368A6"/>
    <w:rsid w:val="00436A36"/>
    <w:rsid w:val="00436C63"/>
    <w:rsid w:val="0043706C"/>
    <w:rsid w:val="00437620"/>
    <w:rsid w:val="004377A2"/>
    <w:rsid w:val="004378E1"/>
    <w:rsid w:val="00437CF3"/>
    <w:rsid w:val="00437DD3"/>
    <w:rsid w:val="00437FF2"/>
    <w:rsid w:val="004406A0"/>
    <w:rsid w:val="00440C07"/>
    <w:rsid w:val="00440C32"/>
    <w:rsid w:val="00440D0E"/>
    <w:rsid w:val="0044189D"/>
    <w:rsid w:val="00441909"/>
    <w:rsid w:val="00441FC2"/>
    <w:rsid w:val="0044224F"/>
    <w:rsid w:val="0044292D"/>
    <w:rsid w:val="00442A68"/>
    <w:rsid w:val="00442F2E"/>
    <w:rsid w:val="00443623"/>
    <w:rsid w:val="00444173"/>
    <w:rsid w:val="004444F1"/>
    <w:rsid w:val="00444B95"/>
    <w:rsid w:val="00444E5A"/>
    <w:rsid w:val="004457B5"/>
    <w:rsid w:val="00445CC7"/>
    <w:rsid w:val="004460A8"/>
    <w:rsid w:val="004465C8"/>
    <w:rsid w:val="0044671D"/>
    <w:rsid w:val="00446AF5"/>
    <w:rsid w:val="00446B3B"/>
    <w:rsid w:val="00446CE4"/>
    <w:rsid w:val="0044768D"/>
    <w:rsid w:val="004477BE"/>
    <w:rsid w:val="004503A6"/>
    <w:rsid w:val="0045067A"/>
    <w:rsid w:val="00450873"/>
    <w:rsid w:val="00450F8C"/>
    <w:rsid w:val="00450FDF"/>
    <w:rsid w:val="00451065"/>
    <w:rsid w:val="004511D1"/>
    <w:rsid w:val="00451311"/>
    <w:rsid w:val="00451372"/>
    <w:rsid w:val="0045155B"/>
    <w:rsid w:val="00451934"/>
    <w:rsid w:val="00451BFB"/>
    <w:rsid w:val="00451CA2"/>
    <w:rsid w:val="004520E6"/>
    <w:rsid w:val="00452152"/>
    <w:rsid w:val="00452545"/>
    <w:rsid w:val="00452798"/>
    <w:rsid w:val="00453BE4"/>
    <w:rsid w:val="00453E38"/>
    <w:rsid w:val="00454176"/>
    <w:rsid w:val="00454A2E"/>
    <w:rsid w:val="00454CAC"/>
    <w:rsid w:val="00454FE1"/>
    <w:rsid w:val="004552A4"/>
    <w:rsid w:val="004555A9"/>
    <w:rsid w:val="00455849"/>
    <w:rsid w:val="0045647A"/>
    <w:rsid w:val="00456EA8"/>
    <w:rsid w:val="00456EEC"/>
    <w:rsid w:val="00457029"/>
    <w:rsid w:val="0045726C"/>
    <w:rsid w:val="00457661"/>
    <w:rsid w:val="00457693"/>
    <w:rsid w:val="00457A12"/>
    <w:rsid w:val="00457B2A"/>
    <w:rsid w:val="004608AF"/>
    <w:rsid w:val="00460A32"/>
    <w:rsid w:val="00460B5D"/>
    <w:rsid w:val="00460C41"/>
    <w:rsid w:val="00460EDB"/>
    <w:rsid w:val="0046120F"/>
    <w:rsid w:val="0046142B"/>
    <w:rsid w:val="0046198B"/>
    <w:rsid w:val="00461B52"/>
    <w:rsid w:val="004623F8"/>
    <w:rsid w:val="004625B5"/>
    <w:rsid w:val="00462C69"/>
    <w:rsid w:val="00462C86"/>
    <w:rsid w:val="00462CB1"/>
    <w:rsid w:val="00462D90"/>
    <w:rsid w:val="00463683"/>
    <w:rsid w:val="00463792"/>
    <w:rsid w:val="00463B1C"/>
    <w:rsid w:val="00463CE2"/>
    <w:rsid w:val="004642D5"/>
    <w:rsid w:val="00464464"/>
    <w:rsid w:val="004644F9"/>
    <w:rsid w:val="004646D2"/>
    <w:rsid w:val="004646D5"/>
    <w:rsid w:val="0046512B"/>
    <w:rsid w:val="00466769"/>
    <w:rsid w:val="00466953"/>
    <w:rsid w:val="00467035"/>
    <w:rsid w:val="0046737D"/>
    <w:rsid w:val="00467409"/>
    <w:rsid w:val="00470033"/>
    <w:rsid w:val="004704C4"/>
    <w:rsid w:val="00470B37"/>
    <w:rsid w:val="00470CDE"/>
    <w:rsid w:val="00470E39"/>
    <w:rsid w:val="00470EFB"/>
    <w:rsid w:val="0047123C"/>
    <w:rsid w:val="004719CC"/>
    <w:rsid w:val="00471E34"/>
    <w:rsid w:val="00471FC0"/>
    <w:rsid w:val="004720F0"/>
    <w:rsid w:val="00472534"/>
    <w:rsid w:val="0047256D"/>
    <w:rsid w:val="00472743"/>
    <w:rsid w:val="00472A4B"/>
    <w:rsid w:val="00472BEA"/>
    <w:rsid w:val="00472C91"/>
    <w:rsid w:val="00473200"/>
    <w:rsid w:val="0047329B"/>
    <w:rsid w:val="004737DB"/>
    <w:rsid w:val="00473E68"/>
    <w:rsid w:val="00474550"/>
    <w:rsid w:val="00474686"/>
    <w:rsid w:val="004749C7"/>
    <w:rsid w:val="004749E9"/>
    <w:rsid w:val="00474AE5"/>
    <w:rsid w:val="00474BB2"/>
    <w:rsid w:val="00474DAD"/>
    <w:rsid w:val="00474FA1"/>
    <w:rsid w:val="00475785"/>
    <w:rsid w:val="004757D1"/>
    <w:rsid w:val="004757FA"/>
    <w:rsid w:val="004758C4"/>
    <w:rsid w:val="00475940"/>
    <w:rsid w:val="00475FB5"/>
    <w:rsid w:val="00476270"/>
    <w:rsid w:val="0047654A"/>
    <w:rsid w:val="00476C07"/>
    <w:rsid w:val="00477345"/>
    <w:rsid w:val="00477437"/>
    <w:rsid w:val="004778A6"/>
    <w:rsid w:val="004778AB"/>
    <w:rsid w:val="00480367"/>
    <w:rsid w:val="0048093A"/>
    <w:rsid w:val="00480ADC"/>
    <w:rsid w:val="0048117E"/>
    <w:rsid w:val="0048125A"/>
    <w:rsid w:val="0048144C"/>
    <w:rsid w:val="00481B1D"/>
    <w:rsid w:val="00481C28"/>
    <w:rsid w:val="00481FDB"/>
    <w:rsid w:val="00482932"/>
    <w:rsid w:val="004829D5"/>
    <w:rsid w:val="00482A86"/>
    <w:rsid w:val="0048317B"/>
    <w:rsid w:val="0048322F"/>
    <w:rsid w:val="0048386A"/>
    <w:rsid w:val="00483CC7"/>
    <w:rsid w:val="00483DD1"/>
    <w:rsid w:val="00484218"/>
    <w:rsid w:val="00484D3B"/>
    <w:rsid w:val="0048553C"/>
    <w:rsid w:val="0048563C"/>
    <w:rsid w:val="004856CE"/>
    <w:rsid w:val="004859A5"/>
    <w:rsid w:val="004859DF"/>
    <w:rsid w:val="00485A0F"/>
    <w:rsid w:val="00485B9B"/>
    <w:rsid w:val="00485D21"/>
    <w:rsid w:val="004862D3"/>
    <w:rsid w:val="004867E2"/>
    <w:rsid w:val="004869D4"/>
    <w:rsid w:val="00486A7D"/>
    <w:rsid w:val="0049006A"/>
    <w:rsid w:val="004904C7"/>
    <w:rsid w:val="0049158C"/>
    <w:rsid w:val="00491C25"/>
    <w:rsid w:val="00491F70"/>
    <w:rsid w:val="004920E9"/>
    <w:rsid w:val="0049229B"/>
    <w:rsid w:val="0049247B"/>
    <w:rsid w:val="0049272D"/>
    <w:rsid w:val="004931AA"/>
    <w:rsid w:val="0049389A"/>
    <w:rsid w:val="00493A8A"/>
    <w:rsid w:val="00493F43"/>
    <w:rsid w:val="00493FD2"/>
    <w:rsid w:val="00494584"/>
    <w:rsid w:val="004947F6"/>
    <w:rsid w:val="00494B98"/>
    <w:rsid w:val="00494F71"/>
    <w:rsid w:val="0049557C"/>
    <w:rsid w:val="00495DE2"/>
    <w:rsid w:val="004963B8"/>
    <w:rsid w:val="00496426"/>
    <w:rsid w:val="00496478"/>
    <w:rsid w:val="00496B56"/>
    <w:rsid w:val="00496CD3"/>
    <w:rsid w:val="00497603"/>
    <w:rsid w:val="00497BD4"/>
    <w:rsid w:val="00497F9F"/>
    <w:rsid w:val="004A0A1C"/>
    <w:rsid w:val="004A0BD2"/>
    <w:rsid w:val="004A1730"/>
    <w:rsid w:val="004A1D0D"/>
    <w:rsid w:val="004A20CD"/>
    <w:rsid w:val="004A251E"/>
    <w:rsid w:val="004A253B"/>
    <w:rsid w:val="004A2682"/>
    <w:rsid w:val="004A29C3"/>
    <w:rsid w:val="004A2A51"/>
    <w:rsid w:val="004A2C4C"/>
    <w:rsid w:val="004A2F14"/>
    <w:rsid w:val="004A30AB"/>
    <w:rsid w:val="004A38C2"/>
    <w:rsid w:val="004A3C76"/>
    <w:rsid w:val="004A3E36"/>
    <w:rsid w:val="004A3E71"/>
    <w:rsid w:val="004A40A5"/>
    <w:rsid w:val="004A43BE"/>
    <w:rsid w:val="004A43F3"/>
    <w:rsid w:val="004A44A6"/>
    <w:rsid w:val="004A4B39"/>
    <w:rsid w:val="004A4F8A"/>
    <w:rsid w:val="004A5381"/>
    <w:rsid w:val="004A556B"/>
    <w:rsid w:val="004A5B7F"/>
    <w:rsid w:val="004A61BE"/>
    <w:rsid w:val="004A6351"/>
    <w:rsid w:val="004A6E95"/>
    <w:rsid w:val="004A790E"/>
    <w:rsid w:val="004B0455"/>
    <w:rsid w:val="004B0928"/>
    <w:rsid w:val="004B0F53"/>
    <w:rsid w:val="004B12E1"/>
    <w:rsid w:val="004B1DFA"/>
    <w:rsid w:val="004B2987"/>
    <w:rsid w:val="004B2EE8"/>
    <w:rsid w:val="004B2F46"/>
    <w:rsid w:val="004B3450"/>
    <w:rsid w:val="004B395A"/>
    <w:rsid w:val="004B399D"/>
    <w:rsid w:val="004B3B13"/>
    <w:rsid w:val="004B418C"/>
    <w:rsid w:val="004B43A4"/>
    <w:rsid w:val="004B4440"/>
    <w:rsid w:val="004B4971"/>
    <w:rsid w:val="004B4C1A"/>
    <w:rsid w:val="004B4D10"/>
    <w:rsid w:val="004B56BE"/>
    <w:rsid w:val="004B620F"/>
    <w:rsid w:val="004B6382"/>
    <w:rsid w:val="004B66C8"/>
    <w:rsid w:val="004B6F11"/>
    <w:rsid w:val="004B7242"/>
    <w:rsid w:val="004B78AC"/>
    <w:rsid w:val="004C0614"/>
    <w:rsid w:val="004C13B1"/>
    <w:rsid w:val="004C14B9"/>
    <w:rsid w:val="004C1C9E"/>
    <w:rsid w:val="004C1EA8"/>
    <w:rsid w:val="004C2425"/>
    <w:rsid w:val="004C26FC"/>
    <w:rsid w:val="004C2904"/>
    <w:rsid w:val="004C2D73"/>
    <w:rsid w:val="004C2E09"/>
    <w:rsid w:val="004C48D5"/>
    <w:rsid w:val="004C4951"/>
    <w:rsid w:val="004C4CAD"/>
    <w:rsid w:val="004C5164"/>
    <w:rsid w:val="004C5E9C"/>
    <w:rsid w:val="004C6288"/>
    <w:rsid w:val="004C63AF"/>
    <w:rsid w:val="004C6596"/>
    <w:rsid w:val="004C66D5"/>
    <w:rsid w:val="004C6985"/>
    <w:rsid w:val="004C724D"/>
    <w:rsid w:val="004C7ADD"/>
    <w:rsid w:val="004D086C"/>
    <w:rsid w:val="004D09F0"/>
    <w:rsid w:val="004D0A22"/>
    <w:rsid w:val="004D0C50"/>
    <w:rsid w:val="004D0EC0"/>
    <w:rsid w:val="004D121F"/>
    <w:rsid w:val="004D136B"/>
    <w:rsid w:val="004D1FB6"/>
    <w:rsid w:val="004D22EE"/>
    <w:rsid w:val="004D2602"/>
    <w:rsid w:val="004D2685"/>
    <w:rsid w:val="004D2C42"/>
    <w:rsid w:val="004D2CE7"/>
    <w:rsid w:val="004D2F61"/>
    <w:rsid w:val="004D354D"/>
    <w:rsid w:val="004D37AC"/>
    <w:rsid w:val="004D4525"/>
    <w:rsid w:val="004D482B"/>
    <w:rsid w:val="004D5156"/>
    <w:rsid w:val="004D536A"/>
    <w:rsid w:val="004D567F"/>
    <w:rsid w:val="004D57AE"/>
    <w:rsid w:val="004D584F"/>
    <w:rsid w:val="004D5E0D"/>
    <w:rsid w:val="004D5EB2"/>
    <w:rsid w:val="004D6088"/>
    <w:rsid w:val="004D6453"/>
    <w:rsid w:val="004D64B8"/>
    <w:rsid w:val="004D6570"/>
    <w:rsid w:val="004D67AF"/>
    <w:rsid w:val="004D6832"/>
    <w:rsid w:val="004D68DE"/>
    <w:rsid w:val="004D69BB"/>
    <w:rsid w:val="004D6B5E"/>
    <w:rsid w:val="004D6FB9"/>
    <w:rsid w:val="004D7280"/>
    <w:rsid w:val="004D781D"/>
    <w:rsid w:val="004D7AF8"/>
    <w:rsid w:val="004D7CE1"/>
    <w:rsid w:val="004E004F"/>
    <w:rsid w:val="004E0638"/>
    <w:rsid w:val="004E0725"/>
    <w:rsid w:val="004E0F0B"/>
    <w:rsid w:val="004E118E"/>
    <w:rsid w:val="004E145C"/>
    <w:rsid w:val="004E14A4"/>
    <w:rsid w:val="004E1B95"/>
    <w:rsid w:val="004E1F3F"/>
    <w:rsid w:val="004E21F8"/>
    <w:rsid w:val="004E2D78"/>
    <w:rsid w:val="004E2DF7"/>
    <w:rsid w:val="004E3092"/>
    <w:rsid w:val="004E3BB2"/>
    <w:rsid w:val="004E3CF5"/>
    <w:rsid w:val="004E400F"/>
    <w:rsid w:val="004E4471"/>
    <w:rsid w:val="004E49EA"/>
    <w:rsid w:val="004E4DDE"/>
    <w:rsid w:val="004E5393"/>
    <w:rsid w:val="004E5C08"/>
    <w:rsid w:val="004E5D11"/>
    <w:rsid w:val="004E6409"/>
    <w:rsid w:val="004E67C3"/>
    <w:rsid w:val="004E6D1A"/>
    <w:rsid w:val="004E6DA5"/>
    <w:rsid w:val="004E705F"/>
    <w:rsid w:val="004E715F"/>
    <w:rsid w:val="004E72CB"/>
    <w:rsid w:val="004E72CC"/>
    <w:rsid w:val="004E734A"/>
    <w:rsid w:val="004E744C"/>
    <w:rsid w:val="004E7548"/>
    <w:rsid w:val="004E781E"/>
    <w:rsid w:val="004F0267"/>
    <w:rsid w:val="004F031D"/>
    <w:rsid w:val="004F0CAE"/>
    <w:rsid w:val="004F0CC7"/>
    <w:rsid w:val="004F18C0"/>
    <w:rsid w:val="004F208D"/>
    <w:rsid w:val="004F2671"/>
    <w:rsid w:val="004F2EE6"/>
    <w:rsid w:val="004F3775"/>
    <w:rsid w:val="004F39C0"/>
    <w:rsid w:val="004F41A6"/>
    <w:rsid w:val="004F4E0D"/>
    <w:rsid w:val="004F5307"/>
    <w:rsid w:val="004F56EF"/>
    <w:rsid w:val="004F571C"/>
    <w:rsid w:val="004F5B5C"/>
    <w:rsid w:val="004F5BEE"/>
    <w:rsid w:val="004F5E82"/>
    <w:rsid w:val="004F63B7"/>
    <w:rsid w:val="004F67C8"/>
    <w:rsid w:val="004F6D63"/>
    <w:rsid w:val="004F6D9E"/>
    <w:rsid w:val="004F7254"/>
    <w:rsid w:val="004F779D"/>
    <w:rsid w:val="004F7ED4"/>
    <w:rsid w:val="005001C8"/>
    <w:rsid w:val="005004EB"/>
    <w:rsid w:val="005014B9"/>
    <w:rsid w:val="00501A51"/>
    <w:rsid w:val="00502006"/>
    <w:rsid w:val="005025F6"/>
    <w:rsid w:val="00502741"/>
    <w:rsid w:val="005027FD"/>
    <w:rsid w:val="00502A2A"/>
    <w:rsid w:val="00502A38"/>
    <w:rsid w:val="0050382D"/>
    <w:rsid w:val="005038B4"/>
    <w:rsid w:val="00503986"/>
    <w:rsid w:val="00503B15"/>
    <w:rsid w:val="005040B7"/>
    <w:rsid w:val="005042C5"/>
    <w:rsid w:val="0050434D"/>
    <w:rsid w:val="00504457"/>
    <w:rsid w:val="005049DD"/>
    <w:rsid w:val="00504E32"/>
    <w:rsid w:val="005051FD"/>
    <w:rsid w:val="00505694"/>
    <w:rsid w:val="005057EB"/>
    <w:rsid w:val="0050672A"/>
    <w:rsid w:val="0050676F"/>
    <w:rsid w:val="0050690E"/>
    <w:rsid w:val="00506B36"/>
    <w:rsid w:val="00506BB4"/>
    <w:rsid w:val="00507152"/>
    <w:rsid w:val="00507402"/>
    <w:rsid w:val="005076E4"/>
    <w:rsid w:val="005078A4"/>
    <w:rsid w:val="00507F8F"/>
    <w:rsid w:val="00507FB2"/>
    <w:rsid w:val="0051010D"/>
    <w:rsid w:val="00510445"/>
    <w:rsid w:val="00510A98"/>
    <w:rsid w:val="005110E5"/>
    <w:rsid w:val="00511214"/>
    <w:rsid w:val="00511282"/>
    <w:rsid w:val="0051250F"/>
    <w:rsid w:val="00512DE7"/>
    <w:rsid w:val="00512F2C"/>
    <w:rsid w:val="005130A6"/>
    <w:rsid w:val="00513C44"/>
    <w:rsid w:val="00513CD2"/>
    <w:rsid w:val="005146A9"/>
    <w:rsid w:val="005147FF"/>
    <w:rsid w:val="005149E5"/>
    <w:rsid w:val="00514D8A"/>
    <w:rsid w:val="00515111"/>
    <w:rsid w:val="00515974"/>
    <w:rsid w:val="00515C8C"/>
    <w:rsid w:val="00515CC1"/>
    <w:rsid w:val="00515E46"/>
    <w:rsid w:val="00516298"/>
    <w:rsid w:val="005163BC"/>
    <w:rsid w:val="0051650E"/>
    <w:rsid w:val="005168DD"/>
    <w:rsid w:val="00516CCF"/>
    <w:rsid w:val="00516F16"/>
    <w:rsid w:val="00516FC2"/>
    <w:rsid w:val="0051735A"/>
    <w:rsid w:val="00517383"/>
    <w:rsid w:val="005173EC"/>
    <w:rsid w:val="00517749"/>
    <w:rsid w:val="00517CB2"/>
    <w:rsid w:val="00517CB8"/>
    <w:rsid w:val="00517D3C"/>
    <w:rsid w:val="005201BC"/>
    <w:rsid w:val="00520594"/>
    <w:rsid w:val="00520710"/>
    <w:rsid w:val="00520846"/>
    <w:rsid w:val="005208DC"/>
    <w:rsid w:val="005210CB"/>
    <w:rsid w:val="0052142D"/>
    <w:rsid w:val="00521A61"/>
    <w:rsid w:val="00522491"/>
    <w:rsid w:val="00522B51"/>
    <w:rsid w:val="00523BE9"/>
    <w:rsid w:val="0052418D"/>
    <w:rsid w:val="005248C8"/>
    <w:rsid w:val="00524996"/>
    <w:rsid w:val="00524ACF"/>
    <w:rsid w:val="00524C4D"/>
    <w:rsid w:val="00525A00"/>
    <w:rsid w:val="00525AA4"/>
    <w:rsid w:val="00525CB2"/>
    <w:rsid w:val="005262C3"/>
    <w:rsid w:val="00526832"/>
    <w:rsid w:val="005269F1"/>
    <w:rsid w:val="0052702B"/>
    <w:rsid w:val="00527034"/>
    <w:rsid w:val="00527A9A"/>
    <w:rsid w:val="0053053F"/>
    <w:rsid w:val="005307BB"/>
    <w:rsid w:val="00530920"/>
    <w:rsid w:val="005309D5"/>
    <w:rsid w:val="00530ED3"/>
    <w:rsid w:val="00531348"/>
    <w:rsid w:val="005315C7"/>
    <w:rsid w:val="00531654"/>
    <w:rsid w:val="00531BEE"/>
    <w:rsid w:val="00532D8C"/>
    <w:rsid w:val="00533160"/>
    <w:rsid w:val="005332A5"/>
    <w:rsid w:val="005338CE"/>
    <w:rsid w:val="00533BA1"/>
    <w:rsid w:val="00533CFE"/>
    <w:rsid w:val="0053414F"/>
    <w:rsid w:val="00534577"/>
    <w:rsid w:val="00534A5D"/>
    <w:rsid w:val="00534C4A"/>
    <w:rsid w:val="00534CDF"/>
    <w:rsid w:val="0053562D"/>
    <w:rsid w:val="005357A7"/>
    <w:rsid w:val="00535AF2"/>
    <w:rsid w:val="00535E22"/>
    <w:rsid w:val="00536379"/>
    <w:rsid w:val="005364D9"/>
    <w:rsid w:val="005366A2"/>
    <w:rsid w:val="005366A9"/>
    <w:rsid w:val="0053694B"/>
    <w:rsid w:val="00536E34"/>
    <w:rsid w:val="00536EB8"/>
    <w:rsid w:val="00537011"/>
    <w:rsid w:val="005371E7"/>
    <w:rsid w:val="005375FC"/>
    <w:rsid w:val="0053791D"/>
    <w:rsid w:val="00537E53"/>
    <w:rsid w:val="005404A8"/>
    <w:rsid w:val="005404FE"/>
    <w:rsid w:val="00541A71"/>
    <w:rsid w:val="00541D72"/>
    <w:rsid w:val="00541E6E"/>
    <w:rsid w:val="00542564"/>
    <w:rsid w:val="00542990"/>
    <w:rsid w:val="00543B50"/>
    <w:rsid w:val="0054443F"/>
    <w:rsid w:val="00544701"/>
    <w:rsid w:val="00544798"/>
    <w:rsid w:val="005447CA"/>
    <w:rsid w:val="00544C04"/>
    <w:rsid w:val="00544CC7"/>
    <w:rsid w:val="0054528F"/>
    <w:rsid w:val="0054559B"/>
    <w:rsid w:val="00545D9B"/>
    <w:rsid w:val="00546C8D"/>
    <w:rsid w:val="00547427"/>
    <w:rsid w:val="00547CCC"/>
    <w:rsid w:val="00550364"/>
    <w:rsid w:val="00550612"/>
    <w:rsid w:val="00550A9E"/>
    <w:rsid w:val="00550C3A"/>
    <w:rsid w:val="00550E23"/>
    <w:rsid w:val="00551707"/>
    <w:rsid w:val="005517AA"/>
    <w:rsid w:val="00551A6C"/>
    <w:rsid w:val="00551FA9"/>
    <w:rsid w:val="005521F7"/>
    <w:rsid w:val="00552820"/>
    <w:rsid w:val="0055285B"/>
    <w:rsid w:val="00552935"/>
    <w:rsid w:val="00552A56"/>
    <w:rsid w:val="00552AF6"/>
    <w:rsid w:val="00552C69"/>
    <w:rsid w:val="00552F9E"/>
    <w:rsid w:val="005530BA"/>
    <w:rsid w:val="005532EE"/>
    <w:rsid w:val="0055338F"/>
    <w:rsid w:val="005541B4"/>
    <w:rsid w:val="0055458C"/>
    <w:rsid w:val="0055490E"/>
    <w:rsid w:val="00554C3A"/>
    <w:rsid w:val="00555BA9"/>
    <w:rsid w:val="00555F72"/>
    <w:rsid w:val="0055643B"/>
    <w:rsid w:val="005564ED"/>
    <w:rsid w:val="00556519"/>
    <w:rsid w:val="005566CA"/>
    <w:rsid w:val="00556BE5"/>
    <w:rsid w:val="00557801"/>
    <w:rsid w:val="00557D61"/>
    <w:rsid w:val="00557E8B"/>
    <w:rsid w:val="0056057C"/>
    <w:rsid w:val="00560BC9"/>
    <w:rsid w:val="00561614"/>
    <w:rsid w:val="0056191C"/>
    <w:rsid w:val="005621DC"/>
    <w:rsid w:val="0056237F"/>
    <w:rsid w:val="00562E2F"/>
    <w:rsid w:val="0056307D"/>
    <w:rsid w:val="00563171"/>
    <w:rsid w:val="00563284"/>
    <w:rsid w:val="00563783"/>
    <w:rsid w:val="00563C03"/>
    <w:rsid w:val="00563C3F"/>
    <w:rsid w:val="00563CCC"/>
    <w:rsid w:val="00563F57"/>
    <w:rsid w:val="00564549"/>
    <w:rsid w:val="00564567"/>
    <w:rsid w:val="00564595"/>
    <w:rsid w:val="00564B30"/>
    <w:rsid w:val="00564B54"/>
    <w:rsid w:val="00564D5A"/>
    <w:rsid w:val="00564DA4"/>
    <w:rsid w:val="00564F2B"/>
    <w:rsid w:val="00564F96"/>
    <w:rsid w:val="00565048"/>
    <w:rsid w:val="00565224"/>
    <w:rsid w:val="0056522B"/>
    <w:rsid w:val="005652A3"/>
    <w:rsid w:val="0056584F"/>
    <w:rsid w:val="00565B98"/>
    <w:rsid w:val="00566467"/>
    <w:rsid w:val="00566CE0"/>
    <w:rsid w:val="00567672"/>
    <w:rsid w:val="00567815"/>
    <w:rsid w:val="00567A33"/>
    <w:rsid w:val="00567AC9"/>
    <w:rsid w:val="005703A3"/>
    <w:rsid w:val="005703ED"/>
    <w:rsid w:val="00570845"/>
    <w:rsid w:val="00570A1E"/>
    <w:rsid w:val="00571062"/>
    <w:rsid w:val="005717BB"/>
    <w:rsid w:val="005719DA"/>
    <w:rsid w:val="00571A03"/>
    <w:rsid w:val="00572838"/>
    <w:rsid w:val="00572B5D"/>
    <w:rsid w:val="00572FEA"/>
    <w:rsid w:val="005735AD"/>
    <w:rsid w:val="00573D95"/>
    <w:rsid w:val="00574669"/>
    <w:rsid w:val="00574733"/>
    <w:rsid w:val="005749DC"/>
    <w:rsid w:val="00574BA2"/>
    <w:rsid w:val="00574C8B"/>
    <w:rsid w:val="00574CCF"/>
    <w:rsid w:val="00574DE3"/>
    <w:rsid w:val="00574E84"/>
    <w:rsid w:val="005750DB"/>
    <w:rsid w:val="005755AF"/>
    <w:rsid w:val="00575C2E"/>
    <w:rsid w:val="00575D02"/>
    <w:rsid w:val="0057605A"/>
    <w:rsid w:val="00576232"/>
    <w:rsid w:val="00576A52"/>
    <w:rsid w:val="00576BDE"/>
    <w:rsid w:val="00576DE2"/>
    <w:rsid w:val="00576F75"/>
    <w:rsid w:val="00577390"/>
    <w:rsid w:val="00577783"/>
    <w:rsid w:val="005777B6"/>
    <w:rsid w:val="005801CC"/>
    <w:rsid w:val="00580207"/>
    <w:rsid w:val="00580263"/>
    <w:rsid w:val="00580457"/>
    <w:rsid w:val="005804AB"/>
    <w:rsid w:val="00580605"/>
    <w:rsid w:val="00580CB5"/>
    <w:rsid w:val="00581812"/>
    <w:rsid w:val="0058196D"/>
    <w:rsid w:val="00581ABC"/>
    <w:rsid w:val="00581B71"/>
    <w:rsid w:val="00581CB6"/>
    <w:rsid w:val="005822EB"/>
    <w:rsid w:val="005825D0"/>
    <w:rsid w:val="00582947"/>
    <w:rsid w:val="00582F4D"/>
    <w:rsid w:val="0058360B"/>
    <w:rsid w:val="00583C98"/>
    <w:rsid w:val="0058494E"/>
    <w:rsid w:val="00584AFC"/>
    <w:rsid w:val="00584C97"/>
    <w:rsid w:val="00584DA6"/>
    <w:rsid w:val="00584DB9"/>
    <w:rsid w:val="00584F46"/>
    <w:rsid w:val="00585760"/>
    <w:rsid w:val="00585871"/>
    <w:rsid w:val="00585A1A"/>
    <w:rsid w:val="00585C90"/>
    <w:rsid w:val="00585E48"/>
    <w:rsid w:val="00585F54"/>
    <w:rsid w:val="00586078"/>
    <w:rsid w:val="00587227"/>
    <w:rsid w:val="00590133"/>
    <w:rsid w:val="005901F2"/>
    <w:rsid w:val="0059021E"/>
    <w:rsid w:val="005913C5"/>
    <w:rsid w:val="00591EB8"/>
    <w:rsid w:val="005921B6"/>
    <w:rsid w:val="0059223F"/>
    <w:rsid w:val="0059227E"/>
    <w:rsid w:val="0059230C"/>
    <w:rsid w:val="005924AD"/>
    <w:rsid w:val="005925C3"/>
    <w:rsid w:val="00593142"/>
    <w:rsid w:val="00593BB7"/>
    <w:rsid w:val="005941E7"/>
    <w:rsid w:val="0059489D"/>
    <w:rsid w:val="0059491E"/>
    <w:rsid w:val="0059498E"/>
    <w:rsid w:val="005953AE"/>
    <w:rsid w:val="005955C5"/>
    <w:rsid w:val="00595811"/>
    <w:rsid w:val="00595AB3"/>
    <w:rsid w:val="00595B9E"/>
    <w:rsid w:val="00595F78"/>
    <w:rsid w:val="0059628F"/>
    <w:rsid w:val="00596777"/>
    <w:rsid w:val="005974D2"/>
    <w:rsid w:val="005A0F99"/>
    <w:rsid w:val="005A1285"/>
    <w:rsid w:val="005A19CA"/>
    <w:rsid w:val="005A1A12"/>
    <w:rsid w:val="005A2153"/>
    <w:rsid w:val="005A25E8"/>
    <w:rsid w:val="005A2B78"/>
    <w:rsid w:val="005A2BA9"/>
    <w:rsid w:val="005A333A"/>
    <w:rsid w:val="005A33B9"/>
    <w:rsid w:val="005A3E37"/>
    <w:rsid w:val="005A3FB8"/>
    <w:rsid w:val="005A41AC"/>
    <w:rsid w:val="005A4485"/>
    <w:rsid w:val="005A462A"/>
    <w:rsid w:val="005A46A8"/>
    <w:rsid w:val="005A47E9"/>
    <w:rsid w:val="005A4BEE"/>
    <w:rsid w:val="005A52F2"/>
    <w:rsid w:val="005A5391"/>
    <w:rsid w:val="005A5416"/>
    <w:rsid w:val="005A5640"/>
    <w:rsid w:val="005A58DE"/>
    <w:rsid w:val="005A600D"/>
    <w:rsid w:val="005A615B"/>
    <w:rsid w:val="005A623E"/>
    <w:rsid w:val="005A6369"/>
    <w:rsid w:val="005A63D6"/>
    <w:rsid w:val="005A66E8"/>
    <w:rsid w:val="005A6B6A"/>
    <w:rsid w:val="005A6D12"/>
    <w:rsid w:val="005A6D6D"/>
    <w:rsid w:val="005A6EAF"/>
    <w:rsid w:val="005A706C"/>
    <w:rsid w:val="005A78B2"/>
    <w:rsid w:val="005A7AE5"/>
    <w:rsid w:val="005A7F4B"/>
    <w:rsid w:val="005B0053"/>
    <w:rsid w:val="005B006C"/>
    <w:rsid w:val="005B0504"/>
    <w:rsid w:val="005B0F4D"/>
    <w:rsid w:val="005B1355"/>
    <w:rsid w:val="005B13A8"/>
    <w:rsid w:val="005B1D0B"/>
    <w:rsid w:val="005B1DA0"/>
    <w:rsid w:val="005B22A7"/>
    <w:rsid w:val="005B2C2C"/>
    <w:rsid w:val="005B2C31"/>
    <w:rsid w:val="005B2CA4"/>
    <w:rsid w:val="005B2CB0"/>
    <w:rsid w:val="005B2E79"/>
    <w:rsid w:val="005B2F78"/>
    <w:rsid w:val="005B30E9"/>
    <w:rsid w:val="005B3495"/>
    <w:rsid w:val="005B3597"/>
    <w:rsid w:val="005B3874"/>
    <w:rsid w:val="005B3D3B"/>
    <w:rsid w:val="005B3DE3"/>
    <w:rsid w:val="005B3F4F"/>
    <w:rsid w:val="005B42A8"/>
    <w:rsid w:val="005B4393"/>
    <w:rsid w:val="005B497A"/>
    <w:rsid w:val="005B4A13"/>
    <w:rsid w:val="005B4B7D"/>
    <w:rsid w:val="005B4FB2"/>
    <w:rsid w:val="005B66EA"/>
    <w:rsid w:val="005B6939"/>
    <w:rsid w:val="005B6C9B"/>
    <w:rsid w:val="005B7467"/>
    <w:rsid w:val="005B7582"/>
    <w:rsid w:val="005B7D85"/>
    <w:rsid w:val="005B7F9B"/>
    <w:rsid w:val="005C0054"/>
    <w:rsid w:val="005C00B4"/>
    <w:rsid w:val="005C02A3"/>
    <w:rsid w:val="005C0B14"/>
    <w:rsid w:val="005C0D1C"/>
    <w:rsid w:val="005C1053"/>
    <w:rsid w:val="005C11B4"/>
    <w:rsid w:val="005C14C4"/>
    <w:rsid w:val="005C1A64"/>
    <w:rsid w:val="005C1B8E"/>
    <w:rsid w:val="005C1F3D"/>
    <w:rsid w:val="005C1FFB"/>
    <w:rsid w:val="005C2F8D"/>
    <w:rsid w:val="005C3364"/>
    <w:rsid w:val="005C33C0"/>
    <w:rsid w:val="005C350A"/>
    <w:rsid w:val="005C3B2D"/>
    <w:rsid w:val="005C43A3"/>
    <w:rsid w:val="005C43D8"/>
    <w:rsid w:val="005C47CA"/>
    <w:rsid w:val="005C4DFD"/>
    <w:rsid w:val="005C4ED0"/>
    <w:rsid w:val="005C517D"/>
    <w:rsid w:val="005C51F7"/>
    <w:rsid w:val="005C5291"/>
    <w:rsid w:val="005C52F6"/>
    <w:rsid w:val="005C5596"/>
    <w:rsid w:val="005C5C4A"/>
    <w:rsid w:val="005C5C96"/>
    <w:rsid w:val="005C6E27"/>
    <w:rsid w:val="005C6FFC"/>
    <w:rsid w:val="005C7AE2"/>
    <w:rsid w:val="005D0181"/>
    <w:rsid w:val="005D0441"/>
    <w:rsid w:val="005D04ED"/>
    <w:rsid w:val="005D0750"/>
    <w:rsid w:val="005D1190"/>
    <w:rsid w:val="005D1AED"/>
    <w:rsid w:val="005D1B05"/>
    <w:rsid w:val="005D24EC"/>
    <w:rsid w:val="005D2543"/>
    <w:rsid w:val="005D2AE6"/>
    <w:rsid w:val="005D2C6E"/>
    <w:rsid w:val="005D2E12"/>
    <w:rsid w:val="005D2FF1"/>
    <w:rsid w:val="005D32A3"/>
    <w:rsid w:val="005D3B21"/>
    <w:rsid w:val="005D3D11"/>
    <w:rsid w:val="005D3D6B"/>
    <w:rsid w:val="005D41CC"/>
    <w:rsid w:val="005D4453"/>
    <w:rsid w:val="005D46A7"/>
    <w:rsid w:val="005D490C"/>
    <w:rsid w:val="005D4A4C"/>
    <w:rsid w:val="005D4B5F"/>
    <w:rsid w:val="005D4BE1"/>
    <w:rsid w:val="005D4CF7"/>
    <w:rsid w:val="005D4F97"/>
    <w:rsid w:val="005D53F3"/>
    <w:rsid w:val="005D551C"/>
    <w:rsid w:val="005D7270"/>
    <w:rsid w:val="005E008F"/>
    <w:rsid w:val="005E06D0"/>
    <w:rsid w:val="005E1111"/>
    <w:rsid w:val="005E1695"/>
    <w:rsid w:val="005E1809"/>
    <w:rsid w:val="005E18FB"/>
    <w:rsid w:val="005E1D43"/>
    <w:rsid w:val="005E2160"/>
    <w:rsid w:val="005E2CF2"/>
    <w:rsid w:val="005E2D5A"/>
    <w:rsid w:val="005E363E"/>
    <w:rsid w:val="005E3726"/>
    <w:rsid w:val="005E373B"/>
    <w:rsid w:val="005E379F"/>
    <w:rsid w:val="005E37D3"/>
    <w:rsid w:val="005E37D4"/>
    <w:rsid w:val="005E3CD1"/>
    <w:rsid w:val="005E3EA4"/>
    <w:rsid w:val="005E4471"/>
    <w:rsid w:val="005E44CE"/>
    <w:rsid w:val="005E47DB"/>
    <w:rsid w:val="005E4DDD"/>
    <w:rsid w:val="005E4E94"/>
    <w:rsid w:val="005E5468"/>
    <w:rsid w:val="005E55C2"/>
    <w:rsid w:val="005E5898"/>
    <w:rsid w:val="005E60DE"/>
    <w:rsid w:val="005E6E09"/>
    <w:rsid w:val="005E6F21"/>
    <w:rsid w:val="005E78AE"/>
    <w:rsid w:val="005E7CE3"/>
    <w:rsid w:val="005E7DB7"/>
    <w:rsid w:val="005E7DCC"/>
    <w:rsid w:val="005E7DDE"/>
    <w:rsid w:val="005E7F27"/>
    <w:rsid w:val="005F0181"/>
    <w:rsid w:val="005F02E3"/>
    <w:rsid w:val="005F057F"/>
    <w:rsid w:val="005F079D"/>
    <w:rsid w:val="005F12E1"/>
    <w:rsid w:val="005F15C5"/>
    <w:rsid w:val="005F16AA"/>
    <w:rsid w:val="005F1760"/>
    <w:rsid w:val="005F1818"/>
    <w:rsid w:val="005F1B52"/>
    <w:rsid w:val="005F1C7C"/>
    <w:rsid w:val="005F1FE6"/>
    <w:rsid w:val="005F29B7"/>
    <w:rsid w:val="005F2D6B"/>
    <w:rsid w:val="005F2DD9"/>
    <w:rsid w:val="005F30E0"/>
    <w:rsid w:val="005F3C2A"/>
    <w:rsid w:val="005F3C7E"/>
    <w:rsid w:val="005F4B34"/>
    <w:rsid w:val="005F5081"/>
    <w:rsid w:val="005F5744"/>
    <w:rsid w:val="005F5777"/>
    <w:rsid w:val="005F57D1"/>
    <w:rsid w:val="005F5A7E"/>
    <w:rsid w:val="005F5BBC"/>
    <w:rsid w:val="005F6683"/>
    <w:rsid w:val="005F671B"/>
    <w:rsid w:val="005F6A94"/>
    <w:rsid w:val="005F6C25"/>
    <w:rsid w:val="005F6E12"/>
    <w:rsid w:val="005F70FA"/>
    <w:rsid w:val="005F7C4B"/>
    <w:rsid w:val="006000A7"/>
    <w:rsid w:val="006000B5"/>
    <w:rsid w:val="0060075E"/>
    <w:rsid w:val="006008FE"/>
    <w:rsid w:val="006010BC"/>
    <w:rsid w:val="00601253"/>
    <w:rsid w:val="006013F1"/>
    <w:rsid w:val="00601415"/>
    <w:rsid w:val="00601C45"/>
    <w:rsid w:val="00601DA4"/>
    <w:rsid w:val="00601FA1"/>
    <w:rsid w:val="006020F4"/>
    <w:rsid w:val="00602344"/>
    <w:rsid w:val="0060245F"/>
    <w:rsid w:val="00602566"/>
    <w:rsid w:val="00602596"/>
    <w:rsid w:val="0060323B"/>
    <w:rsid w:val="00603395"/>
    <w:rsid w:val="006038B5"/>
    <w:rsid w:val="00603A66"/>
    <w:rsid w:val="00603B6F"/>
    <w:rsid w:val="00603E84"/>
    <w:rsid w:val="00604176"/>
    <w:rsid w:val="00604E97"/>
    <w:rsid w:val="00605090"/>
    <w:rsid w:val="0060537E"/>
    <w:rsid w:val="00605796"/>
    <w:rsid w:val="00605812"/>
    <w:rsid w:val="00605B07"/>
    <w:rsid w:val="00605D6D"/>
    <w:rsid w:val="00605DF3"/>
    <w:rsid w:val="0061043D"/>
    <w:rsid w:val="00610B0D"/>
    <w:rsid w:val="00610C77"/>
    <w:rsid w:val="006111F0"/>
    <w:rsid w:val="006117E6"/>
    <w:rsid w:val="00611EC0"/>
    <w:rsid w:val="0061248A"/>
    <w:rsid w:val="00612ECD"/>
    <w:rsid w:val="00612F87"/>
    <w:rsid w:val="00613143"/>
    <w:rsid w:val="00613533"/>
    <w:rsid w:val="00613901"/>
    <w:rsid w:val="006139BC"/>
    <w:rsid w:val="00614121"/>
    <w:rsid w:val="006145C9"/>
    <w:rsid w:val="00614A82"/>
    <w:rsid w:val="00615102"/>
    <w:rsid w:val="006153C7"/>
    <w:rsid w:val="006161C7"/>
    <w:rsid w:val="006163D8"/>
    <w:rsid w:val="00616D3D"/>
    <w:rsid w:val="00616F3A"/>
    <w:rsid w:val="00616FF3"/>
    <w:rsid w:val="00617EC8"/>
    <w:rsid w:val="00617F9E"/>
    <w:rsid w:val="00620503"/>
    <w:rsid w:val="00620C76"/>
    <w:rsid w:val="00620F24"/>
    <w:rsid w:val="006214EF"/>
    <w:rsid w:val="00621980"/>
    <w:rsid w:val="006223B3"/>
    <w:rsid w:val="00622642"/>
    <w:rsid w:val="006227E3"/>
    <w:rsid w:val="0062331D"/>
    <w:rsid w:val="006237E2"/>
    <w:rsid w:val="00624552"/>
    <w:rsid w:val="0062483E"/>
    <w:rsid w:val="00624ABA"/>
    <w:rsid w:val="00624CB1"/>
    <w:rsid w:val="00625156"/>
    <w:rsid w:val="00625801"/>
    <w:rsid w:val="00625B93"/>
    <w:rsid w:val="00625E32"/>
    <w:rsid w:val="00625F27"/>
    <w:rsid w:val="00627A0B"/>
    <w:rsid w:val="00627DC8"/>
    <w:rsid w:val="00630131"/>
    <w:rsid w:val="00630391"/>
    <w:rsid w:val="00630D65"/>
    <w:rsid w:val="00630E7C"/>
    <w:rsid w:val="0063103E"/>
    <w:rsid w:val="00631C18"/>
    <w:rsid w:val="00632263"/>
    <w:rsid w:val="006324EE"/>
    <w:rsid w:val="00632C47"/>
    <w:rsid w:val="00633420"/>
    <w:rsid w:val="00633424"/>
    <w:rsid w:val="006334E9"/>
    <w:rsid w:val="006335A7"/>
    <w:rsid w:val="006338B4"/>
    <w:rsid w:val="00633D04"/>
    <w:rsid w:val="0063478C"/>
    <w:rsid w:val="0063494C"/>
    <w:rsid w:val="00634A4F"/>
    <w:rsid w:val="00634C51"/>
    <w:rsid w:val="00634E32"/>
    <w:rsid w:val="00634FA3"/>
    <w:rsid w:val="006351E8"/>
    <w:rsid w:val="006352B2"/>
    <w:rsid w:val="00635AA9"/>
    <w:rsid w:val="00635D9A"/>
    <w:rsid w:val="006361A4"/>
    <w:rsid w:val="00636221"/>
    <w:rsid w:val="00636BE4"/>
    <w:rsid w:val="00636C75"/>
    <w:rsid w:val="00636C93"/>
    <w:rsid w:val="00636DBA"/>
    <w:rsid w:val="00636EE9"/>
    <w:rsid w:val="00636F7B"/>
    <w:rsid w:val="00636F95"/>
    <w:rsid w:val="006373AA"/>
    <w:rsid w:val="00637D94"/>
    <w:rsid w:val="00637FFB"/>
    <w:rsid w:val="00640207"/>
    <w:rsid w:val="006408F4"/>
    <w:rsid w:val="00640BCE"/>
    <w:rsid w:val="00640D76"/>
    <w:rsid w:val="00640EF8"/>
    <w:rsid w:val="00640F74"/>
    <w:rsid w:val="006413B4"/>
    <w:rsid w:val="006417DC"/>
    <w:rsid w:val="006420CA"/>
    <w:rsid w:val="00643356"/>
    <w:rsid w:val="00643535"/>
    <w:rsid w:val="00643561"/>
    <w:rsid w:val="0064373A"/>
    <w:rsid w:val="00643A62"/>
    <w:rsid w:val="00644D64"/>
    <w:rsid w:val="0064562F"/>
    <w:rsid w:val="006456C0"/>
    <w:rsid w:val="006458E6"/>
    <w:rsid w:val="00645949"/>
    <w:rsid w:val="00645ED4"/>
    <w:rsid w:val="006466E2"/>
    <w:rsid w:val="00646F6F"/>
    <w:rsid w:val="006470B7"/>
    <w:rsid w:val="00647657"/>
    <w:rsid w:val="00647849"/>
    <w:rsid w:val="00647973"/>
    <w:rsid w:val="00647C64"/>
    <w:rsid w:val="00647E58"/>
    <w:rsid w:val="0065067D"/>
    <w:rsid w:val="00650725"/>
    <w:rsid w:val="00650915"/>
    <w:rsid w:val="00650961"/>
    <w:rsid w:val="0065099B"/>
    <w:rsid w:val="0065107B"/>
    <w:rsid w:val="00651111"/>
    <w:rsid w:val="006514AB"/>
    <w:rsid w:val="006518AA"/>
    <w:rsid w:val="006519CA"/>
    <w:rsid w:val="006524A9"/>
    <w:rsid w:val="0065288B"/>
    <w:rsid w:val="00652C56"/>
    <w:rsid w:val="0065312B"/>
    <w:rsid w:val="0065351B"/>
    <w:rsid w:val="0065355D"/>
    <w:rsid w:val="00653785"/>
    <w:rsid w:val="00653D16"/>
    <w:rsid w:val="00655054"/>
    <w:rsid w:val="006551B4"/>
    <w:rsid w:val="00655586"/>
    <w:rsid w:val="00655870"/>
    <w:rsid w:val="00655A8A"/>
    <w:rsid w:val="0065703C"/>
    <w:rsid w:val="0065729E"/>
    <w:rsid w:val="0065759F"/>
    <w:rsid w:val="00657BB2"/>
    <w:rsid w:val="00657C74"/>
    <w:rsid w:val="00660142"/>
    <w:rsid w:val="00660C59"/>
    <w:rsid w:val="00660E2F"/>
    <w:rsid w:val="00662AF3"/>
    <w:rsid w:val="00662B08"/>
    <w:rsid w:val="00662BE6"/>
    <w:rsid w:val="00662D4A"/>
    <w:rsid w:val="00662E28"/>
    <w:rsid w:val="0066317B"/>
    <w:rsid w:val="00663229"/>
    <w:rsid w:val="006637C7"/>
    <w:rsid w:val="0066386A"/>
    <w:rsid w:val="00663C72"/>
    <w:rsid w:val="00663CA3"/>
    <w:rsid w:val="00663D65"/>
    <w:rsid w:val="00663E90"/>
    <w:rsid w:val="006646CB"/>
    <w:rsid w:val="006648E7"/>
    <w:rsid w:val="00664ED7"/>
    <w:rsid w:val="00665290"/>
    <w:rsid w:val="006655DE"/>
    <w:rsid w:val="006657C4"/>
    <w:rsid w:val="006658D2"/>
    <w:rsid w:val="00665CF8"/>
    <w:rsid w:val="00665D48"/>
    <w:rsid w:val="00666241"/>
    <w:rsid w:val="006673E0"/>
    <w:rsid w:val="0066752F"/>
    <w:rsid w:val="006678A0"/>
    <w:rsid w:val="00667A5F"/>
    <w:rsid w:val="00670376"/>
    <w:rsid w:val="00670465"/>
    <w:rsid w:val="00670579"/>
    <w:rsid w:val="00670B42"/>
    <w:rsid w:val="00670C77"/>
    <w:rsid w:val="0067162F"/>
    <w:rsid w:val="0067173F"/>
    <w:rsid w:val="0067213C"/>
    <w:rsid w:val="00672333"/>
    <w:rsid w:val="0067299F"/>
    <w:rsid w:val="006729E5"/>
    <w:rsid w:val="00672B2A"/>
    <w:rsid w:val="00672C05"/>
    <w:rsid w:val="006734A7"/>
    <w:rsid w:val="0067380B"/>
    <w:rsid w:val="006738E5"/>
    <w:rsid w:val="00673AC5"/>
    <w:rsid w:val="006745E6"/>
    <w:rsid w:val="006748B5"/>
    <w:rsid w:val="00674DA3"/>
    <w:rsid w:val="00675138"/>
    <w:rsid w:val="00675304"/>
    <w:rsid w:val="006754FF"/>
    <w:rsid w:val="00675F01"/>
    <w:rsid w:val="0067600D"/>
    <w:rsid w:val="006765EE"/>
    <w:rsid w:val="00676DA9"/>
    <w:rsid w:val="00676EDC"/>
    <w:rsid w:val="006771AD"/>
    <w:rsid w:val="00677251"/>
    <w:rsid w:val="006776FE"/>
    <w:rsid w:val="00677818"/>
    <w:rsid w:val="00677E12"/>
    <w:rsid w:val="00677E98"/>
    <w:rsid w:val="00677EBB"/>
    <w:rsid w:val="00680028"/>
    <w:rsid w:val="00680035"/>
    <w:rsid w:val="0068069D"/>
    <w:rsid w:val="00680960"/>
    <w:rsid w:val="0068137D"/>
    <w:rsid w:val="00682838"/>
    <w:rsid w:val="00682A9D"/>
    <w:rsid w:val="00682C10"/>
    <w:rsid w:val="00682D40"/>
    <w:rsid w:val="0068387C"/>
    <w:rsid w:val="00683966"/>
    <w:rsid w:val="00683B78"/>
    <w:rsid w:val="00684D05"/>
    <w:rsid w:val="00684FE9"/>
    <w:rsid w:val="006856FC"/>
    <w:rsid w:val="00685CE3"/>
    <w:rsid w:val="00685E41"/>
    <w:rsid w:val="006861C2"/>
    <w:rsid w:val="00686517"/>
    <w:rsid w:val="0068672B"/>
    <w:rsid w:val="00686778"/>
    <w:rsid w:val="006868AC"/>
    <w:rsid w:val="00686FA0"/>
    <w:rsid w:val="006877D3"/>
    <w:rsid w:val="00690920"/>
    <w:rsid w:val="0069187F"/>
    <w:rsid w:val="00691B59"/>
    <w:rsid w:val="00691C5B"/>
    <w:rsid w:val="00691E61"/>
    <w:rsid w:val="00692057"/>
    <w:rsid w:val="0069240F"/>
    <w:rsid w:val="0069342F"/>
    <w:rsid w:val="00693A3C"/>
    <w:rsid w:val="006946AB"/>
    <w:rsid w:val="00694AB7"/>
    <w:rsid w:val="00696295"/>
    <w:rsid w:val="006962B5"/>
    <w:rsid w:val="006966FB"/>
    <w:rsid w:val="00696AEF"/>
    <w:rsid w:val="0069737A"/>
    <w:rsid w:val="006976AE"/>
    <w:rsid w:val="00697B14"/>
    <w:rsid w:val="00697EAF"/>
    <w:rsid w:val="00697F76"/>
    <w:rsid w:val="006A036A"/>
    <w:rsid w:val="006A074F"/>
    <w:rsid w:val="006A117E"/>
    <w:rsid w:val="006A1A24"/>
    <w:rsid w:val="006A24C9"/>
    <w:rsid w:val="006A26B8"/>
    <w:rsid w:val="006A272F"/>
    <w:rsid w:val="006A2BC3"/>
    <w:rsid w:val="006A373A"/>
    <w:rsid w:val="006A3A98"/>
    <w:rsid w:val="006A3BF1"/>
    <w:rsid w:val="006A48FC"/>
    <w:rsid w:val="006A4BB7"/>
    <w:rsid w:val="006A4F92"/>
    <w:rsid w:val="006A52C0"/>
    <w:rsid w:val="006A581C"/>
    <w:rsid w:val="006A668A"/>
    <w:rsid w:val="006A679B"/>
    <w:rsid w:val="006A6D9C"/>
    <w:rsid w:val="006A7406"/>
    <w:rsid w:val="006A740A"/>
    <w:rsid w:val="006A768C"/>
    <w:rsid w:val="006A77C7"/>
    <w:rsid w:val="006A7956"/>
    <w:rsid w:val="006A7AB2"/>
    <w:rsid w:val="006B034B"/>
    <w:rsid w:val="006B0B1D"/>
    <w:rsid w:val="006B0BFA"/>
    <w:rsid w:val="006B0C5A"/>
    <w:rsid w:val="006B0D15"/>
    <w:rsid w:val="006B153F"/>
    <w:rsid w:val="006B15BC"/>
    <w:rsid w:val="006B16BF"/>
    <w:rsid w:val="006B19CD"/>
    <w:rsid w:val="006B1CA0"/>
    <w:rsid w:val="006B2917"/>
    <w:rsid w:val="006B2BCF"/>
    <w:rsid w:val="006B2E4A"/>
    <w:rsid w:val="006B2E99"/>
    <w:rsid w:val="006B2F8D"/>
    <w:rsid w:val="006B31A8"/>
    <w:rsid w:val="006B34AE"/>
    <w:rsid w:val="006B383C"/>
    <w:rsid w:val="006B3A80"/>
    <w:rsid w:val="006B3C13"/>
    <w:rsid w:val="006B3D63"/>
    <w:rsid w:val="006B4430"/>
    <w:rsid w:val="006B4591"/>
    <w:rsid w:val="006B4683"/>
    <w:rsid w:val="006B4DDC"/>
    <w:rsid w:val="006B4DF1"/>
    <w:rsid w:val="006B4EA4"/>
    <w:rsid w:val="006B523D"/>
    <w:rsid w:val="006B5552"/>
    <w:rsid w:val="006B5A73"/>
    <w:rsid w:val="006B61DA"/>
    <w:rsid w:val="006B629B"/>
    <w:rsid w:val="006B6787"/>
    <w:rsid w:val="006B6D45"/>
    <w:rsid w:val="006B6DBF"/>
    <w:rsid w:val="006B6EE1"/>
    <w:rsid w:val="006B781C"/>
    <w:rsid w:val="006C0049"/>
    <w:rsid w:val="006C026D"/>
    <w:rsid w:val="006C02B8"/>
    <w:rsid w:val="006C1FA2"/>
    <w:rsid w:val="006C1FAC"/>
    <w:rsid w:val="006C2409"/>
    <w:rsid w:val="006C2A65"/>
    <w:rsid w:val="006C2C37"/>
    <w:rsid w:val="006C2F4F"/>
    <w:rsid w:val="006C310B"/>
    <w:rsid w:val="006C3338"/>
    <w:rsid w:val="006C34AD"/>
    <w:rsid w:val="006C3698"/>
    <w:rsid w:val="006C38C5"/>
    <w:rsid w:val="006C3F52"/>
    <w:rsid w:val="006C509C"/>
    <w:rsid w:val="006C5359"/>
    <w:rsid w:val="006C53CD"/>
    <w:rsid w:val="006C56B2"/>
    <w:rsid w:val="006C5B5E"/>
    <w:rsid w:val="006C688E"/>
    <w:rsid w:val="006C6963"/>
    <w:rsid w:val="006C7305"/>
    <w:rsid w:val="006C751B"/>
    <w:rsid w:val="006C7D68"/>
    <w:rsid w:val="006C7EAF"/>
    <w:rsid w:val="006C7EEB"/>
    <w:rsid w:val="006C7FE8"/>
    <w:rsid w:val="006D0012"/>
    <w:rsid w:val="006D040A"/>
    <w:rsid w:val="006D0BEA"/>
    <w:rsid w:val="006D0D61"/>
    <w:rsid w:val="006D0DAE"/>
    <w:rsid w:val="006D18B2"/>
    <w:rsid w:val="006D1D8A"/>
    <w:rsid w:val="006D1E01"/>
    <w:rsid w:val="006D1EEA"/>
    <w:rsid w:val="006D218D"/>
    <w:rsid w:val="006D244B"/>
    <w:rsid w:val="006D2A92"/>
    <w:rsid w:val="006D3040"/>
    <w:rsid w:val="006D306A"/>
    <w:rsid w:val="006D3B2E"/>
    <w:rsid w:val="006D3B55"/>
    <w:rsid w:val="006D4747"/>
    <w:rsid w:val="006D4902"/>
    <w:rsid w:val="006D4BBC"/>
    <w:rsid w:val="006D4EEF"/>
    <w:rsid w:val="006D4FA4"/>
    <w:rsid w:val="006D57E8"/>
    <w:rsid w:val="006D57F0"/>
    <w:rsid w:val="006D5995"/>
    <w:rsid w:val="006D5B9D"/>
    <w:rsid w:val="006D6061"/>
    <w:rsid w:val="006D60D2"/>
    <w:rsid w:val="006D624B"/>
    <w:rsid w:val="006D640A"/>
    <w:rsid w:val="006D65A1"/>
    <w:rsid w:val="006D6A5D"/>
    <w:rsid w:val="006D6C98"/>
    <w:rsid w:val="006D7706"/>
    <w:rsid w:val="006D7BEE"/>
    <w:rsid w:val="006D7C4B"/>
    <w:rsid w:val="006D7C75"/>
    <w:rsid w:val="006D7CF0"/>
    <w:rsid w:val="006E01CA"/>
    <w:rsid w:val="006E0588"/>
    <w:rsid w:val="006E08C4"/>
    <w:rsid w:val="006E0B39"/>
    <w:rsid w:val="006E0D20"/>
    <w:rsid w:val="006E0DC3"/>
    <w:rsid w:val="006E0F99"/>
    <w:rsid w:val="006E1674"/>
    <w:rsid w:val="006E168D"/>
    <w:rsid w:val="006E186B"/>
    <w:rsid w:val="006E1919"/>
    <w:rsid w:val="006E1CA6"/>
    <w:rsid w:val="006E1CEE"/>
    <w:rsid w:val="006E2011"/>
    <w:rsid w:val="006E275A"/>
    <w:rsid w:val="006E2919"/>
    <w:rsid w:val="006E2B84"/>
    <w:rsid w:val="006E2C4B"/>
    <w:rsid w:val="006E2F52"/>
    <w:rsid w:val="006E312A"/>
    <w:rsid w:val="006E3504"/>
    <w:rsid w:val="006E474E"/>
    <w:rsid w:val="006E4AD8"/>
    <w:rsid w:val="006E4BDB"/>
    <w:rsid w:val="006E530E"/>
    <w:rsid w:val="006E55D7"/>
    <w:rsid w:val="006E55E3"/>
    <w:rsid w:val="006E627D"/>
    <w:rsid w:val="006E6547"/>
    <w:rsid w:val="006E6869"/>
    <w:rsid w:val="006E69DB"/>
    <w:rsid w:val="006E6C19"/>
    <w:rsid w:val="006E741B"/>
    <w:rsid w:val="006E7685"/>
    <w:rsid w:val="006E799D"/>
    <w:rsid w:val="006E7B86"/>
    <w:rsid w:val="006F0082"/>
    <w:rsid w:val="006F02A9"/>
    <w:rsid w:val="006F05BD"/>
    <w:rsid w:val="006F07CC"/>
    <w:rsid w:val="006F14C6"/>
    <w:rsid w:val="006F15BF"/>
    <w:rsid w:val="006F1702"/>
    <w:rsid w:val="006F1BD6"/>
    <w:rsid w:val="006F26D4"/>
    <w:rsid w:val="006F2792"/>
    <w:rsid w:val="006F2A16"/>
    <w:rsid w:val="006F2D44"/>
    <w:rsid w:val="006F3354"/>
    <w:rsid w:val="006F476C"/>
    <w:rsid w:val="006F5015"/>
    <w:rsid w:val="006F57E6"/>
    <w:rsid w:val="006F6007"/>
    <w:rsid w:val="006F61CF"/>
    <w:rsid w:val="006F6592"/>
    <w:rsid w:val="006F6B91"/>
    <w:rsid w:val="006F6BA7"/>
    <w:rsid w:val="006F6F5B"/>
    <w:rsid w:val="006F7C28"/>
    <w:rsid w:val="006F7E2D"/>
    <w:rsid w:val="007007C5"/>
    <w:rsid w:val="00700B9A"/>
    <w:rsid w:val="00700F5D"/>
    <w:rsid w:val="007010F8"/>
    <w:rsid w:val="007015ED"/>
    <w:rsid w:val="00701F36"/>
    <w:rsid w:val="0070244F"/>
    <w:rsid w:val="00702843"/>
    <w:rsid w:val="00702E8E"/>
    <w:rsid w:val="00703C53"/>
    <w:rsid w:val="00703ED7"/>
    <w:rsid w:val="00704C63"/>
    <w:rsid w:val="00704E29"/>
    <w:rsid w:val="00704E32"/>
    <w:rsid w:val="00705256"/>
    <w:rsid w:val="007058EE"/>
    <w:rsid w:val="00705FDF"/>
    <w:rsid w:val="007060DA"/>
    <w:rsid w:val="007061D2"/>
    <w:rsid w:val="00706395"/>
    <w:rsid w:val="007064A1"/>
    <w:rsid w:val="0070687A"/>
    <w:rsid w:val="007068FE"/>
    <w:rsid w:val="007072B3"/>
    <w:rsid w:val="00707616"/>
    <w:rsid w:val="00710078"/>
    <w:rsid w:val="00710394"/>
    <w:rsid w:val="00710E4D"/>
    <w:rsid w:val="00710E65"/>
    <w:rsid w:val="00710E7B"/>
    <w:rsid w:val="0071160A"/>
    <w:rsid w:val="007117EF"/>
    <w:rsid w:val="00711E47"/>
    <w:rsid w:val="007125E9"/>
    <w:rsid w:val="00712769"/>
    <w:rsid w:val="007128EB"/>
    <w:rsid w:val="00712CB1"/>
    <w:rsid w:val="007131DD"/>
    <w:rsid w:val="00713594"/>
    <w:rsid w:val="00713662"/>
    <w:rsid w:val="00713942"/>
    <w:rsid w:val="00713B0C"/>
    <w:rsid w:val="00714558"/>
    <w:rsid w:val="0071481F"/>
    <w:rsid w:val="00714989"/>
    <w:rsid w:val="00714C81"/>
    <w:rsid w:val="00714D9B"/>
    <w:rsid w:val="00714DBD"/>
    <w:rsid w:val="0071509B"/>
    <w:rsid w:val="00715996"/>
    <w:rsid w:val="00715CA7"/>
    <w:rsid w:val="00715FC6"/>
    <w:rsid w:val="00716A19"/>
    <w:rsid w:val="00716DC7"/>
    <w:rsid w:val="007170E2"/>
    <w:rsid w:val="00717139"/>
    <w:rsid w:val="007171C5"/>
    <w:rsid w:val="007171C6"/>
    <w:rsid w:val="00717BE9"/>
    <w:rsid w:val="0072016D"/>
    <w:rsid w:val="007203D1"/>
    <w:rsid w:val="00720442"/>
    <w:rsid w:val="007205DF"/>
    <w:rsid w:val="007211C8"/>
    <w:rsid w:val="00721A61"/>
    <w:rsid w:val="007220D9"/>
    <w:rsid w:val="00722FDA"/>
    <w:rsid w:val="007237A9"/>
    <w:rsid w:val="00723932"/>
    <w:rsid w:val="00723F8E"/>
    <w:rsid w:val="0072400C"/>
    <w:rsid w:val="00724174"/>
    <w:rsid w:val="007245FE"/>
    <w:rsid w:val="007249B2"/>
    <w:rsid w:val="00724B90"/>
    <w:rsid w:val="00724E90"/>
    <w:rsid w:val="00725052"/>
    <w:rsid w:val="00725D11"/>
    <w:rsid w:val="00725E74"/>
    <w:rsid w:val="007260AE"/>
    <w:rsid w:val="00726344"/>
    <w:rsid w:val="00726584"/>
    <w:rsid w:val="007266CB"/>
    <w:rsid w:val="00727064"/>
    <w:rsid w:val="0072706B"/>
    <w:rsid w:val="007274A9"/>
    <w:rsid w:val="00730545"/>
    <w:rsid w:val="00730A4B"/>
    <w:rsid w:val="00730C7B"/>
    <w:rsid w:val="0073121D"/>
    <w:rsid w:val="00731268"/>
    <w:rsid w:val="00732EDC"/>
    <w:rsid w:val="00733070"/>
    <w:rsid w:val="00733562"/>
    <w:rsid w:val="0073374D"/>
    <w:rsid w:val="007337A5"/>
    <w:rsid w:val="007342BE"/>
    <w:rsid w:val="00734908"/>
    <w:rsid w:val="007350C0"/>
    <w:rsid w:val="00735230"/>
    <w:rsid w:val="00735366"/>
    <w:rsid w:val="0073614C"/>
    <w:rsid w:val="00736654"/>
    <w:rsid w:val="007367B4"/>
    <w:rsid w:val="00736964"/>
    <w:rsid w:val="007369A0"/>
    <w:rsid w:val="00737147"/>
    <w:rsid w:val="00737491"/>
    <w:rsid w:val="00737AEE"/>
    <w:rsid w:val="00737B23"/>
    <w:rsid w:val="00737DF5"/>
    <w:rsid w:val="00737F66"/>
    <w:rsid w:val="00740269"/>
    <w:rsid w:val="007405AB"/>
    <w:rsid w:val="00740758"/>
    <w:rsid w:val="00740D54"/>
    <w:rsid w:val="00740D87"/>
    <w:rsid w:val="0074117E"/>
    <w:rsid w:val="007411EF"/>
    <w:rsid w:val="007412FE"/>
    <w:rsid w:val="0074171E"/>
    <w:rsid w:val="00741959"/>
    <w:rsid w:val="00741C5B"/>
    <w:rsid w:val="00741F06"/>
    <w:rsid w:val="0074222D"/>
    <w:rsid w:val="007427F3"/>
    <w:rsid w:val="00742A19"/>
    <w:rsid w:val="00742A44"/>
    <w:rsid w:val="00742EAD"/>
    <w:rsid w:val="00743091"/>
    <w:rsid w:val="007432FE"/>
    <w:rsid w:val="00743D9C"/>
    <w:rsid w:val="00743F09"/>
    <w:rsid w:val="00743F50"/>
    <w:rsid w:val="007440BC"/>
    <w:rsid w:val="00744949"/>
    <w:rsid w:val="00744FBE"/>
    <w:rsid w:val="00745138"/>
    <w:rsid w:val="0074538E"/>
    <w:rsid w:val="0074549B"/>
    <w:rsid w:val="007457F2"/>
    <w:rsid w:val="00745ABC"/>
    <w:rsid w:val="00745C7F"/>
    <w:rsid w:val="00746466"/>
    <w:rsid w:val="00746AF2"/>
    <w:rsid w:val="00746E5F"/>
    <w:rsid w:val="00746E7D"/>
    <w:rsid w:val="0074754E"/>
    <w:rsid w:val="00747D7F"/>
    <w:rsid w:val="007502D6"/>
    <w:rsid w:val="0075036E"/>
    <w:rsid w:val="007507D5"/>
    <w:rsid w:val="0075098E"/>
    <w:rsid w:val="007511AD"/>
    <w:rsid w:val="007512B4"/>
    <w:rsid w:val="00751D72"/>
    <w:rsid w:val="00752230"/>
    <w:rsid w:val="00752334"/>
    <w:rsid w:val="007524C0"/>
    <w:rsid w:val="00752830"/>
    <w:rsid w:val="00752B5E"/>
    <w:rsid w:val="007530C3"/>
    <w:rsid w:val="0075372F"/>
    <w:rsid w:val="00753B3C"/>
    <w:rsid w:val="00753D7C"/>
    <w:rsid w:val="00754383"/>
    <w:rsid w:val="007547A9"/>
    <w:rsid w:val="00754C9B"/>
    <w:rsid w:val="00755508"/>
    <w:rsid w:val="00755971"/>
    <w:rsid w:val="00755BEB"/>
    <w:rsid w:val="00755FE9"/>
    <w:rsid w:val="00756090"/>
    <w:rsid w:val="0075652C"/>
    <w:rsid w:val="007566EB"/>
    <w:rsid w:val="0075794E"/>
    <w:rsid w:val="00757A45"/>
    <w:rsid w:val="00757C05"/>
    <w:rsid w:val="00757DA0"/>
    <w:rsid w:val="00760502"/>
    <w:rsid w:val="007606F4"/>
    <w:rsid w:val="007609EB"/>
    <w:rsid w:val="00760BB9"/>
    <w:rsid w:val="00760CE1"/>
    <w:rsid w:val="00761373"/>
    <w:rsid w:val="00761FB3"/>
    <w:rsid w:val="0076223E"/>
    <w:rsid w:val="007623ED"/>
    <w:rsid w:val="007627E0"/>
    <w:rsid w:val="00762848"/>
    <w:rsid w:val="00762C5B"/>
    <w:rsid w:val="00762D5B"/>
    <w:rsid w:val="0076302F"/>
    <w:rsid w:val="007630B3"/>
    <w:rsid w:val="0076349B"/>
    <w:rsid w:val="007637AC"/>
    <w:rsid w:val="007639BB"/>
    <w:rsid w:val="00763CD7"/>
    <w:rsid w:val="00764295"/>
    <w:rsid w:val="007648E5"/>
    <w:rsid w:val="00764AC0"/>
    <w:rsid w:val="00764D6C"/>
    <w:rsid w:val="0076511E"/>
    <w:rsid w:val="007651D0"/>
    <w:rsid w:val="00765421"/>
    <w:rsid w:val="00765536"/>
    <w:rsid w:val="007655EC"/>
    <w:rsid w:val="00765B09"/>
    <w:rsid w:val="00765E19"/>
    <w:rsid w:val="007660C1"/>
    <w:rsid w:val="0076619C"/>
    <w:rsid w:val="007668FB"/>
    <w:rsid w:val="00767868"/>
    <w:rsid w:val="00767C3E"/>
    <w:rsid w:val="00771531"/>
    <w:rsid w:val="007716D6"/>
    <w:rsid w:val="007717A5"/>
    <w:rsid w:val="00771969"/>
    <w:rsid w:val="00771FCC"/>
    <w:rsid w:val="00772159"/>
    <w:rsid w:val="0077228B"/>
    <w:rsid w:val="00772505"/>
    <w:rsid w:val="0077269E"/>
    <w:rsid w:val="007728EB"/>
    <w:rsid w:val="0077348D"/>
    <w:rsid w:val="00773721"/>
    <w:rsid w:val="00773A42"/>
    <w:rsid w:val="00773C6F"/>
    <w:rsid w:val="00774A64"/>
    <w:rsid w:val="00774B0C"/>
    <w:rsid w:val="00774B99"/>
    <w:rsid w:val="00774D10"/>
    <w:rsid w:val="00775525"/>
    <w:rsid w:val="00775B54"/>
    <w:rsid w:val="00775BF0"/>
    <w:rsid w:val="00775F16"/>
    <w:rsid w:val="00776ADA"/>
    <w:rsid w:val="00776E7F"/>
    <w:rsid w:val="00776F82"/>
    <w:rsid w:val="007770D9"/>
    <w:rsid w:val="0077741D"/>
    <w:rsid w:val="00777701"/>
    <w:rsid w:val="007777EE"/>
    <w:rsid w:val="00777A0C"/>
    <w:rsid w:val="00777D29"/>
    <w:rsid w:val="00777D66"/>
    <w:rsid w:val="00777DB4"/>
    <w:rsid w:val="00777FB4"/>
    <w:rsid w:val="00780B37"/>
    <w:rsid w:val="00780CBF"/>
    <w:rsid w:val="00780D02"/>
    <w:rsid w:val="00781A3E"/>
    <w:rsid w:val="007820BE"/>
    <w:rsid w:val="00782156"/>
    <w:rsid w:val="00782D36"/>
    <w:rsid w:val="00782DF5"/>
    <w:rsid w:val="00783285"/>
    <w:rsid w:val="00783F83"/>
    <w:rsid w:val="00784534"/>
    <w:rsid w:val="00784B22"/>
    <w:rsid w:val="00784E75"/>
    <w:rsid w:val="00784EAE"/>
    <w:rsid w:val="00785098"/>
    <w:rsid w:val="007851E8"/>
    <w:rsid w:val="00785236"/>
    <w:rsid w:val="007852DC"/>
    <w:rsid w:val="007858B3"/>
    <w:rsid w:val="00785C6E"/>
    <w:rsid w:val="00785F94"/>
    <w:rsid w:val="00785FF2"/>
    <w:rsid w:val="007869A5"/>
    <w:rsid w:val="007876E9"/>
    <w:rsid w:val="0078775B"/>
    <w:rsid w:val="00787E16"/>
    <w:rsid w:val="007900CE"/>
    <w:rsid w:val="00790499"/>
    <w:rsid w:val="00790C75"/>
    <w:rsid w:val="00790C76"/>
    <w:rsid w:val="00791154"/>
    <w:rsid w:val="0079179E"/>
    <w:rsid w:val="00791B88"/>
    <w:rsid w:val="00791CA7"/>
    <w:rsid w:val="00791ECC"/>
    <w:rsid w:val="00791EDB"/>
    <w:rsid w:val="0079203B"/>
    <w:rsid w:val="00792521"/>
    <w:rsid w:val="00792914"/>
    <w:rsid w:val="007929E6"/>
    <w:rsid w:val="00792A2F"/>
    <w:rsid w:val="00792F98"/>
    <w:rsid w:val="0079346C"/>
    <w:rsid w:val="007934E1"/>
    <w:rsid w:val="00793B71"/>
    <w:rsid w:val="007943C2"/>
    <w:rsid w:val="00794741"/>
    <w:rsid w:val="00794CCB"/>
    <w:rsid w:val="00794FE8"/>
    <w:rsid w:val="00795132"/>
    <w:rsid w:val="007952F2"/>
    <w:rsid w:val="00795693"/>
    <w:rsid w:val="00795937"/>
    <w:rsid w:val="00795BE6"/>
    <w:rsid w:val="007961BE"/>
    <w:rsid w:val="0079631F"/>
    <w:rsid w:val="00796820"/>
    <w:rsid w:val="00797801"/>
    <w:rsid w:val="00797A02"/>
    <w:rsid w:val="007A002F"/>
    <w:rsid w:val="007A025D"/>
    <w:rsid w:val="007A0938"/>
    <w:rsid w:val="007A13C0"/>
    <w:rsid w:val="007A1647"/>
    <w:rsid w:val="007A1654"/>
    <w:rsid w:val="007A1A79"/>
    <w:rsid w:val="007A1B8D"/>
    <w:rsid w:val="007A2143"/>
    <w:rsid w:val="007A2209"/>
    <w:rsid w:val="007A24BE"/>
    <w:rsid w:val="007A287F"/>
    <w:rsid w:val="007A2927"/>
    <w:rsid w:val="007A2B72"/>
    <w:rsid w:val="007A2F27"/>
    <w:rsid w:val="007A3124"/>
    <w:rsid w:val="007A31D0"/>
    <w:rsid w:val="007A3207"/>
    <w:rsid w:val="007A382D"/>
    <w:rsid w:val="007A3831"/>
    <w:rsid w:val="007A41A7"/>
    <w:rsid w:val="007A4896"/>
    <w:rsid w:val="007A48C9"/>
    <w:rsid w:val="007A4A21"/>
    <w:rsid w:val="007A52F9"/>
    <w:rsid w:val="007A5740"/>
    <w:rsid w:val="007A5BC1"/>
    <w:rsid w:val="007A6270"/>
    <w:rsid w:val="007A64FB"/>
    <w:rsid w:val="007A673E"/>
    <w:rsid w:val="007A674E"/>
    <w:rsid w:val="007A6B19"/>
    <w:rsid w:val="007A6EAD"/>
    <w:rsid w:val="007A73EE"/>
    <w:rsid w:val="007B04A9"/>
    <w:rsid w:val="007B068D"/>
    <w:rsid w:val="007B09A4"/>
    <w:rsid w:val="007B0B8F"/>
    <w:rsid w:val="007B0CE2"/>
    <w:rsid w:val="007B0D15"/>
    <w:rsid w:val="007B1E5A"/>
    <w:rsid w:val="007B1E97"/>
    <w:rsid w:val="007B31A4"/>
    <w:rsid w:val="007B3382"/>
    <w:rsid w:val="007B37D2"/>
    <w:rsid w:val="007B38C4"/>
    <w:rsid w:val="007B3FE5"/>
    <w:rsid w:val="007B4508"/>
    <w:rsid w:val="007B4918"/>
    <w:rsid w:val="007B4946"/>
    <w:rsid w:val="007B4BD1"/>
    <w:rsid w:val="007B4C06"/>
    <w:rsid w:val="007B4FA2"/>
    <w:rsid w:val="007B5034"/>
    <w:rsid w:val="007B57A1"/>
    <w:rsid w:val="007B596C"/>
    <w:rsid w:val="007B5EF6"/>
    <w:rsid w:val="007B6241"/>
    <w:rsid w:val="007B71E4"/>
    <w:rsid w:val="007B7421"/>
    <w:rsid w:val="007C0066"/>
    <w:rsid w:val="007C0A8D"/>
    <w:rsid w:val="007C0B33"/>
    <w:rsid w:val="007C1360"/>
    <w:rsid w:val="007C2345"/>
    <w:rsid w:val="007C2BA5"/>
    <w:rsid w:val="007C2E00"/>
    <w:rsid w:val="007C2E8E"/>
    <w:rsid w:val="007C2F92"/>
    <w:rsid w:val="007C358D"/>
    <w:rsid w:val="007C476B"/>
    <w:rsid w:val="007C4E41"/>
    <w:rsid w:val="007C507E"/>
    <w:rsid w:val="007C52F4"/>
    <w:rsid w:val="007C5D43"/>
    <w:rsid w:val="007C5DFA"/>
    <w:rsid w:val="007C6DD5"/>
    <w:rsid w:val="007C6E58"/>
    <w:rsid w:val="007C7016"/>
    <w:rsid w:val="007C72DC"/>
    <w:rsid w:val="007C74D2"/>
    <w:rsid w:val="007C7517"/>
    <w:rsid w:val="007C787B"/>
    <w:rsid w:val="007D03B6"/>
    <w:rsid w:val="007D03FD"/>
    <w:rsid w:val="007D0654"/>
    <w:rsid w:val="007D0881"/>
    <w:rsid w:val="007D0FC2"/>
    <w:rsid w:val="007D1668"/>
    <w:rsid w:val="007D1762"/>
    <w:rsid w:val="007D1989"/>
    <w:rsid w:val="007D1D01"/>
    <w:rsid w:val="007D206D"/>
    <w:rsid w:val="007D245F"/>
    <w:rsid w:val="007D25EA"/>
    <w:rsid w:val="007D2992"/>
    <w:rsid w:val="007D2D4E"/>
    <w:rsid w:val="007D2F6A"/>
    <w:rsid w:val="007D2FC9"/>
    <w:rsid w:val="007D3156"/>
    <w:rsid w:val="007D36B9"/>
    <w:rsid w:val="007D37CC"/>
    <w:rsid w:val="007D383E"/>
    <w:rsid w:val="007D3935"/>
    <w:rsid w:val="007D3EFB"/>
    <w:rsid w:val="007D4032"/>
    <w:rsid w:val="007D4373"/>
    <w:rsid w:val="007D46A2"/>
    <w:rsid w:val="007D479F"/>
    <w:rsid w:val="007D49F1"/>
    <w:rsid w:val="007D54C4"/>
    <w:rsid w:val="007D552F"/>
    <w:rsid w:val="007D597B"/>
    <w:rsid w:val="007D5BDF"/>
    <w:rsid w:val="007D606F"/>
    <w:rsid w:val="007D642B"/>
    <w:rsid w:val="007D669C"/>
    <w:rsid w:val="007D66EE"/>
    <w:rsid w:val="007D6DE6"/>
    <w:rsid w:val="007D6DEA"/>
    <w:rsid w:val="007D7083"/>
    <w:rsid w:val="007D7322"/>
    <w:rsid w:val="007D7E91"/>
    <w:rsid w:val="007E0177"/>
    <w:rsid w:val="007E082D"/>
    <w:rsid w:val="007E0F3D"/>
    <w:rsid w:val="007E1027"/>
    <w:rsid w:val="007E1388"/>
    <w:rsid w:val="007E1865"/>
    <w:rsid w:val="007E18F6"/>
    <w:rsid w:val="007E1E25"/>
    <w:rsid w:val="007E2194"/>
    <w:rsid w:val="007E2615"/>
    <w:rsid w:val="007E26EF"/>
    <w:rsid w:val="007E2B6C"/>
    <w:rsid w:val="007E2BD5"/>
    <w:rsid w:val="007E320A"/>
    <w:rsid w:val="007E356A"/>
    <w:rsid w:val="007E4154"/>
    <w:rsid w:val="007E47EF"/>
    <w:rsid w:val="007E495C"/>
    <w:rsid w:val="007E4981"/>
    <w:rsid w:val="007E4FBC"/>
    <w:rsid w:val="007E525A"/>
    <w:rsid w:val="007E588A"/>
    <w:rsid w:val="007E5CF8"/>
    <w:rsid w:val="007E62F7"/>
    <w:rsid w:val="007E69FC"/>
    <w:rsid w:val="007E6B98"/>
    <w:rsid w:val="007E74DC"/>
    <w:rsid w:val="007E7974"/>
    <w:rsid w:val="007E79CE"/>
    <w:rsid w:val="007E7BB1"/>
    <w:rsid w:val="007E7CCD"/>
    <w:rsid w:val="007E7F66"/>
    <w:rsid w:val="007E7FC8"/>
    <w:rsid w:val="007F00FB"/>
    <w:rsid w:val="007F0178"/>
    <w:rsid w:val="007F052C"/>
    <w:rsid w:val="007F0579"/>
    <w:rsid w:val="007F0B1F"/>
    <w:rsid w:val="007F0DD3"/>
    <w:rsid w:val="007F0DDB"/>
    <w:rsid w:val="007F0FF3"/>
    <w:rsid w:val="007F136B"/>
    <w:rsid w:val="007F1641"/>
    <w:rsid w:val="007F178F"/>
    <w:rsid w:val="007F17CC"/>
    <w:rsid w:val="007F181F"/>
    <w:rsid w:val="007F1A56"/>
    <w:rsid w:val="007F3401"/>
    <w:rsid w:val="007F35DA"/>
    <w:rsid w:val="007F4195"/>
    <w:rsid w:val="007F42CA"/>
    <w:rsid w:val="007F4FBC"/>
    <w:rsid w:val="007F5528"/>
    <w:rsid w:val="007F59A2"/>
    <w:rsid w:val="007F5F81"/>
    <w:rsid w:val="007F5F99"/>
    <w:rsid w:val="007F60DE"/>
    <w:rsid w:val="007F6331"/>
    <w:rsid w:val="007F637C"/>
    <w:rsid w:val="007F65AE"/>
    <w:rsid w:val="007F6814"/>
    <w:rsid w:val="007F69F3"/>
    <w:rsid w:val="007F70DE"/>
    <w:rsid w:val="007F722B"/>
    <w:rsid w:val="0080000B"/>
    <w:rsid w:val="0080160D"/>
    <w:rsid w:val="00801726"/>
    <w:rsid w:val="0080191D"/>
    <w:rsid w:val="00801B4A"/>
    <w:rsid w:val="00801E38"/>
    <w:rsid w:val="00801E5A"/>
    <w:rsid w:val="00802112"/>
    <w:rsid w:val="00802177"/>
    <w:rsid w:val="0080260C"/>
    <w:rsid w:val="008028FB"/>
    <w:rsid w:val="00802903"/>
    <w:rsid w:val="008034AA"/>
    <w:rsid w:val="008037C5"/>
    <w:rsid w:val="008037F6"/>
    <w:rsid w:val="00803CBB"/>
    <w:rsid w:val="00803DA5"/>
    <w:rsid w:val="00804BC5"/>
    <w:rsid w:val="0080543C"/>
    <w:rsid w:val="00805802"/>
    <w:rsid w:val="008059EE"/>
    <w:rsid w:val="008059FC"/>
    <w:rsid w:val="00805A52"/>
    <w:rsid w:val="00805EBD"/>
    <w:rsid w:val="00806043"/>
    <w:rsid w:val="008060A5"/>
    <w:rsid w:val="008060D3"/>
    <w:rsid w:val="008066EC"/>
    <w:rsid w:val="008066FB"/>
    <w:rsid w:val="00806915"/>
    <w:rsid w:val="0080700E"/>
    <w:rsid w:val="00807A12"/>
    <w:rsid w:val="00807A65"/>
    <w:rsid w:val="00807E7B"/>
    <w:rsid w:val="008103A6"/>
    <w:rsid w:val="008106C4"/>
    <w:rsid w:val="008108AA"/>
    <w:rsid w:val="008108CB"/>
    <w:rsid w:val="00810EBE"/>
    <w:rsid w:val="008111D6"/>
    <w:rsid w:val="00811745"/>
    <w:rsid w:val="00811E9A"/>
    <w:rsid w:val="00811F17"/>
    <w:rsid w:val="008123D8"/>
    <w:rsid w:val="00812CC5"/>
    <w:rsid w:val="00812DD2"/>
    <w:rsid w:val="008133E9"/>
    <w:rsid w:val="00813794"/>
    <w:rsid w:val="00813B35"/>
    <w:rsid w:val="00814A0A"/>
    <w:rsid w:val="00814BDD"/>
    <w:rsid w:val="00814F3A"/>
    <w:rsid w:val="0081545C"/>
    <w:rsid w:val="0081582C"/>
    <w:rsid w:val="0081679A"/>
    <w:rsid w:val="00816D8D"/>
    <w:rsid w:val="008172E5"/>
    <w:rsid w:val="008173DB"/>
    <w:rsid w:val="00817A04"/>
    <w:rsid w:val="00817E9E"/>
    <w:rsid w:val="008203FB"/>
    <w:rsid w:val="008204EF"/>
    <w:rsid w:val="00820A20"/>
    <w:rsid w:val="00820C48"/>
    <w:rsid w:val="00820FC4"/>
    <w:rsid w:val="0082158E"/>
    <w:rsid w:val="00821A99"/>
    <w:rsid w:val="00822756"/>
    <w:rsid w:val="00822A21"/>
    <w:rsid w:val="00823299"/>
    <w:rsid w:val="00823873"/>
    <w:rsid w:val="00823A9D"/>
    <w:rsid w:val="00823D80"/>
    <w:rsid w:val="0082475F"/>
    <w:rsid w:val="00824809"/>
    <w:rsid w:val="00824B23"/>
    <w:rsid w:val="00824C50"/>
    <w:rsid w:val="00824D9D"/>
    <w:rsid w:val="00825088"/>
    <w:rsid w:val="00825525"/>
    <w:rsid w:val="008258F4"/>
    <w:rsid w:val="00825A48"/>
    <w:rsid w:val="00825F02"/>
    <w:rsid w:val="0082638A"/>
    <w:rsid w:val="008264EB"/>
    <w:rsid w:val="0082672C"/>
    <w:rsid w:val="00826972"/>
    <w:rsid w:val="00826C8F"/>
    <w:rsid w:val="0082700D"/>
    <w:rsid w:val="00827069"/>
    <w:rsid w:val="008273D2"/>
    <w:rsid w:val="0082780B"/>
    <w:rsid w:val="0082788A"/>
    <w:rsid w:val="008279BC"/>
    <w:rsid w:val="00827F65"/>
    <w:rsid w:val="00830150"/>
    <w:rsid w:val="00830328"/>
    <w:rsid w:val="008305F8"/>
    <w:rsid w:val="00830811"/>
    <w:rsid w:val="008309AF"/>
    <w:rsid w:val="00830C05"/>
    <w:rsid w:val="008311AA"/>
    <w:rsid w:val="00831390"/>
    <w:rsid w:val="00831E83"/>
    <w:rsid w:val="00831F1D"/>
    <w:rsid w:val="00832045"/>
    <w:rsid w:val="008327BF"/>
    <w:rsid w:val="00832C0E"/>
    <w:rsid w:val="00832C53"/>
    <w:rsid w:val="00832E26"/>
    <w:rsid w:val="00833B19"/>
    <w:rsid w:val="00833C60"/>
    <w:rsid w:val="00833CE1"/>
    <w:rsid w:val="008342B2"/>
    <w:rsid w:val="00834300"/>
    <w:rsid w:val="00835456"/>
    <w:rsid w:val="00835593"/>
    <w:rsid w:val="00835D9F"/>
    <w:rsid w:val="00835F78"/>
    <w:rsid w:val="008365B8"/>
    <w:rsid w:val="00836B2A"/>
    <w:rsid w:val="00837815"/>
    <w:rsid w:val="00837D41"/>
    <w:rsid w:val="0084005E"/>
    <w:rsid w:val="0084016C"/>
    <w:rsid w:val="0084061A"/>
    <w:rsid w:val="0084080F"/>
    <w:rsid w:val="00840B1E"/>
    <w:rsid w:val="00840BC2"/>
    <w:rsid w:val="00840C6F"/>
    <w:rsid w:val="00840F8C"/>
    <w:rsid w:val="008410EF"/>
    <w:rsid w:val="00841140"/>
    <w:rsid w:val="0084176A"/>
    <w:rsid w:val="00841D33"/>
    <w:rsid w:val="008422E6"/>
    <w:rsid w:val="008429F5"/>
    <w:rsid w:val="00842CA5"/>
    <w:rsid w:val="00842F13"/>
    <w:rsid w:val="008431AF"/>
    <w:rsid w:val="0084330C"/>
    <w:rsid w:val="008435C9"/>
    <w:rsid w:val="008435F7"/>
    <w:rsid w:val="0084368A"/>
    <w:rsid w:val="00843A5D"/>
    <w:rsid w:val="00844786"/>
    <w:rsid w:val="00844D66"/>
    <w:rsid w:val="008452AC"/>
    <w:rsid w:val="00845792"/>
    <w:rsid w:val="008459AA"/>
    <w:rsid w:val="00845ADD"/>
    <w:rsid w:val="008460E3"/>
    <w:rsid w:val="008462C3"/>
    <w:rsid w:val="008465C0"/>
    <w:rsid w:val="0084663A"/>
    <w:rsid w:val="008466BE"/>
    <w:rsid w:val="00846D72"/>
    <w:rsid w:val="00846D87"/>
    <w:rsid w:val="00846DBF"/>
    <w:rsid w:val="00847488"/>
    <w:rsid w:val="00847675"/>
    <w:rsid w:val="00847721"/>
    <w:rsid w:val="0084793A"/>
    <w:rsid w:val="00847B72"/>
    <w:rsid w:val="00850040"/>
    <w:rsid w:val="0085030A"/>
    <w:rsid w:val="00850ACD"/>
    <w:rsid w:val="00850E21"/>
    <w:rsid w:val="00851353"/>
    <w:rsid w:val="00851538"/>
    <w:rsid w:val="008516C0"/>
    <w:rsid w:val="008518EC"/>
    <w:rsid w:val="0085231C"/>
    <w:rsid w:val="008523FA"/>
    <w:rsid w:val="00852760"/>
    <w:rsid w:val="00852925"/>
    <w:rsid w:val="0085299F"/>
    <w:rsid w:val="00852EC6"/>
    <w:rsid w:val="008537B4"/>
    <w:rsid w:val="00853D82"/>
    <w:rsid w:val="008547AD"/>
    <w:rsid w:val="00854A50"/>
    <w:rsid w:val="00854C93"/>
    <w:rsid w:val="00854D06"/>
    <w:rsid w:val="00854D24"/>
    <w:rsid w:val="008554CE"/>
    <w:rsid w:val="0085559A"/>
    <w:rsid w:val="00855E30"/>
    <w:rsid w:val="00855E41"/>
    <w:rsid w:val="00855EAE"/>
    <w:rsid w:val="008566CA"/>
    <w:rsid w:val="008568E7"/>
    <w:rsid w:val="00856BF7"/>
    <w:rsid w:val="00856F0A"/>
    <w:rsid w:val="008572E4"/>
    <w:rsid w:val="008576F1"/>
    <w:rsid w:val="008576F7"/>
    <w:rsid w:val="00857893"/>
    <w:rsid w:val="00857A32"/>
    <w:rsid w:val="00857BDF"/>
    <w:rsid w:val="0086028B"/>
    <w:rsid w:val="008606E8"/>
    <w:rsid w:val="00860A80"/>
    <w:rsid w:val="00860EFD"/>
    <w:rsid w:val="00861063"/>
    <w:rsid w:val="0086173B"/>
    <w:rsid w:val="00861DAE"/>
    <w:rsid w:val="008620F9"/>
    <w:rsid w:val="00862948"/>
    <w:rsid w:val="008635D5"/>
    <w:rsid w:val="00863EB5"/>
    <w:rsid w:val="00864C74"/>
    <w:rsid w:val="0086527A"/>
    <w:rsid w:val="008653C3"/>
    <w:rsid w:val="00865620"/>
    <w:rsid w:val="00865C60"/>
    <w:rsid w:val="00866393"/>
    <w:rsid w:val="00866B24"/>
    <w:rsid w:val="00870230"/>
    <w:rsid w:val="00870946"/>
    <w:rsid w:val="00870A5E"/>
    <w:rsid w:val="00870D42"/>
    <w:rsid w:val="008712AC"/>
    <w:rsid w:val="00871484"/>
    <w:rsid w:val="00871A49"/>
    <w:rsid w:val="00871F8A"/>
    <w:rsid w:val="00872175"/>
    <w:rsid w:val="0087232E"/>
    <w:rsid w:val="00873021"/>
    <w:rsid w:val="008732E9"/>
    <w:rsid w:val="00873AC1"/>
    <w:rsid w:val="00873E30"/>
    <w:rsid w:val="00874222"/>
    <w:rsid w:val="008745D9"/>
    <w:rsid w:val="00874B79"/>
    <w:rsid w:val="00874E01"/>
    <w:rsid w:val="00874E23"/>
    <w:rsid w:val="008753DF"/>
    <w:rsid w:val="0087559E"/>
    <w:rsid w:val="0087574C"/>
    <w:rsid w:val="00875BB8"/>
    <w:rsid w:val="00875C6A"/>
    <w:rsid w:val="0087614A"/>
    <w:rsid w:val="0087617E"/>
    <w:rsid w:val="008766E0"/>
    <w:rsid w:val="00876D06"/>
    <w:rsid w:val="00876D42"/>
    <w:rsid w:val="0087724D"/>
    <w:rsid w:val="00877567"/>
    <w:rsid w:val="008775F2"/>
    <w:rsid w:val="00880178"/>
    <w:rsid w:val="0088028F"/>
    <w:rsid w:val="008803C3"/>
    <w:rsid w:val="00880466"/>
    <w:rsid w:val="00880541"/>
    <w:rsid w:val="00880CE1"/>
    <w:rsid w:val="008810D4"/>
    <w:rsid w:val="00881249"/>
    <w:rsid w:val="00881532"/>
    <w:rsid w:val="008816C3"/>
    <w:rsid w:val="008818B5"/>
    <w:rsid w:val="00881B7D"/>
    <w:rsid w:val="00882511"/>
    <w:rsid w:val="00882515"/>
    <w:rsid w:val="008826F0"/>
    <w:rsid w:val="00882DC7"/>
    <w:rsid w:val="00882EA7"/>
    <w:rsid w:val="0088373C"/>
    <w:rsid w:val="008841DD"/>
    <w:rsid w:val="0088479A"/>
    <w:rsid w:val="008848EF"/>
    <w:rsid w:val="008849DD"/>
    <w:rsid w:val="008849FD"/>
    <w:rsid w:val="00884AA8"/>
    <w:rsid w:val="00884E4F"/>
    <w:rsid w:val="00885022"/>
    <w:rsid w:val="008850E4"/>
    <w:rsid w:val="00885208"/>
    <w:rsid w:val="0088550A"/>
    <w:rsid w:val="00885579"/>
    <w:rsid w:val="008855E4"/>
    <w:rsid w:val="00885AEE"/>
    <w:rsid w:val="00885DB4"/>
    <w:rsid w:val="00885E8E"/>
    <w:rsid w:val="00885FA1"/>
    <w:rsid w:val="00886126"/>
    <w:rsid w:val="00887EFC"/>
    <w:rsid w:val="00890092"/>
    <w:rsid w:val="00890152"/>
    <w:rsid w:val="00890445"/>
    <w:rsid w:val="00890497"/>
    <w:rsid w:val="0089086A"/>
    <w:rsid w:val="00890920"/>
    <w:rsid w:val="00890C8B"/>
    <w:rsid w:val="0089119B"/>
    <w:rsid w:val="008912C3"/>
    <w:rsid w:val="0089135A"/>
    <w:rsid w:val="00891863"/>
    <w:rsid w:val="008918E3"/>
    <w:rsid w:val="00891B8D"/>
    <w:rsid w:val="00891DF4"/>
    <w:rsid w:val="00892851"/>
    <w:rsid w:val="00892950"/>
    <w:rsid w:val="0089302C"/>
    <w:rsid w:val="0089315C"/>
    <w:rsid w:val="00893242"/>
    <w:rsid w:val="0089331C"/>
    <w:rsid w:val="008935AD"/>
    <w:rsid w:val="00893D9A"/>
    <w:rsid w:val="008940A6"/>
    <w:rsid w:val="0089413B"/>
    <w:rsid w:val="008943F3"/>
    <w:rsid w:val="00894497"/>
    <w:rsid w:val="008949F1"/>
    <w:rsid w:val="00894B77"/>
    <w:rsid w:val="00894C15"/>
    <w:rsid w:val="00894EDF"/>
    <w:rsid w:val="00894EF8"/>
    <w:rsid w:val="0089579D"/>
    <w:rsid w:val="00895867"/>
    <w:rsid w:val="008958D6"/>
    <w:rsid w:val="008962AD"/>
    <w:rsid w:val="008965DA"/>
    <w:rsid w:val="00896BCD"/>
    <w:rsid w:val="00896D58"/>
    <w:rsid w:val="00896E38"/>
    <w:rsid w:val="00896ED7"/>
    <w:rsid w:val="00897111"/>
    <w:rsid w:val="00897265"/>
    <w:rsid w:val="00897E6A"/>
    <w:rsid w:val="00897EBD"/>
    <w:rsid w:val="00897F0B"/>
    <w:rsid w:val="00897F3D"/>
    <w:rsid w:val="008A00F0"/>
    <w:rsid w:val="008A05B8"/>
    <w:rsid w:val="008A06C4"/>
    <w:rsid w:val="008A06D6"/>
    <w:rsid w:val="008A0BC2"/>
    <w:rsid w:val="008A0C5B"/>
    <w:rsid w:val="008A0D34"/>
    <w:rsid w:val="008A15D2"/>
    <w:rsid w:val="008A1730"/>
    <w:rsid w:val="008A1BEF"/>
    <w:rsid w:val="008A2C6F"/>
    <w:rsid w:val="008A3013"/>
    <w:rsid w:val="008A31B1"/>
    <w:rsid w:val="008A34CC"/>
    <w:rsid w:val="008A34DC"/>
    <w:rsid w:val="008A35AF"/>
    <w:rsid w:val="008A375C"/>
    <w:rsid w:val="008A3B2A"/>
    <w:rsid w:val="008A3D6E"/>
    <w:rsid w:val="008A3E3C"/>
    <w:rsid w:val="008A40C6"/>
    <w:rsid w:val="008A44F4"/>
    <w:rsid w:val="008A44FF"/>
    <w:rsid w:val="008A4EE4"/>
    <w:rsid w:val="008A5248"/>
    <w:rsid w:val="008A5318"/>
    <w:rsid w:val="008A5503"/>
    <w:rsid w:val="008A5745"/>
    <w:rsid w:val="008A5B18"/>
    <w:rsid w:val="008A6A3A"/>
    <w:rsid w:val="008A6B1F"/>
    <w:rsid w:val="008A6D63"/>
    <w:rsid w:val="008A6F0F"/>
    <w:rsid w:val="008A6FE6"/>
    <w:rsid w:val="008A76DF"/>
    <w:rsid w:val="008A78E9"/>
    <w:rsid w:val="008A792E"/>
    <w:rsid w:val="008A7D3D"/>
    <w:rsid w:val="008A7F46"/>
    <w:rsid w:val="008B02B4"/>
    <w:rsid w:val="008B03AF"/>
    <w:rsid w:val="008B04CF"/>
    <w:rsid w:val="008B09CF"/>
    <w:rsid w:val="008B0D8A"/>
    <w:rsid w:val="008B1083"/>
    <w:rsid w:val="008B1293"/>
    <w:rsid w:val="008B153E"/>
    <w:rsid w:val="008B1627"/>
    <w:rsid w:val="008B1A29"/>
    <w:rsid w:val="008B1FB3"/>
    <w:rsid w:val="008B227E"/>
    <w:rsid w:val="008B22EC"/>
    <w:rsid w:val="008B2568"/>
    <w:rsid w:val="008B29D9"/>
    <w:rsid w:val="008B2A88"/>
    <w:rsid w:val="008B3423"/>
    <w:rsid w:val="008B3640"/>
    <w:rsid w:val="008B3A66"/>
    <w:rsid w:val="008B3C57"/>
    <w:rsid w:val="008B415D"/>
    <w:rsid w:val="008B425C"/>
    <w:rsid w:val="008B4403"/>
    <w:rsid w:val="008B4479"/>
    <w:rsid w:val="008B465F"/>
    <w:rsid w:val="008B4C7C"/>
    <w:rsid w:val="008B536D"/>
    <w:rsid w:val="008B564B"/>
    <w:rsid w:val="008B5A18"/>
    <w:rsid w:val="008B6081"/>
    <w:rsid w:val="008B66E2"/>
    <w:rsid w:val="008B688D"/>
    <w:rsid w:val="008B6C66"/>
    <w:rsid w:val="008B6D05"/>
    <w:rsid w:val="008B6F35"/>
    <w:rsid w:val="008B7306"/>
    <w:rsid w:val="008B77B8"/>
    <w:rsid w:val="008B797D"/>
    <w:rsid w:val="008B7D64"/>
    <w:rsid w:val="008B7ECE"/>
    <w:rsid w:val="008B7F30"/>
    <w:rsid w:val="008B7F44"/>
    <w:rsid w:val="008C02C9"/>
    <w:rsid w:val="008C0BCB"/>
    <w:rsid w:val="008C0C9A"/>
    <w:rsid w:val="008C0CBB"/>
    <w:rsid w:val="008C0D51"/>
    <w:rsid w:val="008C10FD"/>
    <w:rsid w:val="008C14EA"/>
    <w:rsid w:val="008C1601"/>
    <w:rsid w:val="008C19D9"/>
    <w:rsid w:val="008C1C68"/>
    <w:rsid w:val="008C2008"/>
    <w:rsid w:val="008C2257"/>
    <w:rsid w:val="008C2413"/>
    <w:rsid w:val="008C2530"/>
    <w:rsid w:val="008C298B"/>
    <w:rsid w:val="008C2C3A"/>
    <w:rsid w:val="008C2EE3"/>
    <w:rsid w:val="008C2F80"/>
    <w:rsid w:val="008C3049"/>
    <w:rsid w:val="008C33DE"/>
    <w:rsid w:val="008C374A"/>
    <w:rsid w:val="008C3C61"/>
    <w:rsid w:val="008C4277"/>
    <w:rsid w:val="008C4496"/>
    <w:rsid w:val="008C455F"/>
    <w:rsid w:val="008C4AFD"/>
    <w:rsid w:val="008C5A09"/>
    <w:rsid w:val="008C6042"/>
    <w:rsid w:val="008C6210"/>
    <w:rsid w:val="008C62DB"/>
    <w:rsid w:val="008C7145"/>
    <w:rsid w:val="008C7346"/>
    <w:rsid w:val="008C7A6C"/>
    <w:rsid w:val="008C7E0C"/>
    <w:rsid w:val="008D0086"/>
    <w:rsid w:val="008D0236"/>
    <w:rsid w:val="008D08C0"/>
    <w:rsid w:val="008D0B7C"/>
    <w:rsid w:val="008D158C"/>
    <w:rsid w:val="008D19CC"/>
    <w:rsid w:val="008D217D"/>
    <w:rsid w:val="008D223F"/>
    <w:rsid w:val="008D2255"/>
    <w:rsid w:val="008D27AB"/>
    <w:rsid w:val="008D2A46"/>
    <w:rsid w:val="008D35CA"/>
    <w:rsid w:val="008D407C"/>
    <w:rsid w:val="008D4911"/>
    <w:rsid w:val="008D4F64"/>
    <w:rsid w:val="008D5138"/>
    <w:rsid w:val="008D60DA"/>
    <w:rsid w:val="008D62E8"/>
    <w:rsid w:val="008D63D3"/>
    <w:rsid w:val="008D6742"/>
    <w:rsid w:val="008D68E6"/>
    <w:rsid w:val="008D6D51"/>
    <w:rsid w:val="008D6EB1"/>
    <w:rsid w:val="008D7204"/>
    <w:rsid w:val="008D7DC2"/>
    <w:rsid w:val="008D7E2F"/>
    <w:rsid w:val="008D7E9A"/>
    <w:rsid w:val="008E03B1"/>
    <w:rsid w:val="008E0542"/>
    <w:rsid w:val="008E0B0C"/>
    <w:rsid w:val="008E0D45"/>
    <w:rsid w:val="008E0DBE"/>
    <w:rsid w:val="008E135B"/>
    <w:rsid w:val="008E182B"/>
    <w:rsid w:val="008E24E6"/>
    <w:rsid w:val="008E26B2"/>
    <w:rsid w:val="008E2AFF"/>
    <w:rsid w:val="008E2BA5"/>
    <w:rsid w:val="008E3373"/>
    <w:rsid w:val="008E3992"/>
    <w:rsid w:val="008E3AF5"/>
    <w:rsid w:val="008E3F43"/>
    <w:rsid w:val="008E4227"/>
    <w:rsid w:val="008E5BB3"/>
    <w:rsid w:val="008E5CD4"/>
    <w:rsid w:val="008E5DE0"/>
    <w:rsid w:val="008E60AF"/>
    <w:rsid w:val="008E61D1"/>
    <w:rsid w:val="008E6251"/>
    <w:rsid w:val="008E6265"/>
    <w:rsid w:val="008E6267"/>
    <w:rsid w:val="008E6CCB"/>
    <w:rsid w:val="008E6CD7"/>
    <w:rsid w:val="008E7030"/>
    <w:rsid w:val="008E71C7"/>
    <w:rsid w:val="008E7229"/>
    <w:rsid w:val="008E72DD"/>
    <w:rsid w:val="008E7355"/>
    <w:rsid w:val="008E74E3"/>
    <w:rsid w:val="008E7B76"/>
    <w:rsid w:val="008E7E2D"/>
    <w:rsid w:val="008E7F61"/>
    <w:rsid w:val="008F0530"/>
    <w:rsid w:val="008F06AF"/>
    <w:rsid w:val="008F0798"/>
    <w:rsid w:val="008F0B94"/>
    <w:rsid w:val="008F0C06"/>
    <w:rsid w:val="008F0F75"/>
    <w:rsid w:val="008F12F0"/>
    <w:rsid w:val="008F1D0B"/>
    <w:rsid w:val="008F2067"/>
    <w:rsid w:val="008F25EA"/>
    <w:rsid w:val="008F28B6"/>
    <w:rsid w:val="008F2B47"/>
    <w:rsid w:val="008F2EA0"/>
    <w:rsid w:val="008F30CB"/>
    <w:rsid w:val="008F3293"/>
    <w:rsid w:val="008F34F6"/>
    <w:rsid w:val="008F3856"/>
    <w:rsid w:val="008F38FF"/>
    <w:rsid w:val="008F3913"/>
    <w:rsid w:val="008F3EBA"/>
    <w:rsid w:val="008F4346"/>
    <w:rsid w:val="008F4ADC"/>
    <w:rsid w:val="008F4FAA"/>
    <w:rsid w:val="008F50C8"/>
    <w:rsid w:val="008F5184"/>
    <w:rsid w:val="008F5423"/>
    <w:rsid w:val="008F549A"/>
    <w:rsid w:val="008F54ED"/>
    <w:rsid w:val="008F5BCA"/>
    <w:rsid w:val="008F6371"/>
    <w:rsid w:val="008F6552"/>
    <w:rsid w:val="008F6ACD"/>
    <w:rsid w:val="008F6C85"/>
    <w:rsid w:val="008F6FD0"/>
    <w:rsid w:val="008F7259"/>
    <w:rsid w:val="008F7461"/>
    <w:rsid w:val="008F7722"/>
    <w:rsid w:val="008F786A"/>
    <w:rsid w:val="008F79F1"/>
    <w:rsid w:val="008F7B09"/>
    <w:rsid w:val="008F7C32"/>
    <w:rsid w:val="008F7F21"/>
    <w:rsid w:val="008F7F39"/>
    <w:rsid w:val="0090085B"/>
    <w:rsid w:val="009009D6"/>
    <w:rsid w:val="00900B41"/>
    <w:rsid w:val="00900D35"/>
    <w:rsid w:val="0090143D"/>
    <w:rsid w:val="00901615"/>
    <w:rsid w:val="00901B22"/>
    <w:rsid w:val="0090299D"/>
    <w:rsid w:val="00903158"/>
    <w:rsid w:val="0090333C"/>
    <w:rsid w:val="00903468"/>
    <w:rsid w:val="009035E7"/>
    <w:rsid w:val="009038F8"/>
    <w:rsid w:val="00904371"/>
    <w:rsid w:val="009051BC"/>
    <w:rsid w:val="009057B1"/>
    <w:rsid w:val="00905988"/>
    <w:rsid w:val="00905ECE"/>
    <w:rsid w:val="00905EE9"/>
    <w:rsid w:val="00907139"/>
    <w:rsid w:val="00907A6B"/>
    <w:rsid w:val="00907F6A"/>
    <w:rsid w:val="009105CD"/>
    <w:rsid w:val="00910B00"/>
    <w:rsid w:val="00910E7D"/>
    <w:rsid w:val="0091107C"/>
    <w:rsid w:val="0091123A"/>
    <w:rsid w:val="0091126D"/>
    <w:rsid w:val="0091247D"/>
    <w:rsid w:val="009124BC"/>
    <w:rsid w:val="009134EC"/>
    <w:rsid w:val="00913704"/>
    <w:rsid w:val="009138E7"/>
    <w:rsid w:val="00913B3A"/>
    <w:rsid w:val="00913D7D"/>
    <w:rsid w:val="0091448C"/>
    <w:rsid w:val="00914BA3"/>
    <w:rsid w:val="00914F9D"/>
    <w:rsid w:val="00915064"/>
    <w:rsid w:val="009155BF"/>
    <w:rsid w:val="0091595F"/>
    <w:rsid w:val="00915D28"/>
    <w:rsid w:val="00915FC6"/>
    <w:rsid w:val="009161FF"/>
    <w:rsid w:val="00916415"/>
    <w:rsid w:val="009164DA"/>
    <w:rsid w:val="00916863"/>
    <w:rsid w:val="00916A51"/>
    <w:rsid w:val="00916D6A"/>
    <w:rsid w:val="00916FCF"/>
    <w:rsid w:val="009172F7"/>
    <w:rsid w:val="009177E6"/>
    <w:rsid w:val="009179B1"/>
    <w:rsid w:val="00917A4C"/>
    <w:rsid w:val="0092009E"/>
    <w:rsid w:val="009203F6"/>
    <w:rsid w:val="009205CE"/>
    <w:rsid w:val="00920814"/>
    <w:rsid w:val="00920A2C"/>
    <w:rsid w:val="00920A9B"/>
    <w:rsid w:val="00921189"/>
    <w:rsid w:val="00921343"/>
    <w:rsid w:val="0092243E"/>
    <w:rsid w:val="00922481"/>
    <w:rsid w:val="00922C2C"/>
    <w:rsid w:val="009232AF"/>
    <w:rsid w:val="00923829"/>
    <w:rsid w:val="009238AF"/>
    <w:rsid w:val="009240D1"/>
    <w:rsid w:val="00924AC5"/>
    <w:rsid w:val="00925097"/>
    <w:rsid w:val="0092542D"/>
    <w:rsid w:val="009255F9"/>
    <w:rsid w:val="00925674"/>
    <w:rsid w:val="009257E1"/>
    <w:rsid w:val="00925928"/>
    <w:rsid w:val="00925C84"/>
    <w:rsid w:val="00926688"/>
    <w:rsid w:val="009269B5"/>
    <w:rsid w:val="00926B3C"/>
    <w:rsid w:val="00926F0E"/>
    <w:rsid w:val="00927606"/>
    <w:rsid w:val="00927C34"/>
    <w:rsid w:val="009300AE"/>
    <w:rsid w:val="009300FF"/>
    <w:rsid w:val="00931038"/>
    <w:rsid w:val="00931BC4"/>
    <w:rsid w:val="00932120"/>
    <w:rsid w:val="00932687"/>
    <w:rsid w:val="0093296D"/>
    <w:rsid w:val="00932FD8"/>
    <w:rsid w:val="00933B1A"/>
    <w:rsid w:val="00934174"/>
    <w:rsid w:val="009344E6"/>
    <w:rsid w:val="009347C5"/>
    <w:rsid w:val="00934EAD"/>
    <w:rsid w:val="0093567E"/>
    <w:rsid w:val="00935936"/>
    <w:rsid w:val="00935D47"/>
    <w:rsid w:val="00936307"/>
    <w:rsid w:val="00936B5D"/>
    <w:rsid w:val="00936FA4"/>
    <w:rsid w:val="0093773F"/>
    <w:rsid w:val="0093778C"/>
    <w:rsid w:val="00937D50"/>
    <w:rsid w:val="00937F99"/>
    <w:rsid w:val="00940555"/>
    <w:rsid w:val="00940952"/>
    <w:rsid w:val="00940A3D"/>
    <w:rsid w:val="00940ABC"/>
    <w:rsid w:val="00940D42"/>
    <w:rsid w:val="00940E95"/>
    <w:rsid w:val="00940EF6"/>
    <w:rsid w:val="00940FB1"/>
    <w:rsid w:val="009413D0"/>
    <w:rsid w:val="00941426"/>
    <w:rsid w:val="00941590"/>
    <w:rsid w:val="009416BA"/>
    <w:rsid w:val="00942063"/>
    <w:rsid w:val="00942A79"/>
    <w:rsid w:val="00943A26"/>
    <w:rsid w:val="00943C8C"/>
    <w:rsid w:val="00943CB8"/>
    <w:rsid w:val="00943E4A"/>
    <w:rsid w:val="00943E9E"/>
    <w:rsid w:val="00944A93"/>
    <w:rsid w:val="00944A96"/>
    <w:rsid w:val="00944CFC"/>
    <w:rsid w:val="00946236"/>
    <w:rsid w:val="0094689D"/>
    <w:rsid w:val="00946934"/>
    <w:rsid w:val="009469F4"/>
    <w:rsid w:val="00946CBE"/>
    <w:rsid w:val="00946D63"/>
    <w:rsid w:val="00946DF8"/>
    <w:rsid w:val="00947A5B"/>
    <w:rsid w:val="00947B16"/>
    <w:rsid w:val="00947C53"/>
    <w:rsid w:val="009506CB"/>
    <w:rsid w:val="00950D36"/>
    <w:rsid w:val="0095168C"/>
    <w:rsid w:val="00951AB9"/>
    <w:rsid w:val="00951B61"/>
    <w:rsid w:val="00951C6C"/>
    <w:rsid w:val="00951C8B"/>
    <w:rsid w:val="00951E33"/>
    <w:rsid w:val="00951E5A"/>
    <w:rsid w:val="0095278D"/>
    <w:rsid w:val="00953581"/>
    <w:rsid w:val="00953815"/>
    <w:rsid w:val="00953CD8"/>
    <w:rsid w:val="00953EF1"/>
    <w:rsid w:val="009540BE"/>
    <w:rsid w:val="00954321"/>
    <w:rsid w:val="0095439D"/>
    <w:rsid w:val="0095472F"/>
    <w:rsid w:val="0095529E"/>
    <w:rsid w:val="0095559B"/>
    <w:rsid w:val="009555D2"/>
    <w:rsid w:val="00955E9C"/>
    <w:rsid w:val="0095608F"/>
    <w:rsid w:val="00956517"/>
    <w:rsid w:val="009574FF"/>
    <w:rsid w:val="00957F67"/>
    <w:rsid w:val="00960863"/>
    <w:rsid w:val="00960B35"/>
    <w:rsid w:val="00960BFE"/>
    <w:rsid w:val="00960EF0"/>
    <w:rsid w:val="00961902"/>
    <w:rsid w:val="00961C5E"/>
    <w:rsid w:val="00961CB1"/>
    <w:rsid w:val="00961D0F"/>
    <w:rsid w:val="009620AE"/>
    <w:rsid w:val="00962111"/>
    <w:rsid w:val="00962132"/>
    <w:rsid w:val="00962257"/>
    <w:rsid w:val="00962A3E"/>
    <w:rsid w:val="00962D55"/>
    <w:rsid w:val="00963467"/>
    <w:rsid w:val="0096360D"/>
    <w:rsid w:val="009636EF"/>
    <w:rsid w:val="00963951"/>
    <w:rsid w:val="00963F67"/>
    <w:rsid w:val="009641E6"/>
    <w:rsid w:val="0096427B"/>
    <w:rsid w:val="0096449F"/>
    <w:rsid w:val="0096470E"/>
    <w:rsid w:val="0096472F"/>
    <w:rsid w:val="0096488C"/>
    <w:rsid w:val="0096491C"/>
    <w:rsid w:val="0096496A"/>
    <w:rsid w:val="0096579B"/>
    <w:rsid w:val="00965A78"/>
    <w:rsid w:val="00965BD1"/>
    <w:rsid w:val="00965C27"/>
    <w:rsid w:val="009661E7"/>
    <w:rsid w:val="009667DE"/>
    <w:rsid w:val="00966933"/>
    <w:rsid w:val="00966951"/>
    <w:rsid w:val="009674C6"/>
    <w:rsid w:val="00967A01"/>
    <w:rsid w:val="00970213"/>
    <w:rsid w:val="0097040A"/>
    <w:rsid w:val="009704B5"/>
    <w:rsid w:val="009707AF"/>
    <w:rsid w:val="009708A2"/>
    <w:rsid w:val="00970A0C"/>
    <w:rsid w:val="0097121F"/>
    <w:rsid w:val="00971529"/>
    <w:rsid w:val="0097158C"/>
    <w:rsid w:val="00971680"/>
    <w:rsid w:val="009719AB"/>
    <w:rsid w:val="00971B61"/>
    <w:rsid w:val="00971C0C"/>
    <w:rsid w:val="0097210B"/>
    <w:rsid w:val="009721B6"/>
    <w:rsid w:val="009723C6"/>
    <w:rsid w:val="0097248F"/>
    <w:rsid w:val="009724E3"/>
    <w:rsid w:val="00973161"/>
    <w:rsid w:val="009737C5"/>
    <w:rsid w:val="009738E5"/>
    <w:rsid w:val="00973F34"/>
    <w:rsid w:val="00974038"/>
    <w:rsid w:val="00974047"/>
    <w:rsid w:val="00974127"/>
    <w:rsid w:val="0097427D"/>
    <w:rsid w:val="00974675"/>
    <w:rsid w:val="009747C7"/>
    <w:rsid w:val="00974863"/>
    <w:rsid w:val="00975108"/>
    <w:rsid w:val="00975A7A"/>
    <w:rsid w:val="00975DE0"/>
    <w:rsid w:val="00976066"/>
    <w:rsid w:val="009764E6"/>
    <w:rsid w:val="00976529"/>
    <w:rsid w:val="00976DD5"/>
    <w:rsid w:val="00977136"/>
    <w:rsid w:val="009778EA"/>
    <w:rsid w:val="00977906"/>
    <w:rsid w:val="00977BF9"/>
    <w:rsid w:val="00977C6C"/>
    <w:rsid w:val="00977EF3"/>
    <w:rsid w:val="00980370"/>
    <w:rsid w:val="00980FA7"/>
    <w:rsid w:val="00981051"/>
    <w:rsid w:val="0098182F"/>
    <w:rsid w:val="00982290"/>
    <w:rsid w:val="009823D7"/>
    <w:rsid w:val="009824CE"/>
    <w:rsid w:val="009825A1"/>
    <w:rsid w:val="009834B1"/>
    <w:rsid w:val="009835C7"/>
    <w:rsid w:val="009837DB"/>
    <w:rsid w:val="00983A87"/>
    <w:rsid w:val="00983BB2"/>
    <w:rsid w:val="00983ED8"/>
    <w:rsid w:val="00984488"/>
    <w:rsid w:val="00984BD0"/>
    <w:rsid w:val="00984F36"/>
    <w:rsid w:val="009851DF"/>
    <w:rsid w:val="009859CF"/>
    <w:rsid w:val="00985B8E"/>
    <w:rsid w:val="00985BE6"/>
    <w:rsid w:val="00986067"/>
    <w:rsid w:val="0098627D"/>
    <w:rsid w:val="009864CC"/>
    <w:rsid w:val="009868FE"/>
    <w:rsid w:val="00986C5C"/>
    <w:rsid w:val="00987088"/>
    <w:rsid w:val="00987E5E"/>
    <w:rsid w:val="009904A3"/>
    <w:rsid w:val="0099085F"/>
    <w:rsid w:val="00990C93"/>
    <w:rsid w:val="00991750"/>
    <w:rsid w:val="00992C17"/>
    <w:rsid w:val="00992E2B"/>
    <w:rsid w:val="00993063"/>
    <w:rsid w:val="009930D8"/>
    <w:rsid w:val="009933FD"/>
    <w:rsid w:val="009939E4"/>
    <w:rsid w:val="00993DDE"/>
    <w:rsid w:val="0099407C"/>
    <w:rsid w:val="009942AE"/>
    <w:rsid w:val="00994542"/>
    <w:rsid w:val="0099456B"/>
    <w:rsid w:val="00994589"/>
    <w:rsid w:val="0099510C"/>
    <w:rsid w:val="0099553D"/>
    <w:rsid w:val="00995839"/>
    <w:rsid w:val="00995C64"/>
    <w:rsid w:val="00995F81"/>
    <w:rsid w:val="00996176"/>
    <w:rsid w:val="00996257"/>
    <w:rsid w:val="00996980"/>
    <w:rsid w:val="00996A72"/>
    <w:rsid w:val="0099742A"/>
    <w:rsid w:val="009974FC"/>
    <w:rsid w:val="009A07C4"/>
    <w:rsid w:val="009A08AF"/>
    <w:rsid w:val="009A0CC9"/>
    <w:rsid w:val="009A0DC4"/>
    <w:rsid w:val="009A1622"/>
    <w:rsid w:val="009A1898"/>
    <w:rsid w:val="009A211B"/>
    <w:rsid w:val="009A2569"/>
    <w:rsid w:val="009A262E"/>
    <w:rsid w:val="009A2EDF"/>
    <w:rsid w:val="009A3684"/>
    <w:rsid w:val="009A3E35"/>
    <w:rsid w:val="009A3FAC"/>
    <w:rsid w:val="009A44BC"/>
    <w:rsid w:val="009A49E6"/>
    <w:rsid w:val="009A4C60"/>
    <w:rsid w:val="009A508E"/>
    <w:rsid w:val="009A569F"/>
    <w:rsid w:val="009A5A94"/>
    <w:rsid w:val="009A5ACE"/>
    <w:rsid w:val="009A5E50"/>
    <w:rsid w:val="009A622D"/>
    <w:rsid w:val="009A6B4B"/>
    <w:rsid w:val="009A6DEA"/>
    <w:rsid w:val="009A7D02"/>
    <w:rsid w:val="009A7EA8"/>
    <w:rsid w:val="009B04B4"/>
    <w:rsid w:val="009B0900"/>
    <w:rsid w:val="009B0EBB"/>
    <w:rsid w:val="009B0FE6"/>
    <w:rsid w:val="009B10B6"/>
    <w:rsid w:val="009B156A"/>
    <w:rsid w:val="009B18FE"/>
    <w:rsid w:val="009B193E"/>
    <w:rsid w:val="009B1B7A"/>
    <w:rsid w:val="009B2C53"/>
    <w:rsid w:val="009B315F"/>
    <w:rsid w:val="009B3221"/>
    <w:rsid w:val="009B346F"/>
    <w:rsid w:val="009B34F1"/>
    <w:rsid w:val="009B3678"/>
    <w:rsid w:val="009B39A2"/>
    <w:rsid w:val="009B3C70"/>
    <w:rsid w:val="009B4240"/>
    <w:rsid w:val="009B42A3"/>
    <w:rsid w:val="009B43A8"/>
    <w:rsid w:val="009B463F"/>
    <w:rsid w:val="009B490C"/>
    <w:rsid w:val="009B4B63"/>
    <w:rsid w:val="009B5010"/>
    <w:rsid w:val="009B54FC"/>
    <w:rsid w:val="009B5671"/>
    <w:rsid w:val="009B585D"/>
    <w:rsid w:val="009B5963"/>
    <w:rsid w:val="009B5B61"/>
    <w:rsid w:val="009B5C97"/>
    <w:rsid w:val="009B63F5"/>
    <w:rsid w:val="009B68F2"/>
    <w:rsid w:val="009B69D1"/>
    <w:rsid w:val="009B6AD5"/>
    <w:rsid w:val="009B6CB1"/>
    <w:rsid w:val="009B6CBC"/>
    <w:rsid w:val="009B72B7"/>
    <w:rsid w:val="009B738D"/>
    <w:rsid w:val="009B73FD"/>
    <w:rsid w:val="009B7443"/>
    <w:rsid w:val="009B7570"/>
    <w:rsid w:val="009B75CF"/>
    <w:rsid w:val="009B7C58"/>
    <w:rsid w:val="009B7FA7"/>
    <w:rsid w:val="009C02D2"/>
    <w:rsid w:val="009C07C3"/>
    <w:rsid w:val="009C10DF"/>
    <w:rsid w:val="009C137D"/>
    <w:rsid w:val="009C18C8"/>
    <w:rsid w:val="009C1B72"/>
    <w:rsid w:val="009C1E32"/>
    <w:rsid w:val="009C22B8"/>
    <w:rsid w:val="009C2407"/>
    <w:rsid w:val="009C2679"/>
    <w:rsid w:val="009C2E3A"/>
    <w:rsid w:val="009C2E3C"/>
    <w:rsid w:val="009C3086"/>
    <w:rsid w:val="009C4001"/>
    <w:rsid w:val="009C413C"/>
    <w:rsid w:val="009C4197"/>
    <w:rsid w:val="009C4429"/>
    <w:rsid w:val="009C4808"/>
    <w:rsid w:val="009C4A2D"/>
    <w:rsid w:val="009C575B"/>
    <w:rsid w:val="009C5CA2"/>
    <w:rsid w:val="009C5CBA"/>
    <w:rsid w:val="009C5D84"/>
    <w:rsid w:val="009C5E85"/>
    <w:rsid w:val="009C6277"/>
    <w:rsid w:val="009C62F9"/>
    <w:rsid w:val="009C6861"/>
    <w:rsid w:val="009C78B5"/>
    <w:rsid w:val="009C7C91"/>
    <w:rsid w:val="009D0370"/>
    <w:rsid w:val="009D04FC"/>
    <w:rsid w:val="009D1154"/>
    <w:rsid w:val="009D11A6"/>
    <w:rsid w:val="009D1253"/>
    <w:rsid w:val="009D12EC"/>
    <w:rsid w:val="009D1347"/>
    <w:rsid w:val="009D258F"/>
    <w:rsid w:val="009D2B0E"/>
    <w:rsid w:val="009D419C"/>
    <w:rsid w:val="009D4807"/>
    <w:rsid w:val="009D4966"/>
    <w:rsid w:val="009D496C"/>
    <w:rsid w:val="009D4B37"/>
    <w:rsid w:val="009D5309"/>
    <w:rsid w:val="009D58C6"/>
    <w:rsid w:val="009D594E"/>
    <w:rsid w:val="009D59AA"/>
    <w:rsid w:val="009D5CB7"/>
    <w:rsid w:val="009D64D5"/>
    <w:rsid w:val="009D6BE5"/>
    <w:rsid w:val="009D6E3E"/>
    <w:rsid w:val="009D743C"/>
    <w:rsid w:val="009D74AB"/>
    <w:rsid w:val="009D7D2C"/>
    <w:rsid w:val="009E0D0B"/>
    <w:rsid w:val="009E0FF1"/>
    <w:rsid w:val="009E104E"/>
    <w:rsid w:val="009E1247"/>
    <w:rsid w:val="009E14B4"/>
    <w:rsid w:val="009E1543"/>
    <w:rsid w:val="009E196E"/>
    <w:rsid w:val="009E2091"/>
    <w:rsid w:val="009E25E4"/>
    <w:rsid w:val="009E2845"/>
    <w:rsid w:val="009E2874"/>
    <w:rsid w:val="009E2932"/>
    <w:rsid w:val="009E294F"/>
    <w:rsid w:val="009E359F"/>
    <w:rsid w:val="009E3DEF"/>
    <w:rsid w:val="009E408C"/>
    <w:rsid w:val="009E40E3"/>
    <w:rsid w:val="009E4291"/>
    <w:rsid w:val="009E4454"/>
    <w:rsid w:val="009E44AC"/>
    <w:rsid w:val="009E498A"/>
    <w:rsid w:val="009E4DA9"/>
    <w:rsid w:val="009E4DCA"/>
    <w:rsid w:val="009E50DD"/>
    <w:rsid w:val="009E55D9"/>
    <w:rsid w:val="009E55F6"/>
    <w:rsid w:val="009E56BB"/>
    <w:rsid w:val="009E5C24"/>
    <w:rsid w:val="009E5CB4"/>
    <w:rsid w:val="009E66BA"/>
    <w:rsid w:val="009E67F5"/>
    <w:rsid w:val="009E6AD9"/>
    <w:rsid w:val="009E6AF3"/>
    <w:rsid w:val="009E6BC2"/>
    <w:rsid w:val="009E7164"/>
    <w:rsid w:val="009E76F2"/>
    <w:rsid w:val="009F032C"/>
    <w:rsid w:val="009F04B3"/>
    <w:rsid w:val="009F0534"/>
    <w:rsid w:val="009F08F0"/>
    <w:rsid w:val="009F095A"/>
    <w:rsid w:val="009F0E90"/>
    <w:rsid w:val="009F0F02"/>
    <w:rsid w:val="009F1619"/>
    <w:rsid w:val="009F1665"/>
    <w:rsid w:val="009F1779"/>
    <w:rsid w:val="009F2552"/>
    <w:rsid w:val="009F29CF"/>
    <w:rsid w:val="009F2B86"/>
    <w:rsid w:val="009F2BBC"/>
    <w:rsid w:val="009F3C66"/>
    <w:rsid w:val="009F3E64"/>
    <w:rsid w:val="009F4488"/>
    <w:rsid w:val="009F47A9"/>
    <w:rsid w:val="009F48B7"/>
    <w:rsid w:val="009F50F2"/>
    <w:rsid w:val="009F50FB"/>
    <w:rsid w:val="009F5285"/>
    <w:rsid w:val="009F5C9B"/>
    <w:rsid w:val="009F69DD"/>
    <w:rsid w:val="009F6AD3"/>
    <w:rsid w:val="009F6FE8"/>
    <w:rsid w:val="009F7519"/>
    <w:rsid w:val="009F7F00"/>
    <w:rsid w:val="00A00387"/>
    <w:rsid w:val="00A0079F"/>
    <w:rsid w:val="00A00EED"/>
    <w:rsid w:val="00A01059"/>
    <w:rsid w:val="00A014A7"/>
    <w:rsid w:val="00A01B61"/>
    <w:rsid w:val="00A01D0E"/>
    <w:rsid w:val="00A020AC"/>
    <w:rsid w:val="00A02134"/>
    <w:rsid w:val="00A023CA"/>
    <w:rsid w:val="00A02670"/>
    <w:rsid w:val="00A0366E"/>
    <w:rsid w:val="00A036E6"/>
    <w:rsid w:val="00A04465"/>
    <w:rsid w:val="00A054C8"/>
    <w:rsid w:val="00A059A8"/>
    <w:rsid w:val="00A05C35"/>
    <w:rsid w:val="00A05C88"/>
    <w:rsid w:val="00A05CB2"/>
    <w:rsid w:val="00A05E97"/>
    <w:rsid w:val="00A05F5A"/>
    <w:rsid w:val="00A0609A"/>
    <w:rsid w:val="00A060E2"/>
    <w:rsid w:val="00A0631E"/>
    <w:rsid w:val="00A06596"/>
    <w:rsid w:val="00A0682B"/>
    <w:rsid w:val="00A06900"/>
    <w:rsid w:val="00A06A3C"/>
    <w:rsid w:val="00A06ABB"/>
    <w:rsid w:val="00A0716B"/>
    <w:rsid w:val="00A07547"/>
    <w:rsid w:val="00A07684"/>
    <w:rsid w:val="00A07BDB"/>
    <w:rsid w:val="00A10A0E"/>
    <w:rsid w:val="00A10A35"/>
    <w:rsid w:val="00A10BAE"/>
    <w:rsid w:val="00A11418"/>
    <w:rsid w:val="00A116D1"/>
    <w:rsid w:val="00A11782"/>
    <w:rsid w:val="00A119F6"/>
    <w:rsid w:val="00A11A6D"/>
    <w:rsid w:val="00A120A2"/>
    <w:rsid w:val="00A12166"/>
    <w:rsid w:val="00A123B4"/>
    <w:rsid w:val="00A124A8"/>
    <w:rsid w:val="00A12952"/>
    <w:rsid w:val="00A12B82"/>
    <w:rsid w:val="00A131B1"/>
    <w:rsid w:val="00A134F3"/>
    <w:rsid w:val="00A13577"/>
    <w:rsid w:val="00A13674"/>
    <w:rsid w:val="00A1381F"/>
    <w:rsid w:val="00A139D1"/>
    <w:rsid w:val="00A13A3C"/>
    <w:rsid w:val="00A13A3D"/>
    <w:rsid w:val="00A13E71"/>
    <w:rsid w:val="00A142BC"/>
    <w:rsid w:val="00A143E4"/>
    <w:rsid w:val="00A1504E"/>
    <w:rsid w:val="00A1515C"/>
    <w:rsid w:val="00A15F0A"/>
    <w:rsid w:val="00A163A6"/>
    <w:rsid w:val="00A16562"/>
    <w:rsid w:val="00A16EE7"/>
    <w:rsid w:val="00A16FFA"/>
    <w:rsid w:val="00A1707A"/>
    <w:rsid w:val="00A201A3"/>
    <w:rsid w:val="00A216BC"/>
    <w:rsid w:val="00A220E4"/>
    <w:rsid w:val="00A22251"/>
    <w:rsid w:val="00A2248B"/>
    <w:rsid w:val="00A22CD3"/>
    <w:rsid w:val="00A22D9E"/>
    <w:rsid w:val="00A233A3"/>
    <w:rsid w:val="00A238C4"/>
    <w:rsid w:val="00A23BE1"/>
    <w:rsid w:val="00A23EA3"/>
    <w:rsid w:val="00A241BC"/>
    <w:rsid w:val="00A24BDF"/>
    <w:rsid w:val="00A24D67"/>
    <w:rsid w:val="00A251FD"/>
    <w:rsid w:val="00A25439"/>
    <w:rsid w:val="00A25627"/>
    <w:rsid w:val="00A258E2"/>
    <w:rsid w:val="00A25C05"/>
    <w:rsid w:val="00A26026"/>
    <w:rsid w:val="00A2602A"/>
    <w:rsid w:val="00A264A4"/>
    <w:rsid w:val="00A26557"/>
    <w:rsid w:val="00A26829"/>
    <w:rsid w:val="00A27A45"/>
    <w:rsid w:val="00A27A8B"/>
    <w:rsid w:val="00A27C75"/>
    <w:rsid w:val="00A3061A"/>
    <w:rsid w:val="00A30AF7"/>
    <w:rsid w:val="00A30E9A"/>
    <w:rsid w:val="00A31136"/>
    <w:rsid w:val="00A3123E"/>
    <w:rsid w:val="00A31259"/>
    <w:rsid w:val="00A31669"/>
    <w:rsid w:val="00A31AF1"/>
    <w:rsid w:val="00A31D32"/>
    <w:rsid w:val="00A31D9D"/>
    <w:rsid w:val="00A3257B"/>
    <w:rsid w:val="00A327CD"/>
    <w:rsid w:val="00A33083"/>
    <w:rsid w:val="00A33574"/>
    <w:rsid w:val="00A33C45"/>
    <w:rsid w:val="00A3408F"/>
    <w:rsid w:val="00A340C6"/>
    <w:rsid w:val="00A341D0"/>
    <w:rsid w:val="00A34792"/>
    <w:rsid w:val="00A349D1"/>
    <w:rsid w:val="00A35132"/>
    <w:rsid w:val="00A3532E"/>
    <w:rsid w:val="00A35B0D"/>
    <w:rsid w:val="00A3613D"/>
    <w:rsid w:val="00A361D6"/>
    <w:rsid w:val="00A3644A"/>
    <w:rsid w:val="00A36DBD"/>
    <w:rsid w:val="00A36E34"/>
    <w:rsid w:val="00A370CB"/>
    <w:rsid w:val="00A377CC"/>
    <w:rsid w:val="00A378D0"/>
    <w:rsid w:val="00A37EA4"/>
    <w:rsid w:val="00A40057"/>
    <w:rsid w:val="00A40548"/>
    <w:rsid w:val="00A40942"/>
    <w:rsid w:val="00A40D36"/>
    <w:rsid w:val="00A40DBB"/>
    <w:rsid w:val="00A41512"/>
    <w:rsid w:val="00A41618"/>
    <w:rsid w:val="00A41A93"/>
    <w:rsid w:val="00A4218F"/>
    <w:rsid w:val="00A421A7"/>
    <w:rsid w:val="00A421AC"/>
    <w:rsid w:val="00A423A6"/>
    <w:rsid w:val="00A42637"/>
    <w:rsid w:val="00A4288A"/>
    <w:rsid w:val="00A4291E"/>
    <w:rsid w:val="00A4292D"/>
    <w:rsid w:val="00A42FED"/>
    <w:rsid w:val="00A431A9"/>
    <w:rsid w:val="00A436A7"/>
    <w:rsid w:val="00A437FE"/>
    <w:rsid w:val="00A43AAF"/>
    <w:rsid w:val="00A43C16"/>
    <w:rsid w:val="00A43D5D"/>
    <w:rsid w:val="00A43DC4"/>
    <w:rsid w:val="00A44223"/>
    <w:rsid w:val="00A4488B"/>
    <w:rsid w:val="00A448A8"/>
    <w:rsid w:val="00A44920"/>
    <w:rsid w:val="00A44957"/>
    <w:rsid w:val="00A44DD3"/>
    <w:rsid w:val="00A4524D"/>
    <w:rsid w:val="00A452B1"/>
    <w:rsid w:val="00A452C7"/>
    <w:rsid w:val="00A4587B"/>
    <w:rsid w:val="00A458A5"/>
    <w:rsid w:val="00A458F0"/>
    <w:rsid w:val="00A46223"/>
    <w:rsid w:val="00A470B9"/>
    <w:rsid w:val="00A474A3"/>
    <w:rsid w:val="00A477B2"/>
    <w:rsid w:val="00A47923"/>
    <w:rsid w:val="00A5097F"/>
    <w:rsid w:val="00A50D60"/>
    <w:rsid w:val="00A50E42"/>
    <w:rsid w:val="00A511F9"/>
    <w:rsid w:val="00A51672"/>
    <w:rsid w:val="00A5186F"/>
    <w:rsid w:val="00A51976"/>
    <w:rsid w:val="00A51E4D"/>
    <w:rsid w:val="00A51E62"/>
    <w:rsid w:val="00A51EC4"/>
    <w:rsid w:val="00A52C18"/>
    <w:rsid w:val="00A535EF"/>
    <w:rsid w:val="00A5396C"/>
    <w:rsid w:val="00A54073"/>
    <w:rsid w:val="00A54260"/>
    <w:rsid w:val="00A54423"/>
    <w:rsid w:val="00A54553"/>
    <w:rsid w:val="00A54B21"/>
    <w:rsid w:val="00A54D9E"/>
    <w:rsid w:val="00A54DCA"/>
    <w:rsid w:val="00A55330"/>
    <w:rsid w:val="00A55586"/>
    <w:rsid w:val="00A55818"/>
    <w:rsid w:val="00A55B60"/>
    <w:rsid w:val="00A55DA3"/>
    <w:rsid w:val="00A56ADA"/>
    <w:rsid w:val="00A57655"/>
    <w:rsid w:val="00A57B65"/>
    <w:rsid w:val="00A57D32"/>
    <w:rsid w:val="00A600E9"/>
    <w:rsid w:val="00A600F4"/>
    <w:rsid w:val="00A60307"/>
    <w:rsid w:val="00A60476"/>
    <w:rsid w:val="00A60598"/>
    <w:rsid w:val="00A6080D"/>
    <w:rsid w:val="00A60908"/>
    <w:rsid w:val="00A60AF4"/>
    <w:rsid w:val="00A60D98"/>
    <w:rsid w:val="00A61061"/>
    <w:rsid w:val="00A610EB"/>
    <w:rsid w:val="00A61389"/>
    <w:rsid w:val="00A61C17"/>
    <w:rsid w:val="00A61FEE"/>
    <w:rsid w:val="00A62C01"/>
    <w:rsid w:val="00A62F55"/>
    <w:rsid w:val="00A6308C"/>
    <w:rsid w:val="00A63533"/>
    <w:rsid w:val="00A636D5"/>
    <w:rsid w:val="00A639F3"/>
    <w:rsid w:val="00A63C7F"/>
    <w:rsid w:val="00A63D88"/>
    <w:rsid w:val="00A64101"/>
    <w:rsid w:val="00A642F6"/>
    <w:rsid w:val="00A64861"/>
    <w:rsid w:val="00A64DFC"/>
    <w:rsid w:val="00A6597A"/>
    <w:rsid w:val="00A659DC"/>
    <w:rsid w:val="00A65A53"/>
    <w:rsid w:val="00A65BE2"/>
    <w:rsid w:val="00A65E61"/>
    <w:rsid w:val="00A6640D"/>
    <w:rsid w:val="00A6649C"/>
    <w:rsid w:val="00A66836"/>
    <w:rsid w:val="00A6692E"/>
    <w:rsid w:val="00A66A86"/>
    <w:rsid w:val="00A66B0A"/>
    <w:rsid w:val="00A66B73"/>
    <w:rsid w:val="00A66F52"/>
    <w:rsid w:val="00A66F54"/>
    <w:rsid w:val="00A6784C"/>
    <w:rsid w:val="00A67D42"/>
    <w:rsid w:val="00A67DDB"/>
    <w:rsid w:val="00A70305"/>
    <w:rsid w:val="00A705CE"/>
    <w:rsid w:val="00A70601"/>
    <w:rsid w:val="00A70B42"/>
    <w:rsid w:val="00A71797"/>
    <w:rsid w:val="00A721D5"/>
    <w:rsid w:val="00A72464"/>
    <w:rsid w:val="00A7266E"/>
    <w:rsid w:val="00A73501"/>
    <w:rsid w:val="00A73800"/>
    <w:rsid w:val="00A73F8C"/>
    <w:rsid w:val="00A7421E"/>
    <w:rsid w:val="00A74284"/>
    <w:rsid w:val="00A74766"/>
    <w:rsid w:val="00A7555F"/>
    <w:rsid w:val="00A75B33"/>
    <w:rsid w:val="00A7615D"/>
    <w:rsid w:val="00A76457"/>
    <w:rsid w:val="00A764EE"/>
    <w:rsid w:val="00A765A8"/>
    <w:rsid w:val="00A7663E"/>
    <w:rsid w:val="00A7665D"/>
    <w:rsid w:val="00A769A2"/>
    <w:rsid w:val="00A76A8C"/>
    <w:rsid w:val="00A773F4"/>
    <w:rsid w:val="00A776BC"/>
    <w:rsid w:val="00A77B0E"/>
    <w:rsid w:val="00A77B78"/>
    <w:rsid w:val="00A77F79"/>
    <w:rsid w:val="00A80493"/>
    <w:rsid w:val="00A806BA"/>
    <w:rsid w:val="00A8086C"/>
    <w:rsid w:val="00A80B6C"/>
    <w:rsid w:val="00A8140A"/>
    <w:rsid w:val="00A81878"/>
    <w:rsid w:val="00A81BCB"/>
    <w:rsid w:val="00A81F14"/>
    <w:rsid w:val="00A8240C"/>
    <w:rsid w:val="00A8283F"/>
    <w:rsid w:val="00A82CB5"/>
    <w:rsid w:val="00A82D0D"/>
    <w:rsid w:val="00A8370E"/>
    <w:rsid w:val="00A83C08"/>
    <w:rsid w:val="00A83D7B"/>
    <w:rsid w:val="00A84213"/>
    <w:rsid w:val="00A847C5"/>
    <w:rsid w:val="00A8492E"/>
    <w:rsid w:val="00A849F5"/>
    <w:rsid w:val="00A84C6D"/>
    <w:rsid w:val="00A84E01"/>
    <w:rsid w:val="00A85145"/>
    <w:rsid w:val="00A8574C"/>
    <w:rsid w:val="00A86B37"/>
    <w:rsid w:val="00A874C4"/>
    <w:rsid w:val="00A879A7"/>
    <w:rsid w:val="00A87A21"/>
    <w:rsid w:val="00A87CAA"/>
    <w:rsid w:val="00A908EE"/>
    <w:rsid w:val="00A91167"/>
    <w:rsid w:val="00A91510"/>
    <w:rsid w:val="00A91531"/>
    <w:rsid w:val="00A919FB"/>
    <w:rsid w:val="00A91CA5"/>
    <w:rsid w:val="00A9291A"/>
    <w:rsid w:val="00A932C0"/>
    <w:rsid w:val="00A93998"/>
    <w:rsid w:val="00A93CD6"/>
    <w:rsid w:val="00A93E1B"/>
    <w:rsid w:val="00A93E8C"/>
    <w:rsid w:val="00A9456C"/>
    <w:rsid w:val="00A94B54"/>
    <w:rsid w:val="00A94BF6"/>
    <w:rsid w:val="00A94C9F"/>
    <w:rsid w:val="00A94CA2"/>
    <w:rsid w:val="00A94D08"/>
    <w:rsid w:val="00A94F97"/>
    <w:rsid w:val="00A950A1"/>
    <w:rsid w:val="00A9543E"/>
    <w:rsid w:val="00A95BB9"/>
    <w:rsid w:val="00A95C64"/>
    <w:rsid w:val="00A95D9A"/>
    <w:rsid w:val="00A95DE1"/>
    <w:rsid w:val="00A95F3A"/>
    <w:rsid w:val="00A95F46"/>
    <w:rsid w:val="00A962F7"/>
    <w:rsid w:val="00A963CA"/>
    <w:rsid w:val="00A96686"/>
    <w:rsid w:val="00A968C7"/>
    <w:rsid w:val="00A96BC1"/>
    <w:rsid w:val="00A9711F"/>
    <w:rsid w:val="00A97444"/>
    <w:rsid w:val="00A97632"/>
    <w:rsid w:val="00AA0C3A"/>
    <w:rsid w:val="00AA1141"/>
    <w:rsid w:val="00AA116E"/>
    <w:rsid w:val="00AA1B88"/>
    <w:rsid w:val="00AA2136"/>
    <w:rsid w:val="00AA22FA"/>
    <w:rsid w:val="00AA2C0B"/>
    <w:rsid w:val="00AA2CA4"/>
    <w:rsid w:val="00AA30EC"/>
    <w:rsid w:val="00AA33B9"/>
    <w:rsid w:val="00AA3762"/>
    <w:rsid w:val="00AA37FF"/>
    <w:rsid w:val="00AA3968"/>
    <w:rsid w:val="00AA3A35"/>
    <w:rsid w:val="00AA3AD1"/>
    <w:rsid w:val="00AA448A"/>
    <w:rsid w:val="00AA47FF"/>
    <w:rsid w:val="00AA4C33"/>
    <w:rsid w:val="00AA4E89"/>
    <w:rsid w:val="00AA5390"/>
    <w:rsid w:val="00AA54DD"/>
    <w:rsid w:val="00AA57AC"/>
    <w:rsid w:val="00AA6901"/>
    <w:rsid w:val="00AA6964"/>
    <w:rsid w:val="00AA6CC6"/>
    <w:rsid w:val="00AA7A3F"/>
    <w:rsid w:val="00AA7A63"/>
    <w:rsid w:val="00AB0D64"/>
    <w:rsid w:val="00AB10FF"/>
    <w:rsid w:val="00AB140C"/>
    <w:rsid w:val="00AB166C"/>
    <w:rsid w:val="00AB169F"/>
    <w:rsid w:val="00AB2761"/>
    <w:rsid w:val="00AB2B66"/>
    <w:rsid w:val="00AB2B9A"/>
    <w:rsid w:val="00AB2DAC"/>
    <w:rsid w:val="00AB2E6B"/>
    <w:rsid w:val="00AB3003"/>
    <w:rsid w:val="00AB3191"/>
    <w:rsid w:val="00AB3DA7"/>
    <w:rsid w:val="00AB3E90"/>
    <w:rsid w:val="00AB425A"/>
    <w:rsid w:val="00AB43AA"/>
    <w:rsid w:val="00AB4A94"/>
    <w:rsid w:val="00AB4F71"/>
    <w:rsid w:val="00AB5169"/>
    <w:rsid w:val="00AB52B6"/>
    <w:rsid w:val="00AB5546"/>
    <w:rsid w:val="00AB5599"/>
    <w:rsid w:val="00AB569D"/>
    <w:rsid w:val="00AB5F5F"/>
    <w:rsid w:val="00AB626B"/>
    <w:rsid w:val="00AB68C9"/>
    <w:rsid w:val="00AB6963"/>
    <w:rsid w:val="00AB6969"/>
    <w:rsid w:val="00AB6CC0"/>
    <w:rsid w:val="00AB7294"/>
    <w:rsid w:val="00AB752F"/>
    <w:rsid w:val="00AB755D"/>
    <w:rsid w:val="00AB7B02"/>
    <w:rsid w:val="00AC01F0"/>
    <w:rsid w:val="00AC02A4"/>
    <w:rsid w:val="00AC08BD"/>
    <w:rsid w:val="00AC12D2"/>
    <w:rsid w:val="00AC1732"/>
    <w:rsid w:val="00AC1913"/>
    <w:rsid w:val="00AC2DAE"/>
    <w:rsid w:val="00AC3979"/>
    <w:rsid w:val="00AC3B4B"/>
    <w:rsid w:val="00AC3C6F"/>
    <w:rsid w:val="00AC3D53"/>
    <w:rsid w:val="00AC4359"/>
    <w:rsid w:val="00AC47EB"/>
    <w:rsid w:val="00AC49DB"/>
    <w:rsid w:val="00AC49F7"/>
    <w:rsid w:val="00AC4F41"/>
    <w:rsid w:val="00AC547A"/>
    <w:rsid w:val="00AC55C6"/>
    <w:rsid w:val="00AC5F93"/>
    <w:rsid w:val="00AC6240"/>
    <w:rsid w:val="00AC63A0"/>
    <w:rsid w:val="00AC6779"/>
    <w:rsid w:val="00AC68AA"/>
    <w:rsid w:val="00AC69A6"/>
    <w:rsid w:val="00AC6C75"/>
    <w:rsid w:val="00AC6E51"/>
    <w:rsid w:val="00AC70AF"/>
    <w:rsid w:val="00AC71E4"/>
    <w:rsid w:val="00AC7674"/>
    <w:rsid w:val="00AC78FF"/>
    <w:rsid w:val="00AC7B3F"/>
    <w:rsid w:val="00AC7B5E"/>
    <w:rsid w:val="00AC7CE1"/>
    <w:rsid w:val="00AC7DE4"/>
    <w:rsid w:val="00AC7E2F"/>
    <w:rsid w:val="00AD0253"/>
    <w:rsid w:val="00AD025D"/>
    <w:rsid w:val="00AD03CA"/>
    <w:rsid w:val="00AD08E4"/>
    <w:rsid w:val="00AD135B"/>
    <w:rsid w:val="00AD1EE9"/>
    <w:rsid w:val="00AD1F94"/>
    <w:rsid w:val="00AD2139"/>
    <w:rsid w:val="00AD231E"/>
    <w:rsid w:val="00AD2FE0"/>
    <w:rsid w:val="00AD4066"/>
    <w:rsid w:val="00AD4206"/>
    <w:rsid w:val="00AD4465"/>
    <w:rsid w:val="00AD540B"/>
    <w:rsid w:val="00AD5464"/>
    <w:rsid w:val="00AD59C0"/>
    <w:rsid w:val="00AD5AD7"/>
    <w:rsid w:val="00AD5B42"/>
    <w:rsid w:val="00AD5B59"/>
    <w:rsid w:val="00AD5E61"/>
    <w:rsid w:val="00AD64D3"/>
    <w:rsid w:val="00AD6D4B"/>
    <w:rsid w:val="00AE0204"/>
    <w:rsid w:val="00AE030A"/>
    <w:rsid w:val="00AE066B"/>
    <w:rsid w:val="00AE06DE"/>
    <w:rsid w:val="00AE07D5"/>
    <w:rsid w:val="00AE0B4C"/>
    <w:rsid w:val="00AE0D45"/>
    <w:rsid w:val="00AE0D68"/>
    <w:rsid w:val="00AE112B"/>
    <w:rsid w:val="00AE12E7"/>
    <w:rsid w:val="00AE170E"/>
    <w:rsid w:val="00AE17E9"/>
    <w:rsid w:val="00AE1A40"/>
    <w:rsid w:val="00AE1E87"/>
    <w:rsid w:val="00AE217E"/>
    <w:rsid w:val="00AE2319"/>
    <w:rsid w:val="00AE2340"/>
    <w:rsid w:val="00AE2637"/>
    <w:rsid w:val="00AE2918"/>
    <w:rsid w:val="00AE29AB"/>
    <w:rsid w:val="00AE2DDA"/>
    <w:rsid w:val="00AE2F8A"/>
    <w:rsid w:val="00AE3203"/>
    <w:rsid w:val="00AE385C"/>
    <w:rsid w:val="00AE3E09"/>
    <w:rsid w:val="00AE3E7C"/>
    <w:rsid w:val="00AE3FB4"/>
    <w:rsid w:val="00AE484D"/>
    <w:rsid w:val="00AE494E"/>
    <w:rsid w:val="00AE4970"/>
    <w:rsid w:val="00AE5197"/>
    <w:rsid w:val="00AE5354"/>
    <w:rsid w:val="00AE545C"/>
    <w:rsid w:val="00AE5725"/>
    <w:rsid w:val="00AE5BA9"/>
    <w:rsid w:val="00AE5FD1"/>
    <w:rsid w:val="00AE69AC"/>
    <w:rsid w:val="00AE7072"/>
    <w:rsid w:val="00AE70E3"/>
    <w:rsid w:val="00AE7424"/>
    <w:rsid w:val="00AE745D"/>
    <w:rsid w:val="00AE7983"/>
    <w:rsid w:val="00AE7D5B"/>
    <w:rsid w:val="00AF04A8"/>
    <w:rsid w:val="00AF0566"/>
    <w:rsid w:val="00AF0600"/>
    <w:rsid w:val="00AF1240"/>
    <w:rsid w:val="00AF127F"/>
    <w:rsid w:val="00AF1799"/>
    <w:rsid w:val="00AF1AD0"/>
    <w:rsid w:val="00AF1CB0"/>
    <w:rsid w:val="00AF1ED5"/>
    <w:rsid w:val="00AF1F6A"/>
    <w:rsid w:val="00AF1F95"/>
    <w:rsid w:val="00AF2025"/>
    <w:rsid w:val="00AF254D"/>
    <w:rsid w:val="00AF2CBF"/>
    <w:rsid w:val="00AF2EAE"/>
    <w:rsid w:val="00AF306D"/>
    <w:rsid w:val="00AF3213"/>
    <w:rsid w:val="00AF345C"/>
    <w:rsid w:val="00AF377A"/>
    <w:rsid w:val="00AF38C6"/>
    <w:rsid w:val="00AF3B5D"/>
    <w:rsid w:val="00AF4007"/>
    <w:rsid w:val="00AF4012"/>
    <w:rsid w:val="00AF4746"/>
    <w:rsid w:val="00AF4A98"/>
    <w:rsid w:val="00AF4B7A"/>
    <w:rsid w:val="00AF4E35"/>
    <w:rsid w:val="00AF515A"/>
    <w:rsid w:val="00AF54A6"/>
    <w:rsid w:val="00AF62FC"/>
    <w:rsid w:val="00AF699A"/>
    <w:rsid w:val="00AF6E90"/>
    <w:rsid w:val="00AF78EC"/>
    <w:rsid w:val="00B001E1"/>
    <w:rsid w:val="00B00331"/>
    <w:rsid w:val="00B00406"/>
    <w:rsid w:val="00B0096F"/>
    <w:rsid w:val="00B00B0E"/>
    <w:rsid w:val="00B00DBF"/>
    <w:rsid w:val="00B010CF"/>
    <w:rsid w:val="00B01949"/>
    <w:rsid w:val="00B0275C"/>
    <w:rsid w:val="00B02A23"/>
    <w:rsid w:val="00B02A29"/>
    <w:rsid w:val="00B03886"/>
    <w:rsid w:val="00B043BF"/>
    <w:rsid w:val="00B04628"/>
    <w:rsid w:val="00B04A5D"/>
    <w:rsid w:val="00B04DBB"/>
    <w:rsid w:val="00B05459"/>
    <w:rsid w:val="00B056C0"/>
    <w:rsid w:val="00B05BC5"/>
    <w:rsid w:val="00B05CDF"/>
    <w:rsid w:val="00B05DE1"/>
    <w:rsid w:val="00B05FC9"/>
    <w:rsid w:val="00B060B6"/>
    <w:rsid w:val="00B06136"/>
    <w:rsid w:val="00B06138"/>
    <w:rsid w:val="00B063DE"/>
    <w:rsid w:val="00B06965"/>
    <w:rsid w:val="00B06970"/>
    <w:rsid w:val="00B06D70"/>
    <w:rsid w:val="00B06F3E"/>
    <w:rsid w:val="00B06F73"/>
    <w:rsid w:val="00B078C6"/>
    <w:rsid w:val="00B079FF"/>
    <w:rsid w:val="00B07BCD"/>
    <w:rsid w:val="00B107AC"/>
    <w:rsid w:val="00B10B07"/>
    <w:rsid w:val="00B10E57"/>
    <w:rsid w:val="00B11570"/>
    <w:rsid w:val="00B12310"/>
    <w:rsid w:val="00B12687"/>
    <w:rsid w:val="00B1292B"/>
    <w:rsid w:val="00B12DC3"/>
    <w:rsid w:val="00B12EC5"/>
    <w:rsid w:val="00B12F9A"/>
    <w:rsid w:val="00B13174"/>
    <w:rsid w:val="00B133E5"/>
    <w:rsid w:val="00B13453"/>
    <w:rsid w:val="00B1365C"/>
    <w:rsid w:val="00B13BC7"/>
    <w:rsid w:val="00B13C7F"/>
    <w:rsid w:val="00B13FD9"/>
    <w:rsid w:val="00B141C8"/>
    <w:rsid w:val="00B14528"/>
    <w:rsid w:val="00B1476E"/>
    <w:rsid w:val="00B158C8"/>
    <w:rsid w:val="00B15962"/>
    <w:rsid w:val="00B15F35"/>
    <w:rsid w:val="00B16069"/>
    <w:rsid w:val="00B1675C"/>
    <w:rsid w:val="00B16939"/>
    <w:rsid w:val="00B169F6"/>
    <w:rsid w:val="00B16CF2"/>
    <w:rsid w:val="00B16FA4"/>
    <w:rsid w:val="00B16FF9"/>
    <w:rsid w:val="00B1710B"/>
    <w:rsid w:val="00B1711D"/>
    <w:rsid w:val="00B1759E"/>
    <w:rsid w:val="00B1768E"/>
    <w:rsid w:val="00B17A44"/>
    <w:rsid w:val="00B20A72"/>
    <w:rsid w:val="00B21046"/>
    <w:rsid w:val="00B211CC"/>
    <w:rsid w:val="00B212AF"/>
    <w:rsid w:val="00B213D4"/>
    <w:rsid w:val="00B214E2"/>
    <w:rsid w:val="00B2187A"/>
    <w:rsid w:val="00B21A03"/>
    <w:rsid w:val="00B22A26"/>
    <w:rsid w:val="00B22CEC"/>
    <w:rsid w:val="00B23133"/>
    <w:rsid w:val="00B23819"/>
    <w:rsid w:val="00B2385D"/>
    <w:rsid w:val="00B23F69"/>
    <w:rsid w:val="00B24907"/>
    <w:rsid w:val="00B24C47"/>
    <w:rsid w:val="00B25128"/>
    <w:rsid w:val="00B2517B"/>
    <w:rsid w:val="00B254CD"/>
    <w:rsid w:val="00B25918"/>
    <w:rsid w:val="00B25D94"/>
    <w:rsid w:val="00B26029"/>
    <w:rsid w:val="00B26289"/>
    <w:rsid w:val="00B264DB"/>
    <w:rsid w:val="00B26719"/>
    <w:rsid w:val="00B26A38"/>
    <w:rsid w:val="00B26FAB"/>
    <w:rsid w:val="00B270E2"/>
    <w:rsid w:val="00B2737F"/>
    <w:rsid w:val="00B2748D"/>
    <w:rsid w:val="00B2752A"/>
    <w:rsid w:val="00B27DDB"/>
    <w:rsid w:val="00B27E18"/>
    <w:rsid w:val="00B31AF5"/>
    <w:rsid w:val="00B31FD6"/>
    <w:rsid w:val="00B3219C"/>
    <w:rsid w:val="00B32323"/>
    <w:rsid w:val="00B323FD"/>
    <w:rsid w:val="00B325D6"/>
    <w:rsid w:val="00B32924"/>
    <w:rsid w:val="00B32B7D"/>
    <w:rsid w:val="00B32CAB"/>
    <w:rsid w:val="00B33615"/>
    <w:rsid w:val="00B3373A"/>
    <w:rsid w:val="00B337B2"/>
    <w:rsid w:val="00B34008"/>
    <w:rsid w:val="00B343EC"/>
    <w:rsid w:val="00B3475D"/>
    <w:rsid w:val="00B34839"/>
    <w:rsid w:val="00B34C66"/>
    <w:rsid w:val="00B358A6"/>
    <w:rsid w:val="00B35A36"/>
    <w:rsid w:val="00B365F6"/>
    <w:rsid w:val="00B37227"/>
    <w:rsid w:val="00B37C72"/>
    <w:rsid w:val="00B409DB"/>
    <w:rsid w:val="00B40A92"/>
    <w:rsid w:val="00B413C7"/>
    <w:rsid w:val="00B41469"/>
    <w:rsid w:val="00B41592"/>
    <w:rsid w:val="00B416DD"/>
    <w:rsid w:val="00B4171E"/>
    <w:rsid w:val="00B41781"/>
    <w:rsid w:val="00B41960"/>
    <w:rsid w:val="00B41D49"/>
    <w:rsid w:val="00B420DD"/>
    <w:rsid w:val="00B42851"/>
    <w:rsid w:val="00B42B60"/>
    <w:rsid w:val="00B42C28"/>
    <w:rsid w:val="00B431AB"/>
    <w:rsid w:val="00B4454F"/>
    <w:rsid w:val="00B44726"/>
    <w:rsid w:val="00B44EF2"/>
    <w:rsid w:val="00B45196"/>
    <w:rsid w:val="00B45242"/>
    <w:rsid w:val="00B45329"/>
    <w:rsid w:val="00B45339"/>
    <w:rsid w:val="00B45844"/>
    <w:rsid w:val="00B4585C"/>
    <w:rsid w:val="00B45DFF"/>
    <w:rsid w:val="00B466ED"/>
    <w:rsid w:val="00B46A13"/>
    <w:rsid w:val="00B46BCD"/>
    <w:rsid w:val="00B509D7"/>
    <w:rsid w:val="00B50B78"/>
    <w:rsid w:val="00B51037"/>
    <w:rsid w:val="00B51604"/>
    <w:rsid w:val="00B5174C"/>
    <w:rsid w:val="00B51979"/>
    <w:rsid w:val="00B51BE0"/>
    <w:rsid w:val="00B51DC9"/>
    <w:rsid w:val="00B52A9D"/>
    <w:rsid w:val="00B52AC5"/>
    <w:rsid w:val="00B531AD"/>
    <w:rsid w:val="00B532A0"/>
    <w:rsid w:val="00B5344C"/>
    <w:rsid w:val="00B53558"/>
    <w:rsid w:val="00B53FDA"/>
    <w:rsid w:val="00B54282"/>
    <w:rsid w:val="00B544E4"/>
    <w:rsid w:val="00B54E3B"/>
    <w:rsid w:val="00B55000"/>
    <w:rsid w:val="00B557C4"/>
    <w:rsid w:val="00B55AA6"/>
    <w:rsid w:val="00B55D69"/>
    <w:rsid w:val="00B55D97"/>
    <w:rsid w:val="00B560F5"/>
    <w:rsid w:val="00B561B2"/>
    <w:rsid w:val="00B56411"/>
    <w:rsid w:val="00B564BC"/>
    <w:rsid w:val="00B56612"/>
    <w:rsid w:val="00B5667F"/>
    <w:rsid w:val="00B56D1C"/>
    <w:rsid w:val="00B5751B"/>
    <w:rsid w:val="00B576C7"/>
    <w:rsid w:val="00B57ABE"/>
    <w:rsid w:val="00B57BD8"/>
    <w:rsid w:val="00B57E9D"/>
    <w:rsid w:val="00B57FBD"/>
    <w:rsid w:val="00B602FA"/>
    <w:rsid w:val="00B6036B"/>
    <w:rsid w:val="00B60404"/>
    <w:rsid w:val="00B60457"/>
    <w:rsid w:val="00B607A9"/>
    <w:rsid w:val="00B610BB"/>
    <w:rsid w:val="00B61793"/>
    <w:rsid w:val="00B618B6"/>
    <w:rsid w:val="00B61E3D"/>
    <w:rsid w:val="00B62CC7"/>
    <w:rsid w:val="00B62E1F"/>
    <w:rsid w:val="00B62FF8"/>
    <w:rsid w:val="00B632AD"/>
    <w:rsid w:val="00B63371"/>
    <w:rsid w:val="00B63496"/>
    <w:rsid w:val="00B637A1"/>
    <w:rsid w:val="00B637AC"/>
    <w:rsid w:val="00B63ABE"/>
    <w:rsid w:val="00B63B4B"/>
    <w:rsid w:val="00B63B54"/>
    <w:rsid w:val="00B63D9E"/>
    <w:rsid w:val="00B642CD"/>
    <w:rsid w:val="00B64518"/>
    <w:rsid w:val="00B6486B"/>
    <w:rsid w:val="00B64DA6"/>
    <w:rsid w:val="00B64ED3"/>
    <w:rsid w:val="00B653DA"/>
    <w:rsid w:val="00B6569C"/>
    <w:rsid w:val="00B65AAE"/>
    <w:rsid w:val="00B65BCE"/>
    <w:rsid w:val="00B660D9"/>
    <w:rsid w:val="00B66245"/>
    <w:rsid w:val="00B6687E"/>
    <w:rsid w:val="00B66BAF"/>
    <w:rsid w:val="00B66C1A"/>
    <w:rsid w:val="00B66D04"/>
    <w:rsid w:val="00B66EB2"/>
    <w:rsid w:val="00B67267"/>
    <w:rsid w:val="00B67957"/>
    <w:rsid w:val="00B67B47"/>
    <w:rsid w:val="00B67C79"/>
    <w:rsid w:val="00B7051C"/>
    <w:rsid w:val="00B71038"/>
    <w:rsid w:val="00B71732"/>
    <w:rsid w:val="00B71A63"/>
    <w:rsid w:val="00B71BE7"/>
    <w:rsid w:val="00B71D14"/>
    <w:rsid w:val="00B72836"/>
    <w:rsid w:val="00B72876"/>
    <w:rsid w:val="00B7329E"/>
    <w:rsid w:val="00B74056"/>
    <w:rsid w:val="00B7414E"/>
    <w:rsid w:val="00B744EB"/>
    <w:rsid w:val="00B7475B"/>
    <w:rsid w:val="00B74911"/>
    <w:rsid w:val="00B749C3"/>
    <w:rsid w:val="00B74B30"/>
    <w:rsid w:val="00B74D5D"/>
    <w:rsid w:val="00B75535"/>
    <w:rsid w:val="00B75853"/>
    <w:rsid w:val="00B759A7"/>
    <w:rsid w:val="00B75E96"/>
    <w:rsid w:val="00B75F1E"/>
    <w:rsid w:val="00B766C6"/>
    <w:rsid w:val="00B76CAD"/>
    <w:rsid w:val="00B76F43"/>
    <w:rsid w:val="00B77015"/>
    <w:rsid w:val="00B77201"/>
    <w:rsid w:val="00B772D6"/>
    <w:rsid w:val="00B773FD"/>
    <w:rsid w:val="00B77743"/>
    <w:rsid w:val="00B800D5"/>
    <w:rsid w:val="00B809A0"/>
    <w:rsid w:val="00B80E22"/>
    <w:rsid w:val="00B812A8"/>
    <w:rsid w:val="00B81A4D"/>
    <w:rsid w:val="00B81E93"/>
    <w:rsid w:val="00B8219B"/>
    <w:rsid w:val="00B82278"/>
    <w:rsid w:val="00B82D48"/>
    <w:rsid w:val="00B83627"/>
    <w:rsid w:val="00B83872"/>
    <w:rsid w:val="00B8389D"/>
    <w:rsid w:val="00B838EB"/>
    <w:rsid w:val="00B83A21"/>
    <w:rsid w:val="00B83E4D"/>
    <w:rsid w:val="00B84517"/>
    <w:rsid w:val="00B84699"/>
    <w:rsid w:val="00B84B08"/>
    <w:rsid w:val="00B84DBA"/>
    <w:rsid w:val="00B84E2A"/>
    <w:rsid w:val="00B8524C"/>
    <w:rsid w:val="00B853B2"/>
    <w:rsid w:val="00B855D1"/>
    <w:rsid w:val="00B8589A"/>
    <w:rsid w:val="00B85CBC"/>
    <w:rsid w:val="00B8658B"/>
    <w:rsid w:val="00B86765"/>
    <w:rsid w:val="00B86C89"/>
    <w:rsid w:val="00B86D17"/>
    <w:rsid w:val="00B86E92"/>
    <w:rsid w:val="00B86FB9"/>
    <w:rsid w:val="00B871A5"/>
    <w:rsid w:val="00B87716"/>
    <w:rsid w:val="00B87C31"/>
    <w:rsid w:val="00B87E70"/>
    <w:rsid w:val="00B90041"/>
    <w:rsid w:val="00B90A7E"/>
    <w:rsid w:val="00B9113E"/>
    <w:rsid w:val="00B913F6"/>
    <w:rsid w:val="00B914CC"/>
    <w:rsid w:val="00B9160A"/>
    <w:rsid w:val="00B9169A"/>
    <w:rsid w:val="00B91DAE"/>
    <w:rsid w:val="00B92132"/>
    <w:rsid w:val="00B924D8"/>
    <w:rsid w:val="00B92EB0"/>
    <w:rsid w:val="00B92EB8"/>
    <w:rsid w:val="00B932AE"/>
    <w:rsid w:val="00B93419"/>
    <w:rsid w:val="00B936FE"/>
    <w:rsid w:val="00B938FF"/>
    <w:rsid w:val="00B93919"/>
    <w:rsid w:val="00B93BAF"/>
    <w:rsid w:val="00B94179"/>
    <w:rsid w:val="00B941C3"/>
    <w:rsid w:val="00B9445F"/>
    <w:rsid w:val="00B94650"/>
    <w:rsid w:val="00B94A42"/>
    <w:rsid w:val="00B94B98"/>
    <w:rsid w:val="00B94CCF"/>
    <w:rsid w:val="00B9530D"/>
    <w:rsid w:val="00B9558A"/>
    <w:rsid w:val="00B9570C"/>
    <w:rsid w:val="00B95B4B"/>
    <w:rsid w:val="00B95C1B"/>
    <w:rsid w:val="00B95F30"/>
    <w:rsid w:val="00B960E3"/>
    <w:rsid w:val="00B962EC"/>
    <w:rsid w:val="00B968D5"/>
    <w:rsid w:val="00B96E37"/>
    <w:rsid w:val="00B970FC"/>
    <w:rsid w:val="00B9748C"/>
    <w:rsid w:val="00B9770B"/>
    <w:rsid w:val="00B97B76"/>
    <w:rsid w:val="00B97BFC"/>
    <w:rsid w:val="00B97E18"/>
    <w:rsid w:val="00B97E71"/>
    <w:rsid w:val="00B97ECB"/>
    <w:rsid w:val="00BA075B"/>
    <w:rsid w:val="00BA07CE"/>
    <w:rsid w:val="00BA0AE9"/>
    <w:rsid w:val="00BA0B9A"/>
    <w:rsid w:val="00BA14AD"/>
    <w:rsid w:val="00BA1621"/>
    <w:rsid w:val="00BA1855"/>
    <w:rsid w:val="00BA189B"/>
    <w:rsid w:val="00BA2362"/>
    <w:rsid w:val="00BA2488"/>
    <w:rsid w:val="00BA2755"/>
    <w:rsid w:val="00BA2E83"/>
    <w:rsid w:val="00BA361F"/>
    <w:rsid w:val="00BA3838"/>
    <w:rsid w:val="00BA3AB6"/>
    <w:rsid w:val="00BA3F58"/>
    <w:rsid w:val="00BA3F8B"/>
    <w:rsid w:val="00BA4A55"/>
    <w:rsid w:val="00BA4ACB"/>
    <w:rsid w:val="00BA4D9B"/>
    <w:rsid w:val="00BA4E11"/>
    <w:rsid w:val="00BA4FDD"/>
    <w:rsid w:val="00BA64CC"/>
    <w:rsid w:val="00BA66BD"/>
    <w:rsid w:val="00BA68B9"/>
    <w:rsid w:val="00BA69EA"/>
    <w:rsid w:val="00BA6C33"/>
    <w:rsid w:val="00BA6DE7"/>
    <w:rsid w:val="00BA7415"/>
    <w:rsid w:val="00BA77F1"/>
    <w:rsid w:val="00BA781B"/>
    <w:rsid w:val="00BA79F6"/>
    <w:rsid w:val="00BA7E18"/>
    <w:rsid w:val="00BB01CC"/>
    <w:rsid w:val="00BB0AC4"/>
    <w:rsid w:val="00BB0CD7"/>
    <w:rsid w:val="00BB0E0C"/>
    <w:rsid w:val="00BB0F16"/>
    <w:rsid w:val="00BB13C7"/>
    <w:rsid w:val="00BB1FBB"/>
    <w:rsid w:val="00BB21A3"/>
    <w:rsid w:val="00BB2271"/>
    <w:rsid w:val="00BB22D8"/>
    <w:rsid w:val="00BB28F1"/>
    <w:rsid w:val="00BB2B5A"/>
    <w:rsid w:val="00BB2B7E"/>
    <w:rsid w:val="00BB30CF"/>
    <w:rsid w:val="00BB313A"/>
    <w:rsid w:val="00BB3422"/>
    <w:rsid w:val="00BB3C7D"/>
    <w:rsid w:val="00BB4644"/>
    <w:rsid w:val="00BB4EFA"/>
    <w:rsid w:val="00BB514E"/>
    <w:rsid w:val="00BB5393"/>
    <w:rsid w:val="00BB56C3"/>
    <w:rsid w:val="00BB5ECA"/>
    <w:rsid w:val="00BB6575"/>
    <w:rsid w:val="00BB69EC"/>
    <w:rsid w:val="00BB6E50"/>
    <w:rsid w:val="00BB6FDC"/>
    <w:rsid w:val="00BB709E"/>
    <w:rsid w:val="00BB7130"/>
    <w:rsid w:val="00BB7AAD"/>
    <w:rsid w:val="00BB7C94"/>
    <w:rsid w:val="00BC00FD"/>
    <w:rsid w:val="00BC04A6"/>
    <w:rsid w:val="00BC0530"/>
    <w:rsid w:val="00BC0A0C"/>
    <w:rsid w:val="00BC0FE8"/>
    <w:rsid w:val="00BC1241"/>
    <w:rsid w:val="00BC1374"/>
    <w:rsid w:val="00BC14DA"/>
    <w:rsid w:val="00BC1747"/>
    <w:rsid w:val="00BC2604"/>
    <w:rsid w:val="00BC284D"/>
    <w:rsid w:val="00BC2920"/>
    <w:rsid w:val="00BC339C"/>
    <w:rsid w:val="00BC37F7"/>
    <w:rsid w:val="00BC39FA"/>
    <w:rsid w:val="00BC474A"/>
    <w:rsid w:val="00BC49CA"/>
    <w:rsid w:val="00BC4A63"/>
    <w:rsid w:val="00BC4FD0"/>
    <w:rsid w:val="00BC5011"/>
    <w:rsid w:val="00BC5A5B"/>
    <w:rsid w:val="00BC5AE0"/>
    <w:rsid w:val="00BC5F1D"/>
    <w:rsid w:val="00BC622F"/>
    <w:rsid w:val="00BC6531"/>
    <w:rsid w:val="00BC6561"/>
    <w:rsid w:val="00BC669B"/>
    <w:rsid w:val="00BC6EC3"/>
    <w:rsid w:val="00BC715C"/>
    <w:rsid w:val="00BC779A"/>
    <w:rsid w:val="00BC7F4F"/>
    <w:rsid w:val="00BD080A"/>
    <w:rsid w:val="00BD08F0"/>
    <w:rsid w:val="00BD0F4F"/>
    <w:rsid w:val="00BD10CA"/>
    <w:rsid w:val="00BD172F"/>
    <w:rsid w:val="00BD189C"/>
    <w:rsid w:val="00BD1B17"/>
    <w:rsid w:val="00BD2A34"/>
    <w:rsid w:val="00BD2F57"/>
    <w:rsid w:val="00BD32A6"/>
    <w:rsid w:val="00BD3C3A"/>
    <w:rsid w:val="00BD40B0"/>
    <w:rsid w:val="00BD457C"/>
    <w:rsid w:val="00BD4C5C"/>
    <w:rsid w:val="00BD4FEC"/>
    <w:rsid w:val="00BD50B2"/>
    <w:rsid w:val="00BD53AE"/>
    <w:rsid w:val="00BD5456"/>
    <w:rsid w:val="00BD5B35"/>
    <w:rsid w:val="00BD6061"/>
    <w:rsid w:val="00BD61B1"/>
    <w:rsid w:val="00BD6302"/>
    <w:rsid w:val="00BD63E5"/>
    <w:rsid w:val="00BD6486"/>
    <w:rsid w:val="00BD7521"/>
    <w:rsid w:val="00BD7AB1"/>
    <w:rsid w:val="00BD7AF2"/>
    <w:rsid w:val="00BD7D57"/>
    <w:rsid w:val="00BD7EE7"/>
    <w:rsid w:val="00BE00D3"/>
    <w:rsid w:val="00BE0779"/>
    <w:rsid w:val="00BE09D6"/>
    <w:rsid w:val="00BE118A"/>
    <w:rsid w:val="00BE1330"/>
    <w:rsid w:val="00BE13B6"/>
    <w:rsid w:val="00BE1470"/>
    <w:rsid w:val="00BE151A"/>
    <w:rsid w:val="00BE1658"/>
    <w:rsid w:val="00BE168A"/>
    <w:rsid w:val="00BE1A47"/>
    <w:rsid w:val="00BE2449"/>
    <w:rsid w:val="00BE274D"/>
    <w:rsid w:val="00BE2E6D"/>
    <w:rsid w:val="00BE3771"/>
    <w:rsid w:val="00BE3891"/>
    <w:rsid w:val="00BE47B3"/>
    <w:rsid w:val="00BE536A"/>
    <w:rsid w:val="00BE5B2A"/>
    <w:rsid w:val="00BE5FCF"/>
    <w:rsid w:val="00BE62DE"/>
    <w:rsid w:val="00BE639E"/>
    <w:rsid w:val="00BE63C7"/>
    <w:rsid w:val="00BE6D26"/>
    <w:rsid w:val="00BE6DAC"/>
    <w:rsid w:val="00BE6F03"/>
    <w:rsid w:val="00BE7133"/>
    <w:rsid w:val="00BE742A"/>
    <w:rsid w:val="00BE77BF"/>
    <w:rsid w:val="00BE7DEB"/>
    <w:rsid w:val="00BF03A5"/>
    <w:rsid w:val="00BF03B1"/>
    <w:rsid w:val="00BF061A"/>
    <w:rsid w:val="00BF07CB"/>
    <w:rsid w:val="00BF0DDD"/>
    <w:rsid w:val="00BF0E4D"/>
    <w:rsid w:val="00BF0F88"/>
    <w:rsid w:val="00BF11BC"/>
    <w:rsid w:val="00BF1254"/>
    <w:rsid w:val="00BF1493"/>
    <w:rsid w:val="00BF18D3"/>
    <w:rsid w:val="00BF21E1"/>
    <w:rsid w:val="00BF29CB"/>
    <w:rsid w:val="00BF2BDC"/>
    <w:rsid w:val="00BF2E8C"/>
    <w:rsid w:val="00BF38EB"/>
    <w:rsid w:val="00BF39E0"/>
    <w:rsid w:val="00BF3D48"/>
    <w:rsid w:val="00BF5852"/>
    <w:rsid w:val="00BF58D5"/>
    <w:rsid w:val="00BF682D"/>
    <w:rsid w:val="00BF7113"/>
    <w:rsid w:val="00BF746B"/>
    <w:rsid w:val="00BF7885"/>
    <w:rsid w:val="00C009D6"/>
    <w:rsid w:val="00C00F35"/>
    <w:rsid w:val="00C01535"/>
    <w:rsid w:val="00C01AFC"/>
    <w:rsid w:val="00C01B17"/>
    <w:rsid w:val="00C02441"/>
    <w:rsid w:val="00C026B8"/>
    <w:rsid w:val="00C02A12"/>
    <w:rsid w:val="00C02D8B"/>
    <w:rsid w:val="00C02DC8"/>
    <w:rsid w:val="00C030B8"/>
    <w:rsid w:val="00C03168"/>
    <w:rsid w:val="00C03516"/>
    <w:rsid w:val="00C03AF8"/>
    <w:rsid w:val="00C0506F"/>
    <w:rsid w:val="00C052A6"/>
    <w:rsid w:val="00C05302"/>
    <w:rsid w:val="00C05459"/>
    <w:rsid w:val="00C0550A"/>
    <w:rsid w:val="00C06153"/>
    <w:rsid w:val="00C069D4"/>
    <w:rsid w:val="00C072AB"/>
    <w:rsid w:val="00C076CA"/>
    <w:rsid w:val="00C07B75"/>
    <w:rsid w:val="00C07E2E"/>
    <w:rsid w:val="00C07EB9"/>
    <w:rsid w:val="00C100FB"/>
    <w:rsid w:val="00C1013F"/>
    <w:rsid w:val="00C102A4"/>
    <w:rsid w:val="00C115BD"/>
    <w:rsid w:val="00C11C11"/>
    <w:rsid w:val="00C11F5A"/>
    <w:rsid w:val="00C127DA"/>
    <w:rsid w:val="00C1284E"/>
    <w:rsid w:val="00C12862"/>
    <w:rsid w:val="00C128D8"/>
    <w:rsid w:val="00C12B7A"/>
    <w:rsid w:val="00C12CE5"/>
    <w:rsid w:val="00C13348"/>
    <w:rsid w:val="00C13485"/>
    <w:rsid w:val="00C143BE"/>
    <w:rsid w:val="00C1440C"/>
    <w:rsid w:val="00C15476"/>
    <w:rsid w:val="00C1585B"/>
    <w:rsid w:val="00C1610A"/>
    <w:rsid w:val="00C163E2"/>
    <w:rsid w:val="00C1714B"/>
    <w:rsid w:val="00C172DC"/>
    <w:rsid w:val="00C1740E"/>
    <w:rsid w:val="00C174B4"/>
    <w:rsid w:val="00C17978"/>
    <w:rsid w:val="00C20854"/>
    <w:rsid w:val="00C20B71"/>
    <w:rsid w:val="00C20F93"/>
    <w:rsid w:val="00C21485"/>
    <w:rsid w:val="00C2149D"/>
    <w:rsid w:val="00C215E4"/>
    <w:rsid w:val="00C2172D"/>
    <w:rsid w:val="00C2186E"/>
    <w:rsid w:val="00C2204A"/>
    <w:rsid w:val="00C22295"/>
    <w:rsid w:val="00C222A1"/>
    <w:rsid w:val="00C225D2"/>
    <w:rsid w:val="00C22709"/>
    <w:rsid w:val="00C22B47"/>
    <w:rsid w:val="00C233FF"/>
    <w:rsid w:val="00C23439"/>
    <w:rsid w:val="00C23570"/>
    <w:rsid w:val="00C23C1D"/>
    <w:rsid w:val="00C24060"/>
    <w:rsid w:val="00C24363"/>
    <w:rsid w:val="00C246D4"/>
    <w:rsid w:val="00C24897"/>
    <w:rsid w:val="00C249CA"/>
    <w:rsid w:val="00C25432"/>
    <w:rsid w:val="00C25A74"/>
    <w:rsid w:val="00C260E5"/>
    <w:rsid w:val="00C2667E"/>
    <w:rsid w:val="00C2679D"/>
    <w:rsid w:val="00C26A78"/>
    <w:rsid w:val="00C26FBB"/>
    <w:rsid w:val="00C273F2"/>
    <w:rsid w:val="00C2751F"/>
    <w:rsid w:val="00C30340"/>
    <w:rsid w:val="00C30643"/>
    <w:rsid w:val="00C30B94"/>
    <w:rsid w:val="00C30E41"/>
    <w:rsid w:val="00C3104E"/>
    <w:rsid w:val="00C313DD"/>
    <w:rsid w:val="00C318A2"/>
    <w:rsid w:val="00C31AF4"/>
    <w:rsid w:val="00C327DD"/>
    <w:rsid w:val="00C32C5F"/>
    <w:rsid w:val="00C32FB9"/>
    <w:rsid w:val="00C333DE"/>
    <w:rsid w:val="00C33A00"/>
    <w:rsid w:val="00C33CED"/>
    <w:rsid w:val="00C33D58"/>
    <w:rsid w:val="00C34316"/>
    <w:rsid w:val="00C344C9"/>
    <w:rsid w:val="00C3465D"/>
    <w:rsid w:val="00C3470A"/>
    <w:rsid w:val="00C350CE"/>
    <w:rsid w:val="00C35BB3"/>
    <w:rsid w:val="00C35D19"/>
    <w:rsid w:val="00C35FBC"/>
    <w:rsid w:val="00C365BC"/>
    <w:rsid w:val="00C36771"/>
    <w:rsid w:val="00C36A9E"/>
    <w:rsid w:val="00C37227"/>
    <w:rsid w:val="00C374DB"/>
    <w:rsid w:val="00C376AC"/>
    <w:rsid w:val="00C37DE8"/>
    <w:rsid w:val="00C37E12"/>
    <w:rsid w:val="00C37F77"/>
    <w:rsid w:val="00C40520"/>
    <w:rsid w:val="00C408ED"/>
    <w:rsid w:val="00C40A4A"/>
    <w:rsid w:val="00C40BE7"/>
    <w:rsid w:val="00C411DE"/>
    <w:rsid w:val="00C4134B"/>
    <w:rsid w:val="00C42187"/>
    <w:rsid w:val="00C42811"/>
    <w:rsid w:val="00C4330D"/>
    <w:rsid w:val="00C438DE"/>
    <w:rsid w:val="00C43CD8"/>
    <w:rsid w:val="00C440BC"/>
    <w:rsid w:val="00C440C1"/>
    <w:rsid w:val="00C44417"/>
    <w:rsid w:val="00C44A86"/>
    <w:rsid w:val="00C453B0"/>
    <w:rsid w:val="00C45B67"/>
    <w:rsid w:val="00C46B9E"/>
    <w:rsid w:val="00C46D15"/>
    <w:rsid w:val="00C46D69"/>
    <w:rsid w:val="00C4781A"/>
    <w:rsid w:val="00C47D6C"/>
    <w:rsid w:val="00C47D85"/>
    <w:rsid w:val="00C47F81"/>
    <w:rsid w:val="00C50554"/>
    <w:rsid w:val="00C50873"/>
    <w:rsid w:val="00C50AC0"/>
    <w:rsid w:val="00C50B0E"/>
    <w:rsid w:val="00C50CB5"/>
    <w:rsid w:val="00C515B5"/>
    <w:rsid w:val="00C51E67"/>
    <w:rsid w:val="00C522A2"/>
    <w:rsid w:val="00C52368"/>
    <w:rsid w:val="00C5240A"/>
    <w:rsid w:val="00C52786"/>
    <w:rsid w:val="00C529B4"/>
    <w:rsid w:val="00C532C6"/>
    <w:rsid w:val="00C53A92"/>
    <w:rsid w:val="00C53E01"/>
    <w:rsid w:val="00C53ECB"/>
    <w:rsid w:val="00C53F26"/>
    <w:rsid w:val="00C548D0"/>
    <w:rsid w:val="00C54D65"/>
    <w:rsid w:val="00C54F6B"/>
    <w:rsid w:val="00C550FD"/>
    <w:rsid w:val="00C55598"/>
    <w:rsid w:val="00C555A4"/>
    <w:rsid w:val="00C559F9"/>
    <w:rsid w:val="00C55A83"/>
    <w:rsid w:val="00C55B70"/>
    <w:rsid w:val="00C55BBF"/>
    <w:rsid w:val="00C55D22"/>
    <w:rsid w:val="00C569E2"/>
    <w:rsid w:val="00C56D96"/>
    <w:rsid w:val="00C56DF9"/>
    <w:rsid w:val="00C56EAB"/>
    <w:rsid w:val="00C5779C"/>
    <w:rsid w:val="00C57EB7"/>
    <w:rsid w:val="00C57EDA"/>
    <w:rsid w:val="00C6032E"/>
    <w:rsid w:val="00C603F7"/>
    <w:rsid w:val="00C60693"/>
    <w:rsid w:val="00C60857"/>
    <w:rsid w:val="00C609B3"/>
    <w:rsid w:val="00C60D93"/>
    <w:rsid w:val="00C61149"/>
    <w:rsid w:val="00C61AFF"/>
    <w:rsid w:val="00C61F4E"/>
    <w:rsid w:val="00C6229C"/>
    <w:rsid w:val="00C625CA"/>
    <w:rsid w:val="00C62BA5"/>
    <w:rsid w:val="00C62E46"/>
    <w:rsid w:val="00C62F0C"/>
    <w:rsid w:val="00C63302"/>
    <w:rsid w:val="00C63336"/>
    <w:rsid w:val="00C63C19"/>
    <w:rsid w:val="00C64174"/>
    <w:rsid w:val="00C643C5"/>
    <w:rsid w:val="00C645BE"/>
    <w:rsid w:val="00C6476B"/>
    <w:rsid w:val="00C65670"/>
    <w:rsid w:val="00C6604C"/>
    <w:rsid w:val="00C6642D"/>
    <w:rsid w:val="00C6692D"/>
    <w:rsid w:val="00C66BF0"/>
    <w:rsid w:val="00C674BA"/>
    <w:rsid w:val="00C67928"/>
    <w:rsid w:val="00C67AC1"/>
    <w:rsid w:val="00C67B07"/>
    <w:rsid w:val="00C7011B"/>
    <w:rsid w:val="00C702A9"/>
    <w:rsid w:val="00C7051F"/>
    <w:rsid w:val="00C70845"/>
    <w:rsid w:val="00C70E55"/>
    <w:rsid w:val="00C710AB"/>
    <w:rsid w:val="00C71194"/>
    <w:rsid w:val="00C71890"/>
    <w:rsid w:val="00C7191E"/>
    <w:rsid w:val="00C71B13"/>
    <w:rsid w:val="00C71C59"/>
    <w:rsid w:val="00C71DCD"/>
    <w:rsid w:val="00C723A9"/>
    <w:rsid w:val="00C725D3"/>
    <w:rsid w:val="00C72869"/>
    <w:rsid w:val="00C733C8"/>
    <w:rsid w:val="00C73E58"/>
    <w:rsid w:val="00C7411D"/>
    <w:rsid w:val="00C742B6"/>
    <w:rsid w:val="00C7457D"/>
    <w:rsid w:val="00C74583"/>
    <w:rsid w:val="00C74AD5"/>
    <w:rsid w:val="00C74E1B"/>
    <w:rsid w:val="00C755A7"/>
    <w:rsid w:val="00C75E68"/>
    <w:rsid w:val="00C7683D"/>
    <w:rsid w:val="00C76A58"/>
    <w:rsid w:val="00C76B6B"/>
    <w:rsid w:val="00C76CDE"/>
    <w:rsid w:val="00C76F89"/>
    <w:rsid w:val="00C76FF7"/>
    <w:rsid w:val="00C770B6"/>
    <w:rsid w:val="00C77285"/>
    <w:rsid w:val="00C775AB"/>
    <w:rsid w:val="00C77A41"/>
    <w:rsid w:val="00C800C4"/>
    <w:rsid w:val="00C80CC5"/>
    <w:rsid w:val="00C812B0"/>
    <w:rsid w:val="00C81C24"/>
    <w:rsid w:val="00C82065"/>
    <w:rsid w:val="00C82112"/>
    <w:rsid w:val="00C82118"/>
    <w:rsid w:val="00C827A6"/>
    <w:rsid w:val="00C827AB"/>
    <w:rsid w:val="00C8293B"/>
    <w:rsid w:val="00C82A37"/>
    <w:rsid w:val="00C82A6E"/>
    <w:rsid w:val="00C82C73"/>
    <w:rsid w:val="00C82E91"/>
    <w:rsid w:val="00C82F16"/>
    <w:rsid w:val="00C83084"/>
    <w:rsid w:val="00C8347F"/>
    <w:rsid w:val="00C838BE"/>
    <w:rsid w:val="00C838E0"/>
    <w:rsid w:val="00C83A7C"/>
    <w:rsid w:val="00C83DE7"/>
    <w:rsid w:val="00C845A3"/>
    <w:rsid w:val="00C84ABC"/>
    <w:rsid w:val="00C8560D"/>
    <w:rsid w:val="00C85D1A"/>
    <w:rsid w:val="00C85E82"/>
    <w:rsid w:val="00C860D0"/>
    <w:rsid w:val="00C862CD"/>
    <w:rsid w:val="00C866E4"/>
    <w:rsid w:val="00C86A64"/>
    <w:rsid w:val="00C86C46"/>
    <w:rsid w:val="00C87E83"/>
    <w:rsid w:val="00C87F79"/>
    <w:rsid w:val="00C87FD1"/>
    <w:rsid w:val="00C90389"/>
    <w:rsid w:val="00C90BC5"/>
    <w:rsid w:val="00C9194B"/>
    <w:rsid w:val="00C91AB0"/>
    <w:rsid w:val="00C91E49"/>
    <w:rsid w:val="00C92003"/>
    <w:rsid w:val="00C92234"/>
    <w:rsid w:val="00C925B7"/>
    <w:rsid w:val="00C93248"/>
    <w:rsid w:val="00C932E3"/>
    <w:rsid w:val="00C9389F"/>
    <w:rsid w:val="00C93A12"/>
    <w:rsid w:val="00C93BFB"/>
    <w:rsid w:val="00C93ED7"/>
    <w:rsid w:val="00C95546"/>
    <w:rsid w:val="00C958D4"/>
    <w:rsid w:val="00C95A6B"/>
    <w:rsid w:val="00C95CBF"/>
    <w:rsid w:val="00C95E5C"/>
    <w:rsid w:val="00C96516"/>
    <w:rsid w:val="00C9665C"/>
    <w:rsid w:val="00C96B5F"/>
    <w:rsid w:val="00C96D9A"/>
    <w:rsid w:val="00C97224"/>
    <w:rsid w:val="00C976DA"/>
    <w:rsid w:val="00C97A39"/>
    <w:rsid w:val="00C97D3E"/>
    <w:rsid w:val="00CA020D"/>
    <w:rsid w:val="00CA027C"/>
    <w:rsid w:val="00CA03EE"/>
    <w:rsid w:val="00CA17FD"/>
    <w:rsid w:val="00CA2124"/>
    <w:rsid w:val="00CA287D"/>
    <w:rsid w:val="00CA2A25"/>
    <w:rsid w:val="00CA2ADF"/>
    <w:rsid w:val="00CA2C99"/>
    <w:rsid w:val="00CA2D15"/>
    <w:rsid w:val="00CA2FDC"/>
    <w:rsid w:val="00CA3400"/>
    <w:rsid w:val="00CA3495"/>
    <w:rsid w:val="00CA3500"/>
    <w:rsid w:val="00CA3B44"/>
    <w:rsid w:val="00CA47CB"/>
    <w:rsid w:val="00CA4890"/>
    <w:rsid w:val="00CA4C2B"/>
    <w:rsid w:val="00CA52CF"/>
    <w:rsid w:val="00CA535F"/>
    <w:rsid w:val="00CA5648"/>
    <w:rsid w:val="00CA5B2A"/>
    <w:rsid w:val="00CA6121"/>
    <w:rsid w:val="00CA6263"/>
    <w:rsid w:val="00CA6426"/>
    <w:rsid w:val="00CA6969"/>
    <w:rsid w:val="00CA6BB7"/>
    <w:rsid w:val="00CA706F"/>
    <w:rsid w:val="00CA74B7"/>
    <w:rsid w:val="00CA780C"/>
    <w:rsid w:val="00CA7A6E"/>
    <w:rsid w:val="00CB03CA"/>
    <w:rsid w:val="00CB078E"/>
    <w:rsid w:val="00CB0D55"/>
    <w:rsid w:val="00CB1912"/>
    <w:rsid w:val="00CB2070"/>
    <w:rsid w:val="00CB257F"/>
    <w:rsid w:val="00CB3B18"/>
    <w:rsid w:val="00CB462C"/>
    <w:rsid w:val="00CB4A71"/>
    <w:rsid w:val="00CB4A83"/>
    <w:rsid w:val="00CB5355"/>
    <w:rsid w:val="00CB5B1A"/>
    <w:rsid w:val="00CB5D00"/>
    <w:rsid w:val="00CB5DE0"/>
    <w:rsid w:val="00CB63F3"/>
    <w:rsid w:val="00CB684A"/>
    <w:rsid w:val="00CB6B08"/>
    <w:rsid w:val="00CB6B5A"/>
    <w:rsid w:val="00CB6D18"/>
    <w:rsid w:val="00CB6F7B"/>
    <w:rsid w:val="00CB757E"/>
    <w:rsid w:val="00CB7689"/>
    <w:rsid w:val="00CB7A1A"/>
    <w:rsid w:val="00CC01A7"/>
    <w:rsid w:val="00CC06E7"/>
    <w:rsid w:val="00CC0709"/>
    <w:rsid w:val="00CC0E88"/>
    <w:rsid w:val="00CC12BC"/>
    <w:rsid w:val="00CC1C6A"/>
    <w:rsid w:val="00CC1C86"/>
    <w:rsid w:val="00CC218A"/>
    <w:rsid w:val="00CC260D"/>
    <w:rsid w:val="00CC2696"/>
    <w:rsid w:val="00CC2A09"/>
    <w:rsid w:val="00CC2DCD"/>
    <w:rsid w:val="00CC33E0"/>
    <w:rsid w:val="00CC3504"/>
    <w:rsid w:val="00CC3ADA"/>
    <w:rsid w:val="00CC3C26"/>
    <w:rsid w:val="00CC431F"/>
    <w:rsid w:val="00CC4E66"/>
    <w:rsid w:val="00CC4FF8"/>
    <w:rsid w:val="00CC5D3E"/>
    <w:rsid w:val="00CC66D5"/>
    <w:rsid w:val="00CC6BC9"/>
    <w:rsid w:val="00CC723C"/>
    <w:rsid w:val="00CC7546"/>
    <w:rsid w:val="00CC7B0B"/>
    <w:rsid w:val="00CD049D"/>
    <w:rsid w:val="00CD0816"/>
    <w:rsid w:val="00CD0B32"/>
    <w:rsid w:val="00CD1177"/>
    <w:rsid w:val="00CD1B21"/>
    <w:rsid w:val="00CD1B49"/>
    <w:rsid w:val="00CD2270"/>
    <w:rsid w:val="00CD250C"/>
    <w:rsid w:val="00CD2948"/>
    <w:rsid w:val="00CD2964"/>
    <w:rsid w:val="00CD2B42"/>
    <w:rsid w:val="00CD2BB5"/>
    <w:rsid w:val="00CD2CA4"/>
    <w:rsid w:val="00CD3571"/>
    <w:rsid w:val="00CD3822"/>
    <w:rsid w:val="00CD3EE1"/>
    <w:rsid w:val="00CD40A2"/>
    <w:rsid w:val="00CD4115"/>
    <w:rsid w:val="00CD412F"/>
    <w:rsid w:val="00CD4146"/>
    <w:rsid w:val="00CD47BF"/>
    <w:rsid w:val="00CD4AC6"/>
    <w:rsid w:val="00CD4EBF"/>
    <w:rsid w:val="00CD4F42"/>
    <w:rsid w:val="00CD5768"/>
    <w:rsid w:val="00CD5F0B"/>
    <w:rsid w:val="00CD5F84"/>
    <w:rsid w:val="00CD650F"/>
    <w:rsid w:val="00CD65BA"/>
    <w:rsid w:val="00CD6809"/>
    <w:rsid w:val="00CD686D"/>
    <w:rsid w:val="00CD6924"/>
    <w:rsid w:val="00CD6F63"/>
    <w:rsid w:val="00CD6FD9"/>
    <w:rsid w:val="00CD75F2"/>
    <w:rsid w:val="00CD75FB"/>
    <w:rsid w:val="00CD792C"/>
    <w:rsid w:val="00CE0359"/>
    <w:rsid w:val="00CE058D"/>
    <w:rsid w:val="00CE07D1"/>
    <w:rsid w:val="00CE0E68"/>
    <w:rsid w:val="00CE1022"/>
    <w:rsid w:val="00CE12AC"/>
    <w:rsid w:val="00CE1453"/>
    <w:rsid w:val="00CE1825"/>
    <w:rsid w:val="00CE187A"/>
    <w:rsid w:val="00CE1C74"/>
    <w:rsid w:val="00CE2039"/>
    <w:rsid w:val="00CE22F2"/>
    <w:rsid w:val="00CE268D"/>
    <w:rsid w:val="00CE284B"/>
    <w:rsid w:val="00CE2BAE"/>
    <w:rsid w:val="00CE3315"/>
    <w:rsid w:val="00CE335D"/>
    <w:rsid w:val="00CE36BE"/>
    <w:rsid w:val="00CE3FEC"/>
    <w:rsid w:val="00CE4491"/>
    <w:rsid w:val="00CE45CA"/>
    <w:rsid w:val="00CE4B31"/>
    <w:rsid w:val="00CE4D00"/>
    <w:rsid w:val="00CE4E0D"/>
    <w:rsid w:val="00CE4E66"/>
    <w:rsid w:val="00CE515D"/>
    <w:rsid w:val="00CE519E"/>
    <w:rsid w:val="00CE5605"/>
    <w:rsid w:val="00CE5614"/>
    <w:rsid w:val="00CE59AE"/>
    <w:rsid w:val="00CE5A2B"/>
    <w:rsid w:val="00CE5A3C"/>
    <w:rsid w:val="00CE5DAA"/>
    <w:rsid w:val="00CE5DBC"/>
    <w:rsid w:val="00CE62A9"/>
    <w:rsid w:val="00CE6356"/>
    <w:rsid w:val="00CE6A77"/>
    <w:rsid w:val="00CE6D1A"/>
    <w:rsid w:val="00CE6EC3"/>
    <w:rsid w:val="00CE712B"/>
    <w:rsid w:val="00CE72C4"/>
    <w:rsid w:val="00CE77FC"/>
    <w:rsid w:val="00CE7A79"/>
    <w:rsid w:val="00CE7CC5"/>
    <w:rsid w:val="00CE7EC2"/>
    <w:rsid w:val="00CE7F8E"/>
    <w:rsid w:val="00CF01FA"/>
    <w:rsid w:val="00CF0399"/>
    <w:rsid w:val="00CF044D"/>
    <w:rsid w:val="00CF06FB"/>
    <w:rsid w:val="00CF1342"/>
    <w:rsid w:val="00CF256F"/>
    <w:rsid w:val="00CF257C"/>
    <w:rsid w:val="00CF27F6"/>
    <w:rsid w:val="00CF28A2"/>
    <w:rsid w:val="00CF3B17"/>
    <w:rsid w:val="00CF4741"/>
    <w:rsid w:val="00CF4E04"/>
    <w:rsid w:val="00CF4E92"/>
    <w:rsid w:val="00CF5195"/>
    <w:rsid w:val="00CF522D"/>
    <w:rsid w:val="00CF5777"/>
    <w:rsid w:val="00CF5897"/>
    <w:rsid w:val="00CF64F2"/>
    <w:rsid w:val="00CF65A1"/>
    <w:rsid w:val="00CF6C45"/>
    <w:rsid w:val="00CF6CDA"/>
    <w:rsid w:val="00CF7668"/>
    <w:rsid w:val="00CF7CBD"/>
    <w:rsid w:val="00D000B0"/>
    <w:rsid w:val="00D000CB"/>
    <w:rsid w:val="00D0034E"/>
    <w:rsid w:val="00D00535"/>
    <w:rsid w:val="00D012DA"/>
    <w:rsid w:val="00D014E4"/>
    <w:rsid w:val="00D017A5"/>
    <w:rsid w:val="00D018EA"/>
    <w:rsid w:val="00D01F99"/>
    <w:rsid w:val="00D02D77"/>
    <w:rsid w:val="00D03164"/>
    <w:rsid w:val="00D03695"/>
    <w:rsid w:val="00D0377A"/>
    <w:rsid w:val="00D03AB4"/>
    <w:rsid w:val="00D03E5F"/>
    <w:rsid w:val="00D03EBD"/>
    <w:rsid w:val="00D0416D"/>
    <w:rsid w:val="00D04230"/>
    <w:rsid w:val="00D045EB"/>
    <w:rsid w:val="00D04895"/>
    <w:rsid w:val="00D0498A"/>
    <w:rsid w:val="00D049FB"/>
    <w:rsid w:val="00D04B01"/>
    <w:rsid w:val="00D04BDA"/>
    <w:rsid w:val="00D05157"/>
    <w:rsid w:val="00D05709"/>
    <w:rsid w:val="00D059C5"/>
    <w:rsid w:val="00D06099"/>
    <w:rsid w:val="00D063EB"/>
    <w:rsid w:val="00D0661B"/>
    <w:rsid w:val="00D066DA"/>
    <w:rsid w:val="00D06E1B"/>
    <w:rsid w:val="00D0798E"/>
    <w:rsid w:val="00D07A3B"/>
    <w:rsid w:val="00D07CF7"/>
    <w:rsid w:val="00D07D5F"/>
    <w:rsid w:val="00D102E6"/>
    <w:rsid w:val="00D10479"/>
    <w:rsid w:val="00D1056D"/>
    <w:rsid w:val="00D10783"/>
    <w:rsid w:val="00D11166"/>
    <w:rsid w:val="00D11360"/>
    <w:rsid w:val="00D11ABF"/>
    <w:rsid w:val="00D11D80"/>
    <w:rsid w:val="00D123D4"/>
    <w:rsid w:val="00D134D3"/>
    <w:rsid w:val="00D138F0"/>
    <w:rsid w:val="00D13A0F"/>
    <w:rsid w:val="00D13B31"/>
    <w:rsid w:val="00D1402D"/>
    <w:rsid w:val="00D14986"/>
    <w:rsid w:val="00D14E08"/>
    <w:rsid w:val="00D14E48"/>
    <w:rsid w:val="00D1529E"/>
    <w:rsid w:val="00D15349"/>
    <w:rsid w:val="00D15FF8"/>
    <w:rsid w:val="00D160BB"/>
    <w:rsid w:val="00D168B6"/>
    <w:rsid w:val="00D16996"/>
    <w:rsid w:val="00D169E5"/>
    <w:rsid w:val="00D1731A"/>
    <w:rsid w:val="00D17E44"/>
    <w:rsid w:val="00D17FF1"/>
    <w:rsid w:val="00D20356"/>
    <w:rsid w:val="00D20D9A"/>
    <w:rsid w:val="00D20EB1"/>
    <w:rsid w:val="00D20F04"/>
    <w:rsid w:val="00D21E79"/>
    <w:rsid w:val="00D220C9"/>
    <w:rsid w:val="00D237B1"/>
    <w:rsid w:val="00D237BE"/>
    <w:rsid w:val="00D23D64"/>
    <w:rsid w:val="00D23DCB"/>
    <w:rsid w:val="00D241F2"/>
    <w:rsid w:val="00D247FC"/>
    <w:rsid w:val="00D2496A"/>
    <w:rsid w:val="00D24E5F"/>
    <w:rsid w:val="00D2523A"/>
    <w:rsid w:val="00D25656"/>
    <w:rsid w:val="00D2589C"/>
    <w:rsid w:val="00D2599A"/>
    <w:rsid w:val="00D26009"/>
    <w:rsid w:val="00D266B5"/>
    <w:rsid w:val="00D26C6F"/>
    <w:rsid w:val="00D26F50"/>
    <w:rsid w:val="00D273C8"/>
    <w:rsid w:val="00D274D9"/>
    <w:rsid w:val="00D2780A"/>
    <w:rsid w:val="00D27978"/>
    <w:rsid w:val="00D27A6D"/>
    <w:rsid w:val="00D27AD1"/>
    <w:rsid w:val="00D27D4E"/>
    <w:rsid w:val="00D27EAA"/>
    <w:rsid w:val="00D30356"/>
    <w:rsid w:val="00D303D4"/>
    <w:rsid w:val="00D30F79"/>
    <w:rsid w:val="00D314C5"/>
    <w:rsid w:val="00D3153D"/>
    <w:rsid w:val="00D31932"/>
    <w:rsid w:val="00D31B6B"/>
    <w:rsid w:val="00D31EB9"/>
    <w:rsid w:val="00D326EE"/>
    <w:rsid w:val="00D327B2"/>
    <w:rsid w:val="00D328FA"/>
    <w:rsid w:val="00D32B04"/>
    <w:rsid w:val="00D32B74"/>
    <w:rsid w:val="00D3318B"/>
    <w:rsid w:val="00D33BC1"/>
    <w:rsid w:val="00D3447F"/>
    <w:rsid w:val="00D34CCD"/>
    <w:rsid w:val="00D35197"/>
    <w:rsid w:val="00D3528F"/>
    <w:rsid w:val="00D355A5"/>
    <w:rsid w:val="00D356D3"/>
    <w:rsid w:val="00D35A3A"/>
    <w:rsid w:val="00D3653A"/>
    <w:rsid w:val="00D36D79"/>
    <w:rsid w:val="00D36E6D"/>
    <w:rsid w:val="00D36EA6"/>
    <w:rsid w:val="00D3730E"/>
    <w:rsid w:val="00D3733A"/>
    <w:rsid w:val="00D37A3A"/>
    <w:rsid w:val="00D37B6D"/>
    <w:rsid w:val="00D37F2E"/>
    <w:rsid w:val="00D404BF"/>
    <w:rsid w:val="00D4153D"/>
    <w:rsid w:val="00D41D59"/>
    <w:rsid w:val="00D41DE0"/>
    <w:rsid w:val="00D420DC"/>
    <w:rsid w:val="00D43076"/>
    <w:rsid w:val="00D433C5"/>
    <w:rsid w:val="00D43403"/>
    <w:rsid w:val="00D434D1"/>
    <w:rsid w:val="00D4365D"/>
    <w:rsid w:val="00D438BA"/>
    <w:rsid w:val="00D43FA8"/>
    <w:rsid w:val="00D4447F"/>
    <w:rsid w:val="00D445EF"/>
    <w:rsid w:val="00D446ED"/>
    <w:rsid w:val="00D44957"/>
    <w:rsid w:val="00D4536B"/>
    <w:rsid w:val="00D45F84"/>
    <w:rsid w:val="00D46138"/>
    <w:rsid w:val="00D46832"/>
    <w:rsid w:val="00D46F38"/>
    <w:rsid w:val="00D47436"/>
    <w:rsid w:val="00D474F9"/>
    <w:rsid w:val="00D4773F"/>
    <w:rsid w:val="00D47A26"/>
    <w:rsid w:val="00D47D62"/>
    <w:rsid w:val="00D47E23"/>
    <w:rsid w:val="00D50304"/>
    <w:rsid w:val="00D505B9"/>
    <w:rsid w:val="00D50A70"/>
    <w:rsid w:val="00D51682"/>
    <w:rsid w:val="00D516E7"/>
    <w:rsid w:val="00D51990"/>
    <w:rsid w:val="00D51A02"/>
    <w:rsid w:val="00D51A25"/>
    <w:rsid w:val="00D51A44"/>
    <w:rsid w:val="00D51BF3"/>
    <w:rsid w:val="00D51E7F"/>
    <w:rsid w:val="00D520DD"/>
    <w:rsid w:val="00D52DA5"/>
    <w:rsid w:val="00D530FE"/>
    <w:rsid w:val="00D531D1"/>
    <w:rsid w:val="00D53516"/>
    <w:rsid w:val="00D53AF2"/>
    <w:rsid w:val="00D53DCB"/>
    <w:rsid w:val="00D54593"/>
    <w:rsid w:val="00D54B53"/>
    <w:rsid w:val="00D556D5"/>
    <w:rsid w:val="00D5592B"/>
    <w:rsid w:val="00D55FBD"/>
    <w:rsid w:val="00D56A62"/>
    <w:rsid w:val="00D56BBF"/>
    <w:rsid w:val="00D57232"/>
    <w:rsid w:val="00D574EF"/>
    <w:rsid w:val="00D5751F"/>
    <w:rsid w:val="00D575A9"/>
    <w:rsid w:val="00D57604"/>
    <w:rsid w:val="00D57793"/>
    <w:rsid w:val="00D5799B"/>
    <w:rsid w:val="00D6052F"/>
    <w:rsid w:val="00D60EAB"/>
    <w:rsid w:val="00D610FF"/>
    <w:rsid w:val="00D61F10"/>
    <w:rsid w:val="00D623ED"/>
    <w:rsid w:val="00D62513"/>
    <w:rsid w:val="00D62E98"/>
    <w:rsid w:val="00D62FDD"/>
    <w:rsid w:val="00D6307D"/>
    <w:rsid w:val="00D63083"/>
    <w:rsid w:val="00D63537"/>
    <w:rsid w:val="00D63DDF"/>
    <w:rsid w:val="00D64055"/>
    <w:rsid w:val="00D64073"/>
    <w:rsid w:val="00D641B6"/>
    <w:rsid w:val="00D644B4"/>
    <w:rsid w:val="00D645BE"/>
    <w:rsid w:val="00D6526B"/>
    <w:rsid w:val="00D65CC9"/>
    <w:rsid w:val="00D65EFF"/>
    <w:rsid w:val="00D665FB"/>
    <w:rsid w:val="00D66FEC"/>
    <w:rsid w:val="00D6765B"/>
    <w:rsid w:val="00D67730"/>
    <w:rsid w:val="00D67825"/>
    <w:rsid w:val="00D67E86"/>
    <w:rsid w:val="00D705EC"/>
    <w:rsid w:val="00D70F17"/>
    <w:rsid w:val="00D71175"/>
    <w:rsid w:val="00D718DD"/>
    <w:rsid w:val="00D71E2C"/>
    <w:rsid w:val="00D71EE3"/>
    <w:rsid w:val="00D7250E"/>
    <w:rsid w:val="00D72CA9"/>
    <w:rsid w:val="00D72F75"/>
    <w:rsid w:val="00D7333E"/>
    <w:rsid w:val="00D73701"/>
    <w:rsid w:val="00D73D76"/>
    <w:rsid w:val="00D73EF5"/>
    <w:rsid w:val="00D73FC2"/>
    <w:rsid w:val="00D74397"/>
    <w:rsid w:val="00D74415"/>
    <w:rsid w:val="00D74580"/>
    <w:rsid w:val="00D7479A"/>
    <w:rsid w:val="00D74BC5"/>
    <w:rsid w:val="00D74FE5"/>
    <w:rsid w:val="00D750E4"/>
    <w:rsid w:val="00D752BF"/>
    <w:rsid w:val="00D7543F"/>
    <w:rsid w:val="00D759DE"/>
    <w:rsid w:val="00D765A7"/>
    <w:rsid w:val="00D7711C"/>
    <w:rsid w:val="00D77149"/>
    <w:rsid w:val="00D77882"/>
    <w:rsid w:val="00D77B3F"/>
    <w:rsid w:val="00D77BF8"/>
    <w:rsid w:val="00D800A9"/>
    <w:rsid w:val="00D80452"/>
    <w:rsid w:val="00D80E78"/>
    <w:rsid w:val="00D812D0"/>
    <w:rsid w:val="00D817E4"/>
    <w:rsid w:val="00D81A79"/>
    <w:rsid w:val="00D81B43"/>
    <w:rsid w:val="00D81BE0"/>
    <w:rsid w:val="00D81DC6"/>
    <w:rsid w:val="00D82355"/>
    <w:rsid w:val="00D8261A"/>
    <w:rsid w:val="00D82769"/>
    <w:rsid w:val="00D82ABB"/>
    <w:rsid w:val="00D82D2D"/>
    <w:rsid w:val="00D83327"/>
    <w:rsid w:val="00D8332E"/>
    <w:rsid w:val="00D83CD5"/>
    <w:rsid w:val="00D83D36"/>
    <w:rsid w:val="00D84272"/>
    <w:rsid w:val="00D850DF"/>
    <w:rsid w:val="00D8542D"/>
    <w:rsid w:val="00D85A37"/>
    <w:rsid w:val="00D85BC0"/>
    <w:rsid w:val="00D861C5"/>
    <w:rsid w:val="00D8622A"/>
    <w:rsid w:val="00D86511"/>
    <w:rsid w:val="00D86652"/>
    <w:rsid w:val="00D86941"/>
    <w:rsid w:val="00D8706D"/>
    <w:rsid w:val="00D871F1"/>
    <w:rsid w:val="00D87218"/>
    <w:rsid w:val="00D874EC"/>
    <w:rsid w:val="00D87582"/>
    <w:rsid w:val="00D87714"/>
    <w:rsid w:val="00D87A11"/>
    <w:rsid w:val="00D87B34"/>
    <w:rsid w:val="00D87B5B"/>
    <w:rsid w:val="00D87B61"/>
    <w:rsid w:val="00D87ECF"/>
    <w:rsid w:val="00D90823"/>
    <w:rsid w:val="00D912AA"/>
    <w:rsid w:val="00D91468"/>
    <w:rsid w:val="00D91E5B"/>
    <w:rsid w:val="00D91E6F"/>
    <w:rsid w:val="00D92859"/>
    <w:rsid w:val="00D92883"/>
    <w:rsid w:val="00D92EFF"/>
    <w:rsid w:val="00D92F91"/>
    <w:rsid w:val="00D9300B"/>
    <w:rsid w:val="00D9343D"/>
    <w:rsid w:val="00D937FC"/>
    <w:rsid w:val="00D9380C"/>
    <w:rsid w:val="00D93A69"/>
    <w:rsid w:val="00D93B8E"/>
    <w:rsid w:val="00D94070"/>
    <w:rsid w:val="00D9459E"/>
    <w:rsid w:val="00D94EB5"/>
    <w:rsid w:val="00D95278"/>
    <w:rsid w:val="00D95981"/>
    <w:rsid w:val="00D959B2"/>
    <w:rsid w:val="00D9615D"/>
    <w:rsid w:val="00D96629"/>
    <w:rsid w:val="00D967EB"/>
    <w:rsid w:val="00D97389"/>
    <w:rsid w:val="00D9754A"/>
    <w:rsid w:val="00D97D87"/>
    <w:rsid w:val="00DA0337"/>
    <w:rsid w:val="00DA07F9"/>
    <w:rsid w:val="00DA15E8"/>
    <w:rsid w:val="00DA1AC5"/>
    <w:rsid w:val="00DA2130"/>
    <w:rsid w:val="00DA237D"/>
    <w:rsid w:val="00DA258F"/>
    <w:rsid w:val="00DA3183"/>
    <w:rsid w:val="00DA38E3"/>
    <w:rsid w:val="00DA393D"/>
    <w:rsid w:val="00DA3B0E"/>
    <w:rsid w:val="00DA3DC4"/>
    <w:rsid w:val="00DA3DF8"/>
    <w:rsid w:val="00DA40FA"/>
    <w:rsid w:val="00DA49FC"/>
    <w:rsid w:val="00DA4E59"/>
    <w:rsid w:val="00DA52C1"/>
    <w:rsid w:val="00DA550A"/>
    <w:rsid w:val="00DA55B6"/>
    <w:rsid w:val="00DA57CC"/>
    <w:rsid w:val="00DA5BBC"/>
    <w:rsid w:val="00DA5C11"/>
    <w:rsid w:val="00DA5E04"/>
    <w:rsid w:val="00DA628A"/>
    <w:rsid w:val="00DA667B"/>
    <w:rsid w:val="00DA6737"/>
    <w:rsid w:val="00DA6E27"/>
    <w:rsid w:val="00DA76DC"/>
    <w:rsid w:val="00DA7A82"/>
    <w:rsid w:val="00DB0678"/>
    <w:rsid w:val="00DB0AD7"/>
    <w:rsid w:val="00DB0CA5"/>
    <w:rsid w:val="00DB0EC1"/>
    <w:rsid w:val="00DB1311"/>
    <w:rsid w:val="00DB15BF"/>
    <w:rsid w:val="00DB1716"/>
    <w:rsid w:val="00DB1D2B"/>
    <w:rsid w:val="00DB1FB7"/>
    <w:rsid w:val="00DB21BB"/>
    <w:rsid w:val="00DB2A75"/>
    <w:rsid w:val="00DB2C9B"/>
    <w:rsid w:val="00DB2DF5"/>
    <w:rsid w:val="00DB2E51"/>
    <w:rsid w:val="00DB2E71"/>
    <w:rsid w:val="00DB3145"/>
    <w:rsid w:val="00DB3A04"/>
    <w:rsid w:val="00DB4238"/>
    <w:rsid w:val="00DB4609"/>
    <w:rsid w:val="00DB4C0F"/>
    <w:rsid w:val="00DB5E33"/>
    <w:rsid w:val="00DB5F36"/>
    <w:rsid w:val="00DB63ED"/>
    <w:rsid w:val="00DB64F6"/>
    <w:rsid w:val="00DB6624"/>
    <w:rsid w:val="00DB6FB6"/>
    <w:rsid w:val="00DC0FA6"/>
    <w:rsid w:val="00DC130C"/>
    <w:rsid w:val="00DC1A87"/>
    <w:rsid w:val="00DC2027"/>
    <w:rsid w:val="00DC2292"/>
    <w:rsid w:val="00DC2E98"/>
    <w:rsid w:val="00DC311A"/>
    <w:rsid w:val="00DC3725"/>
    <w:rsid w:val="00DC459C"/>
    <w:rsid w:val="00DC4992"/>
    <w:rsid w:val="00DC4BB8"/>
    <w:rsid w:val="00DC4E04"/>
    <w:rsid w:val="00DC508E"/>
    <w:rsid w:val="00DC5487"/>
    <w:rsid w:val="00DC5DC9"/>
    <w:rsid w:val="00DC6760"/>
    <w:rsid w:val="00DC68FA"/>
    <w:rsid w:val="00DC6B2C"/>
    <w:rsid w:val="00DC6E2A"/>
    <w:rsid w:val="00DC70C6"/>
    <w:rsid w:val="00DC714C"/>
    <w:rsid w:val="00DC7F60"/>
    <w:rsid w:val="00DC7F96"/>
    <w:rsid w:val="00DD0342"/>
    <w:rsid w:val="00DD06BF"/>
    <w:rsid w:val="00DD0737"/>
    <w:rsid w:val="00DD1AA9"/>
    <w:rsid w:val="00DD1E85"/>
    <w:rsid w:val="00DD2359"/>
    <w:rsid w:val="00DD26CA"/>
    <w:rsid w:val="00DD2E08"/>
    <w:rsid w:val="00DD2F7B"/>
    <w:rsid w:val="00DD3126"/>
    <w:rsid w:val="00DD38E5"/>
    <w:rsid w:val="00DD3B3D"/>
    <w:rsid w:val="00DD42D5"/>
    <w:rsid w:val="00DD4A2C"/>
    <w:rsid w:val="00DD4C42"/>
    <w:rsid w:val="00DD4CEA"/>
    <w:rsid w:val="00DD665E"/>
    <w:rsid w:val="00DD6A4B"/>
    <w:rsid w:val="00DD6A85"/>
    <w:rsid w:val="00DD6E06"/>
    <w:rsid w:val="00DD6E24"/>
    <w:rsid w:val="00DD6F28"/>
    <w:rsid w:val="00DD6FE1"/>
    <w:rsid w:val="00DD70FD"/>
    <w:rsid w:val="00DD764F"/>
    <w:rsid w:val="00DD78D6"/>
    <w:rsid w:val="00DD7BF7"/>
    <w:rsid w:val="00DD7C2C"/>
    <w:rsid w:val="00DD7D69"/>
    <w:rsid w:val="00DE04FA"/>
    <w:rsid w:val="00DE0C23"/>
    <w:rsid w:val="00DE12C2"/>
    <w:rsid w:val="00DE138F"/>
    <w:rsid w:val="00DE148A"/>
    <w:rsid w:val="00DE14A2"/>
    <w:rsid w:val="00DE1992"/>
    <w:rsid w:val="00DE1B16"/>
    <w:rsid w:val="00DE23C8"/>
    <w:rsid w:val="00DE25AF"/>
    <w:rsid w:val="00DE28F8"/>
    <w:rsid w:val="00DE29BA"/>
    <w:rsid w:val="00DE2E79"/>
    <w:rsid w:val="00DE31BD"/>
    <w:rsid w:val="00DE34B7"/>
    <w:rsid w:val="00DE37BC"/>
    <w:rsid w:val="00DE3893"/>
    <w:rsid w:val="00DE38F1"/>
    <w:rsid w:val="00DE3939"/>
    <w:rsid w:val="00DE3AD4"/>
    <w:rsid w:val="00DE3B79"/>
    <w:rsid w:val="00DE3D13"/>
    <w:rsid w:val="00DE3E13"/>
    <w:rsid w:val="00DE418C"/>
    <w:rsid w:val="00DE5060"/>
    <w:rsid w:val="00DE52B0"/>
    <w:rsid w:val="00DE54D1"/>
    <w:rsid w:val="00DE5631"/>
    <w:rsid w:val="00DE56D0"/>
    <w:rsid w:val="00DE588D"/>
    <w:rsid w:val="00DE5C7B"/>
    <w:rsid w:val="00DE5E67"/>
    <w:rsid w:val="00DE632F"/>
    <w:rsid w:val="00DE74B8"/>
    <w:rsid w:val="00DE78B3"/>
    <w:rsid w:val="00DE7BE0"/>
    <w:rsid w:val="00DE7F07"/>
    <w:rsid w:val="00DE7FE1"/>
    <w:rsid w:val="00DF05A4"/>
    <w:rsid w:val="00DF05E6"/>
    <w:rsid w:val="00DF06CA"/>
    <w:rsid w:val="00DF1303"/>
    <w:rsid w:val="00DF1386"/>
    <w:rsid w:val="00DF1623"/>
    <w:rsid w:val="00DF16CC"/>
    <w:rsid w:val="00DF221D"/>
    <w:rsid w:val="00DF24CC"/>
    <w:rsid w:val="00DF2D3E"/>
    <w:rsid w:val="00DF2D9E"/>
    <w:rsid w:val="00DF3245"/>
    <w:rsid w:val="00DF34A4"/>
    <w:rsid w:val="00DF363F"/>
    <w:rsid w:val="00DF36FD"/>
    <w:rsid w:val="00DF3997"/>
    <w:rsid w:val="00DF3A8E"/>
    <w:rsid w:val="00DF3B1D"/>
    <w:rsid w:val="00DF3BB9"/>
    <w:rsid w:val="00DF3F89"/>
    <w:rsid w:val="00DF4216"/>
    <w:rsid w:val="00DF44CB"/>
    <w:rsid w:val="00DF46C4"/>
    <w:rsid w:val="00DF4B56"/>
    <w:rsid w:val="00DF4BDE"/>
    <w:rsid w:val="00DF4BED"/>
    <w:rsid w:val="00DF4CB7"/>
    <w:rsid w:val="00DF4E27"/>
    <w:rsid w:val="00DF4E88"/>
    <w:rsid w:val="00DF509C"/>
    <w:rsid w:val="00DF5166"/>
    <w:rsid w:val="00DF5423"/>
    <w:rsid w:val="00DF5C7D"/>
    <w:rsid w:val="00DF5E3A"/>
    <w:rsid w:val="00DF63C1"/>
    <w:rsid w:val="00DF6D18"/>
    <w:rsid w:val="00DF7236"/>
    <w:rsid w:val="00DF726A"/>
    <w:rsid w:val="00DF77F2"/>
    <w:rsid w:val="00E00365"/>
    <w:rsid w:val="00E0052D"/>
    <w:rsid w:val="00E00618"/>
    <w:rsid w:val="00E00897"/>
    <w:rsid w:val="00E00B31"/>
    <w:rsid w:val="00E00CE5"/>
    <w:rsid w:val="00E0250F"/>
    <w:rsid w:val="00E02660"/>
    <w:rsid w:val="00E027FF"/>
    <w:rsid w:val="00E02B83"/>
    <w:rsid w:val="00E02F56"/>
    <w:rsid w:val="00E02F68"/>
    <w:rsid w:val="00E038C5"/>
    <w:rsid w:val="00E03E3B"/>
    <w:rsid w:val="00E043E0"/>
    <w:rsid w:val="00E0448C"/>
    <w:rsid w:val="00E04589"/>
    <w:rsid w:val="00E05EFE"/>
    <w:rsid w:val="00E05FDE"/>
    <w:rsid w:val="00E06031"/>
    <w:rsid w:val="00E0639E"/>
    <w:rsid w:val="00E06501"/>
    <w:rsid w:val="00E06AC7"/>
    <w:rsid w:val="00E06B38"/>
    <w:rsid w:val="00E06B76"/>
    <w:rsid w:val="00E07340"/>
    <w:rsid w:val="00E0747D"/>
    <w:rsid w:val="00E102E4"/>
    <w:rsid w:val="00E103C8"/>
    <w:rsid w:val="00E1040F"/>
    <w:rsid w:val="00E10694"/>
    <w:rsid w:val="00E10732"/>
    <w:rsid w:val="00E107E7"/>
    <w:rsid w:val="00E11A2D"/>
    <w:rsid w:val="00E11D36"/>
    <w:rsid w:val="00E121B7"/>
    <w:rsid w:val="00E12346"/>
    <w:rsid w:val="00E124E2"/>
    <w:rsid w:val="00E12621"/>
    <w:rsid w:val="00E126C7"/>
    <w:rsid w:val="00E128D8"/>
    <w:rsid w:val="00E12C42"/>
    <w:rsid w:val="00E132D9"/>
    <w:rsid w:val="00E13E74"/>
    <w:rsid w:val="00E148DE"/>
    <w:rsid w:val="00E14B11"/>
    <w:rsid w:val="00E15315"/>
    <w:rsid w:val="00E153C3"/>
    <w:rsid w:val="00E154A3"/>
    <w:rsid w:val="00E155A9"/>
    <w:rsid w:val="00E15842"/>
    <w:rsid w:val="00E15A50"/>
    <w:rsid w:val="00E15D68"/>
    <w:rsid w:val="00E15E54"/>
    <w:rsid w:val="00E165B5"/>
    <w:rsid w:val="00E1688A"/>
    <w:rsid w:val="00E16B02"/>
    <w:rsid w:val="00E170B3"/>
    <w:rsid w:val="00E1728C"/>
    <w:rsid w:val="00E1748E"/>
    <w:rsid w:val="00E17A0A"/>
    <w:rsid w:val="00E17E1D"/>
    <w:rsid w:val="00E17ED6"/>
    <w:rsid w:val="00E200F0"/>
    <w:rsid w:val="00E20278"/>
    <w:rsid w:val="00E20EEF"/>
    <w:rsid w:val="00E2161B"/>
    <w:rsid w:val="00E21952"/>
    <w:rsid w:val="00E22586"/>
    <w:rsid w:val="00E227EA"/>
    <w:rsid w:val="00E232AF"/>
    <w:rsid w:val="00E232BB"/>
    <w:rsid w:val="00E2333B"/>
    <w:rsid w:val="00E2363D"/>
    <w:rsid w:val="00E23756"/>
    <w:rsid w:val="00E23CA4"/>
    <w:rsid w:val="00E24117"/>
    <w:rsid w:val="00E24145"/>
    <w:rsid w:val="00E24353"/>
    <w:rsid w:val="00E247A9"/>
    <w:rsid w:val="00E2484E"/>
    <w:rsid w:val="00E24D39"/>
    <w:rsid w:val="00E25107"/>
    <w:rsid w:val="00E251ED"/>
    <w:rsid w:val="00E25724"/>
    <w:rsid w:val="00E25996"/>
    <w:rsid w:val="00E25B33"/>
    <w:rsid w:val="00E25B63"/>
    <w:rsid w:val="00E25BF8"/>
    <w:rsid w:val="00E26053"/>
    <w:rsid w:val="00E26343"/>
    <w:rsid w:val="00E265F0"/>
    <w:rsid w:val="00E26758"/>
    <w:rsid w:val="00E26DC0"/>
    <w:rsid w:val="00E2785E"/>
    <w:rsid w:val="00E27BF9"/>
    <w:rsid w:val="00E27DCF"/>
    <w:rsid w:val="00E300E3"/>
    <w:rsid w:val="00E3012B"/>
    <w:rsid w:val="00E3034E"/>
    <w:rsid w:val="00E307BD"/>
    <w:rsid w:val="00E30D9B"/>
    <w:rsid w:val="00E3128A"/>
    <w:rsid w:val="00E32038"/>
    <w:rsid w:val="00E32413"/>
    <w:rsid w:val="00E32693"/>
    <w:rsid w:val="00E326EA"/>
    <w:rsid w:val="00E32AD7"/>
    <w:rsid w:val="00E32B31"/>
    <w:rsid w:val="00E32BC6"/>
    <w:rsid w:val="00E32F09"/>
    <w:rsid w:val="00E330DD"/>
    <w:rsid w:val="00E3315C"/>
    <w:rsid w:val="00E33AB0"/>
    <w:rsid w:val="00E33D93"/>
    <w:rsid w:val="00E33F20"/>
    <w:rsid w:val="00E342A8"/>
    <w:rsid w:val="00E346C4"/>
    <w:rsid w:val="00E3560E"/>
    <w:rsid w:val="00E3577C"/>
    <w:rsid w:val="00E36124"/>
    <w:rsid w:val="00E3706E"/>
    <w:rsid w:val="00E37140"/>
    <w:rsid w:val="00E37150"/>
    <w:rsid w:val="00E37193"/>
    <w:rsid w:val="00E379D2"/>
    <w:rsid w:val="00E37CBC"/>
    <w:rsid w:val="00E37CC1"/>
    <w:rsid w:val="00E409C1"/>
    <w:rsid w:val="00E40B43"/>
    <w:rsid w:val="00E40B54"/>
    <w:rsid w:val="00E40F5E"/>
    <w:rsid w:val="00E410C2"/>
    <w:rsid w:val="00E415E8"/>
    <w:rsid w:val="00E416FC"/>
    <w:rsid w:val="00E4174D"/>
    <w:rsid w:val="00E418E4"/>
    <w:rsid w:val="00E42214"/>
    <w:rsid w:val="00E422FF"/>
    <w:rsid w:val="00E42CF8"/>
    <w:rsid w:val="00E42F75"/>
    <w:rsid w:val="00E43275"/>
    <w:rsid w:val="00E432AF"/>
    <w:rsid w:val="00E43A25"/>
    <w:rsid w:val="00E43FC0"/>
    <w:rsid w:val="00E44494"/>
    <w:rsid w:val="00E44920"/>
    <w:rsid w:val="00E44BD1"/>
    <w:rsid w:val="00E45A83"/>
    <w:rsid w:val="00E45B37"/>
    <w:rsid w:val="00E45DFA"/>
    <w:rsid w:val="00E45E54"/>
    <w:rsid w:val="00E46149"/>
    <w:rsid w:val="00E4669C"/>
    <w:rsid w:val="00E4692F"/>
    <w:rsid w:val="00E46FAF"/>
    <w:rsid w:val="00E46FDA"/>
    <w:rsid w:val="00E47078"/>
    <w:rsid w:val="00E47A1E"/>
    <w:rsid w:val="00E47A71"/>
    <w:rsid w:val="00E47C97"/>
    <w:rsid w:val="00E47EFE"/>
    <w:rsid w:val="00E50262"/>
    <w:rsid w:val="00E5057A"/>
    <w:rsid w:val="00E50712"/>
    <w:rsid w:val="00E50895"/>
    <w:rsid w:val="00E50A78"/>
    <w:rsid w:val="00E50BD5"/>
    <w:rsid w:val="00E50BE2"/>
    <w:rsid w:val="00E50EA3"/>
    <w:rsid w:val="00E5168B"/>
    <w:rsid w:val="00E517DA"/>
    <w:rsid w:val="00E51AB7"/>
    <w:rsid w:val="00E51B36"/>
    <w:rsid w:val="00E51C1C"/>
    <w:rsid w:val="00E51F1C"/>
    <w:rsid w:val="00E525AB"/>
    <w:rsid w:val="00E52D3A"/>
    <w:rsid w:val="00E52F52"/>
    <w:rsid w:val="00E52FA6"/>
    <w:rsid w:val="00E5327C"/>
    <w:rsid w:val="00E53379"/>
    <w:rsid w:val="00E53481"/>
    <w:rsid w:val="00E54055"/>
    <w:rsid w:val="00E548A5"/>
    <w:rsid w:val="00E54955"/>
    <w:rsid w:val="00E553A5"/>
    <w:rsid w:val="00E559E3"/>
    <w:rsid w:val="00E5686D"/>
    <w:rsid w:val="00E56B17"/>
    <w:rsid w:val="00E56B4A"/>
    <w:rsid w:val="00E56E54"/>
    <w:rsid w:val="00E575FD"/>
    <w:rsid w:val="00E57EEC"/>
    <w:rsid w:val="00E601E9"/>
    <w:rsid w:val="00E60646"/>
    <w:rsid w:val="00E60675"/>
    <w:rsid w:val="00E607D5"/>
    <w:rsid w:val="00E60AF7"/>
    <w:rsid w:val="00E60F0F"/>
    <w:rsid w:val="00E615DE"/>
    <w:rsid w:val="00E61D87"/>
    <w:rsid w:val="00E62749"/>
    <w:rsid w:val="00E628F2"/>
    <w:rsid w:val="00E62D18"/>
    <w:rsid w:val="00E62D84"/>
    <w:rsid w:val="00E6300C"/>
    <w:rsid w:val="00E63107"/>
    <w:rsid w:val="00E63C7B"/>
    <w:rsid w:val="00E64046"/>
    <w:rsid w:val="00E64099"/>
    <w:rsid w:val="00E64120"/>
    <w:rsid w:val="00E641AC"/>
    <w:rsid w:val="00E64820"/>
    <w:rsid w:val="00E650F0"/>
    <w:rsid w:val="00E6552A"/>
    <w:rsid w:val="00E658B1"/>
    <w:rsid w:val="00E65C55"/>
    <w:rsid w:val="00E65C68"/>
    <w:rsid w:val="00E65E1E"/>
    <w:rsid w:val="00E661D5"/>
    <w:rsid w:val="00E664BF"/>
    <w:rsid w:val="00E668B8"/>
    <w:rsid w:val="00E6756A"/>
    <w:rsid w:val="00E700D9"/>
    <w:rsid w:val="00E70853"/>
    <w:rsid w:val="00E70C63"/>
    <w:rsid w:val="00E71499"/>
    <w:rsid w:val="00E71C85"/>
    <w:rsid w:val="00E71F1D"/>
    <w:rsid w:val="00E72067"/>
    <w:rsid w:val="00E72174"/>
    <w:rsid w:val="00E72680"/>
    <w:rsid w:val="00E72B34"/>
    <w:rsid w:val="00E733F6"/>
    <w:rsid w:val="00E736CD"/>
    <w:rsid w:val="00E7391A"/>
    <w:rsid w:val="00E73BC3"/>
    <w:rsid w:val="00E73CC4"/>
    <w:rsid w:val="00E73F81"/>
    <w:rsid w:val="00E745B7"/>
    <w:rsid w:val="00E74A90"/>
    <w:rsid w:val="00E74DBD"/>
    <w:rsid w:val="00E750EC"/>
    <w:rsid w:val="00E753DE"/>
    <w:rsid w:val="00E756C1"/>
    <w:rsid w:val="00E75A44"/>
    <w:rsid w:val="00E76018"/>
    <w:rsid w:val="00E76063"/>
    <w:rsid w:val="00E766A7"/>
    <w:rsid w:val="00E768C2"/>
    <w:rsid w:val="00E7747B"/>
    <w:rsid w:val="00E77731"/>
    <w:rsid w:val="00E77BF5"/>
    <w:rsid w:val="00E77E4D"/>
    <w:rsid w:val="00E81155"/>
    <w:rsid w:val="00E81542"/>
    <w:rsid w:val="00E81A2C"/>
    <w:rsid w:val="00E822F6"/>
    <w:rsid w:val="00E82938"/>
    <w:rsid w:val="00E834A6"/>
    <w:rsid w:val="00E839AF"/>
    <w:rsid w:val="00E83D6D"/>
    <w:rsid w:val="00E843D7"/>
    <w:rsid w:val="00E844D0"/>
    <w:rsid w:val="00E84CE4"/>
    <w:rsid w:val="00E84DA3"/>
    <w:rsid w:val="00E84FC2"/>
    <w:rsid w:val="00E85092"/>
    <w:rsid w:val="00E85D3B"/>
    <w:rsid w:val="00E85E9C"/>
    <w:rsid w:val="00E85EC9"/>
    <w:rsid w:val="00E85EF5"/>
    <w:rsid w:val="00E85F04"/>
    <w:rsid w:val="00E85F0E"/>
    <w:rsid w:val="00E8696D"/>
    <w:rsid w:val="00E86A3F"/>
    <w:rsid w:val="00E86C0D"/>
    <w:rsid w:val="00E86FC1"/>
    <w:rsid w:val="00E86FE6"/>
    <w:rsid w:val="00E871B1"/>
    <w:rsid w:val="00E876DE"/>
    <w:rsid w:val="00E877F8"/>
    <w:rsid w:val="00E87967"/>
    <w:rsid w:val="00E87FB8"/>
    <w:rsid w:val="00E90059"/>
    <w:rsid w:val="00E90757"/>
    <w:rsid w:val="00E90E08"/>
    <w:rsid w:val="00E9147D"/>
    <w:rsid w:val="00E918DD"/>
    <w:rsid w:val="00E91C34"/>
    <w:rsid w:val="00E91D13"/>
    <w:rsid w:val="00E9258F"/>
    <w:rsid w:val="00E92ADD"/>
    <w:rsid w:val="00E92F6A"/>
    <w:rsid w:val="00E93016"/>
    <w:rsid w:val="00E93610"/>
    <w:rsid w:val="00E9398C"/>
    <w:rsid w:val="00E93EBE"/>
    <w:rsid w:val="00E9472A"/>
    <w:rsid w:val="00E9479E"/>
    <w:rsid w:val="00E94DB2"/>
    <w:rsid w:val="00E9531F"/>
    <w:rsid w:val="00E956EB"/>
    <w:rsid w:val="00E95CD4"/>
    <w:rsid w:val="00E95FA5"/>
    <w:rsid w:val="00E961C3"/>
    <w:rsid w:val="00E96B41"/>
    <w:rsid w:val="00E96B47"/>
    <w:rsid w:val="00E96FC3"/>
    <w:rsid w:val="00E9700D"/>
    <w:rsid w:val="00E972A2"/>
    <w:rsid w:val="00E978D4"/>
    <w:rsid w:val="00E9791F"/>
    <w:rsid w:val="00E97AF9"/>
    <w:rsid w:val="00E97B6F"/>
    <w:rsid w:val="00E97DDD"/>
    <w:rsid w:val="00EA0918"/>
    <w:rsid w:val="00EA0E59"/>
    <w:rsid w:val="00EA1022"/>
    <w:rsid w:val="00EA104A"/>
    <w:rsid w:val="00EA1104"/>
    <w:rsid w:val="00EA162A"/>
    <w:rsid w:val="00EA16A3"/>
    <w:rsid w:val="00EA1701"/>
    <w:rsid w:val="00EA19DA"/>
    <w:rsid w:val="00EA1A2D"/>
    <w:rsid w:val="00EA1B94"/>
    <w:rsid w:val="00EA22B4"/>
    <w:rsid w:val="00EA25B4"/>
    <w:rsid w:val="00EA2BE7"/>
    <w:rsid w:val="00EA2D07"/>
    <w:rsid w:val="00EA2D6F"/>
    <w:rsid w:val="00EA2F4F"/>
    <w:rsid w:val="00EA2F7B"/>
    <w:rsid w:val="00EA3055"/>
    <w:rsid w:val="00EA3AF2"/>
    <w:rsid w:val="00EA3D4E"/>
    <w:rsid w:val="00EA44C0"/>
    <w:rsid w:val="00EA4A29"/>
    <w:rsid w:val="00EA4A2E"/>
    <w:rsid w:val="00EA4EBE"/>
    <w:rsid w:val="00EA5B8C"/>
    <w:rsid w:val="00EA5F1C"/>
    <w:rsid w:val="00EA5FC2"/>
    <w:rsid w:val="00EA5FEC"/>
    <w:rsid w:val="00EA641A"/>
    <w:rsid w:val="00EA6772"/>
    <w:rsid w:val="00EA7445"/>
    <w:rsid w:val="00EA758C"/>
    <w:rsid w:val="00EA7863"/>
    <w:rsid w:val="00EA7928"/>
    <w:rsid w:val="00EA7C92"/>
    <w:rsid w:val="00EB01FC"/>
    <w:rsid w:val="00EB0C21"/>
    <w:rsid w:val="00EB1771"/>
    <w:rsid w:val="00EB183A"/>
    <w:rsid w:val="00EB2648"/>
    <w:rsid w:val="00EB2679"/>
    <w:rsid w:val="00EB282F"/>
    <w:rsid w:val="00EB2C49"/>
    <w:rsid w:val="00EB39B4"/>
    <w:rsid w:val="00EB3AD2"/>
    <w:rsid w:val="00EB408E"/>
    <w:rsid w:val="00EB4325"/>
    <w:rsid w:val="00EB43AE"/>
    <w:rsid w:val="00EB44B6"/>
    <w:rsid w:val="00EB5466"/>
    <w:rsid w:val="00EB5489"/>
    <w:rsid w:val="00EB551A"/>
    <w:rsid w:val="00EB5FB8"/>
    <w:rsid w:val="00EB6111"/>
    <w:rsid w:val="00EB6F41"/>
    <w:rsid w:val="00EB6F90"/>
    <w:rsid w:val="00EB71F8"/>
    <w:rsid w:val="00EB76A4"/>
    <w:rsid w:val="00EC028F"/>
    <w:rsid w:val="00EC02F7"/>
    <w:rsid w:val="00EC0AF7"/>
    <w:rsid w:val="00EC0F1C"/>
    <w:rsid w:val="00EC11D9"/>
    <w:rsid w:val="00EC145E"/>
    <w:rsid w:val="00EC190D"/>
    <w:rsid w:val="00EC1AAA"/>
    <w:rsid w:val="00EC1C2F"/>
    <w:rsid w:val="00EC1F88"/>
    <w:rsid w:val="00EC2575"/>
    <w:rsid w:val="00EC276B"/>
    <w:rsid w:val="00EC2805"/>
    <w:rsid w:val="00EC2B54"/>
    <w:rsid w:val="00EC2F3C"/>
    <w:rsid w:val="00EC3332"/>
    <w:rsid w:val="00EC3775"/>
    <w:rsid w:val="00EC38DD"/>
    <w:rsid w:val="00EC3F4E"/>
    <w:rsid w:val="00EC44FB"/>
    <w:rsid w:val="00EC5457"/>
    <w:rsid w:val="00EC5495"/>
    <w:rsid w:val="00EC5587"/>
    <w:rsid w:val="00EC5882"/>
    <w:rsid w:val="00EC5AAE"/>
    <w:rsid w:val="00EC5D6D"/>
    <w:rsid w:val="00EC67CA"/>
    <w:rsid w:val="00EC684D"/>
    <w:rsid w:val="00EC686D"/>
    <w:rsid w:val="00EC6AF0"/>
    <w:rsid w:val="00EC703D"/>
    <w:rsid w:val="00EC74E0"/>
    <w:rsid w:val="00EC78C3"/>
    <w:rsid w:val="00EC7CB1"/>
    <w:rsid w:val="00EC7EB9"/>
    <w:rsid w:val="00ED04AA"/>
    <w:rsid w:val="00ED0B2F"/>
    <w:rsid w:val="00ED0F00"/>
    <w:rsid w:val="00ED1285"/>
    <w:rsid w:val="00ED168F"/>
    <w:rsid w:val="00ED1786"/>
    <w:rsid w:val="00ED1A48"/>
    <w:rsid w:val="00ED1AC3"/>
    <w:rsid w:val="00ED1B11"/>
    <w:rsid w:val="00ED2267"/>
    <w:rsid w:val="00ED2499"/>
    <w:rsid w:val="00ED277D"/>
    <w:rsid w:val="00ED2E48"/>
    <w:rsid w:val="00ED323D"/>
    <w:rsid w:val="00ED33E8"/>
    <w:rsid w:val="00ED3B9D"/>
    <w:rsid w:val="00ED3FCC"/>
    <w:rsid w:val="00ED4319"/>
    <w:rsid w:val="00ED47E3"/>
    <w:rsid w:val="00ED4E0B"/>
    <w:rsid w:val="00ED4F75"/>
    <w:rsid w:val="00ED54D8"/>
    <w:rsid w:val="00ED58FB"/>
    <w:rsid w:val="00ED61B9"/>
    <w:rsid w:val="00ED6303"/>
    <w:rsid w:val="00ED6637"/>
    <w:rsid w:val="00ED6844"/>
    <w:rsid w:val="00ED69D0"/>
    <w:rsid w:val="00ED6CCD"/>
    <w:rsid w:val="00ED7135"/>
    <w:rsid w:val="00ED720F"/>
    <w:rsid w:val="00ED7217"/>
    <w:rsid w:val="00ED796C"/>
    <w:rsid w:val="00ED7BA2"/>
    <w:rsid w:val="00EE0E53"/>
    <w:rsid w:val="00EE1479"/>
    <w:rsid w:val="00EE16AD"/>
    <w:rsid w:val="00EE1739"/>
    <w:rsid w:val="00EE19BE"/>
    <w:rsid w:val="00EE1BF2"/>
    <w:rsid w:val="00EE1D4E"/>
    <w:rsid w:val="00EE23B0"/>
    <w:rsid w:val="00EE24A9"/>
    <w:rsid w:val="00EE2E20"/>
    <w:rsid w:val="00EE2F90"/>
    <w:rsid w:val="00EE3070"/>
    <w:rsid w:val="00EE3433"/>
    <w:rsid w:val="00EE3563"/>
    <w:rsid w:val="00EE3964"/>
    <w:rsid w:val="00EE3CA8"/>
    <w:rsid w:val="00EE4399"/>
    <w:rsid w:val="00EE4C32"/>
    <w:rsid w:val="00EE5EF1"/>
    <w:rsid w:val="00EE60CE"/>
    <w:rsid w:val="00EE66FC"/>
    <w:rsid w:val="00EE6E84"/>
    <w:rsid w:val="00EE6F77"/>
    <w:rsid w:val="00EE704A"/>
    <w:rsid w:val="00EE71AE"/>
    <w:rsid w:val="00EE7ABD"/>
    <w:rsid w:val="00EF1063"/>
    <w:rsid w:val="00EF148A"/>
    <w:rsid w:val="00EF160F"/>
    <w:rsid w:val="00EF2138"/>
    <w:rsid w:val="00EF2140"/>
    <w:rsid w:val="00EF2424"/>
    <w:rsid w:val="00EF269E"/>
    <w:rsid w:val="00EF30BF"/>
    <w:rsid w:val="00EF37C6"/>
    <w:rsid w:val="00EF386B"/>
    <w:rsid w:val="00EF3C02"/>
    <w:rsid w:val="00EF3C17"/>
    <w:rsid w:val="00EF45C2"/>
    <w:rsid w:val="00EF4A69"/>
    <w:rsid w:val="00EF500C"/>
    <w:rsid w:val="00EF50DE"/>
    <w:rsid w:val="00EF56F5"/>
    <w:rsid w:val="00EF59A1"/>
    <w:rsid w:val="00EF5A5C"/>
    <w:rsid w:val="00EF616C"/>
    <w:rsid w:val="00EF6435"/>
    <w:rsid w:val="00EF7573"/>
    <w:rsid w:val="00EF7738"/>
    <w:rsid w:val="00EF78A5"/>
    <w:rsid w:val="00EF79EC"/>
    <w:rsid w:val="00EF7A8A"/>
    <w:rsid w:val="00EF7FE0"/>
    <w:rsid w:val="00F00159"/>
    <w:rsid w:val="00F0075F"/>
    <w:rsid w:val="00F008A1"/>
    <w:rsid w:val="00F00C88"/>
    <w:rsid w:val="00F00DEA"/>
    <w:rsid w:val="00F01000"/>
    <w:rsid w:val="00F0106E"/>
    <w:rsid w:val="00F019CE"/>
    <w:rsid w:val="00F01F38"/>
    <w:rsid w:val="00F020B9"/>
    <w:rsid w:val="00F02C3C"/>
    <w:rsid w:val="00F02CE3"/>
    <w:rsid w:val="00F03092"/>
    <w:rsid w:val="00F03326"/>
    <w:rsid w:val="00F036B3"/>
    <w:rsid w:val="00F04924"/>
    <w:rsid w:val="00F05848"/>
    <w:rsid w:val="00F05EBA"/>
    <w:rsid w:val="00F06009"/>
    <w:rsid w:val="00F060B7"/>
    <w:rsid w:val="00F067EC"/>
    <w:rsid w:val="00F069E4"/>
    <w:rsid w:val="00F06ADB"/>
    <w:rsid w:val="00F06CE3"/>
    <w:rsid w:val="00F06DDE"/>
    <w:rsid w:val="00F06F12"/>
    <w:rsid w:val="00F06F2F"/>
    <w:rsid w:val="00F10FE7"/>
    <w:rsid w:val="00F110B3"/>
    <w:rsid w:val="00F11176"/>
    <w:rsid w:val="00F1123F"/>
    <w:rsid w:val="00F115D3"/>
    <w:rsid w:val="00F11607"/>
    <w:rsid w:val="00F11BEC"/>
    <w:rsid w:val="00F12657"/>
    <w:rsid w:val="00F126A0"/>
    <w:rsid w:val="00F126D9"/>
    <w:rsid w:val="00F12760"/>
    <w:rsid w:val="00F12927"/>
    <w:rsid w:val="00F12EA2"/>
    <w:rsid w:val="00F13245"/>
    <w:rsid w:val="00F137DC"/>
    <w:rsid w:val="00F13AA4"/>
    <w:rsid w:val="00F13C76"/>
    <w:rsid w:val="00F13F3D"/>
    <w:rsid w:val="00F145D2"/>
    <w:rsid w:val="00F1477A"/>
    <w:rsid w:val="00F14922"/>
    <w:rsid w:val="00F14AE8"/>
    <w:rsid w:val="00F14D66"/>
    <w:rsid w:val="00F15AB2"/>
    <w:rsid w:val="00F16419"/>
    <w:rsid w:val="00F1653A"/>
    <w:rsid w:val="00F16568"/>
    <w:rsid w:val="00F165D1"/>
    <w:rsid w:val="00F1685C"/>
    <w:rsid w:val="00F16CC3"/>
    <w:rsid w:val="00F16ECB"/>
    <w:rsid w:val="00F173F3"/>
    <w:rsid w:val="00F1747C"/>
    <w:rsid w:val="00F175D8"/>
    <w:rsid w:val="00F175FB"/>
    <w:rsid w:val="00F17955"/>
    <w:rsid w:val="00F17E3B"/>
    <w:rsid w:val="00F17F69"/>
    <w:rsid w:val="00F203CB"/>
    <w:rsid w:val="00F209DE"/>
    <w:rsid w:val="00F212D7"/>
    <w:rsid w:val="00F219DD"/>
    <w:rsid w:val="00F22261"/>
    <w:rsid w:val="00F22439"/>
    <w:rsid w:val="00F22529"/>
    <w:rsid w:val="00F225E5"/>
    <w:rsid w:val="00F226CD"/>
    <w:rsid w:val="00F227B3"/>
    <w:rsid w:val="00F22A84"/>
    <w:rsid w:val="00F22B98"/>
    <w:rsid w:val="00F2366F"/>
    <w:rsid w:val="00F236A6"/>
    <w:rsid w:val="00F23733"/>
    <w:rsid w:val="00F23B90"/>
    <w:rsid w:val="00F23C3D"/>
    <w:rsid w:val="00F23ECB"/>
    <w:rsid w:val="00F240A0"/>
    <w:rsid w:val="00F242A6"/>
    <w:rsid w:val="00F2441F"/>
    <w:rsid w:val="00F249F7"/>
    <w:rsid w:val="00F24F0D"/>
    <w:rsid w:val="00F2524B"/>
    <w:rsid w:val="00F253BB"/>
    <w:rsid w:val="00F25745"/>
    <w:rsid w:val="00F25B21"/>
    <w:rsid w:val="00F25C64"/>
    <w:rsid w:val="00F26056"/>
    <w:rsid w:val="00F2657C"/>
    <w:rsid w:val="00F266AD"/>
    <w:rsid w:val="00F267E4"/>
    <w:rsid w:val="00F26807"/>
    <w:rsid w:val="00F268D2"/>
    <w:rsid w:val="00F26954"/>
    <w:rsid w:val="00F26C10"/>
    <w:rsid w:val="00F26E66"/>
    <w:rsid w:val="00F26F67"/>
    <w:rsid w:val="00F271AC"/>
    <w:rsid w:val="00F27550"/>
    <w:rsid w:val="00F300E8"/>
    <w:rsid w:val="00F304A5"/>
    <w:rsid w:val="00F30ABD"/>
    <w:rsid w:val="00F30D6A"/>
    <w:rsid w:val="00F30E3A"/>
    <w:rsid w:val="00F31440"/>
    <w:rsid w:val="00F31FF4"/>
    <w:rsid w:val="00F322C3"/>
    <w:rsid w:val="00F32BCF"/>
    <w:rsid w:val="00F32BD9"/>
    <w:rsid w:val="00F3311A"/>
    <w:rsid w:val="00F334B7"/>
    <w:rsid w:val="00F33FCE"/>
    <w:rsid w:val="00F341F6"/>
    <w:rsid w:val="00F343A1"/>
    <w:rsid w:val="00F345FB"/>
    <w:rsid w:val="00F347A4"/>
    <w:rsid w:val="00F3485F"/>
    <w:rsid w:val="00F352AA"/>
    <w:rsid w:val="00F35627"/>
    <w:rsid w:val="00F35878"/>
    <w:rsid w:val="00F359B3"/>
    <w:rsid w:val="00F35A7F"/>
    <w:rsid w:val="00F361B5"/>
    <w:rsid w:val="00F369A6"/>
    <w:rsid w:val="00F37139"/>
    <w:rsid w:val="00F3758F"/>
    <w:rsid w:val="00F37832"/>
    <w:rsid w:val="00F37BB4"/>
    <w:rsid w:val="00F401D5"/>
    <w:rsid w:val="00F40CB3"/>
    <w:rsid w:val="00F40CD8"/>
    <w:rsid w:val="00F410AA"/>
    <w:rsid w:val="00F4147C"/>
    <w:rsid w:val="00F41AB2"/>
    <w:rsid w:val="00F41ADB"/>
    <w:rsid w:val="00F425B1"/>
    <w:rsid w:val="00F42786"/>
    <w:rsid w:val="00F4291C"/>
    <w:rsid w:val="00F42A00"/>
    <w:rsid w:val="00F42F8D"/>
    <w:rsid w:val="00F42FEE"/>
    <w:rsid w:val="00F43146"/>
    <w:rsid w:val="00F433D2"/>
    <w:rsid w:val="00F438FE"/>
    <w:rsid w:val="00F43DE6"/>
    <w:rsid w:val="00F43E18"/>
    <w:rsid w:val="00F4401D"/>
    <w:rsid w:val="00F4414E"/>
    <w:rsid w:val="00F4437D"/>
    <w:rsid w:val="00F446D3"/>
    <w:rsid w:val="00F44806"/>
    <w:rsid w:val="00F44EE2"/>
    <w:rsid w:val="00F45065"/>
    <w:rsid w:val="00F45ED5"/>
    <w:rsid w:val="00F4685D"/>
    <w:rsid w:val="00F46EA4"/>
    <w:rsid w:val="00F46F00"/>
    <w:rsid w:val="00F476B8"/>
    <w:rsid w:val="00F47702"/>
    <w:rsid w:val="00F479C0"/>
    <w:rsid w:val="00F506BC"/>
    <w:rsid w:val="00F5086A"/>
    <w:rsid w:val="00F509B7"/>
    <w:rsid w:val="00F51121"/>
    <w:rsid w:val="00F51405"/>
    <w:rsid w:val="00F51D44"/>
    <w:rsid w:val="00F52891"/>
    <w:rsid w:val="00F52FB1"/>
    <w:rsid w:val="00F5336C"/>
    <w:rsid w:val="00F5342F"/>
    <w:rsid w:val="00F53599"/>
    <w:rsid w:val="00F53C5C"/>
    <w:rsid w:val="00F53CEE"/>
    <w:rsid w:val="00F54123"/>
    <w:rsid w:val="00F5423C"/>
    <w:rsid w:val="00F5447B"/>
    <w:rsid w:val="00F54549"/>
    <w:rsid w:val="00F5483C"/>
    <w:rsid w:val="00F54B9D"/>
    <w:rsid w:val="00F54DFC"/>
    <w:rsid w:val="00F55658"/>
    <w:rsid w:val="00F55871"/>
    <w:rsid w:val="00F5626C"/>
    <w:rsid w:val="00F56270"/>
    <w:rsid w:val="00F56D5F"/>
    <w:rsid w:val="00F57B71"/>
    <w:rsid w:val="00F57F6B"/>
    <w:rsid w:val="00F57FEF"/>
    <w:rsid w:val="00F6025D"/>
    <w:rsid w:val="00F6044E"/>
    <w:rsid w:val="00F6068B"/>
    <w:rsid w:val="00F60875"/>
    <w:rsid w:val="00F60980"/>
    <w:rsid w:val="00F60A4B"/>
    <w:rsid w:val="00F61300"/>
    <w:rsid w:val="00F614E5"/>
    <w:rsid w:val="00F61591"/>
    <w:rsid w:val="00F61657"/>
    <w:rsid w:val="00F619E2"/>
    <w:rsid w:val="00F61A12"/>
    <w:rsid w:val="00F62051"/>
    <w:rsid w:val="00F6244B"/>
    <w:rsid w:val="00F62CB1"/>
    <w:rsid w:val="00F62FAA"/>
    <w:rsid w:val="00F630C5"/>
    <w:rsid w:val="00F6367F"/>
    <w:rsid w:val="00F6369E"/>
    <w:rsid w:val="00F63723"/>
    <w:rsid w:val="00F63828"/>
    <w:rsid w:val="00F6386A"/>
    <w:rsid w:val="00F638BF"/>
    <w:rsid w:val="00F63AC5"/>
    <w:rsid w:val="00F63DBB"/>
    <w:rsid w:val="00F63E49"/>
    <w:rsid w:val="00F63F53"/>
    <w:rsid w:val="00F64150"/>
    <w:rsid w:val="00F64476"/>
    <w:rsid w:val="00F64CBB"/>
    <w:rsid w:val="00F65863"/>
    <w:rsid w:val="00F658D4"/>
    <w:rsid w:val="00F6641F"/>
    <w:rsid w:val="00F668E9"/>
    <w:rsid w:val="00F6710C"/>
    <w:rsid w:val="00F67123"/>
    <w:rsid w:val="00F6763D"/>
    <w:rsid w:val="00F67702"/>
    <w:rsid w:val="00F678B6"/>
    <w:rsid w:val="00F67F08"/>
    <w:rsid w:val="00F67F82"/>
    <w:rsid w:val="00F7028D"/>
    <w:rsid w:val="00F7055C"/>
    <w:rsid w:val="00F7058B"/>
    <w:rsid w:val="00F70624"/>
    <w:rsid w:val="00F709C7"/>
    <w:rsid w:val="00F70E5F"/>
    <w:rsid w:val="00F7150C"/>
    <w:rsid w:val="00F715FB"/>
    <w:rsid w:val="00F71753"/>
    <w:rsid w:val="00F71AEB"/>
    <w:rsid w:val="00F71D74"/>
    <w:rsid w:val="00F72644"/>
    <w:rsid w:val="00F72CBE"/>
    <w:rsid w:val="00F72CD0"/>
    <w:rsid w:val="00F72CE1"/>
    <w:rsid w:val="00F72F4B"/>
    <w:rsid w:val="00F7303D"/>
    <w:rsid w:val="00F736E3"/>
    <w:rsid w:val="00F73773"/>
    <w:rsid w:val="00F73F7E"/>
    <w:rsid w:val="00F74A07"/>
    <w:rsid w:val="00F751E0"/>
    <w:rsid w:val="00F753F8"/>
    <w:rsid w:val="00F75546"/>
    <w:rsid w:val="00F75970"/>
    <w:rsid w:val="00F75C30"/>
    <w:rsid w:val="00F762FD"/>
    <w:rsid w:val="00F76364"/>
    <w:rsid w:val="00F7755E"/>
    <w:rsid w:val="00F77718"/>
    <w:rsid w:val="00F77A71"/>
    <w:rsid w:val="00F77DB4"/>
    <w:rsid w:val="00F80B5A"/>
    <w:rsid w:val="00F80D46"/>
    <w:rsid w:val="00F80D9D"/>
    <w:rsid w:val="00F80EB8"/>
    <w:rsid w:val="00F81288"/>
    <w:rsid w:val="00F8139F"/>
    <w:rsid w:val="00F81EC2"/>
    <w:rsid w:val="00F81F73"/>
    <w:rsid w:val="00F82E9A"/>
    <w:rsid w:val="00F83049"/>
    <w:rsid w:val="00F835AA"/>
    <w:rsid w:val="00F83821"/>
    <w:rsid w:val="00F83854"/>
    <w:rsid w:val="00F838F8"/>
    <w:rsid w:val="00F83CB5"/>
    <w:rsid w:val="00F84983"/>
    <w:rsid w:val="00F84B15"/>
    <w:rsid w:val="00F85057"/>
    <w:rsid w:val="00F85CCB"/>
    <w:rsid w:val="00F871C6"/>
    <w:rsid w:val="00F8775B"/>
    <w:rsid w:val="00F90A98"/>
    <w:rsid w:val="00F90EA1"/>
    <w:rsid w:val="00F915A2"/>
    <w:rsid w:val="00F91893"/>
    <w:rsid w:val="00F91DF3"/>
    <w:rsid w:val="00F91E13"/>
    <w:rsid w:val="00F91E18"/>
    <w:rsid w:val="00F91FA8"/>
    <w:rsid w:val="00F9213E"/>
    <w:rsid w:val="00F927E5"/>
    <w:rsid w:val="00F92C06"/>
    <w:rsid w:val="00F92E88"/>
    <w:rsid w:val="00F92EB9"/>
    <w:rsid w:val="00F937E6"/>
    <w:rsid w:val="00F93D47"/>
    <w:rsid w:val="00F93FB2"/>
    <w:rsid w:val="00F94293"/>
    <w:rsid w:val="00F94728"/>
    <w:rsid w:val="00F94830"/>
    <w:rsid w:val="00F94A88"/>
    <w:rsid w:val="00F94EDF"/>
    <w:rsid w:val="00F950D7"/>
    <w:rsid w:val="00F959C5"/>
    <w:rsid w:val="00F95A02"/>
    <w:rsid w:val="00F95A51"/>
    <w:rsid w:val="00F95BFD"/>
    <w:rsid w:val="00F95F3A"/>
    <w:rsid w:val="00F965DD"/>
    <w:rsid w:val="00F9674D"/>
    <w:rsid w:val="00F967B3"/>
    <w:rsid w:val="00F9698D"/>
    <w:rsid w:val="00F96B9D"/>
    <w:rsid w:val="00F96C14"/>
    <w:rsid w:val="00F970F3"/>
    <w:rsid w:val="00F971B5"/>
    <w:rsid w:val="00F9742A"/>
    <w:rsid w:val="00F9779A"/>
    <w:rsid w:val="00F977AB"/>
    <w:rsid w:val="00F97C49"/>
    <w:rsid w:val="00FA04C8"/>
    <w:rsid w:val="00FA06A5"/>
    <w:rsid w:val="00FA0B99"/>
    <w:rsid w:val="00FA0DEA"/>
    <w:rsid w:val="00FA0E49"/>
    <w:rsid w:val="00FA1975"/>
    <w:rsid w:val="00FA19EB"/>
    <w:rsid w:val="00FA1ADF"/>
    <w:rsid w:val="00FA1CB9"/>
    <w:rsid w:val="00FA1ECD"/>
    <w:rsid w:val="00FA250B"/>
    <w:rsid w:val="00FA27A3"/>
    <w:rsid w:val="00FA2A3E"/>
    <w:rsid w:val="00FA2B97"/>
    <w:rsid w:val="00FA2D3A"/>
    <w:rsid w:val="00FA30B2"/>
    <w:rsid w:val="00FA3411"/>
    <w:rsid w:val="00FA3534"/>
    <w:rsid w:val="00FA3786"/>
    <w:rsid w:val="00FA3803"/>
    <w:rsid w:val="00FA39EB"/>
    <w:rsid w:val="00FA3B1B"/>
    <w:rsid w:val="00FA3DB2"/>
    <w:rsid w:val="00FA3E39"/>
    <w:rsid w:val="00FA4145"/>
    <w:rsid w:val="00FA42FC"/>
    <w:rsid w:val="00FA4718"/>
    <w:rsid w:val="00FA48FD"/>
    <w:rsid w:val="00FA4926"/>
    <w:rsid w:val="00FA4AF8"/>
    <w:rsid w:val="00FA51B5"/>
    <w:rsid w:val="00FA5453"/>
    <w:rsid w:val="00FA57C3"/>
    <w:rsid w:val="00FA5D7C"/>
    <w:rsid w:val="00FA6276"/>
    <w:rsid w:val="00FA627C"/>
    <w:rsid w:val="00FA6357"/>
    <w:rsid w:val="00FA68E4"/>
    <w:rsid w:val="00FA6AB6"/>
    <w:rsid w:val="00FA6B5E"/>
    <w:rsid w:val="00FA6DE3"/>
    <w:rsid w:val="00FA707F"/>
    <w:rsid w:val="00FA7768"/>
    <w:rsid w:val="00FA78B4"/>
    <w:rsid w:val="00FA7EC2"/>
    <w:rsid w:val="00FB024B"/>
    <w:rsid w:val="00FB11A7"/>
    <w:rsid w:val="00FB150F"/>
    <w:rsid w:val="00FB21EE"/>
    <w:rsid w:val="00FB22D7"/>
    <w:rsid w:val="00FB2330"/>
    <w:rsid w:val="00FB2622"/>
    <w:rsid w:val="00FB2AC2"/>
    <w:rsid w:val="00FB2F1E"/>
    <w:rsid w:val="00FB2F8E"/>
    <w:rsid w:val="00FB34AE"/>
    <w:rsid w:val="00FB3604"/>
    <w:rsid w:val="00FB40AE"/>
    <w:rsid w:val="00FB410A"/>
    <w:rsid w:val="00FB4291"/>
    <w:rsid w:val="00FB4576"/>
    <w:rsid w:val="00FB4646"/>
    <w:rsid w:val="00FB467E"/>
    <w:rsid w:val="00FB48B8"/>
    <w:rsid w:val="00FB4A82"/>
    <w:rsid w:val="00FB4C83"/>
    <w:rsid w:val="00FB50F6"/>
    <w:rsid w:val="00FB59AE"/>
    <w:rsid w:val="00FB6314"/>
    <w:rsid w:val="00FB634D"/>
    <w:rsid w:val="00FB64A3"/>
    <w:rsid w:val="00FB6983"/>
    <w:rsid w:val="00FB69CA"/>
    <w:rsid w:val="00FB70FC"/>
    <w:rsid w:val="00FB795F"/>
    <w:rsid w:val="00FB7BAA"/>
    <w:rsid w:val="00FB7CCA"/>
    <w:rsid w:val="00FB7E77"/>
    <w:rsid w:val="00FC0265"/>
    <w:rsid w:val="00FC0267"/>
    <w:rsid w:val="00FC04C9"/>
    <w:rsid w:val="00FC074A"/>
    <w:rsid w:val="00FC0872"/>
    <w:rsid w:val="00FC122F"/>
    <w:rsid w:val="00FC171B"/>
    <w:rsid w:val="00FC17F7"/>
    <w:rsid w:val="00FC1976"/>
    <w:rsid w:val="00FC1E45"/>
    <w:rsid w:val="00FC24CD"/>
    <w:rsid w:val="00FC2FCB"/>
    <w:rsid w:val="00FC313F"/>
    <w:rsid w:val="00FC32DB"/>
    <w:rsid w:val="00FC3592"/>
    <w:rsid w:val="00FC37D2"/>
    <w:rsid w:val="00FC39DF"/>
    <w:rsid w:val="00FC44A0"/>
    <w:rsid w:val="00FC44E2"/>
    <w:rsid w:val="00FC49BA"/>
    <w:rsid w:val="00FC4B99"/>
    <w:rsid w:val="00FC5097"/>
    <w:rsid w:val="00FC5119"/>
    <w:rsid w:val="00FC53C1"/>
    <w:rsid w:val="00FC5424"/>
    <w:rsid w:val="00FC54D0"/>
    <w:rsid w:val="00FC61C6"/>
    <w:rsid w:val="00FC6392"/>
    <w:rsid w:val="00FC6ADB"/>
    <w:rsid w:val="00FC6F0B"/>
    <w:rsid w:val="00FC7019"/>
    <w:rsid w:val="00FC706E"/>
    <w:rsid w:val="00FC75AC"/>
    <w:rsid w:val="00FC77CF"/>
    <w:rsid w:val="00FC77D1"/>
    <w:rsid w:val="00FC7940"/>
    <w:rsid w:val="00FD03C4"/>
    <w:rsid w:val="00FD06C8"/>
    <w:rsid w:val="00FD1000"/>
    <w:rsid w:val="00FD195E"/>
    <w:rsid w:val="00FD19EC"/>
    <w:rsid w:val="00FD30FB"/>
    <w:rsid w:val="00FD326D"/>
    <w:rsid w:val="00FD3DAA"/>
    <w:rsid w:val="00FD4AFE"/>
    <w:rsid w:val="00FD4BE8"/>
    <w:rsid w:val="00FD5357"/>
    <w:rsid w:val="00FD5968"/>
    <w:rsid w:val="00FD5BC3"/>
    <w:rsid w:val="00FD5BF3"/>
    <w:rsid w:val="00FD5DCB"/>
    <w:rsid w:val="00FD5FB2"/>
    <w:rsid w:val="00FD656E"/>
    <w:rsid w:val="00FD657C"/>
    <w:rsid w:val="00FD6586"/>
    <w:rsid w:val="00FD7221"/>
    <w:rsid w:val="00FD7609"/>
    <w:rsid w:val="00FE0180"/>
    <w:rsid w:val="00FE038D"/>
    <w:rsid w:val="00FE088C"/>
    <w:rsid w:val="00FE08C4"/>
    <w:rsid w:val="00FE1340"/>
    <w:rsid w:val="00FE136E"/>
    <w:rsid w:val="00FE2A0B"/>
    <w:rsid w:val="00FE33FD"/>
    <w:rsid w:val="00FE37B5"/>
    <w:rsid w:val="00FE382B"/>
    <w:rsid w:val="00FE3A56"/>
    <w:rsid w:val="00FE3ADD"/>
    <w:rsid w:val="00FE3FA4"/>
    <w:rsid w:val="00FE5321"/>
    <w:rsid w:val="00FE5B08"/>
    <w:rsid w:val="00FE5F5A"/>
    <w:rsid w:val="00FE60E9"/>
    <w:rsid w:val="00FE6375"/>
    <w:rsid w:val="00FE6404"/>
    <w:rsid w:val="00FE6651"/>
    <w:rsid w:val="00FE674D"/>
    <w:rsid w:val="00FE683D"/>
    <w:rsid w:val="00FE6F32"/>
    <w:rsid w:val="00FE7163"/>
    <w:rsid w:val="00FE71EF"/>
    <w:rsid w:val="00FE77C6"/>
    <w:rsid w:val="00FE79D0"/>
    <w:rsid w:val="00FE7C76"/>
    <w:rsid w:val="00FF03CA"/>
    <w:rsid w:val="00FF0994"/>
    <w:rsid w:val="00FF0CF0"/>
    <w:rsid w:val="00FF0DE2"/>
    <w:rsid w:val="00FF0F8B"/>
    <w:rsid w:val="00FF1600"/>
    <w:rsid w:val="00FF1A3A"/>
    <w:rsid w:val="00FF1BE8"/>
    <w:rsid w:val="00FF1CE2"/>
    <w:rsid w:val="00FF2899"/>
    <w:rsid w:val="00FF2AA9"/>
    <w:rsid w:val="00FF2AB0"/>
    <w:rsid w:val="00FF2C9A"/>
    <w:rsid w:val="00FF2D5C"/>
    <w:rsid w:val="00FF2EF6"/>
    <w:rsid w:val="00FF301E"/>
    <w:rsid w:val="00FF4A69"/>
    <w:rsid w:val="00FF4FEF"/>
    <w:rsid w:val="00FF5283"/>
    <w:rsid w:val="00FF53AC"/>
    <w:rsid w:val="00FF550D"/>
    <w:rsid w:val="00FF58D2"/>
    <w:rsid w:val="00FF5BC9"/>
    <w:rsid w:val="00FF669C"/>
    <w:rsid w:val="00FF67C8"/>
    <w:rsid w:val="00FF6892"/>
    <w:rsid w:val="00FF69DD"/>
    <w:rsid w:val="00FF6C93"/>
    <w:rsid w:val="00FF736E"/>
    <w:rsid w:val="00FF742B"/>
    <w:rsid w:val="00FF76D7"/>
    <w:rsid w:val="00FF7E33"/>
    <w:rsid w:val="00FF7F14"/>
    <w:rsid w:val="00FF7FA1"/>
    <w:rsid w:val="00FF7FE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CE664D"/>
  <w15:docId w15:val="{7D59A205-0925-469E-865B-A860313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74" w:unhideWhenUsed="1"/>
    <w:lsdException w:name="endnote text" w:semiHidden="1" w:uiPriority="7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74" w:unhideWhenUsed="1"/>
    <w:lsdException w:name="Signature" w:semiHidden="1"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74"/>
    <w:lsdException w:name="Body Text First Indent" w:uiPriority="74"/>
    <w:lsdException w:name="Body Text First Indent 2" w:semiHidden="1" w:uiPriority="74" w:unhideWhenUsed="1"/>
    <w:lsdException w:name="Note Heading" w:semiHidden="1"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74" w:unhideWhenUsed="1"/>
    <w:lsdException w:name="Strong" w:uiPriority="22" w:qFormat="1"/>
    <w:lsdException w:name="Emphasis" w:uiPriority="20" w:qFormat="1"/>
    <w:lsdException w:name="Document Map" w:semiHidden="1" w:uiPriority="74"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ED4"/>
    <w:pPr>
      <w:spacing w:before="200" w:after="60"/>
    </w:pPr>
    <w:rPr>
      <w:rFonts w:asciiTheme="minorHAnsi" w:hAnsiTheme="minorHAnsi"/>
      <w:sz w:val="22"/>
      <w:szCs w:val="24"/>
      <w:lang w:val="en-GB"/>
    </w:rPr>
  </w:style>
  <w:style w:type="paragraph" w:styleId="Heading1">
    <w:name w:val="heading 1"/>
    <w:basedOn w:val="Normal"/>
    <w:next w:val="Normal"/>
    <w:link w:val="Heading1Char"/>
    <w:qFormat/>
    <w:rsid w:val="008855E4"/>
    <w:pPr>
      <w:keepNext/>
      <w:numPr>
        <w:numId w:val="2"/>
      </w:numPr>
      <w:spacing w:before="320" w:after="160"/>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8460E3"/>
    <w:pPr>
      <w:keepNext/>
      <w:numPr>
        <w:ilvl w:val="1"/>
        <w:numId w:val="2"/>
      </w:numPr>
      <w:spacing w:before="320"/>
      <w:outlineLvl w:val="1"/>
    </w:pPr>
    <w:rPr>
      <w:rFonts w:eastAsiaTheme="minorHAnsi" w:cs="Arial"/>
      <w:b/>
      <w:bCs/>
      <w:iCs/>
      <w:color w:val="01653F"/>
      <w:sz w:val="28"/>
      <w:szCs w:val="22"/>
      <w:lang w:val="en-US" w:eastAsia="en-US"/>
    </w:rPr>
  </w:style>
  <w:style w:type="paragraph" w:styleId="Heading3">
    <w:name w:val="heading 3"/>
    <w:basedOn w:val="Normal"/>
    <w:next w:val="Normal"/>
    <w:link w:val="Heading3Char"/>
    <w:qFormat/>
    <w:rsid w:val="008460E3"/>
    <w:pPr>
      <w:keepNext/>
      <w:numPr>
        <w:ilvl w:val="2"/>
        <w:numId w:val="2"/>
      </w:numPr>
      <w:spacing w:before="240"/>
      <w:outlineLvl w:val="2"/>
    </w:pPr>
    <w:rPr>
      <w:rFonts w:eastAsiaTheme="minorHAnsi" w:cs="Arial"/>
      <w:b/>
      <w:bCs/>
      <w:i/>
      <w:color w:val="B66113"/>
      <w:sz w:val="24"/>
      <w:lang w:val="en-US" w:eastAsia="en-US"/>
    </w:rPr>
  </w:style>
  <w:style w:type="paragraph" w:styleId="Heading4">
    <w:name w:val="heading 4"/>
    <w:basedOn w:val="Normal"/>
    <w:next w:val="Normal"/>
    <w:link w:val="Heading4Char"/>
    <w:uiPriority w:val="9"/>
    <w:qFormat/>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link w:val="Heading5Char"/>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link w:val="Heading6Char"/>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basedOn w:val="DefaultParagraphFont"/>
    <w:uiPriority w:val="22"/>
    <w:qFormat/>
    <w:rsid w:val="00AF127F"/>
    <w:rPr>
      <w:b/>
      <w:bCs/>
    </w:rPr>
  </w:style>
  <w:style w:type="paragraph" w:styleId="Subtitle">
    <w:name w:val="Subtitle"/>
    <w:basedOn w:val="Normal"/>
    <w:next w:val="Normal"/>
    <w:link w:val="SubtitleChar"/>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rsid w:val="00AF127F"/>
    <w:rPr>
      <w:rFonts w:asciiTheme="majorHAnsi" w:eastAsiaTheme="majorEastAsia" w:hAnsiTheme="majorHAnsi" w:cstheme="majorBidi"/>
      <w:iCs/>
      <w:spacing w:val="15"/>
      <w:sz w:val="24"/>
    </w:rPr>
  </w:style>
  <w:style w:type="paragraph" w:styleId="Title">
    <w:name w:val="Title"/>
    <w:basedOn w:val="Normal"/>
    <w:next w:val="Normal"/>
    <w:link w:val="TitleChar"/>
    <w:qFormat/>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F127F"/>
    <w:rPr>
      <w:rFonts w:ascii="Arial" w:eastAsiaTheme="majorEastAsia" w:hAnsi="Arial" w:cstheme="majorBidi"/>
      <w:b/>
      <w:kern w:val="28"/>
      <w:sz w:val="32"/>
      <w:szCs w:val="5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eastAsiaTheme="minorHAnsi" w:cs="Arial"/>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A668A"/>
    <w:pPr>
      <w:spacing w:before="40" w:after="40"/>
      <w:ind w:left="249" w:hanging="249"/>
    </w:pPr>
    <w:rPr>
      <w:rFonts w:eastAsiaTheme="minorHAnsi" w:cs="Arial"/>
      <w:sz w:val="16"/>
      <w:szCs w:val="16"/>
    </w:rPr>
  </w:style>
  <w:style w:type="character" w:customStyle="1" w:styleId="FootnoteTextChar">
    <w:name w:val="Footnote Text Char"/>
    <w:basedOn w:val="DefaultParagraphFont"/>
    <w:link w:val="FootnoteText"/>
    <w:rsid w:val="006A668A"/>
    <w:rPr>
      <w:rFonts w:ascii="Arial" w:eastAsiaTheme="minorHAnsi" w:hAnsi="Arial" w:cs="Arial"/>
      <w:sz w:val="16"/>
      <w:szCs w:val="16"/>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A5097F"/>
    <w:pPr>
      <w:ind w:left="284" w:right="284" w:hanging="284"/>
    </w:pPr>
    <w:rPr>
      <w:b/>
      <w:bCs/>
      <w:sz w:val="20"/>
      <w:szCs w:val="20"/>
    </w:rPr>
  </w:style>
  <w:style w:type="paragraph" w:styleId="TOC2">
    <w:name w:val="toc 2"/>
    <w:basedOn w:val="Normal"/>
    <w:next w:val="Normal"/>
    <w:autoRedefine/>
    <w:uiPriority w:val="39"/>
    <w:qFormat/>
    <w:rsid w:val="00380966"/>
    <w:pPr>
      <w:tabs>
        <w:tab w:val="left" w:pos="880"/>
        <w:tab w:val="right" w:leader="dot" w:pos="9016"/>
      </w:tabs>
      <w:spacing w:before="120"/>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99"/>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B7051C"/>
    <w:rPr>
      <w:rFonts w:ascii="Tahoma" w:eastAsiaTheme="minorHAnsi" w:hAnsi="Tahoma" w:cs="Tahoma"/>
      <w:sz w:val="16"/>
      <w:szCs w:val="16"/>
      <w:lang w:val="en-GB"/>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31669"/>
    <w:pPr>
      <w:pBdr>
        <w:top w:val="single" w:sz="4" w:space="1" w:color="E36C0A" w:themeColor="accent6" w:themeShade="BF"/>
      </w:pBdr>
      <w:tabs>
        <w:tab w:val="center" w:pos="4513"/>
        <w:tab w:val="right" w:pos="9026"/>
      </w:tabs>
    </w:pPr>
    <w:rPr>
      <w:rFonts w:eastAsiaTheme="minorHAnsi" w:cs="Arial"/>
      <w:color w:val="01653F"/>
      <w:szCs w:val="20"/>
    </w:rPr>
  </w:style>
  <w:style w:type="character" w:customStyle="1" w:styleId="FooterChar">
    <w:name w:val="Footer Char"/>
    <w:basedOn w:val="DefaultParagraphFont"/>
    <w:link w:val="Footer"/>
    <w:uiPriority w:val="99"/>
    <w:rsid w:val="00A31669"/>
    <w:rPr>
      <w:rFonts w:asciiTheme="minorHAnsi" w:eastAsiaTheme="minorHAnsi" w:hAnsiTheme="minorHAnsi" w:cs="Arial"/>
      <w:color w:val="01653F"/>
      <w:sz w:val="22"/>
      <w:lang w:val="en-GB"/>
    </w:rPr>
  </w:style>
  <w:style w:type="paragraph" w:styleId="Caption">
    <w:name w:val="caption"/>
    <w:basedOn w:val="Normal"/>
    <w:next w:val="Normal"/>
    <w:unhideWhenUsed/>
    <w:qFormat/>
    <w:rsid w:val="00AE06DE"/>
    <w:pPr>
      <w:keepNext/>
      <w:spacing w:before="120" w:after="0" w:line="312" w:lineRule="auto"/>
    </w:pPr>
    <w:rPr>
      <w:rFonts w:eastAsiaTheme="minorHAnsi" w:cs="Arial"/>
      <w:b/>
      <w:sz w:val="20"/>
      <w:szCs w:val="22"/>
      <w:lang w:val="en-AU" w:eastAsia="en-US"/>
    </w:rPr>
  </w:style>
  <w:style w:type="paragraph" w:customStyle="1" w:styleId="Default">
    <w:name w:val="Default"/>
    <w:uiPriority w:val="74"/>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Theme="minorHAnsi" w:eastAsiaTheme="minorHAnsi" w:hAnsiTheme="minorHAnsi" w:cs="Arial"/>
      <w:sz w:val="22"/>
      <w:szCs w:val="22"/>
      <w:lang w:val="en-GB"/>
    </w:rPr>
  </w:style>
  <w:style w:type="paragraph" w:styleId="TableofFigures">
    <w:name w:val="table of figures"/>
    <w:basedOn w:val="Normal"/>
    <w:next w:val="Normal"/>
    <w:uiPriority w:val="99"/>
    <w:rsid w:val="00FA0E49"/>
    <w:pPr>
      <w:ind w:left="442" w:hanging="442"/>
    </w:pPr>
    <w:rPr>
      <w:bCs/>
      <w:sz w:val="20"/>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74"/>
    <w:rsid w:val="006C0049"/>
    <w:pPr>
      <w:spacing w:after="120"/>
    </w:pPr>
    <w:rPr>
      <w:rFonts w:eastAsiaTheme="minorHAnsi" w:cs="Arial"/>
      <w:szCs w:val="20"/>
    </w:rPr>
  </w:style>
  <w:style w:type="character" w:customStyle="1" w:styleId="BodyTextChar">
    <w:name w:val="Body Text Char"/>
    <w:basedOn w:val="DefaultParagraphFont"/>
    <w:link w:val="BodyText"/>
    <w:uiPriority w:val="74"/>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74"/>
    <w:rsid w:val="006C0049"/>
    <w:pPr>
      <w:spacing w:after="120"/>
    </w:pPr>
    <w:rPr>
      <w:rFonts w:eastAsiaTheme="minorHAnsi" w:cs="Arial"/>
      <w:sz w:val="16"/>
      <w:szCs w:val="16"/>
    </w:rPr>
  </w:style>
  <w:style w:type="character" w:customStyle="1" w:styleId="BodyText3Char">
    <w:name w:val="Body Text 3 Char"/>
    <w:basedOn w:val="DefaultParagraphFont"/>
    <w:link w:val="BodyText3"/>
    <w:uiPriority w:val="74"/>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74"/>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uiPriority w:val="74"/>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eastAsiaTheme="minorHAnsi" w:cs="Arial"/>
      <w:szCs w:val="20"/>
    </w:rPr>
  </w:style>
  <w:style w:type="paragraph" w:customStyle="1" w:styleId="CharCharChar">
    <w:name w:val="Char Char Char"/>
    <w:basedOn w:val="Normal"/>
    <w:uiPriority w:val="74"/>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2"/>
    <w:qFormat/>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2"/>
    <w:rsid w:val="0015052B"/>
    <w:rPr>
      <w:rFonts w:asciiTheme="minorHAnsi" w:eastAsia="MS Mincho" w:hAnsiTheme="minorHAnsi" w:cs="Arial"/>
      <w:sz w:val="22"/>
      <w:szCs w:val="22"/>
      <w:lang w:val="en-GB"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74"/>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74"/>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74"/>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qFormat/>
    <w:rsid w:val="00032108"/>
    <w:pPr>
      <w:spacing w:before="120" w:after="60" w:line="240" w:lineRule="auto"/>
      <w:ind w:left="357"/>
    </w:pPr>
  </w:style>
  <w:style w:type="paragraph" w:customStyle="1" w:styleId="Bullet2">
    <w:name w:val="Bullet 2"/>
    <w:basedOn w:val="ListParagraph"/>
    <w:qFormat/>
    <w:rsid w:val="00BD7AF2"/>
    <w:pPr>
      <w:numPr>
        <w:ilvl w:val="1"/>
        <w:numId w:val="4"/>
      </w:numPr>
      <w:spacing w:before="120"/>
      <w:contextualSpacing w:val="0"/>
    </w:pPr>
  </w:style>
  <w:style w:type="paragraph" w:customStyle="1" w:styleId="Bullet3">
    <w:name w:val="Bullet 3"/>
    <w:basedOn w:val="02dash"/>
    <w:uiPriority w:val="74"/>
    <w:qFormat/>
    <w:rsid w:val="008460E3"/>
    <w:pPr>
      <w:numPr>
        <w:ilvl w:val="2"/>
      </w:numPr>
    </w:pPr>
  </w:style>
  <w:style w:type="paragraph" w:styleId="TOC4">
    <w:name w:val="toc 4"/>
    <w:basedOn w:val="Normal"/>
    <w:next w:val="Normal"/>
    <w:autoRedefine/>
    <w:unhideWhenUsed/>
    <w:rsid w:val="008460E3"/>
    <w:pPr>
      <w:spacing w:before="0" w:after="0"/>
      <w:ind w:left="660"/>
    </w:pPr>
    <w:rPr>
      <w:sz w:val="20"/>
      <w:szCs w:val="20"/>
    </w:rPr>
  </w:style>
  <w:style w:type="paragraph" w:styleId="TOC5">
    <w:name w:val="toc 5"/>
    <w:basedOn w:val="Normal"/>
    <w:next w:val="Normal"/>
    <w:autoRedefine/>
    <w:unhideWhenUsed/>
    <w:rsid w:val="008460E3"/>
    <w:pPr>
      <w:spacing w:before="0" w:after="0"/>
      <w:ind w:left="880"/>
    </w:pPr>
    <w:rPr>
      <w:sz w:val="20"/>
      <w:szCs w:val="20"/>
    </w:rPr>
  </w:style>
  <w:style w:type="paragraph" w:styleId="TOC6">
    <w:name w:val="toc 6"/>
    <w:basedOn w:val="Normal"/>
    <w:next w:val="Normal"/>
    <w:autoRedefine/>
    <w:unhideWhenUsed/>
    <w:rsid w:val="008460E3"/>
    <w:pPr>
      <w:spacing w:before="0" w:after="0"/>
      <w:ind w:left="1100"/>
    </w:pPr>
    <w:rPr>
      <w:sz w:val="20"/>
      <w:szCs w:val="20"/>
    </w:rPr>
  </w:style>
  <w:style w:type="paragraph" w:styleId="TOC7">
    <w:name w:val="toc 7"/>
    <w:basedOn w:val="Normal"/>
    <w:next w:val="Normal"/>
    <w:autoRedefine/>
    <w:unhideWhenUsed/>
    <w:rsid w:val="008460E3"/>
    <w:pPr>
      <w:spacing w:before="0" w:after="0"/>
      <w:ind w:left="1320"/>
    </w:pPr>
    <w:rPr>
      <w:sz w:val="20"/>
      <w:szCs w:val="20"/>
    </w:rPr>
  </w:style>
  <w:style w:type="paragraph" w:styleId="TOC8">
    <w:name w:val="toc 8"/>
    <w:basedOn w:val="Normal"/>
    <w:next w:val="Normal"/>
    <w:autoRedefine/>
    <w:unhideWhenUsed/>
    <w:rsid w:val="008460E3"/>
    <w:pPr>
      <w:spacing w:before="0" w:after="0"/>
      <w:ind w:left="1540"/>
    </w:pPr>
    <w:rPr>
      <w:sz w:val="20"/>
      <w:szCs w:val="20"/>
    </w:rPr>
  </w:style>
  <w:style w:type="paragraph" w:styleId="TOC9">
    <w:name w:val="toc 9"/>
    <w:basedOn w:val="Normal"/>
    <w:next w:val="Normal"/>
    <w:autoRedefine/>
    <w:unhideWhenUsed/>
    <w:rsid w:val="008460E3"/>
    <w:pPr>
      <w:spacing w:before="0" w:after="0"/>
      <w:ind w:left="1760"/>
    </w:pPr>
    <w:rPr>
      <w:sz w:val="20"/>
      <w:szCs w:val="20"/>
    </w:rPr>
  </w:style>
  <w:style w:type="character" w:styleId="CommentReference">
    <w:name w:val="annotation reference"/>
    <w:basedOn w:val="DefaultParagraphFont"/>
    <w:uiPriority w:val="99"/>
    <w:semiHidden/>
    <w:unhideWhenUsed/>
    <w:rsid w:val="000337EF"/>
    <w:rPr>
      <w:sz w:val="16"/>
      <w:szCs w:val="16"/>
    </w:rPr>
  </w:style>
  <w:style w:type="paragraph" w:styleId="CommentText">
    <w:name w:val="annotation text"/>
    <w:basedOn w:val="Normal"/>
    <w:link w:val="CommentTextChar"/>
    <w:uiPriority w:val="99"/>
    <w:unhideWhenUsed/>
    <w:rsid w:val="000337EF"/>
    <w:rPr>
      <w:sz w:val="20"/>
      <w:szCs w:val="20"/>
    </w:rPr>
  </w:style>
  <w:style w:type="character" w:customStyle="1" w:styleId="CommentTextChar">
    <w:name w:val="Comment Text Char"/>
    <w:basedOn w:val="DefaultParagraphFont"/>
    <w:link w:val="CommentText"/>
    <w:uiPriority w:val="99"/>
    <w:rsid w:val="00B7051C"/>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0337EF"/>
    <w:rPr>
      <w:b/>
      <w:bCs/>
    </w:rPr>
  </w:style>
  <w:style w:type="character" w:customStyle="1" w:styleId="CommentSubjectChar">
    <w:name w:val="Comment Subject Char"/>
    <w:basedOn w:val="CommentTextChar"/>
    <w:link w:val="CommentSubject"/>
    <w:uiPriority w:val="99"/>
    <w:semiHidden/>
    <w:rsid w:val="00B7051C"/>
    <w:rPr>
      <w:rFonts w:asciiTheme="minorHAnsi" w:hAnsiTheme="minorHAnsi"/>
      <w:b/>
      <w:bCs/>
      <w:lang w:val="en-GB"/>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4"/>
    <w:qFormat/>
    <w:rsid w:val="008460E3"/>
    <w:pPr>
      <w:numPr>
        <w:numId w:val="17"/>
      </w:numPr>
      <w:spacing w:before="120"/>
      <w:ind w:right="142"/>
    </w:pPr>
    <w:rPr>
      <w:szCs w:val="20"/>
      <w:lang w:val="en-US" w:eastAsia="en-US"/>
    </w:rPr>
  </w:style>
  <w:style w:type="paragraph" w:customStyle="1" w:styleId="02dash">
    <w:name w:val="02 dash"/>
    <w:basedOn w:val="01squarebullet"/>
    <w:uiPriority w:val="4"/>
    <w:qFormat/>
    <w:rsid w:val="008460E3"/>
    <w:pPr>
      <w:numPr>
        <w:ilvl w:val="1"/>
        <w:numId w:val="6"/>
      </w:numPr>
      <w:tabs>
        <w:tab w:val="clear" w:pos="1421"/>
        <w:tab w:val="num" w:pos="646"/>
      </w:tabs>
      <w:ind w:left="644"/>
    </w:pPr>
    <w:rPr>
      <w:rFonts w:eastAsiaTheme="minorHAnsi"/>
    </w:rPr>
  </w:style>
  <w:style w:type="paragraph" w:customStyle="1" w:styleId="03opensquarebullet">
    <w:name w:val="03 open square bullet"/>
    <w:basedOn w:val="02dash"/>
    <w:uiPriority w:val="5"/>
    <w:qFormat/>
    <w:rsid w:val="00C60693"/>
    <w:pPr>
      <w:numPr>
        <w:numId w:val="7"/>
      </w:numPr>
      <w:tabs>
        <w:tab w:val="left" w:pos="924"/>
      </w:tabs>
      <w:ind w:left="925" w:hanging="284"/>
    </w:pPr>
  </w:style>
  <w:style w:type="paragraph" w:customStyle="1" w:styleId="04shortdash">
    <w:name w:val="04 short dash"/>
    <w:basedOn w:val="03opensquarebullet"/>
    <w:uiPriority w:val="6"/>
    <w:qFormat/>
    <w:rsid w:val="00C60693"/>
    <w:pPr>
      <w:numPr>
        <w:numId w:val="8"/>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11"/>
    <w:qFormat/>
    <w:rsid w:val="00D10783"/>
    <w:pPr>
      <w:keepNext/>
      <w:numPr>
        <w:numId w:val="5"/>
      </w:numPr>
      <w:spacing w:before="0" w:after="120"/>
      <w:ind w:left="357" w:hanging="357"/>
      <w:outlineLvl w:val="0"/>
    </w:pPr>
    <w:rPr>
      <w:b/>
      <w:color w:val="01653F"/>
      <w:sz w:val="32"/>
      <w:lang w:val="en-AU"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7"/>
    <w:qFormat/>
    <w:rsid w:val="00C60693"/>
    <w:pPr>
      <w:numPr>
        <w:numId w:val="9"/>
      </w:numPr>
      <w:spacing w:before="120" w:line="264" w:lineRule="auto"/>
      <w:ind w:left="357" w:hanging="357"/>
    </w:pPr>
    <w:rPr>
      <w:szCs w:val="20"/>
      <w:lang w:val="en-US" w:eastAsia="en-US"/>
    </w:rPr>
  </w:style>
  <w:style w:type="paragraph" w:customStyle="1" w:styleId="06letter2">
    <w:name w:val="06 letter/2"/>
    <w:basedOn w:val="Normal"/>
    <w:uiPriority w:val="8"/>
    <w:qFormat/>
    <w:rsid w:val="00C60693"/>
    <w:pPr>
      <w:numPr>
        <w:numId w:val="10"/>
      </w:numPr>
      <w:spacing w:before="120" w:line="264" w:lineRule="auto"/>
      <w:ind w:left="641" w:hanging="284"/>
    </w:pPr>
    <w:rPr>
      <w:szCs w:val="20"/>
      <w:lang w:val="en-US" w:eastAsia="en-US"/>
    </w:rPr>
  </w:style>
  <w:style w:type="paragraph" w:customStyle="1" w:styleId="07number3">
    <w:name w:val="07 number/3"/>
    <w:basedOn w:val="Normal"/>
    <w:uiPriority w:val="8"/>
    <w:qFormat/>
    <w:rsid w:val="00C60693"/>
    <w:pPr>
      <w:numPr>
        <w:numId w:val="11"/>
      </w:numPr>
      <w:spacing w:before="120"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2"/>
      </w:numPr>
      <w:spacing w:before="120" w:line="264" w:lineRule="auto"/>
      <w:ind w:left="1208" w:hanging="284"/>
    </w:pPr>
    <w:rPr>
      <w:szCs w:val="20"/>
      <w:lang w:val="en-US" w:eastAsia="en-US"/>
    </w:rPr>
  </w:style>
  <w:style w:type="paragraph" w:customStyle="1" w:styleId="20major">
    <w:name w:val="20 major"/>
    <w:basedOn w:val="Normal"/>
    <w:next w:val="Normal"/>
    <w:uiPriority w:val="1"/>
    <w:qFormat/>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2"/>
    <w:qFormat/>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8855E4"/>
    <w:rPr>
      <w:rFonts w:asciiTheme="minorHAnsi" w:eastAsiaTheme="minorHAnsi" w:hAnsiTheme="minorHAnsi" w:cs="Arial"/>
      <w:b/>
      <w:bCs/>
      <w:color w:val="01653F"/>
      <w:kern w:val="32"/>
      <w:sz w:val="32"/>
      <w:szCs w:val="28"/>
      <w:lang w:val="en-US" w:eastAsia="en-US"/>
    </w:rPr>
  </w:style>
  <w:style w:type="paragraph" w:customStyle="1" w:styleId="Boldhdg">
    <w:name w:val="Bold hdg"/>
    <w:basedOn w:val="Normal"/>
    <w:link w:val="BoldhdgChar"/>
    <w:uiPriority w:val="99"/>
    <w:qFormat/>
    <w:rsid w:val="006A668A"/>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uiPriority w:val="99"/>
    <w:rsid w:val="004257BF"/>
    <w:pPr>
      <w:spacing w:before="600" w:after="480" w:line="264" w:lineRule="auto"/>
      <w:jc w:val="center"/>
    </w:pPr>
    <w:rPr>
      <w:sz w:val="24"/>
      <w:szCs w:val="20"/>
      <w:lang w:val="de-DE" w:eastAsia="en-US"/>
    </w:rPr>
  </w:style>
  <w:style w:type="character" w:customStyle="1" w:styleId="Heading3Char">
    <w:name w:val="Heading 3 Char"/>
    <w:basedOn w:val="DefaultParagraphFont"/>
    <w:link w:val="Heading3"/>
    <w:rsid w:val="00AB752F"/>
    <w:rPr>
      <w:rFonts w:asciiTheme="minorHAnsi" w:eastAsiaTheme="minorHAnsi" w:hAnsiTheme="minorHAnsi" w:cs="Arial"/>
      <w:b/>
      <w:bCs/>
      <w:i/>
      <w:color w:val="B66113"/>
      <w:sz w:val="24"/>
      <w:szCs w:val="24"/>
      <w:lang w:val="en-US" w:eastAsia="en-US"/>
    </w:rPr>
  </w:style>
  <w:style w:type="character" w:customStyle="1" w:styleId="Heading2Char">
    <w:name w:val="Heading 2 Char"/>
    <w:basedOn w:val="DefaultParagraphFont"/>
    <w:link w:val="Heading2"/>
    <w:rsid w:val="005076E4"/>
    <w:rPr>
      <w:rFonts w:asciiTheme="minorHAnsi" w:eastAsiaTheme="minorHAnsi" w:hAnsiTheme="minorHAnsi" w:cs="Arial"/>
      <w:b/>
      <w:bCs/>
      <w:iCs/>
      <w:color w:val="01653F"/>
      <w:sz w:val="28"/>
      <w:szCs w:val="22"/>
      <w:lang w:val="en-US"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4"/>
      </w:numPr>
      <w:spacing w:before="0" w:after="0"/>
    </w:pPr>
    <w:rPr>
      <w:rFonts w:ascii="Calibri" w:eastAsiaTheme="minorHAnsi" w:hAnsi="Calibri"/>
      <w:noProof/>
      <w:szCs w:val="22"/>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qFormat/>
    <w:rsid w:val="008460E3"/>
    <w:pPr>
      <w:numPr>
        <w:numId w:val="15"/>
      </w:numPr>
      <w:spacing w:before="180" w:line="312" w:lineRule="auto"/>
    </w:pPr>
  </w:style>
  <w:style w:type="character" w:customStyle="1" w:styleId="NormalBulletedChar">
    <w:name w:val="Normal Bulleted Char"/>
    <w:basedOn w:val="DefaultParagraphFont"/>
    <w:link w:val="NormalBulleted"/>
    <w:rsid w:val="00082595"/>
    <w:rPr>
      <w:rFonts w:asciiTheme="minorHAnsi" w:hAnsiTheme="minorHAnsi"/>
      <w:sz w:val="22"/>
      <w:szCs w:val="24"/>
      <w:lang w:val="en-GB"/>
    </w:rPr>
  </w:style>
  <w:style w:type="paragraph" w:styleId="ListContinue">
    <w:name w:val="List Continue"/>
    <w:basedOn w:val="Normal"/>
    <w:uiPriority w:val="99"/>
    <w:semiHidden/>
    <w:unhideWhenUsed/>
    <w:rsid w:val="00082595"/>
    <w:pPr>
      <w:spacing w:after="120"/>
      <w:ind w:left="283"/>
      <w:contextualSpacing/>
    </w:pPr>
  </w:style>
  <w:style w:type="numbering" w:customStyle="1" w:styleId="Style2">
    <w:name w:val="Style2"/>
    <w:uiPriority w:val="99"/>
    <w:rsid w:val="00E15A50"/>
    <w:pPr>
      <w:numPr>
        <w:numId w:val="16"/>
      </w:numPr>
    </w:pPr>
  </w:style>
  <w:style w:type="paragraph" w:customStyle="1" w:styleId="AppendixStyle2">
    <w:name w:val="Appendix Style2"/>
    <w:basedOn w:val="Normal"/>
    <w:qFormat/>
    <w:rsid w:val="00A1707A"/>
    <w:pPr>
      <w:keepNext/>
      <w:spacing w:before="120" w:line="312" w:lineRule="auto"/>
      <w:outlineLvl w:val="1"/>
    </w:pPr>
    <w:rPr>
      <w:rFonts w:eastAsiaTheme="minorHAnsi" w:cs="Arial"/>
      <w:b/>
      <w:bCs/>
      <w:iCs/>
      <w:sz w:val="26"/>
      <w:szCs w:val="22"/>
      <w:lang w:val="en-US" w:eastAsia="en-US"/>
    </w:rPr>
  </w:style>
  <w:style w:type="paragraph" w:styleId="PlainText">
    <w:name w:val="Plain Text"/>
    <w:basedOn w:val="Normal"/>
    <w:link w:val="PlainTextChar"/>
    <w:uiPriority w:val="99"/>
    <w:unhideWhenUsed/>
    <w:rsid w:val="00B409DB"/>
    <w:pPr>
      <w:spacing w:before="0" w:after="0"/>
    </w:pPr>
    <w:rPr>
      <w:rFonts w:ascii="Consolas" w:eastAsiaTheme="minorHAnsi" w:hAnsi="Consolas" w:cs="Consolas"/>
      <w:sz w:val="21"/>
      <w:szCs w:val="21"/>
      <w:lang w:val="en-AU" w:eastAsia="en-US"/>
    </w:rPr>
  </w:style>
  <w:style w:type="character" w:customStyle="1" w:styleId="PlainTextChar">
    <w:name w:val="Plain Text Char"/>
    <w:basedOn w:val="DefaultParagraphFont"/>
    <w:link w:val="PlainText"/>
    <w:uiPriority w:val="99"/>
    <w:rsid w:val="00B409DB"/>
    <w:rPr>
      <w:rFonts w:ascii="Consolas" w:eastAsiaTheme="minorHAnsi" w:hAnsi="Consolas" w:cs="Consolas"/>
      <w:sz w:val="21"/>
      <w:szCs w:val="21"/>
      <w:lang w:eastAsia="en-US"/>
    </w:rPr>
  </w:style>
  <w:style w:type="paragraph" w:customStyle="1" w:styleId="BoxText">
    <w:name w:val="BoxText"/>
    <w:basedOn w:val="Normal"/>
    <w:qFormat/>
    <w:rsid w:val="002D172E"/>
    <w:pPr>
      <w:pBdr>
        <w:top w:val="single" w:sz="12" w:space="4" w:color="C75F09"/>
        <w:left w:val="single" w:sz="12" w:space="4" w:color="C75F09"/>
        <w:bottom w:val="single" w:sz="12" w:space="4" w:color="C75F09"/>
        <w:right w:val="single" w:sz="12" w:space="4" w:color="C75F09"/>
      </w:pBdr>
      <w:spacing w:before="0" w:after="120"/>
    </w:pPr>
    <w:rPr>
      <w:rFonts w:ascii="Calibri" w:hAnsi="Calibri"/>
      <w:color w:val="000000"/>
      <w:szCs w:val="20"/>
      <w:lang w:val="en-AU"/>
    </w:rPr>
  </w:style>
  <w:style w:type="paragraph" w:customStyle="1" w:styleId="BoxBullet">
    <w:name w:val="BoxBullet"/>
    <w:basedOn w:val="BoxText"/>
    <w:rsid w:val="002D172E"/>
    <w:pPr>
      <w:numPr>
        <w:numId w:val="18"/>
      </w:numPr>
    </w:pPr>
  </w:style>
  <w:style w:type="paragraph" w:customStyle="1" w:styleId="Normalpara">
    <w:name w:val="Normal para"/>
    <w:basedOn w:val="Normal"/>
    <w:link w:val="NormalparaChar"/>
    <w:qFormat/>
    <w:rsid w:val="00E15D68"/>
    <w:rPr>
      <w:lang w:val="en-AU"/>
    </w:rPr>
  </w:style>
  <w:style w:type="character" w:customStyle="1" w:styleId="NormalparaChar">
    <w:name w:val="Normal para Char"/>
    <w:basedOn w:val="DefaultParagraphFont"/>
    <w:link w:val="Normalpara"/>
    <w:rsid w:val="00E15D68"/>
    <w:rPr>
      <w:rFonts w:asciiTheme="minorHAnsi" w:hAnsiTheme="minorHAnsi"/>
      <w:sz w:val="22"/>
      <w:szCs w:val="24"/>
    </w:rPr>
  </w:style>
  <w:style w:type="character" w:customStyle="1" w:styleId="Heading4Char">
    <w:name w:val="Heading 4 Char"/>
    <w:basedOn w:val="DefaultParagraphFont"/>
    <w:link w:val="Heading4"/>
    <w:uiPriority w:val="9"/>
    <w:rsid w:val="0033420E"/>
    <w:rPr>
      <w:rFonts w:asciiTheme="minorHAnsi" w:eastAsiaTheme="minorHAnsi" w:hAnsiTheme="minorHAnsi" w:cs="Arial"/>
      <w:b/>
      <w:bCs/>
      <w:i/>
      <w:sz w:val="26"/>
      <w:szCs w:val="28"/>
      <w:lang w:val="en-US" w:eastAsia="en-US"/>
    </w:rPr>
  </w:style>
  <w:style w:type="character" w:customStyle="1" w:styleId="Heading5Char">
    <w:name w:val="Heading 5 Char"/>
    <w:basedOn w:val="DefaultParagraphFont"/>
    <w:link w:val="Heading5"/>
    <w:uiPriority w:val="9"/>
    <w:rsid w:val="0033420E"/>
    <w:rPr>
      <w:rFonts w:asciiTheme="minorHAnsi" w:eastAsiaTheme="minorHAnsi" w:hAnsiTheme="minorHAnsi" w:cs="Arial"/>
      <w:b/>
      <w:bCs/>
      <w:iCs/>
      <w:sz w:val="26"/>
      <w:szCs w:val="26"/>
      <w:lang w:val="en-US" w:eastAsia="en-US"/>
    </w:rPr>
  </w:style>
  <w:style w:type="character" w:customStyle="1" w:styleId="Heading6Char">
    <w:name w:val="Heading 6 Char"/>
    <w:basedOn w:val="DefaultParagraphFont"/>
    <w:link w:val="Heading6"/>
    <w:uiPriority w:val="9"/>
    <w:rsid w:val="0033420E"/>
    <w:rPr>
      <w:rFonts w:asciiTheme="minorHAnsi" w:eastAsiaTheme="minorHAnsi" w:hAnsiTheme="minorHAnsi" w:cs="Arial"/>
      <w:b/>
      <w:bCs/>
      <w:i/>
      <w:sz w:val="22"/>
      <w:szCs w:val="22"/>
      <w:lang w:val="en-US" w:eastAsia="en-US"/>
    </w:rPr>
  </w:style>
  <w:style w:type="character" w:customStyle="1" w:styleId="01squarebulletChar">
    <w:name w:val="01 square bullet Char"/>
    <w:basedOn w:val="DefaultParagraphFont"/>
    <w:link w:val="01squarebullet"/>
    <w:uiPriority w:val="4"/>
    <w:rsid w:val="0033420E"/>
    <w:rPr>
      <w:rFonts w:asciiTheme="minorHAnsi" w:hAnsiTheme="minorHAnsi"/>
      <w:sz w:val="22"/>
      <w:lang w:val="en-US" w:eastAsia="en-US"/>
    </w:rPr>
  </w:style>
  <w:style w:type="paragraph" w:customStyle="1" w:styleId="03Tableundertext">
    <w:name w:val="03 Table under text"/>
    <w:basedOn w:val="Normal"/>
    <w:rsid w:val="0033420E"/>
    <w:pPr>
      <w:spacing w:before="0" w:line="312" w:lineRule="auto"/>
    </w:pPr>
    <w:rPr>
      <w:bCs/>
      <w:sz w:val="18"/>
      <w:szCs w:val="16"/>
      <w:lang w:val="en-US"/>
    </w:rPr>
  </w:style>
  <w:style w:type="paragraph" w:customStyle="1" w:styleId="x01squarebullet">
    <w:name w:val="x_01squarebullet"/>
    <w:basedOn w:val="Normal"/>
    <w:rsid w:val="002A0574"/>
    <w:pPr>
      <w:spacing w:before="100" w:beforeAutospacing="1" w:after="100" w:afterAutospacing="1"/>
    </w:pPr>
    <w:rPr>
      <w:rFonts w:ascii="Times New Roman" w:hAnsi="Times New Roman"/>
      <w:sz w:val="24"/>
      <w:lang w:val="en-AU"/>
    </w:rPr>
  </w:style>
  <w:style w:type="paragraph" w:customStyle="1" w:styleId="xmsonormal">
    <w:name w:val="x_msonormal"/>
    <w:basedOn w:val="Normal"/>
    <w:rsid w:val="002A0574"/>
    <w:pPr>
      <w:spacing w:before="100" w:beforeAutospacing="1" w:after="100" w:afterAutospacing="1"/>
    </w:pPr>
    <w:rPr>
      <w:rFonts w:ascii="Times New Roman" w:hAnsi="Times New Roman"/>
      <w:sz w:val="24"/>
      <w:lang w:val="en-AU"/>
    </w:rPr>
  </w:style>
  <w:style w:type="numbering" w:customStyle="1" w:styleId="Style21">
    <w:name w:val="Style21"/>
    <w:uiPriority w:val="99"/>
    <w:rsid w:val="006D3B55"/>
  </w:style>
  <w:style w:type="character" w:customStyle="1" w:styleId="Mention1">
    <w:name w:val="Mention1"/>
    <w:basedOn w:val="DefaultParagraphFont"/>
    <w:uiPriority w:val="99"/>
    <w:semiHidden/>
    <w:unhideWhenUsed/>
    <w:rsid w:val="004F6D9E"/>
    <w:rPr>
      <w:color w:val="2B579A"/>
      <w:shd w:val="clear" w:color="auto" w:fill="E6E6E6"/>
    </w:rPr>
  </w:style>
  <w:style w:type="paragraph" w:customStyle="1" w:styleId="FigureCaption">
    <w:name w:val="Figure Caption"/>
    <w:basedOn w:val="Caption"/>
    <w:qFormat/>
    <w:rsid w:val="004D7CE1"/>
    <w:pPr>
      <w:spacing w:line="240" w:lineRule="auto"/>
    </w:pPr>
  </w:style>
  <w:style w:type="character" w:customStyle="1" w:styleId="Mention2">
    <w:name w:val="Mention2"/>
    <w:basedOn w:val="DefaultParagraphFont"/>
    <w:uiPriority w:val="99"/>
    <w:semiHidden/>
    <w:unhideWhenUsed/>
    <w:rsid w:val="00E103C8"/>
    <w:rPr>
      <w:color w:val="2B579A"/>
      <w:shd w:val="clear" w:color="auto" w:fill="E6E6E6"/>
    </w:rPr>
  </w:style>
  <w:style w:type="character" w:customStyle="1" w:styleId="Mention3">
    <w:name w:val="Mention3"/>
    <w:basedOn w:val="DefaultParagraphFont"/>
    <w:uiPriority w:val="99"/>
    <w:semiHidden/>
    <w:unhideWhenUsed/>
    <w:rsid w:val="000817B3"/>
    <w:rPr>
      <w:color w:val="2B579A"/>
      <w:shd w:val="clear" w:color="auto" w:fill="E6E6E6"/>
    </w:rPr>
  </w:style>
  <w:style w:type="character" w:customStyle="1" w:styleId="xmsocommentreference">
    <w:name w:val="x_msocommentreference"/>
    <w:basedOn w:val="DefaultParagraphFont"/>
    <w:rsid w:val="009B6CB1"/>
  </w:style>
  <w:style w:type="paragraph" w:styleId="EndnoteText">
    <w:name w:val="endnote text"/>
    <w:basedOn w:val="Normal"/>
    <w:link w:val="EndnoteTextChar"/>
    <w:uiPriority w:val="74"/>
    <w:semiHidden/>
    <w:unhideWhenUsed/>
    <w:rsid w:val="005D4B5F"/>
    <w:pPr>
      <w:spacing w:before="0" w:after="0"/>
    </w:pPr>
    <w:rPr>
      <w:sz w:val="20"/>
      <w:szCs w:val="20"/>
    </w:rPr>
  </w:style>
  <w:style w:type="character" w:customStyle="1" w:styleId="EndnoteTextChar">
    <w:name w:val="Endnote Text Char"/>
    <w:basedOn w:val="DefaultParagraphFont"/>
    <w:link w:val="EndnoteText"/>
    <w:uiPriority w:val="74"/>
    <w:semiHidden/>
    <w:rsid w:val="005D4B5F"/>
    <w:rPr>
      <w:rFonts w:asciiTheme="minorHAnsi" w:hAnsiTheme="minorHAnsi"/>
      <w:lang w:val="en-GB"/>
    </w:rPr>
  </w:style>
  <w:style w:type="character" w:styleId="EndnoteReference">
    <w:name w:val="endnote reference"/>
    <w:basedOn w:val="DefaultParagraphFont"/>
    <w:uiPriority w:val="74"/>
    <w:semiHidden/>
    <w:unhideWhenUsed/>
    <w:rsid w:val="005D4B5F"/>
    <w:rPr>
      <w:vertAlign w:val="superscript"/>
    </w:rPr>
  </w:style>
  <w:style w:type="character" w:customStyle="1" w:styleId="N1Char">
    <w:name w:val="N 1 Char"/>
    <w:basedOn w:val="DefaultParagraphFont"/>
    <w:link w:val="N1"/>
    <w:locked/>
    <w:rsid w:val="000D6922"/>
  </w:style>
  <w:style w:type="paragraph" w:customStyle="1" w:styleId="N1">
    <w:name w:val="N 1"/>
    <w:basedOn w:val="Normal"/>
    <w:link w:val="N1Char"/>
    <w:rsid w:val="000D6922"/>
    <w:pPr>
      <w:spacing w:before="180"/>
    </w:pPr>
    <w:rPr>
      <w:rFonts w:ascii="Times New Roman" w:hAnsi="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1681467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 w:id="86269325">
          <w:marLeft w:val="44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47379">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7327673">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030608">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26753057">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1043871">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42942790">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799639258">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3176004">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51370724">
      <w:bodyDiv w:val="1"/>
      <w:marLeft w:val="0"/>
      <w:marRight w:val="0"/>
      <w:marTop w:val="0"/>
      <w:marBottom w:val="0"/>
      <w:divBdr>
        <w:top w:val="none" w:sz="0" w:space="0" w:color="auto"/>
        <w:left w:val="none" w:sz="0" w:space="0" w:color="auto"/>
        <w:bottom w:val="none" w:sz="0" w:space="0" w:color="auto"/>
        <w:right w:val="none" w:sz="0" w:space="0" w:color="auto"/>
      </w:divBdr>
      <w:divsChild>
        <w:div w:id="23097461">
          <w:marLeft w:val="1493"/>
          <w:marRight w:val="142"/>
          <w:marTop w:val="0"/>
          <w:marBottom w:val="0"/>
          <w:divBdr>
            <w:top w:val="single" w:sz="8" w:space="1" w:color="auto"/>
            <w:left w:val="single" w:sz="8" w:space="4" w:color="auto"/>
            <w:bottom w:val="single" w:sz="8" w:space="1" w:color="auto"/>
            <w:right w:val="single" w:sz="8" w:space="4" w:color="auto"/>
          </w:divBdr>
        </w:div>
        <w:div w:id="1790855972">
          <w:marLeft w:val="2213"/>
          <w:marRight w:val="142"/>
          <w:marTop w:val="0"/>
          <w:marBottom w:val="0"/>
          <w:divBdr>
            <w:top w:val="single" w:sz="8" w:space="1" w:color="auto"/>
            <w:left w:val="single" w:sz="8" w:space="4" w:color="auto"/>
            <w:bottom w:val="single" w:sz="8" w:space="1" w:color="auto"/>
            <w:right w:val="single" w:sz="8" w:space="4" w:color="auto"/>
          </w:divBdr>
        </w:div>
        <w:div w:id="986518033">
          <w:marLeft w:val="1493"/>
          <w:marRight w:val="142"/>
          <w:marTop w:val="0"/>
          <w:marBottom w:val="0"/>
          <w:divBdr>
            <w:top w:val="single" w:sz="8" w:space="1" w:color="auto"/>
            <w:left w:val="single" w:sz="8" w:space="4" w:color="auto"/>
            <w:bottom w:val="single" w:sz="8" w:space="1" w:color="auto"/>
            <w:right w:val="single" w:sz="8" w:space="4" w:color="auto"/>
          </w:divBdr>
        </w:div>
        <w:div w:id="592083656">
          <w:marLeft w:val="2213"/>
          <w:marRight w:val="142"/>
          <w:marTop w:val="0"/>
          <w:marBottom w:val="0"/>
          <w:divBdr>
            <w:top w:val="single" w:sz="8" w:space="1" w:color="auto"/>
            <w:left w:val="single" w:sz="8" w:space="4" w:color="auto"/>
            <w:bottom w:val="single" w:sz="8" w:space="1" w:color="auto"/>
            <w:right w:val="single" w:sz="8" w:space="4" w:color="auto"/>
          </w:divBdr>
        </w:div>
      </w:divsChild>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www.rcpa.edu.au/getattachment/116f0bd4-2c07-4613-b8b0-8d34b53cfd05/Appropriate-Use-of-the-Erythrocyte-Sedimentation-R.aspx"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pbs.gov.au/reviews/atrial-fibrillation-files/report-anticoagulation.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hoosingwisely.org.au/recommendations/ranzc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ealth.gov.au/internet/main/publishing.nsf/content/mbrs-report-obstetrics-clinical-committee" TargetMode="External"/><Relationship Id="rId20" Type="http://schemas.openxmlformats.org/officeDocument/2006/relationships/hyperlink" Target="https://www.blood.gov.au/pubs/1516report/index.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yperlink" Target="https://www.blood.gov.au/Ig-governan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55DFD817-9B85-4023-960C-04CBB225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20924</Words>
  <Characters>119272</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Renal Medicine Clinical Committee Draft Report</vt:lpstr>
    </vt:vector>
  </TitlesOfParts>
  <Company>Dept Health And Ageing</Company>
  <LinksUpToDate>false</LinksUpToDate>
  <CharactersWithSpaces>139917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Renal Medicine Clinical Committee Draft Report</dc:title>
  <dc:creator>Renal Medicine Clinical Committee</dc:creator>
  <cp:lastModifiedBy>SMEDLEY, Tyne</cp:lastModifiedBy>
  <cp:revision>2</cp:revision>
  <cp:lastPrinted>2017-10-09T23:05:00Z</cp:lastPrinted>
  <dcterms:created xsi:type="dcterms:W3CDTF">2021-06-29T01:40:00Z</dcterms:created>
  <dcterms:modified xsi:type="dcterms:W3CDTF">2021-06-29T01:40:00Z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7b34cf94-a2f4-3b72-87b6-90a8bb5c4388</vt:lpwstr>
  </property>
  <property fmtid="{D5CDD505-2E9C-101B-9397-08002B2CF9AE}" pid="25" name="DMSDOCTYPE">
    <vt:lpwstr/>
  </property>
  <property fmtid="{D5CDD505-2E9C-101B-9397-08002B2CF9AE}" pid="26" name="DraftType">
    <vt:lpwstr/>
  </property>
  <property fmtid="{D5CDD505-2E9C-101B-9397-08002B2CF9AE}" pid="27" name="WPLUSServerName">
    <vt:lpwstr/>
  </property>
  <property fmtid="{D5CDD505-2E9C-101B-9397-08002B2CF9AE}" pid="28" name="WPLUSDataBaseName">
    <vt:lpwstr/>
  </property>
  <property fmtid="{D5CDD505-2E9C-101B-9397-08002B2CF9AE}" pid="29" name="WPLUSDocumentUNID">
    <vt:lpwstr/>
  </property>
  <property fmtid="{D5CDD505-2E9C-101B-9397-08002B2CF9AE}" pid="30" name="NeverSavedToNT">
    <vt:lpwstr/>
  </property>
</Properties>
</file>