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05975" w14:textId="77777777" w:rsidR="00C55B76" w:rsidRPr="00720661" w:rsidRDefault="00A919FB" w:rsidP="003473D5">
      <w:pPr>
        <w:pStyle w:val="Subtitle"/>
        <w:pBdr>
          <w:top w:val="double" w:sz="4" w:space="6" w:color="B66113"/>
          <w:bottom w:val="double" w:sz="4" w:space="6" w:color="B66113"/>
        </w:pBdr>
        <w:ind w:right="-188"/>
        <w:rPr>
          <w:rFonts w:asciiTheme="minorHAnsi" w:hAnsiTheme="minorHAnsi"/>
          <w:b/>
          <w:color w:val="01653F"/>
          <w:sz w:val="48"/>
          <w:lang w:val="en-AU"/>
        </w:rPr>
      </w:pPr>
      <w:bookmarkStart w:id="0" w:name="_Toc448369494"/>
      <w:bookmarkStart w:id="1" w:name="_Toc427153112"/>
      <w:r w:rsidRPr="00720661">
        <w:rPr>
          <w:rFonts w:asciiTheme="minorHAnsi" w:hAnsiTheme="minorHAnsi"/>
          <w:b/>
          <w:color w:val="01653F"/>
          <w:sz w:val="48"/>
          <w:lang w:val="en-AU"/>
        </w:rPr>
        <w:t>Medicare Benefits Schedule Review Taskforce</w:t>
      </w:r>
      <w:r w:rsidR="007B0B8F" w:rsidRPr="00720661">
        <w:rPr>
          <w:rFonts w:asciiTheme="minorHAnsi" w:hAnsiTheme="minorHAnsi"/>
          <w:b/>
          <w:color w:val="01653F"/>
          <w:sz w:val="48"/>
          <w:lang w:val="en-AU"/>
        </w:rPr>
        <w:br/>
      </w:r>
      <w:r w:rsidR="007B0B8F" w:rsidRPr="00720661">
        <w:rPr>
          <w:rFonts w:asciiTheme="minorHAnsi" w:hAnsiTheme="minorHAnsi"/>
          <w:b/>
          <w:color w:val="01653F"/>
          <w:sz w:val="48"/>
          <w:lang w:val="en-AU"/>
        </w:rPr>
        <w:br/>
      </w:r>
      <w:r w:rsidR="007B0B8F" w:rsidRPr="00720661">
        <w:rPr>
          <w:rFonts w:asciiTheme="minorHAnsi" w:hAnsiTheme="minorHAnsi"/>
          <w:b/>
          <w:color w:val="01653F"/>
          <w:sz w:val="48"/>
          <w:lang w:val="en-AU"/>
        </w:rPr>
        <w:br/>
      </w:r>
      <w:r w:rsidRPr="00720661">
        <w:rPr>
          <w:rFonts w:asciiTheme="minorHAnsi" w:hAnsiTheme="minorHAnsi"/>
          <w:b/>
          <w:color w:val="000000" w:themeColor="text1"/>
          <w:sz w:val="60"/>
          <w:lang w:val="en-AU"/>
        </w:rPr>
        <w:t xml:space="preserve">Report from the </w:t>
      </w:r>
      <w:r w:rsidR="00C5240A" w:rsidRPr="00720661">
        <w:rPr>
          <w:rFonts w:asciiTheme="minorHAnsi" w:hAnsiTheme="minorHAnsi"/>
          <w:b/>
          <w:color w:val="000000" w:themeColor="text1"/>
          <w:sz w:val="60"/>
          <w:lang w:val="en-AU"/>
        </w:rPr>
        <w:t>Pathology</w:t>
      </w:r>
      <w:r w:rsidR="007B0B8F" w:rsidRPr="00720661">
        <w:rPr>
          <w:rFonts w:asciiTheme="minorHAnsi" w:hAnsiTheme="minorHAnsi"/>
          <w:b/>
          <w:color w:val="000000" w:themeColor="text1"/>
          <w:sz w:val="60"/>
          <w:lang w:val="en-AU"/>
        </w:rPr>
        <w:t xml:space="preserve"> </w:t>
      </w:r>
      <w:r w:rsidRPr="00720661">
        <w:rPr>
          <w:rFonts w:asciiTheme="minorHAnsi" w:hAnsiTheme="minorHAnsi"/>
          <w:b/>
          <w:color w:val="000000" w:themeColor="text1"/>
          <w:sz w:val="60"/>
          <w:lang w:val="en-AU"/>
        </w:rPr>
        <w:t>Clinical Committee</w:t>
      </w:r>
      <w:r w:rsidR="00621B8E">
        <w:rPr>
          <w:rFonts w:asciiTheme="minorHAnsi" w:hAnsiTheme="minorHAnsi"/>
          <w:b/>
          <w:color w:val="000000" w:themeColor="text1"/>
          <w:sz w:val="60"/>
          <w:lang w:val="en-AU"/>
        </w:rPr>
        <w:t>—</w:t>
      </w:r>
      <w:r w:rsidR="0009619B" w:rsidRPr="00720661">
        <w:rPr>
          <w:rFonts w:asciiTheme="minorHAnsi" w:hAnsiTheme="minorHAnsi"/>
          <w:b/>
          <w:color w:val="000000" w:themeColor="text1"/>
          <w:sz w:val="60"/>
          <w:lang w:val="en-AU"/>
        </w:rPr>
        <w:t>Genetics</w:t>
      </w:r>
      <w:r w:rsidRPr="00720661">
        <w:rPr>
          <w:color w:val="01653F"/>
          <w:sz w:val="60"/>
          <w:lang w:val="en-AU"/>
        </w:rPr>
        <w:br/>
      </w:r>
    </w:p>
    <w:p w14:paraId="2C74C189" w14:textId="77777777" w:rsidR="00A919FB" w:rsidRPr="00720661" w:rsidRDefault="00621B8E" w:rsidP="008460E3">
      <w:pPr>
        <w:pStyle w:val="Subtitle"/>
        <w:pBdr>
          <w:top w:val="double" w:sz="4" w:space="6" w:color="B66113"/>
          <w:bottom w:val="double" w:sz="4" w:space="6" w:color="B66113"/>
        </w:pBdr>
        <w:ind w:right="-188"/>
        <w:jc w:val="center"/>
        <w:rPr>
          <w:rFonts w:asciiTheme="minorHAnsi" w:hAnsiTheme="minorHAnsi"/>
          <w:b/>
          <w:color w:val="01653F"/>
          <w:sz w:val="48"/>
          <w:lang w:val="en-AU"/>
        </w:rPr>
      </w:pPr>
      <w:r>
        <w:rPr>
          <w:rFonts w:asciiTheme="minorHAnsi" w:hAnsiTheme="minorHAnsi"/>
          <w:b/>
          <w:color w:val="01653F"/>
          <w:sz w:val="48"/>
          <w:lang w:val="en-AU"/>
        </w:rPr>
        <w:t xml:space="preserve">October </w:t>
      </w:r>
      <w:r w:rsidR="00F10518" w:rsidRPr="00720661">
        <w:rPr>
          <w:rFonts w:asciiTheme="minorHAnsi" w:hAnsiTheme="minorHAnsi"/>
          <w:b/>
          <w:color w:val="01653F"/>
          <w:sz w:val="48"/>
          <w:lang w:val="en-AU"/>
        </w:rPr>
        <w:t>2017</w:t>
      </w:r>
    </w:p>
    <w:p w14:paraId="16316B0E" w14:textId="77777777" w:rsidR="00A919FB" w:rsidRPr="00720661" w:rsidRDefault="00A919FB" w:rsidP="00A919FB">
      <w:pPr>
        <w:rPr>
          <w:lang w:val="en-AU"/>
        </w:rPr>
      </w:pPr>
    </w:p>
    <w:p w14:paraId="00E4BA1A" w14:textId="77777777" w:rsidR="00A919FB" w:rsidRPr="00720661" w:rsidRDefault="00A919FB" w:rsidP="00A919FB">
      <w:pPr>
        <w:rPr>
          <w:lang w:val="en-AU"/>
        </w:rPr>
      </w:pPr>
    </w:p>
    <w:p w14:paraId="61C42BE5" w14:textId="77777777" w:rsidR="00B1476E" w:rsidRPr="00720661" w:rsidRDefault="00B1476E" w:rsidP="00A919FB">
      <w:pPr>
        <w:rPr>
          <w:lang w:val="en-AU"/>
        </w:rPr>
        <w:sectPr w:rsidR="00B1476E" w:rsidRPr="00720661" w:rsidSect="0048563C">
          <w:headerReference w:type="default" r:id="rId8"/>
          <w:footerReference w:type="default" r:id="rId9"/>
          <w:pgSz w:w="11906" w:h="16838" w:code="9"/>
          <w:pgMar w:top="1440" w:right="1440" w:bottom="1276" w:left="1440" w:header="720" w:footer="720" w:gutter="0"/>
          <w:paperSrc w:first="2" w:other="2"/>
          <w:cols w:space="720"/>
          <w:docGrid w:linePitch="326"/>
        </w:sectPr>
      </w:pPr>
    </w:p>
    <w:tbl>
      <w:tblPr>
        <w:tblStyle w:val="TableGrid"/>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left w:w="28" w:type="dxa"/>
          <w:bottom w:w="28" w:type="dxa"/>
          <w:right w:w="28" w:type="dxa"/>
        </w:tblCellMar>
        <w:tblLook w:val="04A0" w:firstRow="1" w:lastRow="0" w:firstColumn="1" w:lastColumn="0" w:noHBand="0" w:noVBand="1"/>
        <w:tblCaption w:val="Important Note"/>
        <w:tblDescription w:val="The views and recommendations in this report from the Clinical Committee have been released for the purpose of seeking the views of stakeholders. &#10;This report does not constitute the final position on these items, which is subject to: &#10;Δ Stakeholder feedback.&#10;Then&#10;Δ Consideration by the MBS Review Taskforce.&#10;Then, if endorsed, consideration by&#10;Δ The Minister for Health. &#10;Δ The Government.&#10;Stakeholders should provide comment on the recommendations via mbsreviews@health.gov.au.&#10;Confidentiality of comments: &#10;If you would like your feedback to remain confidential, please mark it as such. It is important to be aware that confidential feedback may still be subject to access under freedom of information law.&#10;"/>
      </w:tblPr>
      <w:tblGrid>
        <w:gridCol w:w="8996"/>
      </w:tblGrid>
      <w:tr w:rsidR="00A741E5" w14:paraId="4B016FD6" w14:textId="77777777" w:rsidTr="00A741E5">
        <w:trPr>
          <w:tblHeader/>
        </w:trPr>
        <w:tc>
          <w:tcPr>
            <w:tcW w:w="9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hideMark/>
          </w:tcPr>
          <w:p w14:paraId="3DD4CFBA" w14:textId="77777777" w:rsidR="00A741E5" w:rsidRDefault="00A741E5">
            <w:pPr>
              <w:rPr>
                <w:rFonts w:cstheme="minorHAnsi"/>
                <w:b/>
                <w:color w:val="01653F"/>
                <w:sz w:val="32"/>
                <w:szCs w:val="32"/>
                <w:lang w:val="en-AU"/>
              </w:rPr>
            </w:pPr>
            <w:r>
              <w:rPr>
                <w:rFonts w:cstheme="minorHAnsi"/>
                <w:b/>
                <w:color w:val="01653F"/>
                <w:sz w:val="32"/>
                <w:szCs w:val="32"/>
              </w:rPr>
              <w:lastRenderedPageBreak/>
              <w:t>Important note</w:t>
            </w:r>
          </w:p>
          <w:p w14:paraId="2831E837" w14:textId="77777777" w:rsidR="00A741E5" w:rsidRDefault="00A741E5">
            <w:pPr>
              <w:rPr>
                <w:rFonts w:ascii="Calibri" w:hAnsi="Calibri"/>
                <w:szCs w:val="22"/>
              </w:rPr>
            </w:pPr>
            <w:r>
              <w:t xml:space="preserve">The views and recommendations in this report from the Clinical Committee have been released for the purpose of seeking the views of stakeholders. </w:t>
            </w:r>
          </w:p>
          <w:p w14:paraId="1DA65110" w14:textId="77777777" w:rsidR="00A741E5" w:rsidRDefault="00A741E5">
            <w:r>
              <w:t xml:space="preserve">This report does not constitute the final position on these items, which is subject to: </w:t>
            </w:r>
          </w:p>
          <w:p w14:paraId="10808671" w14:textId="77777777" w:rsidR="00A741E5" w:rsidRDefault="00A741E5" w:rsidP="00A741E5">
            <w:pPr>
              <w:pStyle w:val="01squarebullet"/>
              <w:numPr>
                <w:ilvl w:val="0"/>
                <w:numId w:val="31"/>
              </w:numPr>
              <w:ind w:right="0"/>
            </w:pPr>
            <w:r>
              <w:t>Stakeholder feedback.</w:t>
            </w:r>
          </w:p>
          <w:p w14:paraId="2DB2564C" w14:textId="77777777" w:rsidR="00A741E5" w:rsidRDefault="00A741E5">
            <w:pPr>
              <w:pStyle w:val="01squarebullet"/>
              <w:numPr>
                <w:ilvl w:val="0"/>
                <w:numId w:val="0"/>
              </w:numPr>
            </w:pPr>
            <w:r>
              <w:t>Then</w:t>
            </w:r>
          </w:p>
          <w:p w14:paraId="2DA572C2" w14:textId="77777777" w:rsidR="00A741E5" w:rsidRDefault="00A741E5" w:rsidP="00A741E5">
            <w:pPr>
              <w:pStyle w:val="01squarebullet"/>
              <w:numPr>
                <w:ilvl w:val="0"/>
                <w:numId w:val="31"/>
              </w:numPr>
              <w:ind w:right="0"/>
            </w:pPr>
            <w:r>
              <w:t>Consideration by the MBS Review Taskforce.</w:t>
            </w:r>
          </w:p>
          <w:p w14:paraId="3F304B74" w14:textId="77777777" w:rsidR="00A741E5" w:rsidRDefault="00A741E5">
            <w:pPr>
              <w:pStyle w:val="01squarebullet"/>
              <w:numPr>
                <w:ilvl w:val="0"/>
                <w:numId w:val="0"/>
              </w:numPr>
            </w:pPr>
            <w:r>
              <w:t xml:space="preserve">Then, </w:t>
            </w:r>
            <w:r>
              <w:rPr>
                <w:i/>
              </w:rPr>
              <w:t>if endorsed</w:t>
            </w:r>
            <w:r>
              <w:t>, consideration by</w:t>
            </w:r>
          </w:p>
          <w:p w14:paraId="3ACB65DA" w14:textId="77777777" w:rsidR="00A741E5" w:rsidRDefault="00A741E5" w:rsidP="00A741E5">
            <w:pPr>
              <w:pStyle w:val="01squarebullet"/>
              <w:numPr>
                <w:ilvl w:val="0"/>
                <w:numId w:val="31"/>
              </w:numPr>
              <w:ind w:right="0"/>
            </w:pPr>
            <w:r>
              <w:t xml:space="preserve">The Minister for Health. </w:t>
            </w:r>
          </w:p>
          <w:p w14:paraId="280F2554" w14:textId="77777777" w:rsidR="00A741E5" w:rsidRDefault="00A741E5" w:rsidP="00A741E5">
            <w:pPr>
              <w:pStyle w:val="01squarebullet"/>
              <w:numPr>
                <w:ilvl w:val="0"/>
                <w:numId w:val="31"/>
              </w:numPr>
              <w:ind w:right="0"/>
            </w:pPr>
            <w:r>
              <w:t>The Government.</w:t>
            </w:r>
          </w:p>
          <w:p w14:paraId="6817C5C7" w14:textId="77777777" w:rsidR="00A741E5" w:rsidRDefault="00A741E5">
            <w:pPr>
              <w:rPr>
                <w:u w:val="single"/>
              </w:rPr>
            </w:pPr>
            <w:r>
              <w:t xml:space="preserve">Stakeholders should provide comment on the recommendations via </w:t>
            </w:r>
            <w:hyperlink r:id="rId10" w:history="1">
              <w:r>
                <w:rPr>
                  <w:rStyle w:val="Hyperlink"/>
                </w:rPr>
                <w:t>mbsreviews@health.gov.au</w:t>
              </w:r>
            </w:hyperlink>
            <w:r>
              <w:t>.</w:t>
            </w:r>
          </w:p>
          <w:p w14:paraId="730B6152" w14:textId="77777777" w:rsidR="00A741E5" w:rsidRDefault="00A741E5">
            <w:pPr>
              <w:rPr>
                <w:rFonts w:cstheme="minorHAnsi"/>
                <w:b/>
                <w:color w:val="01653F"/>
                <w:sz w:val="32"/>
                <w:szCs w:val="32"/>
                <w:lang w:val="en-AU"/>
              </w:rPr>
            </w:pPr>
            <w:r>
              <w:rPr>
                <w:rFonts w:cstheme="minorHAnsi"/>
                <w:b/>
                <w:color w:val="01653F"/>
                <w:sz w:val="32"/>
                <w:szCs w:val="32"/>
              </w:rPr>
              <w:t xml:space="preserve">Confidentiality of comments: </w:t>
            </w:r>
          </w:p>
          <w:p w14:paraId="16A17490" w14:textId="77777777" w:rsidR="00A741E5" w:rsidRDefault="00A741E5">
            <w:pPr>
              <w:rPr>
                <w:rFonts w:ascii="Calibri" w:hAnsi="Calibri"/>
                <w:szCs w:val="22"/>
              </w:rPr>
            </w:pPr>
            <w:r>
              <w:t>If you would like your feedback to remain confidential, please mark it as such. It is important to be aware that confidential feedback may still be subject to access under freedom of information law.</w:t>
            </w:r>
          </w:p>
        </w:tc>
      </w:tr>
    </w:tbl>
    <w:p w14:paraId="112C2F13" w14:textId="77777777" w:rsidR="007606F4" w:rsidRPr="00720661" w:rsidRDefault="007606F4" w:rsidP="007606F4">
      <w:pPr>
        <w:rPr>
          <w:lang w:val="en-AU"/>
        </w:rPr>
      </w:pPr>
    </w:p>
    <w:p w14:paraId="6716A692" w14:textId="77777777" w:rsidR="00262127" w:rsidRPr="00720661" w:rsidRDefault="00262127" w:rsidP="00082595">
      <w:pPr>
        <w:rPr>
          <w:lang w:val="en-AU"/>
        </w:rPr>
      </w:pPr>
      <w:r w:rsidRPr="00720661">
        <w:rPr>
          <w:lang w:val="en-AU"/>
        </w:rPr>
        <w:br w:type="page"/>
      </w:r>
    </w:p>
    <w:p w14:paraId="6B01117E" w14:textId="77777777" w:rsidR="00CE268D" w:rsidRPr="00720661" w:rsidRDefault="00C56DF9" w:rsidP="00A773F4">
      <w:pPr>
        <w:rPr>
          <w:b/>
          <w:color w:val="01653F"/>
          <w:sz w:val="32"/>
          <w:lang w:val="en-AU"/>
        </w:rPr>
      </w:pPr>
      <w:r w:rsidRPr="00720661">
        <w:rPr>
          <w:b/>
          <w:color w:val="01653F"/>
          <w:sz w:val="32"/>
          <w:lang w:val="en-AU"/>
        </w:rPr>
        <w:lastRenderedPageBreak/>
        <w:t>Table of Contents</w:t>
      </w:r>
      <w:bookmarkEnd w:id="0"/>
    </w:p>
    <w:p w14:paraId="4C627E9C" w14:textId="340F51A8" w:rsidR="009A1BCE" w:rsidRDefault="00A5097F">
      <w:pPr>
        <w:pStyle w:val="TOC1"/>
        <w:rPr>
          <w:rFonts w:eastAsiaTheme="minorEastAsia" w:cstheme="minorBidi"/>
          <w:b w:val="0"/>
          <w:bCs w:val="0"/>
          <w:noProof/>
          <w:sz w:val="22"/>
          <w:szCs w:val="22"/>
          <w:lang w:val="en-AU"/>
        </w:rPr>
      </w:pPr>
      <w:r w:rsidRPr="009A54A7">
        <w:rPr>
          <w:lang w:val="en-AU"/>
        </w:rPr>
        <w:fldChar w:fldCharType="begin"/>
      </w:r>
      <w:r w:rsidRPr="00720661">
        <w:rPr>
          <w:lang w:val="en-AU"/>
        </w:rPr>
        <w:instrText xml:space="preserve"> TOC \h \z \u \t "Heading 1,1,Heading 2,2,Heading 3,3</w:instrText>
      </w:r>
      <w:r w:rsidR="001D17CD" w:rsidRPr="00720661">
        <w:rPr>
          <w:lang w:val="en-AU"/>
        </w:rPr>
        <w:instrText>, Appendix Style 1, 1</w:instrText>
      </w:r>
      <w:r w:rsidRPr="00720661">
        <w:rPr>
          <w:lang w:val="en-AU"/>
        </w:rPr>
        <w:instrText xml:space="preserve">" </w:instrText>
      </w:r>
      <w:r w:rsidRPr="009A54A7">
        <w:rPr>
          <w:lang w:val="en-AU"/>
        </w:rPr>
        <w:fldChar w:fldCharType="separate"/>
      </w:r>
      <w:hyperlink w:anchor="_Toc13735955" w:history="1">
        <w:r w:rsidR="009A1BCE" w:rsidRPr="001976EF">
          <w:rPr>
            <w:rStyle w:val="Hyperlink"/>
            <w:noProof/>
            <w:lang w:val="en-AU" w:bidi="x-none"/>
            <w14:scene3d>
              <w14:camera w14:prst="orthographicFront"/>
              <w14:lightRig w14:rig="threePt" w14:dir="t">
                <w14:rot w14:lat="0" w14:lon="0" w14:rev="0"/>
              </w14:lightRig>
            </w14:scene3d>
          </w:rPr>
          <w:t>1.</w:t>
        </w:r>
        <w:r w:rsidR="009A1BCE">
          <w:rPr>
            <w:rFonts w:eastAsiaTheme="minorEastAsia" w:cstheme="minorBidi"/>
            <w:b w:val="0"/>
            <w:bCs w:val="0"/>
            <w:noProof/>
            <w:sz w:val="22"/>
            <w:szCs w:val="22"/>
            <w:lang w:val="en-AU"/>
          </w:rPr>
          <w:tab/>
        </w:r>
        <w:r w:rsidR="009A1BCE" w:rsidRPr="001976EF">
          <w:rPr>
            <w:rStyle w:val="Hyperlink"/>
            <w:noProof/>
            <w:lang w:val="en-AU"/>
          </w:rPr>
          <w:t>Executive summary</w:t>
        </w:r>
        <w:r w:rsidR="009A1BCE">
          <w:rPr>
            <w:noProof/>
            <w:webHidden/>
          </w:rPr>
          <w:tab/>
        </w:r>
        <w:r w:rsidR="009A1BCE">
          <w:rPr>
            <w:noProof/>
            <w:webHidden/>
          </w:rPr>
          <w:fldChar w:fldCharType="begin"/>
        </w:r>
        <w:r w:rsidR="009A1BCE">
          <w:rPr>
            <w:noProof/>
            <w:webHidden/>
          </w:rPr>
          <w:instrText xml:space="preserve"> PAGEREF _Toc13735955 \h </w:instrText>
        </w:r>
        <w:r w:rsidR="009A1BCE">
          <w:rPr>
            <w:noProof/>
            <w:webHidden/>
          </w:rPr>
        </w:r>
        <w:r w:rsidR="009A1BCE">
          <w:rPr>
            <w:noProof/>
            <w:webHidden/>
          </w:rPr>
          <w:fldChar w:fldCharType="separate"/>
        </w:r>
        <w:r w:rsidR="009A1BCE">
          <w:rPr>
            <w:noProof/>
            <w:webHidden/>
          </w:rPr>
          <w:t>1</w:t>
        </w:r>
        <w:r w:rsidR="009A1BCE">
          <w:rPr>
            <w:noProof/>
            <w:webHidden/>
          </w:rPr>
          <w:fldChar w:fldCharType="end"/>
        </w:r>
      </w:hyperlink>
    </w:p>
    <w:p w14:paraId="79A0121E" w14:textId="3ACA22C7" w:rsidR="009A1BCE" w:rsidRDefault="00367D11">
      <w:pPr>
        <w:pStyle w:val="TOC2"/>
        <w:rPr>
          <w:rFonts w:eastAsiaTheme="minorEastAsia" w:cstheme="minorBidi"/>
          <w:i w:val="0"/>
          <w:iCs w:val="0"/>
          <w:noProof/>
          <w:sz w:val="22"/>
          <w:szCs w:val="22"/>
          <w:lang w:val="en-AU"/>
        </w:rPr>
      </w:pPr>
      <w:hyperlink w:anchor="_Toc13735956" w:history="1">
        <w:r w:rsidR="009A1BCE" w:rsidRPr="001976EF">
          <w:rPr>
            <w:rStyle w:val="Hyperlink"/>
            <w:noProof/>
          </w:rPr>
          <w:t>1.1</w:t>
        </w:r>
        <w:r w:rsidR="009A1BCE">
          <w:rPr>
            <w:rFonts w:eastAsiaTheme="minorEastAsia" w:cstheme="minorBidi"/>
            <w:i w:val="0"/>
            <w:iCs w:val="0"/>
            <w:noProof/>
            <w:sz w:val="22"/>
            <w:szCs w:val="22"/>
            <w:lang w:val="en-AU"/>
          </w:rPr>
          <w:tab/>
        </w:r>
        <w:r w:rsidR="009A1BCE" w:rsidRPr="001976EF">
          <w:rPr>
            <w:rStyle w:val="Hyperlink"/>
            <w:noProof/>
          </w:rPr>
          <w:t>The Pathology Clinical Committee</w:t>
        </w:r>
        <w:r w:rsidR="009A1BCE">
          <w:rPr>
            <w:noProof/>
            <w:webHidden/>
          </w:rPr>
          <w:tab/>
        </w:r>
        <w:r w:rsidR="009A1BCE">
          <w:rPr>
            <w:noProof/>
            <w:webHidden/>
          </w:rPr>
          <w:fldChar w:fldCharType="begin"/>
        </w:r>
        <w:r w:rsidR="009A1BCE">
          <w:rPr>
            <w:noProof/>
            <w:webHidden/>
          </w:rPr>
          <w:instrText xml:space="preserve"> PAGEREF _Toc13735956 \h </w:instrText>
        </w:r>
        <w:r w:rsidR="009A1BCE">
          <w:rPr>
            <w:noProof/>
            <w:webHidden/>
          </w:rPr>
        </w:r>
        <w:r w:rsidR="009A1BCE">
          <w:rPr>
            <w:noProof/>
            <w:webHidden/>
          </w:rPr>
          <w:fldChar w:fldCharType="separate"/>
        </w:r>
        <w:r w:rsidR="009A1BCE">
          <w:rPr>
            <w:noProof/>
            <w:webHidden/>
          </w:rPr>
          <w:t>1</w:t>
        </w:r>
        <w:r w:rsidR="009A1BCE">
          <w:rPr>
            <w:noProof/>
            <w:webHidden/>
          </w:rPr>
          <w:fldChar w:fldCharType="end"/>
        </w:r>
      </w:hyperlink>
    </w:p>
    <w:p w14:paraId="0CE3F4E0" w14:textId="1244E861" w:rsidR="009A1BCE" w:rsidRDefault="00367D11">
      <w:pPr>
        <w:pStyle w:val="TOC2"/>
        <w:rPr>
          <w:rFonts w:eastAsiaTheme="minorEastAsia" w:cstheme="minorBidi"/>
          <w:i w:val="0"/>
          <w:iCs w:val="0"/>
          <w:noProof/>
          <w:sz w:val="22"/>
          <w:szCs w:val="22"/>
          <w:lang w:val="en-AU"/>
        </w:rPr>
      </w:pPr>
      <w:hyperlink w:anchor="_Toc13735957" w:history="1">
        <w:r w:rsidR="009A1BCE" w:rsidRPr="001976EF">
          <w:rPr>
            <w:rStyle w:val="Hyperlink"/>
            <w:noProof/>
          </w:rPr>
          <w:t>1.2</w:t>
        </w:r>
        <w:r w:rsidR="009A1BCE">
          <w:rPr>
            <w:rFonts w:eastAsiaTheme="minorEastAsia" w:cstheme="minorBidi"/>
            <w:i w:val="0"/>
            <w:iCs w:val="0"/>
            <w:noProof/>
            <w:sz w:val="22"/>
            <w:szCs w:val="22"/>
            <w:lang w:val="en-AU"/>
          </w:rPr>
          <w:tab/>
        </w:r>
        <w:r w:rsidR="009A1BCE" w:rsidRPr="001976EF">
          <w:rPr>
            <w:rStyle w:val="Hyperlink"/>
            <w:noProof/>
          </w:rPr>
          <w:t>Key recommendations</w:t>
        </w:r>
        <w:r w:rsidR="009A1BCE">
          <w:rPr>
            <w:noProof/>
            <w:webHidden/>
          </w:rPr>
          <w:tab/>
        </w:r>
        <w:r w:rsidR="009A1BCE">
          <w:rPr>
            <w:noProof/>
            <w:webHidden/>
          </w:rPr>
          <w:fldChar w:fldCharType="begin"/>
        </w:r>
        <w:r w:rsidR="009A1BCE">
          <w:rPr>
            <w:noProof/>
            <w:webHidden/>
          </w:rPr>
          <w:instrText xml:space="preserve"> PAGEREF _Toc13735957 \h </w:instrText>
        </w:r>
        <w:r w:rsidR="009A1BCE">
          <w:rPr>
            <w:noProof/>
            <w:webHidden/>
          </w:rPr>
        </w:r>
        <w:r w:rsidR="009A1BCE">
          <w:rPr>
            <w:noProof/>
            <w:webHidden/>
          </w:rPr>
          <w:fldChar w:fldCharType="separate"/>
        </w:r>
        <w:r w:rsidR="009A1BCE">
          <w:rPr>
            <w:noProof/>
            <w:webHidden/>
          </w:rPr>
          <w:t>1</w:t>
        </w:r>
        <w:r w:rsidR="009A1BCE">
          <w:rPr>
            <w:noProof/>
            <w:webHidden/>
          </w:rPr>
          <w:fldChar w:fldCharType="end"/>
        </w:r>
      </w:hyperlink>
    </w:p>
    <w:p w14:paraId="2035DF1D" w14:textId="4E4BB2AB" w:rsidR="009A1BCE" w:rsidRDefault="00367D11">
      <w:pPr>
        <w:pStyle w:val="TOC3"/>
        <w:rPr>
          <w:rFonts w:eastAsiaTheme="minorEastAsia" w:cstheme="minorBidi"/>
          <w:noProof/>
          <w:sz w:val="22"/>
          <w:szCs w:val="22"/>
          <w:lang w:val="en-AU"/>
        </w:rPr>
      </w:pPr>
      <w:hyperlink w:anchor="_Toc13735958" w:history="1">
        <w:r w:rsidR="009A1BCE" w:rsidRPr="001976EF">
          <w:rPr>
            <w:rStyle w:val="Hyperlink"/>
            <w:noProof/>
            <w:lang w:val="en-AU"/>
          </w:rPr>
          <w:t>Recommendations for consultation</w:t>
        </w:r>
        <w:r w:rsidR="009A1BCE">
          <w:rPr>
            <w:noProof/>
            <w:webHidden/>
          </w:rPr>
          <w:tab/>
        </w:r>
        <w:r w:rsidR="009A1BCE">
          <w:rPr>
            <w:noProof/>
            <w:webHidden/>
          </w:rPr>
          <w:fldChar w:fldCharType="begin"/>
        </w:r>
        <w:r w:rsidR="009A1BCE">
          <w:rPr>
            <w:noProof/>
            <w:webHidden/>
          </w:rPr>
          <w:instrText xml:space="preserve"> PAGEREF _Toc13735958 \h </w:instrText>
        </w:r>
        <w:r w:rsidR="009A1BCE">
          <w:rPr>
            <w:noProof/>
            <w:webHidden/>
          </w:rPr>
        </w:r>
        <w:r w:rsidR="009A1BCE">
          <w:rPr>
            <w:noProof/>
            <w:webHidden/>
          </w:rPr>
          <w:fldChar w:fldCharType="separate"/>
        </w:r>
        <w:r w:rsidR="009A1BCE">
          <w:rPr>
            <w:noProof/>
            <w:webHidden/>
          </w:rPr>
          <w:t>2</w:t>
        </w:r>
        <w:r w:rsidR="009A1BCE">
          <w:rPr>
            <w:noProof/>
            <w:webHidden/>
          </w:rPr>
          <w:fldChar w:fldCharType="end"/>
        </w:r>
      </w:hyperlink>
    </w:p>
    <w:p w14:paraId="4DBD15AE" w14:textId="5A674A1A" w:rsidR="009A1BCE" w:rsidRDefault="00367D11">
      <w:pPr>
        <w:pStyle w:val="TOC3"/>
        <w:rPr>
          <w:rFonts w:eastAsiaTheme="minorEastAsia" w:cstheme="minorBidi"/>
          <w:noProof/>
          <w:sz w:val="22"/>
          <w:szCs w:val="22"/>
          <w:lang w:val="en-AU"/>
        </w:rPr>
      </w:pPr>
      <w:hyperlink w:anchor="_Toc13735959" w:history="1">
        <w:r w:rsidR="009A1BCE" w:rsidRPr="001976EF">
          <w:rPr>
            <w:rStyle w:val="Hyperlink"/>
            <w:noProof/>
            <w:lang w:val="en-AU"/>
          </w:rPr>
          <w:t>Recommendations for referral to other committees</w:t>
        </w:r>
        <w:r w:rsidR="009A1BCE">
          <w:rPr>
            <w:noProof/>
            <w:webHidden/>
          </w:rPr>
          <w:tab/>
        </w:r>
        <w:r w:rsidR="009A1BCE">
          <w:rPr>
            <w:noProof/>
            <w:webHidden/>
          </w:rPr>
          <w:fldChar w:fldCharType="begin"/>
        </w:r>
        <w:r w:rsidR="009A1BCE">
          <w:rPr>
            <w:noProof/>
            <w:webHidden/>
          </w:rPr>
          <w:instrText xml:space="preserve"> PAGEREF _Toc13735959 \h </w:instrText>
        </w:r>
        <w:r w:rsidR="009A1BCE">
          <w:rPr>
            <w:noProof/>
            <w:webHidden/>
          </w:rPr>
        </w:r>
        <w:r w:rsidR="009A1BCE">
          <w:rPr>
            <w:noProof/>
            <w:webHidden/>
          </w:rPr>
          <w:fldChar w:fldCharType="separate"/>
        </w:r>
        <w:r w:rsidR="009A1BCE">
          <w:rPr>
            <w:noProof/>
            <w:webHidden/>
          </w:rPr>
          <w:t>2</w:t>
        </w:r>
        <w:r w:rsidR="009A1BCE">
          <w:rPr>
            <w:noProof/>
            <w:webHidden/>
          </w:rPr>
          <w:fldChar w:fldCharType="end"/>
        </w:r>
      </w:hyperlink>
    </w:p>
    <w:p w14:paraId="69F58C40" w14:textId="63C5CB33" w:rsidR="009A1BCE" w:rsidRDefault="00367D11">
      <w:pPr>
        <w:pStyle w:val="TOC2"/>
        <w:rPr>
          <w:rFonts w:eastAsiaTheme="minorEastAsia" w:cstheme="minorBidi"/>
          <w:i w:val="0"/>
          <w:iCs w:val="0"/>
          <w:noProof/>
          <w:sz w:val="22"/>
          <w:szCs w:val="22"/>
          <w:lang w:val="en-AU"/>
        </w:rPr>
      </w:pPr>
      <w:hyperlink w:anchor="_Toc13735960" w:history="1">
        <w:r w:rsidR="009A1BCE" w:rsidRPr="001976EF">
          <w:rPr>
            <w:rStyle w:val="Hyperlink"/>
            <w:noProof/>
            <w:lang w:val="en-US"/>
          </w:rPr>
          <w:t>1.3</w:t>
        </w:r>
        <w:r w:rsidR="009A1BCE">
          <w:rPr>
            <w:rFonts w:eastAsiaTheme="minorEastAsia" w:cstheme="minorBidi"/>
            <w:i w:val="0"/>
            <w:iCs w:val="0"/>
            <w:noProof/>
            <w:sz w:val="22"/>
            <w:szCs w:val="22"/>
            <w:lang w:val="en-AU"/>
          </w:rPr>
          <w:tab/>
        </w:r>
        <w:r w:rsidR="009A1BCE" w:rsidRPr="001976EF">
          <w:rPr>
            <w:rStyle w:val="Hyperlink"/>
            <w:noProof/>
            <w:lang w:val="en-US"/>
          </w:rPr>
          <w:t>Consumer engagement and impact</w:t>
        </w:r>
        <w:r w:rsidR="009A1BCE">
          <w:rPr>
            <w:noProof/>
            <w:webHidden/>
          </w:rPr>
          <w:tab/>
        </w:r>
        <w:r w:rsidR="009A1BCE">
          <w:rPr>
            <w:noProof/>
            <w:webHidden/>
          </w:rPr>
          <w:fldChar w:fldCharType="begin"/>
        </w:r>
        <w:r w:rsidR="009A1BCE">
          <w:rPr>
            <w:noProof/>
            <w:webHidden/>
          </w:rPr>
          <w:instrText xml:space="preserve"> PAGEREF _Toc13735960 \h </w:instrText>
        </w:r>
        <w:r w:rsidR="009A1BCE">
          <w:rPr>
            <w:noProof/>
            <w:webHidden/>
          </w:rPr>
        </w:r>
        <w:r w:rsidR="009A1BCE">
          <w:rPr>
            <w:noProof/>
            <w:webHidden/>
          </w:rPr>
          <w:fldChar w:fldCharType="separate"/>
        </w:r>
        <w:r w:rsidR="009A1BCE">
          <w:rPr>
            <w:noProof/>
            <w:webHidden/>
          </w:rPr>
          <w:t>3</w:t>
        </w:r>
        <w:r w:rsidR="009A1BCE">
          <w:rPr>
            <w:noProof/>
            <w:webHidden/>
          </w:rPr>
          <w:fldChar w:fldCharType="end"/>
        </w:r>
      </w:hyperlink>
    </w:p>
    <w:p w14:paraId="0C125D80" w14:textId="530C5B8A" w:rsidR="009A1BCE" w:rsidRDefault="00367D11">
      <w:pPr>
        <w:pStyle w:val="TOC1"/>
        <w:rPr>
          <w:rFonts w:eastAsiaTheme="minorEastAsia" w:cstheme="minorBidi"/>
          <w:b w:val="0"/>
          <w:bCs w:val="0"/>
          <w:noProof/>
          <w:sz w:val="22"/>
          <w:szCs w:val="22"/>
          <w:lang w:val="en-AU"/>
        </w:rPr>
      </w:pPr>
      <w:hyperlink w:anchor="_Toc13735961" w:history="1">
        <w:r w:rsidR="009A1BCE" w:rsidRPr="001976EF">
          <w:rPr>
            <w:rStyle w:val="Hyperlink"/>
            <w:noProof/>
            <w:lang w:val="en-AU" w:bidi="x-none"/>
            <w14:scene3d>
              <w14:camera w14:prst="orthographicFront"/>
              <w14:lightRig w14:rig="threePt" w14:dir="t">
                <w14:rot w14:lat="0" w14:lon="0" w14:rev="0"/>
              </w14:lightRig>
            </w14:scene3d>
          </w:rPr>
          <w:t>2.</w:t>
        </w:r>
        <w:r w:rsidR="009A1BCE">
          <w:rPr>
            <w:rFonts w:eastAsiaTheme="minorEastAsia" w:cstheme="minorBidi"/>
            <w:b w:val="0"/>
            <w:bCs w:val="0"/>
            <w:noProof/>
            <w:sz w:val="22"/>
            <w:szCs w:val="22"/>
            <w:lang w:val="en-AU"/>
          </w:rPr>
          <w:tab/>
        </w:r>
        <w:r w:rsidR="009A1BCE" w:rsidRPr="001976EF">
          <w:rPr>
            <w:rStyle w:val="Hyperlink"/>
            <w:noProof/>
            <w:lang w:val="en-AU"/>
          </w:rPr>
          <w:t>About the Medicare Benefits Schedule (MBS) Review</w:t>
        </w:r>
        <w:r w:rsidR="009A1BCE">
          <w:rPr>
            <w:noProof/>
            <w:webHidden/>
          </w:rPr>
          <w:tab/>
        </w:r>
        <w:r w:rsidR="009A1BCE">
          <w:rPr>
            <w:noProof/>
            <w:webHidden/>
          </w:rPr>
          <w:fldChar w:fldCharType="begin"/>
        </w:r>
        <w:r w:rsidR="009A1BCE">
          <w:rPr>
            <w:noProof/>
            <w:webHidden/>
          </w:rPr>
          <w:instrText xml:space="preserve"> PAGEREF _Toc13735961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3799C0B5" w14:textId="27BFF1FA" w:rsidR="009A1BCE" w:rsidRDefault="00367D11">
      <w:pPr>
        <w:pStyle w:val="TOC2"/>
        <w:rPr>
          <w:rFonts w:eastAsiaTheme="minorEastAsia" w:cstheme="minorBidi"/>
          <w:i w:val="0"/>
          <w:iCs w:val="0"/>
          <w:noProof/>
          <w:sz w:val="22"/>
          <w:szCs w:val="22"/>
          <w:lang w:val="en-AU"/>
        </w:rPr>
      </w:pPr>
      <w:hyperlink w:anchor="_Toc13735962" w:history="1">
        <w:r w:rsidR="009A1BCE" w:rsidRPr="001976EF">
          <w:rPr>
            <w:rStyle w:val="Hyperlink"/>
            <w:noProof/>
          </w:rPr>
          <w:t>2.1</w:t>
        </w:r>
        <w:r w:rsidR="009A1BCE">
          <w:rPr>
            <w:rFonts w:eastAsiaTheme="minorEastAsia" w:cstheme="minorBidi"/>
            <w:i w:val="0"/>
            <w:iCs w:val="0"/>
            <w:noProof/>
            <w:sz w:val="22"/>
            <w:szCs w:val="22"/>
            <w:lang w:val="en-AU"/>
          </w:rPr>
          <w:tab/>
        </w:r>
        <w:r w:rsidR="009A1BCE" w:rsidRPr="001976EF">
          <w:rPr>
            <w:rStyle w:val="Hyperlink"/>
            <w:noProof/>
          </w:rPr>
          <w:t>Medicare and the MBS</w:t>
        </w:r>
        <w:r w:rsidR="009A1BCE">
          <w:rPr>
            <w:noProof/>
            <w:webHidden/>
          </w:rPr>
          <w:tab/>
        </w:r>
        <w:r w:rsidR="009A1BCE">
          <w:rPr>
            <w:noProof/>
            <w:webHidden/>
          </w:rPr>
          <w:fldChar w:fldCharType="begin"/>
        </w:r>
        <w:r w:rsidR="009A1BCE">
          <w:rPr>
            <w:noProof/>
            <w:webHidden/>
          </w:rPr>
          <w:instrText xml:space="preserve"> PAGEREF _Toc13735962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2082A4FD" w14:textId="2CDA7A7C" w:rsidR="009A1BCE" w:rsidRDefault="00367D11">
      <w:pPr>
        <w:pStyle w:val="TOC3"/>
        <w:rPr>
          <w:rFonts w:eastAsiaTheme="minorEastAsia" w:cstheme="minorBidi"/>
          <w:noProof/>
          <w:sz w:val="22"/>
          <w:szCs w:val="22"/>
          <w:lang w:val="en-AU"/>
        </w:rPr>
      </w:pPr>
      <w:hyperlink w:anchor="_Toc13735963" w:history="1">
        <w:r w:rsidR="009A1BCE" w:rsidRPr="001976EF">
          <w:rPr>
            <w:rStyle w:val="Hyperlink"/>
            <w:noProof/>
            <w:lang w:val="en-AU"/>
          </w:rPr>
          <w:t>What is Medicare?</w:t>
        </w:r>
        <w:r w:rsidR="009A1BCE">
          <w:rPr>
            <w:noProof/>
            <w:webHidden/>
          </w:rPr>
          <w:tab/>
        </w:r>
        <w:r w:rsidR="009A1BCE">
          <w:rPr>
            <w:noProof/>
            <w:webHidden/>
          </w:rPr>
          <w:fldChar w:fldCharType="begin"/>
        </w:r>
        <w:r w:rsidR="009A1BCE">
          <w:rPr>
            <w:noProof/>
            <w:webHidden/>
          </w:rPr>
          <w:instrText xml:space="preserve"> PAGEREF _Toc13735963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4F005174" w14:textId="25848470" w:rsidR="009A1BCE" w:rsidRDefault="00367D11">
      <w:pPr>
        <w:pStyle w:val="TOC3"/>
        <w:rPr>
          <w:rFonts w:eastAsiaTheme="minorEastAsia" w:cstheme="minorBidi"/>
          <w:noProof/>
          <w:sz w:val="22"/>
          <w:szCs w:val="22"/>
          <w:lang w:val="en-AU"/>
        </w:rPr>
      </w:pPr>
      <w:hyperlink w:anchor="_Toc13735964" w:history="1">
        <w:r w:rsidR="009A1BCE" w:rsidRPr="001976EF">
          <w:rPr>
            <w:rStyle w:val="Hyperlink"/>
            <w:noProof/>
            <w:lang w:val="en-AU"/>
          </w:rPr>
          <w:t>What is the MBS?</w:t>
        </w:r>
        <w:r w:rsidR="009A1BCE">
          <w:rPr>
            <w:noProof/>
            <w:webHidden/>
          </w:rPr>
          <w:tab/>
        </w:r>
        <w:r w:rsidR="009A1BCE">
          <w:rPr>
            <w:noProof/>
            <w:webHidden/>
          </w:rPr>
          <w:fldChar w:fldCharType="begin"/>
        </w:r>
        <w:r w:rsidR="009A1BCE">
          <w:rPr>
            <w:noProof/>
            <w:webHidden/>
          </w:rPr>
          <w:instrText xml:space="preserve"> PAGEREF _Toc13735964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5A41BD49" w14:textId="1E402F72" w:rsidR="009A1BCE" w:rsidRDefault="00367D11">
      <w:pPr>
        <w:pStyle w:val="TOC2"/>
        <w:rPr>
          <w:rFonts w:eastAsiaTheme="minorEastAsia" w:cstheme="minorBidi"/>
          <w:i w:val="0"/>
          <w:iCs w:val="0"/>
          <w:noProof/>
          <w:sz w:val="22"/>
          <w:szCs w:val="22"/>
          <w:lang w:val="en-AU"/>
        </w:rPr>
      </w:pPr>
      <w:hyperlink w:anchor="_Toc13735965" w:history="1">
        <w:r w:rsidR="009A1BCE" w:rsidRPr="001976EF">
          <w:rPr>
            <w:rStyle w:val="Hyperlink"/>
            <w:noProof/>
          </w:rPr>
          <w:t>2.2</w:t>
        </w:r>
        <w:r w:rsidR="009A1BCE">
          <w:rPr>
            <w:rFonts w:eastAsiaTheme="minorEastAsia" w:cstheme="minorBidi"/>
            <w:i w:val="0"/>
            <w:iCs w:val="0"/>
            <w:noProof/>
            <w:sz w:val="22"/>
            <w:szCs w:val="22"/>
            <w:lang w:val="en-AU"/>
          </w:rPr>
          <w:tab/>
        </w:r>
        <w:r w:rsidR="009A1BCE" w:rsidRPr="001976EF">
          <w:rPr>
            <w:rStyle w:val="Hyperlink"/>
            <w:noProof/>
          </w:rPr>
          <w:t>The MBS Review Taskforce</w:t>
        </w:r>
        <w:r w:rsidR="009A1BCE">
          <w:rPr>
            <w:noProof/>
            <w:webHidden/>
          </w:rPr>
          <w:tab/>
        </w:r>
        <w:r w:rsidR="009A1BCE">
          <w:rPr>
            <w:noProof/>
            <w:webHidden/>
          </w:rPr>
          <w:fldChar w:fldCharType="begin"/>
        </w:r>
        <w:r w:rsidR="009A1BCE">
          <w:rPr>
            <w:noProof/>
            <w:webHidden/>
          </w:rPr>
          <w:instrText xml:space="preserve"> PAGEREF _Toc13735965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270773CF" w14:textId="17A2AAA7" w:rsidR="009A1BCE" w:rsidRDefault="00367D11">
      <w:pPr>
        <w:pStyle w:val="TOC3"/>
        <w:rPr>
          <w:rFonts w:eastAsiaTheme="minorEastAsia" w:cstheme="minorBidi"/>
          <w:noProof/>
          <w:sz w:val="22"/>
          <w:szCs w:val="22"/>
          <w:lang w:val="en-AU"/>
        </w:rPr>
      </w:pPr>
      <w:hyperlink w:anchor="_Toc13735966" w:history="1">
        <w:r w:rsidR="009A1BCE" w:rsidRPr="001976EF">
          <w:rPr>
            <w:rStyle w:val="Hyperlink"/>
            <w:noProof/>
            <w:lang w:val="en-AU"/>
          </w:rPr>
          <w:t>What is the MBS Review Taskforce?</w:t>
        </w:r>
        <w:r w:rsidR="009A1BCE">
          <w:rPr>
            <w:noProof/>
            <w:webHidden/>
          </w:rPr>
          <w:tab/>
        </w:r>
        <w:r w:rsidR="009A1BCE">
          <w:rPr>
            <w:noProof/>
            <w:webHidden/>
          </w:rPr>
          <w:fldChar w:fldCharType="begin"/>
        </w:r>
        <w:r w:rsidR="009A1BCE">
          <w:rPr>
            <w:noProof/>
            <w:webHidden/>
          </w:rPr>
          <w:instrText xml:space="preserve"> PAGEREF _Toc13735966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63F2A151" w14:textId="11A73A8F" w:rsidR="009A1BCE" w:rsidRDefault="00367D11">
      <w:pPr>
        <w:pStyle w:val="TOC3"/>
        <w:rPr>
          <w:rFonts w:eastAsiaTheme="minorEastAsia" w:cstheme="minorBidi"/>
          <w:noProof/>
          <w:sz w:val="22"/>
          <w:szCs w:val="22"/>
          <w:lang w:val="en-AU"/>
        </w:rPr>
      </w:pPr>
      <w:hyperlink w:anchor="_Toc13735967" w:history="1">
        <w:r w:rsidR="009A1BCE" w:rsidRPr="001976EF">
          <w:rPr>
            <w:rStyle w:val="Hyperlink"/>
            <w:noProof/>
            <w:lang w:val="en-AU"/>
          </w:rPr>
          <w:t>What are the goals of the Taskforce?</w:t>
        </w:r>
        <w:r w:rsidR="009A1BCE">
          <w:rPr>
            <w:noProof/>
            <w:webHidden/>
          </w:rPr>
          <w:tab/>
        </w:r>
        <w:r w:rsidR="009A1BCE">
          <w:rPr>
            <w:noProof/>
            <w:webHidden/>
          </w:rPr>
          <w:fldChar w:fldCharType="begin"/>
        </w:r>
        <w:r w:rsidR="009A1BCE">
          <w:rPr>
            <w:noProof/>
            <w:webHidden/>
          </w:rPr>
          <w:instrText xml:space="preserve"> PAGEREF _Toc13735967 \h </w:instrText>
        </w:r>
        <w:r w:rsidR="009A1BCE">
          <w:rPr>
            <w:noProof/>
            <w:webHidden/>
          </w:rPr>
        </w:r>
        <w:r w:rsidR="009A1BCE">
          <w:rPr>
            <w:noProof/>
            <w:webHidden/>
          </w:rPr>
          <w:fldChar w:fldCharType="separate"/>
        </w:r>
        <w:r w:rsidR="009A1BCE">
          <w:rPr>
            <w:noProof/>
            <w:webHidden/>
          </w:rPr>
          <w:t>4</w:t>
        </w:r>
        <w:r w:rsidR="009A1BCE">
          <w:rPr>
            <w:noProof/>
            <w:webHidden/>
          </w:rPr>
          <w:fldChar w:fldCharType="end"/>
        </w:r>
      </w:hyperlink>
    </w:p>
    <w:p w14:paraId="6E238773" w14:textId="21595952" w:rsidR="009A1BCE" w:rsidRDefault="00367D11">
      <w:pPr>
        <w:pStyle w:val="TOC2"/>
        <w:rPr>
          <w:rFonts w:eastAsiaTheme="minorEastAsia" w:cstheme="minorBidi"/>
          <w:i w:val="0"/>
          <w:iCs w:val="0"/>
          <w:noProof/>
          <w:sz w:val="22"/>
          <w:szCs w:val="22"/>
          <w:lang w:val="en-AU"/>
        </w:rPr>
      </w:pPr>
      <w:hyperlink w:anchor="_Toc13735968" w:history="1">
        <w:r w:rsidR="009A1BCE" w:rsidRPr="001976EF">
          <w:rPr>
            <w:rStyle w:val="Hyperlink"/>
            <w:noProof/>
          </w:rPr>
          <w:t>2.3</w:t>
        </w:r>
        <w:r w:rsidR="009A1BCE">
          <w:rPr>
            <w:rFonts w:eastAsiaTheme="minorEastAsia" w:cstheme="minorBidi"/>
            <w:i w:val="0"/>
            <w:iCs w:val="0"/>
            <w:noProof/>
            <w:sz w:val="22"/>
            <w:szCs w:val="22"/>
            <w:lang w:val="en-AU"/>
          </w:rPr>
          <w:tab/>
        </w:r>
        <w:r w:rsidR="009A1BCE" w:rsidRPr="001976EF">
          <w:rPr>
            <w:rStyle w:val="Hyperlink"/>
            <w:noProof/>
          </w:rPr>
          <w:t>The Taskforce’s approach</w:t>
        </w:r>
        <w:r w:rsidR="009A1BCE">
          <w:rPr>
            <w:noProof/>
            <w:webHidden/>
          </w:rPr>
          <w:tab/>
        </w:r>
        <w:r w:rsidR="009A1BCE">
          <w:rPr>
            <w:noProof/>
            <w:webHidden/>
          </w:rPr>
          <w:fldChar w:fldCharType="begin"/>
        </w:r>
        <w:r w:rsidR="009A1BCE">
          <w:rPr>
            <w:noProof/>
            <w:webHidden/>
          </w:rPr>
          <w:instrText xml:space="preserve"> PAGEREF _Toc13735968 \h </w:instrText>
        </w:r>
        <w:r w:rsidR="009A1BCE">
          <w:rPr>
            <w:noProof/>
            <w:webHidden/>
          </w:rPr>
        </w:r>
        <w:r w:rsidR="009A1BCE">
          <w:rPr>
            <w:noProof/>
            <w:webHidden/>
          </w:rPr>
          <w:fldChar w:fldCharType="separate"/>
        </w:r>
        <w:r w:rsidR="009A1BCE">
          <w:rPr>
            <w:noProof/>
            <w:webHidden/>
          </w:rPr>
          <w:t>5</w:t>
        </w:r>
        <w:r w:rsidR="009A1BCE">
          <w:rPr>
            <w:noProof/>
            <w:webHidden/>
          </w:rPr>
          <w:fldChar w:fldCharType="end"/>
        </w:r>
      </w:hyperlink>
    </w:p>
    <w:p w14:paraId="64103D9D" w14:textId="38F32594" w:rsidR="009A1BCE" w:rsidRDefault="00367D11">
      <w:pPr>
        <w:pStyle w:val="TOC1"/>
        <w:rPr>
          <w:rFonts w:eastAsiaTheme="minorEastAsia" w:cstheme="minorBidi"/>
          <w:b w:val="0"/>
          <w:bCs w:val="0"/>
          <w:noProof/>
          <w:sz w:val="22"/>
          <w:szCs w:val="22"/>
          <w:lang w:val="en-AU"/>
        </w:rPr>
      </w:pPr>
      <w:hyperlink w:anchor="_Toc13735969" w:history="1">
        <w:r w:rsidR="009A1BCE" w:rsidRPr="001976EF">
          <w:rPr>
            <w:rStyle w:val="Hyperlink"/>
            <w:noProof/>
            <w:lang w:val="en-AU" w:bidi="x-none"/>
            <w14:scene3d>
              <w14:camera w14:prst="orthographicFront"/>
              <w14:lightRig w14:rig="threePt" w14:dir="t">
                <w14:rot w14:lat="0" w14:lon="0" w14:rev="0"/>
              </w14:lightRig>
            </w14:scene3d>
          </w:rPr>
          <w:t>3.</w:t>
        </w:r>
        <w:r w:rsidR="009A1BCE">
          <w:rPr>
            <w:rFonts w:eastAsiaTheme="minorEastAsia" w:cstheme="minorBidi"/>
            <w:b w:val="0"/>
            <w:bCs w:val="0"/>
            <w:noProof/>
            <w:sz w:val="22"/>
            <w:szCs w:val="22"/>
            <w:lang w:val="en-AU"/>
          </w:rPr>
          <w:tab/>
        </w:r>
        <w:r w:rsidR="009A1BCE" w:rsidRPr="001976EF">
          <w:rPr>
            <w:rStyle w:val="Hyperlink"/>
            <w:noProof/>
            <w:lang w:val="en-AU"/>
          </w:rPr>
          <w:t>About the Pathology Clinical Committee</w:t>
        </w:r>
        <w:r w:rsidR="009A1BCE">
          <w:rPr>
            <w:noProof/>
            <w:webHidden/>
          </w:rPr>
          <w:tab/>
        </w:r>
        <w:r w:rsidR="009A1BCE">
          <w:rPr>
            <w:noProof/>
            <w:webHidden/>
          </w:rPr>
          <w:fldChar w:fldCharType="begin"/>
        </w:r>
        <w:r w:rsidR="009A1BCE">
          <w:rPr>
            <w:noProof/>
            <w:webHidden/>
          </w:rPr>
          <w:instrText xml:space="preserve"> PAGEREF _Toc13735969 \h </w:instrText>
        </w:r>
        <w:r w:rsidR="009A1BCE">
          <w:rPr>
            <w:noProof/>
            <w:webHidden/>
          </w:rPr>
        </w:r>
        <w:r w:rsidR="009A1BCE">
          <w:rPr>
            <w:noProof/>
            <w:webHidden/>
          </w:rPr>
          <w:fldChar w:fldCharType="separate"/>
        </w:r>
        <w:r w:rsidR="009A1BCE">
          <w:rPr>
            <w:noProof/>
            <w:webHidden/>
          </w:rPr>
          <w:t>7</w:t>
        </w:r>
        <w:r w:rsidR="009A1BCE">
          <w:rPr>
            <w:noProof/>
            <w:webHidden/>
          </w:rPr>
          <w:fldChar w:fldCharType="end"/>
        </w:r>
      </w:hyperlink>
    </w:p>
    <w:p w14:paraId="5E188D2B" w14:textId="7CC7B37F" w:rsidR="009A1BCE" w:rsidRDefault="00367D11">
      <w:pPr>
        <w:pStyle w:val="TOC2"/>
        <w:rPr>
          <w:rFonts w:eastAsiaTheme="minorEastAsia" w:cstheme="minorBidi"/>
          <w:i w:val="0"/>
          <w:iCs w:val="0"/>
          <w:noProof/>
          <w:sz w:val="22"/>
          <w:szCs w:val="22"/>
          <w:lang w:val="en-AU"/>
        </w:rPr>
      </w:pPr>
      <w:hyperlink w:anchor="_Toc13735970" w:history="1">
        <w:r w:rsidR="009A1BCE" w:rsidRPr="001976EF">
          <w:rPr>
            <w:rStyle w:val="Hyperlink"/>
            <w:noProof/>
          </w:rPr>
          <w:t>3.1</w:t>
        </w:r>
        <w:r w:rsidR="009A1BCE">
          <w:rPr>
            <w:rFonts w:eastAsiaTheme="minorEastAsia" w:cstheme="minorBidi"/>
            <w:i w:val="0"/>
            <w:iCs w:val="0"/>
            <w:noProof/>
            <w:sz w:val="22"/>
            <w:szCs w:val="22"/>
            <w:lang w:val="en-AU"/>
          </w:rPr>
          <w:tab/>
        </w:r>
        <w:r w:rsidR="009A1BCE" w:rsidRPr="001976EF">
          <w:rPr>
            <w:rStyle w:val="Hyperlink"/>
            <w:noProof/>
          </w:rPr>
          <w:t>Committee members</w:t>
        </w:r>
        <w:r w:rsidR="009A1BCE">
          <w:rPr>
            <w:noProof/>
            <w:webHidden/>
          </w:rPr>
          <w:tab/>
        </w:r>
        <w:r w:rsidR="009A1BCE">
          <w:rPr>
            <w:noProof/>
            <w:webHidden/>
          </w:rPr>
          <w:fldChar w:fldCharType="begin"/>
        </w:r>
        <w:r w:rsidR="009A1BCE">
          <w:rPr>
            <w:noProof/>
            <w:webHidden/>
          </w:rPr>
          <w:instrText xml:space="preserve"> PAGEREF _Toc13735970 \h </w:instrText>
        </w:r>
        <w:r w:rsidR="009A1BCE">
          <w:rPr>
            <w:noProof/>
            <w:webHidden/>
          </w:rPr>
        </w:r>
        <w:r w:rsidR="009A1BCE">
          <w:rPr>
            <w:noProof/>
            <w:webHidden/>
          </w:rPr>
          <w:fldChar w:fldCharType="separate"/>
        </w:r>
        <w:r w:rsidR="009A1BCE">
          <w:rPr>
            <w:noProof/>
            <w:webHidden/>
          </w:rPr>
          <w:t>7</w:t>
        </w:r>
        <w:r w:rsidR="009A1BCE">
          <w:rPr>
            <w:noProof/>
            <w:webHidden/>
          </w:rPr>
          <w:fldChar w:fldCharType="end"/>
        </w:r>
      </w:hyperlink>
    </w:p>
    <w:p w14:paraId="6EECA25B" w14:textId="2B2D165F" w:rsidR="009A1BCE" w:rsidRDefault="00367D11">
      <w:pPr>
        <w:pStyle w:val="TOC2"/>
        <w:rPr>
          <w:rFonts w:eastAsiaTheme="minorEastAsia" w:cstheme="minorBidi"/>
          <w:i w:val="0"/>
          <w:iCs w:val="0"/>
          <w:noProof/>
          <w:sz w:val="22"/>
          <w:szCs w:val="22"/>
          <w:lang w:val="en-AU"/>
        </w:rPr>
      </w:pPr>
      <w:hyperlink w:anchor="_Toc13735971" w:history="1">
        <w:r w:rsidR="009A1BCE" w:rsidRPr="001976EF">
          <w:rPr>
            <w:rStyle w:val="Hyperlink"/>
            <w:noProof/>
          </w:rPr>
          <w:t>3.2</w:t>
        </w:r>
        <w:r w:rsidR="009A1BCE">
          <w:rPr>
            <w:rFonts w:eastAsiaTheme="minorEastAsia" w:cstheme="minorBidi"/>
            <w:i w:val="0"/>
            <w:iCs w:val="0"/>
            <w:noProof/>
            <w:sz w:val="22"/>
            <w:szCs w:val="22"/>
            <w:lang w:val="en-AU"/>
          </w:rPr>
          <w:tab/>
        </w:r>
        <w:r w:rsidR="009A1BCE" w:rsidRPr="001976EF">
          <w:rPr>
            <w:rStyle w:val="Hyperlink"/>
            <w:noProof/>
          </w:rPr>
          <w:t>The Genetics Working Group</w:t>
        </w:r>
        <w:r w:rsidR="009A1BCE">
          <w:rPr>
            <w:noProof/>
            <w:webHidden/>
          </w:rPr>
          <w:tab/>
        </w:r>
        <w:r w:rsidR="009A1BCE">
          <w:rPr>
            <w:noProof/>
            <w:webHidden/>
          </w:rPr>
          <w:fldChar w:fldCharType="begin"/>
        </w:r>
        <w:r w:rsidR="009A1BCE">
          <w:rPr>
            <w:noProof/>
            <w:webHidden/>
          </w:rPr>
          <w:instrText xml:space="preserve"> PAGEREF _Toc13735971 \h </w:instrText>
        </w:r>
        <w:r w:rsidR="009A1BCE">
          <w:rPr>
            <w:noProof/>
            <w:webHidden/>
          </w:rPr>
        </w:r>
        <w:r w:rsidR="009A1BCE">
          <w:rPr>
            <w:noProof/>
            <w:webHidden/>
          </w:rPr>
          <w:fldChar w:fldCharType="separate"/>
        </w:r>
        <w:r w:rsidR="009A1BCE">
          <w:rPr>
            <w:noProof/>
            <w:webHidden/>
          </w:rPr>
          <w:t>8</w:t>
        </w:r>
        <w:r w:rsidR="009A1BCE">
          <w:rPr>
            <w:noProof/>
            <w:webHidden/>
          </w:rPr>
          <w:fldChar w:fldCharType="end"/>
        </w:r>
      </w:hyperlink>
    </w:p>
    <w:p w14:paraId="071D60F1" w14:textId="11DF7D9F" w:rsidR="009A1BCE" w:rsidRDefault="00367D11">
      <w:pPr>
        <w:pStyle w:val="TOC2"/>
        <w:rPr>
          <w:rFonts w:eastAsiaTheme="minorEastAsia" w:cstheme="minorBidi"/>
          <w:i w:val="0"/>
          <w:iCs w:val="0"/>
          <w:noProof/>
          <w:sz w:val="22"/>
          <w:szCs w:val="22"/>
          <w:lang w:val="en-AU"/>
        </w:rPr>
      </w:pPr>
      <w:hyperlink w:anchor="_Toc13735972" w:history="1">
        <w:r w:rsidR="009A1BCE" w:rsidRPr="001976EF">
          <w:rPr>
            <w:rStyle w:val="Hyperlink"/>
            <w:noProof/>
          </w:rPr>
          <w:t>3.3</w:t>
        </w:r>
        <w:r w:rsidR="009A1BCE">
          <w:rPr>
            <w:rFonts w:eastAsiaTheme="minorEastAsia" w:cstheme="minorBidi"/>
            <w:i w:val="0"/>
            <w:iCs w:val="0"/>
            <w:noProof/>
            <w:sz w:val="22"/>
            <w:szCs w:val="22"/>
            <w:lang w:val="en-AU"/>
          </w:rPr>
          <w:tab/>
        </w:r>
        <w:r w:rsidR="009A1BCE" w:rsidRPr="001976EF">
          <w:rPr>
            <w:rStyle w:val="Hyperlink"/>
            <w:noProof/>
          </w:rPr>
          <w:t>Areas of responsibility of the Committee</w:t>
        </w:r>
        <w:r w:rsidR="009A1BCE">
          <w:rPr>
            <w:noProof/>
            <w:webHidden/>
          </w:rPr>
          <w:tab/>
        </w:r>
        <w:r w:rsidR="009A1BCE">
          <w:rPr>
            <w:noProof/>
            <w:webHidden/>
          </w:rPr>
          <w:fldChar w:fldCharType="begin"/>
        </w:r>
        <w:r w:rsidR="009A1BCE">
          <w:rPr>
            <w:noProof/>
            <w:webHidden/>
          </w:rPr>
          <w:instrText xml:space="preserve"> PAGEREF _Toc13735972 \h </w:instrText>
        </w:r>
        <w:r w:rsidR="009A1BCE">
          <w:rPr>
            <w:noProof/>
            <w:webHidden/>
          </w:rPr>
        </w:r>
        <w:r w:rsidR="009A1BCE">
          <w:rPr>
            <w:noProof/>
            <w:webHidden/>
          </w:rPr>
          <w:fldChar w:fldCharType="separate"/>
        </w:r>
        <w:r w:rsidR="009A1BCE">
          <w:rPr>
            <w:noProof/>
            <w:webHidden/>
          </w:rPr>
          <w:t>8</w:t>
        </w:r>
        <w:r w:rsidR="009A1BCE">
          <w:rPr>
            <w:noProof/>
            <w:webHidden/>
          </w:rPr>
          <w:fldChar w:fldCharType="end"/>
        </w:r>
      </w:hyperlink>
    </w:p>
    <w:p w14:paraId="0D1CB5FA" w14:textId="30158F97" w:rsidR="009A1BCE" w:rsidRDefault="00367D11">
      <w:pPr>
        <w:pStyle w:val="TOC2"/>
        <w:rPr>
          <w:rFonts w:eastAsiaTheme="minorEastAsia" w:cstheme="minorBidi"/>
          <w:i w:val="0"/>
          <w:iCs w:val="0"/>
          <w:noProof/>
          <w:sz w:val="22"/>
          <w:szCs w:val="22"/>
          <w:lang w:val="en-AU"/>
        </w:rPr>
      </w:pPr>
      <w:hyperlink w:anchor="_Toc13735973" w:history="1">
        <w:r w:rsidR="009A1BCE" w:rsidRPr="001976EF">
          <w:rPr>
            <w:rStyle w:val="Hyperlink"/>
            <w:noProof/>
          </w:rPr>
          <w:t>3.4</w:t>
        </w:r>
        <w:r w:rsidR="009A1BCE">
          <w:rPr>
            <w:rFonts w:eastAsiaTheme="minorEastAsia" w:cstheme="minorBidi"/>
            <w:i w:val="0"/>
            <w:iCs w:val="0"/>
            <w:noProof/>
            <w:sz w:val="22"/>
            <w:szCs w:val="22"/>
            <w:lang w:val="en-AU"/>
          </w:rPr>
          <w:tab/>
        </w:r>
        <w:r w:rsidR="009A1BCE" w:rsidRPr="001976EF">
          <w:rPr>
            <w:rStyle w:val="Hyperlink"/>
            <w:noProof/>
          </w:rPr>
          <w:t>Summary of the Committee’s review approach</w:t>
        </w:r>
        <w:r w:rsidR="009A1BCE">
          <w:rPr>
            <w:noProof/>
            <w:webHidden/>
          </w:rPr>
          <w:tab/>
        </w:r>
        <w:r w:rsidR="009A1BCE">
          <w:rPr>
            <w:noProof/>
            <w:webHidden/>
          </w:rPr>
          <w:fldChar w:fldCharType="begin"/>
        </w:r>
        <w:r w:rsidR="009A1BCE">
          <w:rPr>
            <w:noProof/>
            <w:webHidden/>
          </w:rPr>
          <w:instrText xml:space="preserve"> PAGEREF _Toc13735973 \h </w:instrText>
        </w:r>
        <w:r w:rsidR="009A1BCE">
          <w:rPr>
            <w:noProof/>
            <w:webHidden/>
          </w:rPr>
        </w:r>
        <w:r w:rsidR="009A1BCE">
          <w:rPr>
            <w:noProof/>
            <w:webHidden/>
          </w:rPr>
          <w:fldChar w:fldCharType="separate"/>
        </w:r>
        <w:r w:rsidR="009A1BCE">
          <w:rPr>
            <w:noProof/>
            <w:webHidden/>
          </w:rPr>
          <w:t>8</w:t>
        </w:r>
        <w:r w:rsidR="009A1BCE">
          <w:rPr>
            <w:noProof/>
            <w:webHidden/>
          </w:rPr>
          <w:fldChar w:fldCharType="end"/>
        </w:r>
      </w:hyperlink>
    </w:p>
    <w:p w14:paraId="217DE2AE" w14:textId="14D877AC" w:rsidR="009A1BCE" w:rsidRDefault="00367D11">
      <w:pPr>
        <w:pStyle w:val="TOC1"/>
        <w:rPr>
          <w:rFonts w:eastAsiaTheme="minorEastAsia" w:cstheme="minorBidi"/>
          <w:b w:val="0"/>
          <w:bCs w:val="0"/>
          <w:noProof/>
          <w:sz w:val="22"/>
          <w:szCs w:val="22"/>
          <w:lang w:val="en-AU"/>
        </w:rPr>
      </w:pPr>
      <w:hyperlink w:anchor="_Toc13735974" w:history="1">
        <w:r w:rsidR="009A1BCE" w:rsidRPr="001976EF">
          <w:rPr>
            <w:rStyle w:val="Hyperlink"/>
            <w:noProof/>
            <w:lang w:val="en-AU" w:bidi="x-none"/>
            <w14:scene3d>
              <w14:camera w14:prst="orthographicFront"/>
              <w14:lightRig w14:rig="threePt" w14:dir="t">
                <w14:rot w14:lat="0" w14:lon="0" w14:rev="0"/>
              </w14:lightRig>
            </w14:scene3d>
          </w:rPr>
          <w:t>4.</w:t>
        </w:r>
        <w:r w:rsidR="009A1BCE">
          <w:rPr>
            <w:rFonts w:eastAsiaTheme="minorEastAsia" w:cstheme="minorBidi"/>
            <w:b w:val="0"/>
            <w:bCs w:val="0"/>
            <w:noProof/>
            <w:sz w:val="22"/>
            <w:szCs w:val="22"/>
            <w:lang w:val="en-AU"/>
          </w:rPr>
          <w:tab/>
        </w:r>
        <w:r w:rsidR="009A1BCE" w:rsidRPr="001976EF">
          <w:rPr>
            <w:rStyle w:val="Hyperlink"/>
            <w:noProof/>
            <w:lang w:val="en-AU"/>
          </w:rPr>
          <w:t>Recommendations for consultation</w:t>
        </w:r>
        <w:r w:rsidR="009A1BCE">
          <w:rPr>
            <w:noProof/>
            <w:webHidden/>
          </w:rPr>
          <w:tab/>
        </w:r>
        <w:r w:rsidR="009A1BCE">
          <w:rPr>
            <w:noProof/>
            <w:webHidden/>
          </w:rPr>
          <w:fldChar w:fldCharType="begin"/>
        </w:r>
        <w:r w:rsidR="009A1BCE">
          <w:rPr>
            <w:noProof/>
            <w:webHidden/>
          </w:rPr>
          <w:instrText xml:space="preserve"> PAGEREF _Toc13735974 \h </w:instrText>
        </w:r>
        <w:r w:rsidR="009A1BCE">
          <w:rPr>
            <w:noProof/>
            <w:webHidden/>
          </w:rPr>
        </w:r>
        <w:r w:rsidR="009A1BCE">
          <w:rPr>
            <w:noProof/>
            <w:webHidden/>
          </w:rPr>
          <w:fldChar w:fldCharType="separate"/>
        </w:r>
        <w:r w:rsidR="009A1BCE">
          <w:rPr>
            <w:noProof/>
            <w:webHidden/>
          </w:rPr>
          <w:t>10</w:t>
        </w:r>
        <w:r w:rsidR="009A1BCE">
          <w:rPr>
            <w:noProof/>
            <w:webHidden/>
          </w:rPr>
          <w:fldChar w:fldCharType="end"/>
        </w:r>
      </w:hyperlink>
    </w:p>
    <w:p w14:paraId="756E0327" w14:textId="240C1D63" w:rsidR="009A1BCE" w:rsidRDefault="00367D11">
      <w:pPr>
        <w:pStyle w:val="TOC2"/>
        <w:rPr>
          <w:rFonts w:eastAsiaTheme="minorEastAsia" w:cstheme="minorBidi"/>
          <w:i w:val="0"/>
          <w:iCs w:val="0"/>
          <w:noProof/>
          <w:sz w:val="22"/>
          <w:szCs w:val="22"/>
          <w:lang w:val="en-AU"/>
        </w:rPr>
      </w:pPr>
      <w:hyperlink w:anchor="_Toc13735975" w:history="1">
        <w:r w:rsidR="009A1BCE" w:rsidRPr="001976EF">
          <w:rPr>
            <w:rStyle w:val="Hyperlink"/>
            <w:noProof/>
          </w:rPr>
          <w:t>4.1</w:t>
        </w:r>
        <w:r w:rsidR="009A1BCE">
          <w:rPr>
            <w:rFonts w:eastAsiaTheme="minorEastAsia" w:cstheme="minorBidi"/>
            <w:i w:val="0"/>
            <w:iCs w:val="0"/>
            <w:noProof/>
            <w:sz w:val="22"/>
            <w:szCs w:val="22"/>
            <w:lang w:val="en-AU"/>
          </w:rPr>
          <w:tab/>
        </w:r>
        <w:r w:rsidR="009A1BCE" w:rsidRPr="001976EF">
          <w:rPr>
            <w:rStyle w:val="Hyperlink"/>
            <w:noProof/>
          </w:rPr>
          <w:t>Chromosome testing (any tissue or fluid, except blood): item 73287</w:t>
        </w:r>
        <w:r w:rsidR="009A1BCE">
          <w:rPr>
            <w:noProof/>
            <w:webHidden/>
          </w:rPr>
          <w:tab/>
        </w:r>
        <w:r w:rsidR="009A1BCE">
          <w:rPr>
            <w:noProof/>
            <w:webHidden/>
          </w:rPr>
          <w:fldChar w:fldCharType="begin"/>
        </w:r>
        <w:r w:rsidR="009A1BCE">
          <w:rPr>
            <w:noProof/>
            <w:webHidden/>
          </w:rPr>
          <w:instrText xml:space="preserve"> PAGEREF _Toc13735975 \h </w:instrText>
        </w:r>
        <w:r w:rsidR="009A1BCE">
          <w:rPr>
            <w:noProof/>
            <w:webHidden/>
          </w:rPr>
        </w:r>
        <w:r w:rsidR="009A1BCE">
          <w:rPr>
            <w:noProof/>
            <w:webHidden/>
          </w:rPr>
          <w:fldChar w:fldCharType="separate"/>
        </w:r>
        <w:r w:rsidR="009A1BCE">
          <w:rPr>
            <w:noProof/>
            <w:webHidden/>
          </w:rPr>
          <w:t>10</w:t>
        </w:r>
        <w:r w:rsidR="009A1BCE">
          <w:rPr>
            <w:noProof/>
            <w:webHidden/>
          </w:rPr>
          <w:fldChar w:fldCharType="end"/>
        </w:r>
      </w:hyperlink>
    </w:p>
    <w:p w14:paraId="187BD61F" w14:textId="6FB8E42E" w:rsidR="009A1BCE" w:rsidRDefault="00367D11">
      <w:pPr>
        <w:pStyle w:val="TOC3"/>
        <w:rPr>
          <w:rFonts w:eastAsiaTheme="minorEastAsia" w:cstheme="minorBidi"/>
          <w:noProof/>
          <w:sz w:val="22"/>
          <w:szCs w:val="22"/>
          <w:lang w:val="en-AU"/>
        </w:rPr>
      </w:pPr>
      <w:hyperlink w:anchor="_Toc13735976" w:history="1">
        <w:r w:rsidR="009A1BCE" w:rsidRPr="001976EF">
          <w:rPr>
            <w:rStyle w:val="Hyperlink"/>
            <w:noProof/>
            <w:lang w:val="en-AU"/>
          </w:rPr>
          <w:t>Recommendation 1</w:t>
        </w:r>
        <w:r w:rsidR="009A1BCE">
          <w:rPr>
            <w:noProof/>
            <w:webHidden/>
          </w:rPr>
          <w:tab/>
        </w:r>
        <w:r w:rsidR="009A1BCE">
          <w:rPr>
            <w:noProof/>
            <w:webHidden/>
          </w:rPr>
          <w:fldChar w:fldCharType="begin"/>
        </w:r>
        <w:r w:rsidR="009A1BCE">
          <w:rPr>
            <w:noProof/>
            <w:webHidden/>
          </w:rPr>
          <w:instrText xml:space="preserve"> PAGEREF _Toc13735976 \h </w:instrText>
        </w:r>
        <w:r w:rsidR="009A1BCE">
          <w:rPr>
            <w:noProof/>
            <w:webHidden/>
          </w:rPr>
        </w:r>
        <w:r w:rsidR="009A1BCE">
          <w:rPr>
            <w:noProof/>
            <w:webHidden/>
          </w:rPr>
          <w:fldChar w:fldCharType="separate"/>
        </w:r>
        <w:r w:rsidR="009A1BCE">
          <w:rPr>
            <w:noProof/>
            <w:webHidden/>
          </w:rPr>
          <w:t>10</w:t>
        </w:r>
        <w:r w:rsidR="009A1BCE">
          <w:rPr>
            <w:noProof/>
            <w:webHidden/>
          </w:rPr>
          <w:fldChar w:fldCharType="end"/>
        </w:r>
      </w:hyperlink>
    </w:p>
    <w:p w14:paraId="61D22CEA" w14:textId="399E3C4F" w:rsidR="009A1BCE" w:rsidRDefault="00367D11">
      <w:pPr>
        <w:pStyle w:val="TOC3"/>
        <w:rPr>
          <w:rFonts w:eastAsiaTheme="minorEastAsia" w:cstheme="minorBidi"/>
          <w:noProof/>
          <w:sz w:val="22"/>
          <w:szCs w:val="22"/>
          <w:lang w:val="en-AU"/>
        </w:rPr>
      </w:pPr>
      <w:hyperlink w:anchor="_Toc13735977" w:history="1">
        <w:r w:rsidR="009A1BCE" w:rsidRPr="001976EF">
          <w:rPr>
            <w:rStyle w:val="Hyperlink"/>
            <w:noProof/>
            <w:lang w:val="en-AU"/>
          </w:rPr>
          <w:t>Rationale 1</w:t>
        </w:r>
        <w:r w:rsidR="009A1BCE">
          <w:rPr>
            <w:noProof/>
            <w:webHidden/>
          </w:rPr>
          <w:tab/>
        </w:r>
        <w:r w:rsidR="009A1BCE">
          <w:rPr>
            <w:noProof/>
            <w:webHidden/>
          </w:rPr>
          <w:fldChar w:fldCharType="begin"/>
        </w:r>
        <w:r w:rsidR="009A1BCE">
          <w:rPr>
            <w:noProof/>
            <w:webHidden/>
          </w:rPr>
          <w:instrText xml:space="preserve"> PAGEREF _Toc13735977 \h </w:instrText>
        </w:r>
        <w:r w:rsidR="009A1BCE">
          <w:rPr>
            <w:noProof/>
            <w:webHidden/>
          </w:rPr>
        </w:r>
        <w:r w:rsidR="009A1BCE">
          <w:rPr>
            <w:noProof/>
            <w:webHidden/>
          </w:rPr>
          <w:fldChar w:fldCharType="separate"/>
        </w:r>
        <w:r w:rsidR="009A1BCE">
          <w:rPr>
            <w:noProof/>
            <w:webHidden/>
          </w:rPr>
          <w:t>11</w:t>
        </w:r>
        <w:r w:rsidR="009A1BCE">
          <w:rPr>
            <w:noProof/>
            <w:webHidden/>
          </w:rPr>
          <w:fldChar w:fldCharType="end"/>
        </w:r>
      </w:hyperlink>
    </w:p>
    <w:p w14:paraId="5711FC0D" w14:textId="6DA64FA0" w:rsidR="009A1BCE" w:rsidRDefault="00367D11">
      <w:pPr>
        <w:pStyle w:val="TOC2"/>
        <w:rPr>
          <w:rFonts w:eastAsiaTheme="minorEastAsia" w:cstheme="minorBidi"/>
          <w:i w:val="0"/>
          <w:iCs w:val="0"/>
          <w:noProof/>
          <w:sz w:val="22"/>
          <w:szCs w:val="22"/>
          <w:lang w:val="en-AU"/>
        </w:rPr>
      </w:pPr>
      <w:hyperlink w:anchor="_Toc13735978" w:history="1">
        <w:r w:rsidR="009A1BCE" w:rsidRPr="001976EF">
          <w:rPr>
            <w:rStyle w:val="Hyperlink"/>
            <w:noProof/>
          </w:rPr>
          <w:t>4.2</w:t>
        </w:r>
        <w:r w:rsidR="009A1BCE">
          <w:rPr>
            <w:rFonts w:eastAsiaTheme="minorEastAsia" w:cstheme="minorBidi"/>
            <w:i w:val="0"/>
            <w:iCs w:val="0"/>
            <w:noProof/>
            <w:sz w:val="22"/>
            <w:szCs w:val="22"/>
            <w:lang w:val="en-AU"/>
          </w:rPr>
          <w:tab/>
        </w:r>
        <w:r w:rsidR="009A1BCE" w:rsidRPr="001976EF">
          <w:rPr>
            <w:rStyle w:val="Hyperlink"/>
            <w:noProof/>
          </w:rPr>
          <w:t>Chromosome testing (blood): item 73289</w:t>
        </w:r>
        <w:r w:rsidR="009A1BCE">
          <w:rPr>
            <w:noProof/>
            <w:webHidden/>
          </w:rPr>
          <w:tab/>
        </w:r>
        <w:r w:rsidR="009A1BCE">
          <w:rPr>
            <w:noProof/>
            <w:webHidden/>
          </w:rPr>
          <w:fldChar w:fldCharType="begin"/>
        </w:r>
        <w:r w:rsidR="009A1BCE">
          <w:rPr>
            <w:noProof/>
            <w:webHidden/>
          </w:rPr>
          <w:instrText xml:space="preserve"> PAGEREF _Toc13735978 \h </w:instrText>
        </w:r>
        <w:r w:rsidR="009A1BCE">
          <w:rPr>
            <w:noProof/>
            <w:webHidden/>
          </w:rPr>
        </w:r>
        <w:r w:rsidR="009A1BCE">
          <w:rPr>
            <w:noProof/>
            <w:webHidden/>
          </w:rPr>
          <w:fldChar w:fldCharType="separate"/>
        </w:r>
        <w:r w:rsidR="009A1BCE">
          <w:rPr>
            <w:noProof/>
            <w:webHidden/>
          </w:rPr>
          <w:t>11</w:t>
        </w:r>
        <w:r w:rsidR="009A1BCE">
          <w:rPr>
            <w:noProof/>
            <w:webHidden/>
          </w:rPr>
          <w:fldChar w:fldCharType="end"/>
        </w:r>
      </w:hyperlink>
    </w:p>
    <w:p w14:paraId="67FF5FE7" w14:textId="4412B221" w:rsidR="009A1BCE" w:rsidRDefault="00367D11">
      <w:pPr>
        <w:pStyle w:val="TOC3"/>
        <w:rPr>
          <w:rFonts w:eastAsiaTheme="minorEastAsia" w:cstheme="minorBidi"/>
          <w:noProof/>
          <w:sz w:val="22"/>
          <w:szCs w:val="22"/>
          <w:lang w:val="en-AU"/>
        </w:rPr>
      </w:pPr>
      <w:hyperlink w:anchor="_Toc13735979" w:history="1">
        <w:r w:rsidR="009A1BCE" w:rsidRPr="001976EF">
          <w:rPr>
            <w:rStyle w:val="Hyperlink"/>
            <w:noProof/>
            <w:lang w:val="en-AU"/>
          </w:rPr>
          <w:t>Recommendation 2</w:t>
        </w:r>
        <w:r w:rsidR="009A1BCE">
          <w:rPr>
            <w:noProof/>
            <w:webHidden/>
          </w:rPr>
          <w:tab/>
        </w:r>
        <w:r w:rsidR="009A1BCE">
          <w:rPr>
            <w:noProof/>
            <w:webHidden/>
          </w:rPr>
          <w:fldChar w:fldCharType="begin"/>
        </w:r>
        <w:r w:rsidR="009A1BCE">
          <w:rPr>
            <w:noProof/>
            <w:webHidden/>
          </w:rPr>
          <w:instrText xml:space="preserve"> PAGEREF _Toc13735979 \h </w:instrText>
        </w:r>
        <w:r w:rsidR="009A1BCE">
          <w:rPr>
            <w:noProof/>
            <w:webHidden/>
          </w:rPr>
        </w:r>
        <w:r w:rsidR="009A1BCE">
          <w:rPr>
            <w:noProof/>
            <w:webHidden/>
          </w:rPr>
          <w:fldChar w:fldCharType="separate"/>
        </w:r>
        <w:r w:rsidR="009A1BCE">
          <w:rPr>
            <w:noProof/>
            <w:webHidden/>
          </w:rPr>
          <w:t>12</w:t>
        </w:r>
        <w:r w:rsidR="009A1BCE">
          <w:rPr>
            <w:noProof/>
            <w:webHidden/>
          </w:rPr>
          <w:fldChar w:fldCharType="end"/>
        </w:r>
      </w:hyperlink>
    </w:p>
    <w:p w14:paraId="4B0F114F" w14:textId="233633AE" w:rsidR="009A1BCE" w:rsidRDefault="00367D11">
      <w:pPr>
        <w:pStyle w:val="TOC3"/>
        <w:rPr>
          <w:rFonts w:eastAsiaTheme="minorEastAsia" w:cstheme="minorBidi"/>
          <w:noProof/>
          <w:sz w:val="22"/>
          <w:szCs w:val="22"/>
          <w:lang w:val="en-AU"/>
        </w:rPr>
      </w:pPr>
      <w:hyperlink w:anchor="_Toc13735980" w:history="1">
        <w:r w:rsidR="009A1BCE" w:rsidRPr="001976EF">
          <w:rPr>
            <w:rStyle w:val="Hyperlink"/>
            <w:noProof/>
            <w:lang w:val="en-AU"/>
          </w:rPr>
          <w:t>Rationale 2</w:t>
        </w:r>
        <w:r w:rsidR="009A1BCE">
          <w:rPr>
            <w:noProof/>
            <w:webHidden/>
          </w:rPr>
          <w:tab/>
        </w:r>
        <w:r w:rsidR="009A1BCE">
          <w:rPr>
            <w:noProof/>
            <w:webHidden/>
          </w:rPr>
          <w:fldChar w:fldCharType="begin"/>
        </w:r>
        <w:r w:rsidR="009A1BCE">
          <w:rPr>
            <w:noProof/>
            <w:webHidden/>
          </w:rPr>
          <w:instrText xml:space="preserve"> PAGEREF _Toc13735980 \h </w:instrText>
        </w:r>
        <w:r w:rsidR="009A1BCE">
          <w:rPr>
            <w:noProof/>
            <w:webHidden/>
          </w:rPr>
        </w:r>
        <w:r w:rsidR="009A1BCE">
          <w:rPr>
            <w:noProof/>
            <w:webHidden/>
          </w:rPr>
          <w:fldChar w:fldCharType="separate"/>
        </w:r>
        <w:r w:rsidR="009A1BCE">
          <w:rPr>
            <w:noProof/>
            <w:webHidden/>
          </w:rPr>
          <w:t>12</w:t>
        </w:r>
        <w:r w:rsidR="009A1BCE">
          <w:rPr>
            <w:noProof/>
            <w:webHidden/>
          </w:rPr>
          <w:fldChar w:fldCharType="end"/>
        </w:r>
      </w:hyperlink>
    </w:p>
    <w:p w14:paraId="1C17EF39" w14:textId="739EDF06" w:rsidR="009A1BCE" w:rsidRDefault="00367D11">
      <w:pPr>
        <w:pStyle w:val="TOC2"/>
        <w:rPr>
          <w:rFonts w:eastAsiaTheme="minorEastAsia" w:cstheme="minorBidi"/>
          <w:i w:val="0"/>
          <w:iCs w:val="0"/>
          <w:noProof/>
          <w:sz w:val="22"/>
          <w:szCs w:val="22"/>
          <w:lang w:val="en-AU"/>
        </w:rPr>
      </w:pPr>
      <w:hyperlink w:anchor="_Toc13735981" w:history="1">
        <w:r w:rsidR="009A1BCE" w:rsidRPr="001976EF">
          <w:rPr>
            <w:rStyle w:val="Hyperlink"/>
            <w:noProof/>
          </w:rPr>
          <w:t>4.3</w:t>
        </w:r>
        <w:r w:rsidR="009A1BCE">
          <w:rPr>
            <w:rFonts w:eastAsiaTheme="minorEastAsia" w:cstheme="minorBidi"/>
            <w:i w:val="0"/>
            <w:iCs w:val="0"/>
            <w:noProof/>
            <w:sz w:val="22"/>
            <w:szCs w:val="22"/>
            <w:lang w:val="en-AU"/>
          </w:rPr>
          <w:tab/>
        </w:r>
        <w:r w:rsidR="009A1BCE" w:rsidRPr="001976EF">
          <w:rPr>
            <w:rStyle w:val="Hyperlink"/>
            <w:noProof/>
          </w:rPr>
          <w:t>Chromosome testing on blood or bone marrow, for diagnosis and monitoring of haematological malignancy: item 73290</w:t>
        </w:r>
        <w:r w:rsidR="009A1BCE">
          <w:rPr>
            <w:noProof/>
            <w:webHidden/>
          </w:rPr>
          <w:tab/>
        </w:r>
        <w:r w:rsidR="009A1BCE">
          <w:rPr>
            <w:noProof/>
            <w:webHidden/>
          </w:rPr>
          <w:fldChar w:fldCharType="begin"/>
        </w:r>
        <w:r w:rsidR="009A1BCE">
          <w:rPr>
            <w:noProof/>
            <w:webHidden/>
          </w:rPr>
          <w:instrText xml:space="preserve"> PAGEREF _Toc13735981 \h </w:instrText>
        </w:r>
        <w:r w:rsidR="009A1BCE">
          <w:rPr>
            <w:noProof/>
            <w:webHidden/>
          </w:rPr>
        </w:r>
        <w:r w:rsidR="009A1BCE">
          <w:rPr>
            <w:noProof/>
            <w:webHidden/>
          </w:rPr>
          <w:fldChar w:fldCharType="separate"/>
        </w:r>
        <w:r w:rsidR="009A1BCE">
          <w:rPr>
            <w:noProof/>
            <w:webHidden/>
          </w:rPr>
          <w:t>13</w:t>
        </w:r>
        <w:r w:rsidR="009A1BCE">
          <w:rPr>
            <w:noProof/>
            <w:webHidden/>
          </w:rPr>
          <w:fldChar w:fldCharType="end"/>
        </w:r>
      </w:hyperlink>
    </w:p>
    <w:p w14:paraId="5D412A48" w14:textId="7175B450" w:rsidR="009A1BCE" w:rsidRDefault="00367D11">
      <w:pPr>
        <w:pStyle w:val="TOC3"/>
        <w:rPr>
          <w:rFonts w:eastAsiaTheme="minorEastAsia" w:cstheme="minorBidi"/>
          <w:noProof/>
          <w:sz w:val="22"/>
          <w:szCs w:val="22"/>
          <w:lang w:val="en-AU"/>
        </w:rPr>
      </w:pPr>
      <w:hyperlink w:anchor="_Toc13735982" w:history="1">
        <w:r w:rsidR="009A1BCE" w:rsidRPr="001976EF">
          <w:rPr>
            <w:rStyle w:val="Hyperlink"/>
            <w:noProof/>
            <w:lang w:val="en-AU"/>
          </w:rPr>
          <w:t>Recommendation 3</w:t>
        </w:r>
        <w:r w:rsidR="009A1BCE">
          <w:rPr>
            <w:noProof/>
            <w:webHidden/>
          </w:rPr>
          <w:tab/>
        </w:r>
        <w:r w:rsidR="009A1BCE">
          <w:rPr>
            <w:noProof/>
            <w:webHidden/>
          </w:rPr>
          <w:fldChar w:fldCharType="begin"/>
        </w:r>
        <w:r w:rsidR="009A1BCE">
          <w:rPr>
            <w:noProof/>
            <w:webHidden/>
          </w:rPr>
          <w:instrText xml:space="preserve"> PAGEREF _Toc13735982 \h </w:instrText>
        </w:r>
        <w:r w:rsidR="009A1BCE">
          <w:rPr>
            <w:noProof/>
            <w:webHidden/>
          </w:rPr>
        </w:r>
        <w:r w:rsidR="009A1BCE">
          <w:rPr>
            <w:noProof/>
            <w:webHidden/>
          </w:rPr>
          <w:fldChar w:fldCharType="separate"/>
        </w:r>
        <w:r w:rsidR="009A1BCE">
          <w:rPr>
            <w:noProof/>
            <w:webHidden/>
          </w:rPr>
          <w:t>13</w:t>
        </w:r>
        <w:r w:rsidR="009A1BCE">
          <w:rPr>
            <w:noProof/>
            <w:webHidden/>
          </w:rPr>
          <w:fldChar w:fldCharType="end"/>
        </w:r>
      </w:hyperlink>
    </w:p>
    <w:p w14:paraId="27FFFE6C" w14:textId="6EB6EEA7" w:rsidR="009A1BCE" w:rsidRDefault="00367D11">
      <w:pPr>
        <w:pStyle w:val="TOC3"/>
        <w:rPr>
          <w:rFonts w:eastAsiaTheme="minorEastAsia" w:cstheme="minorBidi"/>
          <w:noProof/>
          <w:sz w:val="22"/>
          <w:szCs w:val="22"/>
          <w:lang w:val="en-AU"/>
        </w:rPr>
      </w:pPr>
      <w:hyperlink w:anchor="_Toc13735983" w:history="1">
        <w:r w:rsidR="009A1BCE" w:rsidRPr="001976EF">
          <w:rPr>
            <w:rStyle w:val="Hyperlink"/>
            <w:noProof/>
            <w:lang w:val="en-AU"/>
          </w:rPr>
          <w:t>Rationale 3</w:t>
        </w:r>
        <w:r w:rsidR="009A1BCE">
          <w:rPr>
            <w:noProof/>
            <w:webHidden/>
          </w:rPr>
          <w:tab/>
        </w:r>
        <w:r w:rsidR="009A1BCE">
          <w:rPr>
            <w:noProof/>
            <w:webHidden/>
          </w:rPr>
          <w:fldChar w:fldCharType="begin"/>
        </w:r>
        <w:r w:rsidR="009A1BCE">
          <w:rPr>
            <w:noProof/>
            <w:webHidden/>
          </w:rPr>
          <w:instrText xml:space="preserve"> PAGEREF _Toc13735983 \h </w:instrText>
        </w:r>
        <w:r w:rsidR="009A1BCE">
          <w:rPr>
            <w:noProof/>
            <w:webHidden/>
          </w:rPr>
        </w:r>
        <w:r w:rsidR="009A1BCE">
          <w:rPr>
            <w:noProof/>
            <w:webHidden/>
          </w:rPr>
          <w:fldChar w:fldCharType="separate"/>
        </w:r>
        <w:r w:rsidR="009A1BCE">
          <w:rPr>
            <w:noProof/>
            <w:webHidden/>
          </w:rPr>
          <w:t>14</w:t>
        </w:r>
        <w:r w:rsidR="009A1BCE">
          <w:rPr>
            <w:noProof/>
            <w:webHidden/>
          </w:rPr>
          <w:fldChar w:fldCharType="end"/>
        </w:r>
      </w:hyperlink>
    </w:p>
    <w:p w14:paraId="22D04F27" w14:textId="29C36E23" w:rsidR="009A1BCE" w:rsidRDefault="00367D11">
      <w:pPr>
        <w:pStyle w:val="TOC2"/>
        <w:rPr>
          <w:rFonts w:eastAsiaTheme="minorEastAsia" w:cstheme="minorBidi"/>
          <w:i w:val="0"/>
          <w:iCs w:val="0"/>
          <w:noProof/>
          <w:sz w:val="22"/>
          <w:szCs w:val="22"/>
          <w:lang w:val="en-AU"/>
        </w:rPr>
      </w:pPr>
      <w:hyperlink w:anchor="_Toc13735984" w:history="1">
        <w:r w:rsidR="009A1BCE" w:rsidRPr="001976EF">
          <w:rPr>
            <w:rStyle w:val="Hyperlink"/>
            <w:noProof/>
          </w:rPr>
          <w:t>4.4</w:t>
        </w:r>
        <w:r w:rsidR="009A1BCE">
          <w:rPr>
            <w:rFonts w:eastAsiaTheme="minorEastAsia" w:cstheme="minorBidi"/>
            <w:i w:val="0"/>
            <w:iCs w:val="0"/>
            <w:noProof/>
            <w:sz w:val="22"/>
            <w:szCs w:val="22"/>
            <w:lang w:val="en-AU"/>
          </w:rPr>
          <w:tab/>
        </w:r>
        <w:r w:rsidR="009A1BCE" w:rsidRPr="001976EF">
          <w:rPr>
            <w:rStyle w:val="Hyperlink"/>
            <w:noProof/>
          </w:rPr>
          <w:t>Chromosome specific constitutional abnormalities: item 73291</w:t>
        </w:r>
        <w:r w:rsidR="009A1BCE">
          <w:rPr>
            <w:noProof/>
            <w:webHidden/>
          </w:rPr>
          <w:tab/>
        </w:r>
        <w:r w:rsidR="009A1BCE">
          <w:rPr>
            <w:noProof/>
            <w:webHidden/>
          </w:rPr>
          <w:fldChar w:fldCharType="begin"/>
        </w:r>
        <w:r w:rsidR="009A1BCE">
          <w:rPr>
            <w:noProof/>
            <w:webHidden/>
          </w:rPr>
          <w:instrText xml:space="preserve"> PAGEREF _Toc13735984 \h </w:instrText>
        </w:r>
        <w:r w:rsidR="009A1BCE">
          <w:rPr>
            <w:noProof/>
            <w:webHidden/>
          </w:rPr>
        </w:r>
        <w:r w:rsidR="009A1BCE">
          <w:rPr>
            <w:noProof/>
            <w:webHidden/>
          </w:rPr>
          <w:fldChar w:fldCharType="separate"/>
        </w:r>
        <w:r w:rsidR="009A1BCE">
          <w:rPr>
            <w:noProof/>
            <w:webHidden/>
          </w:rPr>
          <w:t>14</w:t>
        </w:r>
        <w:r w:rsidR="009A1BCE">
          <w:rPr>
            <w:noProof/>
            <w:webHidden/>
          </w:rPr>
          <w:fldChar w:fldCharType="end"/>
        </w:r>
      </w:hyperlink>
    </w:p>
    <w:p w14:paraId="2C793D72" w14:textId="4387BF4B" w:rsidR="009A1BCE" w:rsidRDefault="00367D11">
      <w:pPr>
        <w:pStyle w:val="TOC3"/>
        <w:rPr>
          <w:rFonts w:eastAsiaTheme="minorEastAsia" w:cstheme="minorBidi"/>
          <w:noProof/>
          <w:sz w:val="22"/>
          <w:szCs w:val="22"/>
          <w:lang w:val="en-AU"/>
        </w:rPr>
      </w:pPr>
      <w:hyperlink w:anchor="_Toc13735985" w:history="1">
        <w:r w:rsidR="009A1BCE" w:rsidRPr="001976EF">
          <w:rPr>
            <w:rStyle w:val="Hyperlink"/>
            <w:noProof/>
            <w:lang w:val="en-AU"/>
          </w:rPr>
          <w:t>Recommendation 4</w:t>
        </w:r>
        <w:r w:rsidR="009A1BCE">
          <w:rPr>
            <w:noProof/>
            <w:webHidden/>
          </w:rPr>
          <w:tab/>
        </w:r>
        <w:r w:rsidR="009A1BCE">
          <w:rPr>
            <w:noProof/>
            <w:webHidden/>
          </w:rPr>
          <w:fldChar w:fldCharType="begin"/>
        </w:r>
        <w:r w:rsidR="009A1BCE">
          <w:rPr>
            <w:noProof/>
            <w:webHidden/>
          </w:rPr>
          <w:instrText xml:space="preserve"> PAGEREF _Toc13735985 \h </w:instrText>
        </w:r>
        <w:r w:rsidR="009A1BCE">
          <w:rPr>
            <w:noProof/>
            <w:webHidden/>
          </w:rPr>
        </w:r>
        <w:r w:rsidR="009A1BCE">
          <w:rPr>
            <w:noProof/>
            <w:webHidden/>
          </w:rPr>
          <w:fldChar w:fldCharType="separate"/>
        </w:r>
        <w:r w:rsidR="009A1BCE">
          <w:rPr>
            <w:noProof/>
            <w:webHidden/>
          </w:rPr>
          <w:t>14</w:t>
        </w:r>
        <w:r w:rsidR="009A1BCE">
          <w:rPr>
            <w:noProof/>
            <w:webHidden/>
          </w:rPr>
          <w:fldChar w:fldCharType="end"/>
        </w:r>
      </w:hyperlink>
    </w:p>
    <w:p w14:paraId="423713AF" w14:textId="46989B3B" w:rsidR="009A1BCE" w:rsidRDefault="00367D11">
      <w:pPr>
        <w:pStyle w:val="TOC3"/>
        <w:rPr>
          <w:rFonts w:eastAsiaTheme="minorEastAsia" w:cstheme="minorBidi"/>
          <w:noProof/>
          <w:sz w:val="22"/>
          <w:szCs w:val="22"/>
          <w:lang w:val="en-AU"/>
        </w:rPr>
      </w:pPr>
      <w:hyperlink w:anchor="_Toc13735986" w:history="1">
        <w:r w:rsidR="009A1BCE" w:rsidRPr="001976EF">
          <w:rPr>
            <w:rStyle w:val="Hyperlink"/>
            <w:noProof/>
            <w:lang w:val="en-AU"/>
          </w:rPr>
          <w:t>Rationale 4</w:t>
        </w:r>
        <w:r w:rsidR="009A1BCE">
          <w:rPr>
            <w:noProof/>
            <w:webHidden/>
          </w:rPr>
          <w:tab/>
        </w:r>
        <w:r w:rsidR="009A1BCE">
          <w:rPr>
            <w:noProof/>
            <w:webHidden/>
          </w:rPr>
          <w:fldChar w:fldCharType="begin"/>
        </w:r>
        <w:r w:rsidR="009A1BCE">
          <w:rPr>
            <w:noProof/>
            <w:webHidden/>
          </w:rPr>
          <w:instrText xml:space="preserve"> PAGEREF _Toc13735986 \h </w:instrText>
        </w:r>
        <w:r w:rsidR="009A1BCE">
          <w:rPr>
            <w:noProof/>
            <w:webHidden/>
          </w:rPr>
        </w:r>
        <w:r w:rsidR="009A1BCE">
          <w:rPr>
            <w:noProof/>
            <w:webHidden/>
          </w:rPr>
          <w:fldChar w:fldCharType="separate"/>
        </w:r>
        <w:r w:rsidR="009A1BCE">
          <w:rPr>
            <w:noProof/>
            <w:webHidden/>
          </w:rPr>
          <w:t>15</w:t>
        </w:r>
        <w:r w:rsidR="009A1BCE">
          <w:rPr>
            <w:noProof/>
            <w:webHidden/>
          </w:rPr>
          <w:fldChar w:fldCharType="end"/>
        </w:r>
      </w:hyperlink>
    </w:p>
    <w:p w14:paraId="55FAEF2C" w14:textId="67964E11" w:rsidR="009A1BCE" w:rsidRDefault="00367D11">
      <w:pPr>
        <w:pStyle w:val="TOC2"/>
        <w:rPr>
          <w:rFonts w:eastAsiaTheme="minorEastAsia" w:cstheme="minorBidi"/>
          <w:i w:val="0"/>
          <w:iCs w:val="0"/>
          <w:noProof/>
          <w:sz w:val="22"/>
          <w:szCs w:val="22"/>
          <w:lang w:val="en-AU"/>
        </w:rPr>
      </w:pPr>
      <w:hyperlink w:anchor="_Toc13735987" w:history="1">
        <w:r w:rsidR="009A1BCE" w:rsidRPr="001976EF">
          <w:rPr>
            <w:rStyle w:val="Hyperlink"/>
            <w:noProof/>
          </w:rPr>
          <w:t>4.5</w:t>
        </w:r>
        <w:r w:rsidR="009A1BCE">
          <w:rPr>
            <w:rFonts w:eastAsiaTheme="minorEastAsia" w:cstheme="minorBidi"/>
            <w:i w:val="0"/>
            <w:iCs w:val="0"/>
            <w:noProof/>
            <w:sz w:val="22"/>
            <w:szCs w:val="22"/>
            <w:lang w:val="en-AU"/>
          </w:rPr>
          <w:tab/>
        </w:r>
        <w:r w:rsidR="009A1BCE" w:rsidRPr="001976EF">
          <w:rPr>
            <w:rStyle w:val="Hyperlink"/>
            <w:noProof/>
          </w:rPr>
          <w:t>Chromosome by genome-wide microarray: item 73292</w:t>
        </w:r>
        <w:r w:rsidR="009A1BCE">
          <w:rPr>
            <w:noProof/>
            <w:webHidden/>
          </w:rPr>
          <w:tab/>
        </w:r>
        <w:r w:rsidR="009A1BCE">
          <w:rPr>
            <w:noProof/>
            <w:webHidden/>
          </w:rPr>
          <w:fldChar w:fldCharType="begin"/>
        </w:r>
        <w:r w:rsidR="009A1BCE">
          <w:rPr>
            <w:noProof/>
            <w:webHidden/>
          </w:rPr>
          <w:instrText xml:space="preserve"> PAGEREF _Toc13735987 \h </w:instrText>
        </w:r>
        <w:r w:rsidR="009A1BCE">
          <w:rPr>
            <w:noProof/>
            <w:webHidden/>
          </w:rPr>
        </w:r>
        <w:r w:rsidR="009A1BCE">
          <w:rPr>
            <w:noProof/>
            <w:webHidden/>
          </w:rPr>
          <w:fldChar w:fldCharType="separate"/>
        </w:r>
        <w:r w:rsidR="009A1BCE">
          <w:rPr>
            <w:noProof/>
            <w:webHidden/>
          </w:rPr>
          <w:t>15</w:t>
        </w:r>
        <w:r w:rsidR="009A1BCE">
          <w:rPr>
            <w:noProof/>
            <w:webHidden/>
          </w:rPr>
          <w:fldChar w:fldCharType="end"/>
        </w:r>
      </w:hyperlink>
    </w:p>
    <w:p w14:paraId="16B65995" w14:textId="38206E97" w:rsidR="009A1BCE" w:rsidRDefault="00367D11">
      <w:pPr>
        <w:pStyle w:val="TOC3"/>
        <w:rPr>
          <w:rFonts w:eastAsiaTheme="minorEastAsia" w:cstheme="minorBidi"/>
          <w:noProof/>
          <w:sz w:val="22"/>
          <w:szCs w:val="22"/>
          <w:lang w:val="en-AU"/>
        </w:rPr>
      </w:pPr>
      <w:hyperlink w:anchor="_Toc13735988" w:history="1">
        <w:r w:rsidR="009A1BCE" w:rsidRPr="001976EF">
          <w:rPr>
            <w:rStyle w:val="Hyperlink"/>
            <w:noProof/>
            <w:lang w:val="en-AU"/>
          </w:rPr>
          <w:t>Recommendation 5</w:t>
        </w:r>
        <w:r w:rsidR="009A1BCE">
          <w:rPr>
            <w:noProof/>
            <w:webHidden/>
          </w:rPr>
          <w:tab/>
        </w:r>
        <w:r w:rsidR="009A1BCE">
          <w:rPr>
            <w:noProof/>
            <w:webHidden/>
          </w:rPr>
          <w:fldChar w:fldCharType="begin"/>
        </w:r>
        <w:r w:rsidR="009A1BCE">
          <w:rPr>
            <w:noProof/>
            <w:webHidden/>
          </w:rPr>
          <w:instrText xml:space="preserve"> PAGEREF _Toc13735988 \h </w:instrText>
        </w:r>
        <w:r w:rsidR="009A1BCE">
          <w:rPr>
            <w:noProof/>
            <w:webHidden/>
          </w:rPr>
        </w:r>
        <w:r w:rsidR="009A1BCE">
          <w:rPr>
            <w:noProof/>
            <w:webHidden/>
          </w:rPr>
          <w:fldChar w:fldCharType="separate"/>
        </w:r>
        <w:r w:rsidR="009A1BCE">
          <w:rPr>
            <w:noProof/>
            <w:webHidden/>
          </w:rPr>
          <w:t>16</w:t>
        </w:r>
        <w:r w:rsidR="009A1BCE">
          <w:rPr>
            <w:noProof/>
            <w:webHidden/>
          </w:rPr>
          <w:fldChar w:fldCharType="end"/>
        </w:r>
      </w:hyperlink>
    </w:p>
    <w:p w14:paraId="6C976080" w14:textId="4F3DB50F" w:rsidR="009A1BCE" w:rsidRDefault="00367D11">
      <w:pPr>
        <w:pStyle w:val="TOC3"/>
        <w:rPr>
          <w:rFonts w:eastAsiaTheme="minorEastAsia" w:cstheme="minorBidi"/>
          <w:noProof/>
          <w:sz w:val="22"/>
          <w:szCs w:val="22"/>
          <w:lang w:val="en-AU"/>
        </w:rPr>
      </w:pPr>
      <w:hyperlink w:anchor="_Toc13735989" w:history="1">
        <w:r w:rsidR="009A1BCE" w:rsidRPr="001976EF">
          <w:rPr>
            <w:rStyle w:val="Hyperlink"/>
            <w:noProof/>
            <w:lang w:val="en-AU"/>
          </w:rPr>
          <w:t>Rationale 5</w:t>
        </w:r>
        <w:r w:rsidR="009A1BCE">
          <w:rPr>
            <w:noProof/>
            <w:webHidden/>
          </w:rPr>
          <w:tab/>
        </w:r>
        <w:r w:rsidR="009A1BCE">
          <w:rPr>
            <w:noProof/>
            <w:webHidden/>
          </w:rPr>
          <w:fldChar w:fldCharType="begin"/>
        </w:r>
        <w:r w:rsidR="009A1BCE">
          <w:rPr>
            <w:noProof/>
            <w:webHidden/>
          </w:rPr>
          <w:instrText xml:space="preserve"> PAGEREF _Toc13735989 \h </w:instrText>
        </w:r>
        <w:r w:rsidR="009A1BCE">
          <w:rPr>
            <w:noProof/>
            <w:webHidden/>
          </w:rPr>
        </w:r>
        <w:r w:rsidR="009A1BCE">
          <w:rPr>
            <w:noProof/>
            <w:webHidden/>
          </w:rPr>
          <w:fldChar w:fldCharType="separate"/>
        </w:r>
        <w:r w:rsidR="009A1BCE">
          <w:rPr>
            <w:noProof/>
            <w:webHidden/>
          </w:rPr>
          <w:t>16</w:t>
        </w:r>
        <w:r w:rsidR="009A1BCE">
          <w:rPr>
            <w:noProof/>
            <w:webHidden/>
          </w:rPr>
          <w:fldChar w:fldCharType="end"/>
        </w:r>
      </w:hyperlink>
    </w:p>
    <w:p w14:paraId="065DF142" w14:textId="01AB3489" w:rsidR="009A1BCE" w:rsidRDefault="00367D11">
      <w:pPr>
        <w:pStyle w:val="TOC2"/>
        <w:rPr>
          <w:rFonts w:eastAsiaTheme="minorEastAsia" w:cstheme="minorBidi"/>
          <w:i w:val="0"/>
          <w:iCs w:val="0"/>
          <w:noProof/>
          <w:sz w:val="22"/>
          <w:szCs w:val="22"/>
          <w:lang w:val="en-AU"/>
        </w:rPr>
      </w:pPr>
      <w:hyperlink w:anchor="_Toc13735990" w:history="1">
        <w:r w:rsidR="009A1BCE" w:rsidRPr="001976EF">
          <w:rPr>
            <w:rStyle w:val="Hyperlink"/>
            <w:noProof/>
          </w:rPr>
          <w:t>4.6</w:t>
        </w:r>
        <w:r w:rsidR="009A1BCE">
          <w:rPr>
            <w:rFonts w:eastAsiaTheme="minorEastAsia" w:cstheme="minorBidi"/>
            <w:i w:val="0"/>
            <w:iCs w:val="0"/>
            <w:noProof/>
            <w:sz w:val="22"/>
            <w:szCs w:val="22"/>
            <w:lang w:val="en-AU"/>
          </w:rPr>
          <w:tab/>
        </w:r>
        <w:r w:rsidR="009A1BCE" w:rsidRPr="001976EF">
          <w:rPr>
            <w:rStyle w:val="Hyperlink"/>
            <w:noProof/>
          </w:rPr>
          <w:t>FMR1 gene mutation: items 73300 and 73305</w:t>
        </w:r>
        <w:r w:rsidR="009A1BCE">
          <w:rPr>
            <w:noProof/>
            <w:webHidden/>
          </w:rPr>
          <w:tab/>
        </w:r>
        <w:r w:rsidR="009A1BCE">
          <w:rPr>
            <w:noProof/>
            <w:webHidden/>
          </w:rPr>
          <w:fldChar w:fldCharType="begin"/>
        </w:r>
        <w:r w:rsidR="009A1BCE">
          <w:rPr>
            <w:noProof/>
            <w:webHidden/>
          </w:rPr>
          <w:instrText xml:space="preserve"> PAGEREF _Toc13735990 \h </w:instrText>
        </w:r>
        <w:r w:rsidR="009A1BCE">
          <w:rPr>
            <w:noProof/>
            <w:webHidden/>
          </w:rPr>
        </w:r>
        <w:r w:rsidR="009A1BCE">
          <w:rPr>
            <w:noProof/>
            <w:webHidden/>
          </w:rPr>
          <w:fldChar w:fldCharType="separate"/>
        </w:r>
        <w:r w:rsidR="009A1BCE">
          <w:rPr>
            <w:noProof/>
            <w:webHidden/>
          </w:rPr>
          <w:t>17</w:t>
        </w:r>
        <w:r w:rsidR="009A1BCE">
          <w:rPr>
            <w:noProof/>
            <w:webHidden/>
          </w:rPr>
          <w:fldChar w:fldCharType="end"/>
        </w:r>
      </w:hyperlink>
    </w:p>
    <w:p w14:paraId="5CFD3409" w14:textId="68106AA9" w:rsidR="009A1BCE" w:rsidRDefault="00367D11">
      <w:pPr>
        <w:pStyle w:val="TOC3"/>
        <w:rPr>
          <w:rFonts w:eastAsiaTheme="minorEastAsia" w:cstheme="minorBidi"/>
          <w:noProof/>
          <w:sz w:val="22"/>
          <w:szCs w:val="22"/>
          <w:lang w:val="en-AU"/>
        </w:rPr>
      </w:pPr>
      <w:hyperlink w:anchor="_Toc13735991" w:history="1">
        <w:r w:rsidR="009A1BCE" w:rsidRPr="001976EF">
          <w:rPr>
            <w:rStyle w:val="Hyperlink"/>
            <w:noProof/>
            <w:lang w:val="en-AU"/>
          </w:rPr>
          <w:t>Recommendation 6</w:t>
        </w:r>
        <w:r w:rsidR="009A1BCE">
          <w:rPr>
            <w:noProof/>
            <w:webHidden/>
          </w:rPr>
          <w:tab/>
        </w:r>
        <w:r w:rsidR="009A1BCE">
          <w:rPr>
            <w:noProof/>
            <w:webHidden/>
          </w:rPr>
          <w:fldChar w:fldCharType="begin"/>
        </w:r>
        <w:r w:rsidR="009A1BCE">
          <w:rPr>
            <w:noProof/>
            <w:webHidden/>
          </w:rPr>
          <w:instrText xml:space="preserve"> PAGEREF _Toc13735991 \h </w:instrText>
        </w:r>
        <w:r w:rsidR="009A1BCE">
          <w:rPr>
            <w:noProof/>
            <w:webHidden/>
          </w:rPr>
        </w:r>
        <w:r w:rsidR="009A1BCE">
          <w:rPr>
            <w:noProof/>
            <w:webHidden/>
          </w:rPr>
          <w:fldChar w:fldCharType="separate"/>
        </w:r>
        <w:r w:rsidR="009A1BCE">
          <w:rPr>
            <w:noProof/>
            <w:webHidden/>
          </w:rPr>
          <w:t>17</w:t>
        </w:r>
        <w:r w:rsidR="009A1BCE">
          <w:rPr>
            <w:noProof/>
            <w:webHidden/>
          </w:rPr>
          <w:fldChar w:fldCharType="end"/>
        </w:r>
      </w:hyperlink>
    </w:p>
    <w:p w14:paraId="78C22CE9" w14:textId="0D2EB24E" w:rsidR="009A1BCE" w:rsidRDefault="00367D11">
      <w:pPr>
        <w:pStyle w:val="TOC3"/>
        <w:rPr>
          <w:rFonts w:eastAsiaTheme="minorEastAsia" w:cstheme="minorBidi"/>
          <w:noProof/>
          <w:sz w:val="22"/>
          <w:szCs w:val="22"/>
          <w:lang w:val="en-AU"/>
        </w:rPr>
      </w:pPr>
      <w:hyperlink w:anchor="_Toc13735992" w:history="1">
        <w:r w:rsidR="009A1BCE" w:rsidRPr="001976EF">
          <w:rPr>
            <w:rStyle w:val="Hyperlink"/>
            <w:noProof/>
            <w:lang w:val="en-AU"/>
          </w:rPr>
          <w:t>Rationale 6</w:t>
        </w:r>
        <w:r w:rsidR="009A1BCE">
          <w:rPr>
            <w:noProof/>
            <w:webHidden/>
          </w:rPr>
          <w:tab/>
        </w:r>
        <w:r w:rsidR="009A1BCE">
          <w:rPr>
            <w:noProof/>
            <w:webHidden/>
          </w:rPr>
          <w:fldChar w:fldCharType="begin"/>
        </w:r>
        <w:r w:rsidR="009A1BCE">
          <w:rPr>
            <w:noProof/>
            <w:webHidden/>
          </w:rPr>
          <w:instrText xml:space="preserve"> PAGEREF _Toc13735992 \h </w:instrText>
        </w:r>
        <w:r w:rsidR="009A1BCE">
          <w:rPr>
            <w:noProof/>
            <w:webHidden/>
          </w:rPr>
        </w:r>
        <w:r w:rsidR="009A1BCE">
          <w:rPr>
            <w:noProof/>
            <w:webHidden/>
          </w:rPr>
          <w:fldChar w:fldCharType="separate"/>
        </w:r>
        <w:r w:rsidR="009A1BCE">
          <w:rPr>
            <w:noProof/>
            <w:webHidden/>
          </w:rPr>
          <w:t>17</w:t>
        </w:r>
        <w:r w:rsidR="009A1BCE">
          <w:rPr>
            <w:noProof/>
            <w:webHidden/>
          </w:rPr>
          <w:fldChar w:fldCharType="end"/>
        </w:r>
      </w:hyperlink>
    </w:p>
    <w:p w14:paraId="4C41D936" w14:textId="3606B11E" w:rsidR="009A1BCE" w:rsidRDefault="00367D11">
      <w:pPr>
        <w:pStyle w:val="TOC2"/>
        <w:rPr>
          <w:rFonts w:eastAsiaTheme="minorEastAsia" w:cstheme="minorBidi"/>
          <w:i w:val="0"/>
          <w:iCs w:val="0"/>
          <w:noProof/>
          <w:sz w:val="22"/>
          <w:szCs w:val="22"/>
          <w:lang w:val="en-AU"/>
        </w:rPr>
      </w:pPr>
      <w:hyperlink w:anchor="_Toc13735993" w:history="1">
        <w:r w:rsidR="009A1BCE" w:rsidRPr="001976EF">
          <w:rPr>
            <w:rStyle w:val="Hyperlink"/>
            <w:noProof/>
          </w:rPr>
          <w:t>4.7</w:t>
        </w:r>
        <w:r w:rsidR="009A1BCE">
          <w:rPr>
            <w:rFonts w:eastAsiaTheme="minorEastAsia" w:cstheme="minorBidi"/>
            <w:i w:val="0"/>
            <w:iCs w:val="0"/>
            <w:noProof/>
            <w:sz w:val="22"/>
            <w:szCs w:val="22"/>
            <w:lang w:val="en-AU"/>
          </w:rPr>
          <w:tab/>
        </w:r>
        <w:r w:rsidR="009A1BCE" w:rsidRPr="001976EF">
          <w:rPr>
            <w:rStyle w:val="Hyperlink"/>
            <w:noProof/>
          </w:rPr>
          <w:t>ISH test for HER2 for PBS trastuzumab or Herceptin Program for breast cancer: item 73332</w:t>
        </w:r>
        <w:r w:rsidR="009A1BCE">
          <w:rPr>
            <w:noProof/>
            <w:webHidden/>
          </w:rPr>
          <w:tab/>
        </w:r>
        <w:r w:rsidR="009A1BCE">
          <w:rPr>
            <w:noProof/>
            <w:webHidden/>
          </w:rPr>
          <w:fldChar w:fldCharType="begin"/>
        </w:r>
        <w:r w:rsidR="009A1BCE">
          <w:rPr>
            <w:noProof/>
            <w:webHidden/>
          </w:rPr>
          <w:instrText xml:space="preserve"> PAGEREF _Toc13735993 \h </w:instrText>
        </w:r>
        <w:r w:rsidR="009A1BCE">
          <w:rPr>
            <w:noProof/>
            <w:webHidden/>
          </w:rPr>
        </w:r>
        <w:r w:rsidR="009A1BCE">
          <w:rPr>
            <w:noProof/>
            <w:webHidden/>
          </w:rPr>
          <w:fldChar w:fldCharType="separate"/>
        </w:r>
        <w:r w:rsidR="009A1BCE">
          <w:rPr>
            <w:noProof/>
            <w:webHidden/>
          </w:rPr>
          <w:t>18</w:t>
        </w:r>
        <w:r w:rsidR="009A1BCE">
          <w:rPr>
            <w:noProof/>
            <w:webHidden/>
          </w:rPr>
          <w:fldChar w:fldCharType="end"/>
        </w:r>
      </w:hyperlink>
    </w:p>
    <w:p w14:paraId="1536BC1E" w14:textId="6F5CEADB" w:rsidR="009A1BCE" w:rsidRDefault="00367D11">
      <w:pPr>
        <w:pStyle w:val="TOC3"/>
        <w:rPr>
          <w:rFonts w:eastAsiaTheme="minorEastAsia" w:cstheme="minorBidi"/>
          <w:noProof/>
          <w:sz w:val="22"/>
          <w:szCs w:val="22"/>
          <w:lang w:val="en-AU"/>
        </w:rPr>
      </w:pPr>
      <w:hyperlink w:anchor="_Toc13735994" w:history="1">
        <w:r w:rsidR="009A1BCE" w:rsidRPr="001976EF">
          <w:rPr>
            <w:rStyle w:val="Hyperlink"/>
            <w:noProof/>
            <w:lang w:val="en-AU"/>
          </w:rPr>
          <w:t>Recommendation 7</w:t>
        </w:r>
        <w:r w:rsidR="009A1BCE">
          <w:rPr>
            <w:noProof/>
            <w:webHidden/>
          </w:rPr>
          <w:tab/>
        </w:r>
        <w:r w:rsidR="009A1BCE">
          <w:rPr>
            <w:noProof/>
            <w:webHidden/>
          </w:rPr>
          <w:fldChar w:fldCharType="begin"/>
        </w:r>
        <w:r w:rsidR="009A1BCE">
          <w:rPr>
            <w:noProof/>
            <w:webHidden/>
          </w:rPr>
          <w:instrText xml:space="preserve"> PAGEREF _Toc13735994 \h </w:instrText>
        </w:r>
        <w:r w:rsidR="009A1BCE">
          <w:rPr>
            <w:noProof/>
            <w:webHidden/>
          </w:rPr>
        </w:r>
        <w:r w:rsidR="009A1BCE">
          <w:rPr>
            <w:noProof/>
            <w:webHidden/>
          </w:rPr>
          <w:fldChar w:fldCharType="separate"/>
        </w:r>
        <w:r w:rsidR="009A1BCE">
          <w:rPr>
            <w:noProof/>
            <w:webHidden/>
          </w:rPr>
          <w:t>18</w:t>
        </w:r>
        <w:r w:rsidR="009A1BCE">
          <w:rPr>
            <w:noProof/>
            <w:webHidden/>
          </w:rPr>
          <w:fldChar w:fldCharType="end"/>
        </w:r>
      </w:hyperlink>
    </w:p>
    <w:p w14:paraId="6FDB9A05" w14:textId="627180DD" w:rsidR="009A1BCE" w:rsidRDefault="00367D11">
      <w:pPr>
        <w:pStyle w:val="TOC3"/>
        <w:rPr>
          <w:rFonts w:eastAsiaTheme="minorEastAsia" w:cstheme="minorBidi"/>
          <w:noProof/>
          <w:sz w:val="22"/>
          <w:szCs w:val="22"/>
          <w:lang w:val="en-AU"/>
        </w:rPr>
      </w:pPr>
      <w:hyperlink w:anchor="_Toc13735995" w:history="1">
        <w:r w:rsidR="009A1BCE" w:rsidRPr="001976EF">
          <w:rPr>
            <w:rStyle w:val="Hyperlink"/>
            <w:noProof/>
            <w:lang w:val="en-AU"/>
          </w:rPr>
          <w:t>Rationale 7</w:t>
        </w:r>
        <w:r w:rsidR="009A1BCE">
          <w:rPr>
            <w:noProof/>
            <w:webHidden/>
          </w:rPr>
          <w:tab/>
        </w:r>
        <w:r w:rsidR="009A1BCE">
          <w:rPr>
            <w:noProof/>
            <w:webHidden/>
          </w:rPr>
          <w:fldChar w:fldCharType="begin"/>
        </w:r>
        <w:r w:rsidR="009A1BCE">
          <w:rPr>
            <w:noProof/>
            <w:webHidden/>
          </w:rPr>
          <w:instrText xml:space="preserve"> PAGEREF _Toc13735995 \h </w:instrText>
        </w:r>
        <w:r w:rsidR="009A1BCE">
          <w:rPr>
            <w:noProof/>
            <w:webHidden/>
          </w:rPr>
        </w:r>
        <w:r w:rsidR="009A1BCE">
          <w:rPr>
            <w:noProof/>
            <w:webHidden/>
          </w:rPr>
          <w:fldChar w:fldCharType="separate"/>
        </w:r>
        <w:r w:rsidR="009A1BCE">
          <w:rPr>
            <w:noProof/>
            <w:webHidden/>
          </w:rPr>
          <w:t>19</w:t>
        </w:r>
        <w:r w:rsidR="009A1BCE">
          <w:rPr>
            <w:noProof/>
            <w:webHidden/>
          </w:rPr>
          <w:fldChar w:fldCharType="end"/>
        </w:r>
      </w:hyperlink>
    </w:p>
    <w:p w14:paraId="56B0AAD3" w14:textId="676B302E" w:rsidR="009A1BCE" w:rsidRDefault="00367D11">
      <w:pPr>
        <w:pStyle w:val="TOC2"/>
        <w:rPr>
          <w:rFonts w:eastAsiaTheme="minorEastAsia" w:cstheme="minorBidi"/>
          <w:i w:val="0"/>
          <w:iCs w:val="0"/>
          <w:noProof/>
          <w:sz w:val="22"/>
          <w:szCs w:val="22"/>
          <w:lang w:val="en-AU"/>
        </w:rPr>
      </w:pPr>
      <w:hyperlink w:anchor="_Toc13735996" w:history="1">
        <w:r w:rsidR="009A1BCE" w:rsidRPr="001976EF">
          <w:rPr>
            <w:rStyle w:val="Hyperlink"/>
            <w:noProof/>
          </w:rPr>
          <w:t>4.8</w:t>
        </w:r>
        <w:r w:rsidR="009A1BCE">
          <w:rPr>
            <w:rFonts w:eastAsiaTheme="minorEastAsia" w:cstheme="minorBidi"/>
            <w:i w:val="0"/>
            <w:iCs w:val="0"/>
            <w:noProof/>
            <w:sz w:val="22"/>
            <w:szCs w:val="22"/>
            <w:lang w:val="en-AU"/>
          </w:rPr>
          <w:tab/>
        </w:r>
        <w:r w:rsidR="009A1BCE" w:rsidRPr="001976EF">
          <w:rPr>
            <w:rStyle w:val="Hyperlink"/>
            <w:noProof/>
          </w:rPr>
          <w:t>ISH test for HER2 for PBS trastuzumab for gastric cancer: item 73342</w:t>
        </w:r>
        <w:r w:rsidR="009A1BCE">
          <w:rPr>
            <w:noProof/>
            <w:webHidden/>
          </w:rPr>
          <w:tab/>
        </w:r>
        <w:r w:rsidR="009A1BCE">
          <w:rPr>
            <w:noProof/>
            <w:webHidden/>
          </w:rPr>
          <w:fldChar w:fldCharType="begin"/>
        </w:r>
        <w:r w:rsidR="009A1BCE">
          <w:rPr>
            <w:noProof/>
            <w:webHidden/>
          </w:rPr>
          <w:instrText xml:space="preserve"> PAGEREF _Toc13735996 \h </w:instrText>
        </w:r>
        <w:r w:rsidR="009A1BCE">
          <w:rPr>
            <w:noProof/>
            <w:webHidden/>
          </w:rPr>
        </w:r>
        <w:r w:rsidR="009A1BCE">
          <w:rPr>
            <w:noProof/>
            <w:webHidden/>
          </w:rPr>
          <w:fldChar w:fldCharType="separate"/>
        </w:r>
        <w:r w:rsidR="009A1BCE">
          <w:rPr>
            <w:noProof/>
            <w:webHidden/>
          </w:rPr>
          <w:t>20</w:t>
        </w:r>
        <w:r w:rsidR="009A1BCE">
          <w:rPr>
            <w:noProof/>
            <w:webHidden/>
          </w:rPr>
          <w:fldChar w:fldCharType="end"/>
        </w:r>
      </w:hyperlink>
    </w:p>
    <w:p w14:paraId="529647FA" w14:textId="06037E6C" w:rsidR="009A1BCE" w:rsidRDefault="00367D11">
      <w:pPr>
        <w:pStyle w:val="TOC3"/>
        <w:rPr>
          <w:rFonts w:eastAsiaTheme="minorEastAsia" w:cstheme="minorBidi"/>
          <w:noProof/>
          <w:sz w:val="22"/>
          <w:szCs w:val="22"/>
          <w:lang w:val="en-AU"/>
        </w:rPr>
      </w:pPr>
      <w:hyperlink w:anchor="_Toc13735997" w:history="1">
        <w:r w:rsidR="009A1BCE" w:rsidRPr="001976EF">
          <w:rPr>
            <w:rStyle w:val="Hyperlink"/>
            <w:noProof/>
            <w:lang w:val="en-AU"/>
          </w:rPr>
          <w:t>Recommendation 8</w:t>
        </w:r>
        <w:r w:rsidR="009A1BCE">
          <w:rPr>
            <w:noProof/>
            <w:webHidden/>
          </w:rPr>
          <w:tab/>
        </w:r>
        <w:r w:rsidR="009A1BCE">
          <w:rPr>
            <w:noProof/>
            <w:webHidden/>
          </w:rPr>
          <w:fldChar w:fldCharType="begin"/>
        </w:r>
        <w:r w:rsidR="009A1BCE">
          <w:rPr>
            <w:noProof/>
            <w:webHidden/>
          </w:rPr>
          <w:instrText xml:space="preserve"> PAGEREF _Toc13735997 \h </w:instrText>
        </w:r>
        <w:r w:rsidR="009A1BCE">
          <w:rPr>
            <w:noProof/>
            <w:webHidden/>
          </w:rPr>
        </w:r>
        <w:r w:rsidR="009A1BCE">
          <w:rPr>
            <w:noProof/>
            <w:webHidden/>
          </w:rPr>
          <w:fldChar w:fldCharType="separate"/>
        </w:r>
        <w:r w:rsidR="009A1BCE">
          <w:rPr>
            <w:noProof/>
            <w:webHidden/>
          </w:rPr>
          <w:t>20</w:t>
        </w:r>
        <w:r w:rsidR="009A1BCE">
          <w:rPr>
            <w:noProof/>
            <w:webHidden/>
          </w:rPr>
          <w:fldChar w:fldCharType="end"/>
        </w:r>
      </w:hyperlink>
    </w:p>
    <w:p w14:paraId="6A542E2A" w14:textId="0E9CACC8" w:rsidR="009A1BCE" w:rsidRDefault="00367D11">
      <w:pPr>
        <w:pStyle w:val="TOC3"/>
        <w:rPr>
          <w:rFonts w:eastAsiaTheme="minorEastAsia" w:cstheme="minorBidi"/>
          <w:noProof/>
          <w:sz w:val="22"/>
          <w:szCs w:val="22"/>
          <w:lang w:val="en-AU"/>
        </w:rPr>
      </w:pPr>
      <w:hyperlink w:anchor="_Toc13735998" w:history="1">
        <w:r w:rsidR="009A1BCE" w:rsidRPr="001976EF">
          <w:rPr>
            <w:rStyle w:val="Hyperlink"/>
            <w:noProof/>
            <w:lang w:val="en-AU"/>
          </w:rPr>
          <w:t>Rationale 8</w:t>
        </w:r>
        <w:r w:rsidR="009A1BCE">
          <w:rPr>
            <w:noProof/>
            <w:webHidden/>
          </w:rPr>
          <w:tab/>
        </w:r>
        <w:r w:rsidR="009A1BCE">
          <w:rPr>
            <w:noProof/>
            <w:webHidden/>
          </w:rPr>
          <w:fldChar w:fldCharType="begin"/>
        </w:r>
        <w:r w:rsidR="009A1BCE">
          <w:rPr>
            <w:noProof/>
            <w:webHidden/>
          </w:rPr>
          <w:instrText xml:space="preserve"> PAGEREF _Toc13735998 \h </w:instrText>
        </w:r>
        <w:r w:rsidR="009A1BCE">
          <w:rPr>
            <w:noProof/>
            <w:webHidden/>
          </w:rPr>
        </w:r>
        <w:r w:rsidR="009A1BCE">
          <w:rPr>
            <w:noProof/>
            <w:webHidden/>
          </w:rPr>
          <w:fldChar w:fldCharType="separate"/>
        </w:r>
        <w:r w:rsidR="009A1BCE">
          <w:rPr>
            <w:noProof/>
            <w:webHidden/>
          </w:rPr>
          <w:t>21</w:t>
        </w:r>
        <w:r w:rsidR="009A1BCE">
          <w:rPr>
            <w:noProof/>
            <w:webHidden/>
          </w:rPr>
          <w:fldChar w:fldCharType="end"/>
        </w:r>
      </w:hyperlink>
    </w:p>
    <w:p w14:paraId="3A7BF420" w14:textId="483BC4F6" w:rsidR="009A1BCE" w:rsidRDefault="00367D11">
      <w:pPr>
        <w:pStyle w:val="TOC2"/>
        <w:rPr>
          <w:rFonts w:eastAsiaTheme="minorEastAsia" w:cstheme="minorBidi"/>
          <w:i w:val="0"/>
          <w:iCs w:val="0"/>
          <w:noProof/>
          <w:sz w:val="22"/>
          <w:szCs w:val="22"/>
          <w:lang w:val="en-AU"/>
        </w:rPr>
      </w:pPr>
      <w:hyperlink w:anchor="_Toc13735999" w:history="1">
        <w:r w:rsidR="009A1BCE" w:rsidRPr="001976EF">
          <w:rPr>
            <w:rStyle w:val="Hyperlink"/>
            <w:noProof/>
          </w:rPr>
          <w:t>4.9</w:t>
        </w:r>
        <w:r w:rsidR="009A1BCE">
          <w:rPr>
            <w:rFonts w:eastAsiaTheme="minorEastAsia" w:cstheme="minorBidi"/>
            <w:i w:val="0"/>
            <w:iCs w:val="0"/>
            <w:noProof/>
            <w:sz w:val="22"/>
            <w:szCs w:val="22"/>
            <w:lang w:val="en-AU"/>
          </w:rPr>
          <w:tab/>
        </w:r>
        <w:r w:rsidR="009A1BCE" w:rsidRPr="001976EF">
          <w:rPr>
            <w:rStyle w:val="Hyperlink"/>
            <w:noProof/>
          </w:rPr>
          <w:t>Genotype factor V Leiden or other gene mutations in investigation of venous thromboembolism: items 73308–73312</w:t>
        </w:r>
        <w:r w:rsidR="009A1BCE">
          <w:rPr>
            <w:noProof/>
            <w:webHidden/>
          </w:rPr>
          <w:tab/>
        </w:r>
        <w:r w:rsidR="009A1BCE">
          <w:rPr>
            <w:noProof/>
            <w:webHidden/>
          </w:rPr>
          <w:fldChar w:fldCharType="begin"/>
        </w:r>
        <w:r w:rsidR="009A1BCE">
          <w:rPr>
            <w:noProof/>
            <w:webHidden/>
          </w:rPr>
          <w:instrText xml:space="preserve"> PAGEREF _Toc13735999 \h </w:instrText>
        </w:r>
        <w:r w:rsidR="009A1BCE">
          <w:rPr>
            <w:noProof/>
            <w:webHidden/>
          </w:rPr>
        </w:r>
        <w:r w:rsidR="009A1BCE">
          <w:rPr>
            <w:noProof/>
            <w:webHidden/>
          </w:rPr>
          <w:fldChar w:fldCharType="separate"/>
        </w:r>
        <w:r w:rsidR="009A1BCE">
          <w:rPr>
            <w:noProof/>
            <w:webHidden/>
          </w:rPr>
          <w:t>21</w:t>
        </w:r>
        <w:r w:rsidR="009A1BCE">
          <w:rPr>
            <w:noProof/>
            <w:webHidden/>
          </w:rPr>
          <w:fldChar w:fldCharType="end"/>
        </w:r>
      </w:hyperlink>
    </w:p>
    <w:p w14:paraId="4051348F" w14:textId="70BB38BE" w:rsidR="009A1BCE" w:rsidRDefault="00367D11">
      <w:pPr>
        <w:pStyle w:val="TOC3"/>
        <w:rPr>
          <w:rFonts w:eastAsiaTheme="minorEastAsia" w:cstheme="minorBidi"/>
          <w:noProof/>
          <w:sz w:val="22"/>
          <w:szCs w:val="22"/>
          <w:lang w:val="en-AU"/>
        </w:rPr>
      </w:pPr>
      <w:hyperlink w:anchor="_Toc13736000" w:history="1">
        <w:r w:rsidR="009A1BCE" w:rsidRPr="001976EF">
          <w:rPr>
            <w:rStyle w:val="Hyperlink"/>
            <w:noProof/>
            <w:lang w:val="en-AU"/>
          </w:rPr>
          <w:t>Recommendation 9</w:t>
        </w:r>
        <w:r w:rsidR="009A1BCE">
          <w:rPr>
            <w:noProof/>
            <w:webHidden/>
          </w:rPr>
          <w:tab/>
        </w:r>
        <w:r w:rsidR="009A1BCE">
          <w:rPr>
            <w:noProof/>
            <w:webHidden/>
          </w:rPr>
          <w:fldChar w:fldCharType="begin"/>
        </w:r>
        <w:r w:rsidR="009A1BCE">
          <w:rPr>
            <w:noProof/>
            <w:webHidden/>
          </w:rPr>
          <w:instrText xml:space="preserve"> PAGEREF _Toc13736000 \h </w:instrText>
        </w:r>
        <w:r w:rsidR="009A1BCE">
          <w:rPr>
            <w:noProof/>
            <w:webHidden/>
          </w:rPr>
        </w:r>
        <w:r w:rsidR="009A1BCE">
          <w:rPr>
            <w:noProof/>
            <w:webHidden/>
          </w:rPr>
          <w:fldChar w:fldCharType="separate"/>
        </w:r>
        <w:r w:rsidR="009A1BCE">
          <w:rPr>
            <w:noProof/>
            <w:webHidden/>
          </w:rPr>
          <w:t>22</w:t>
        </w:r>
        <w:r w:rsidR="009A1BCE">
          <w:rPr>
            <w:noProof/>
            <w:webHidden/>
          </w:rPr>
          <w:fldChar w:fldCharType="end"/>
        </w:r>
      </w:hyperlink>
    </w:p>
    <w:p w14:paraId="065A2FFD" w14:textId="20C77A09" w:rsidR="009A1BCE" w:rsidRDefault="00367D11">
      <w:pPr>
        <w:pStyle w:val="TOC3"/>
        <w:rPr>
          <w:rFonts w:eastAsiaTheme="minorEastAsia" w:cstheme="minorBidi"/>
          <w:noProof/>
          <w:sz w:val="22"/>
          <w:szCs w:val="22"/>
          <w:lang w:val="en-AU"/>
        </w:rPr>
      </w:pPr>
      <w:hyperlink w:anchor="_Toc13736001" w:history="1">
        <w:r w:rsidR="009A1BCE" w:rsidRPr="001976EF">
          <w:rPr>
            <w:rStyle w:val="Hyperlink"/>
            <w:noProof/>
            <w:lang w:val="en-AU"/>
          </w:rPr>
          <w:t>Rationale 9</w:t>
        </w:r>
        <w:r w:rsidR="009A1BCE">
          <w:rPr>
            <w:noProof/>
            <w:webHidden/>
          </w:rPr>
          <w:tab/>
        </w:r>
        <w:r w:rsidR="009A1BCE">
          <w:rPr>
            <w:noProof/>
            <w:webHidden/>
          </w:rPr>
          <w:fldChar w:fldCharType="begin"/>
        </w:r>
        <w:r w:rsidR="009A1BCE">
          <w:rPr>
            <w:noProof/>
            <w:webHidden/>
          </w:rPr>
          <w:instrText xml:space="preserve"> PAGEREF _Toc13736001 \h </w:instrText>
        </w:r>
        <w:r w:rsidR="009A1BCE">
          <w:rPr>
            <w:noProof/>
            <w:webHidden/>
          </w:rPr>
        </w:r>
        <w:r w:rsidR="009A1BCE">
          <w:rPr>
            <w:noProof/>
            <w:webHidden/>
          </w:rPr>
          <w:fldChar w:fldCharType="separate"/>
        </w:r>
        <w:r w:rsidR="009A1BCE">
          <w:rPr>
            <w:noProof/>
            <w:webHidden/>
          </w:rPr>
          <w:t>23</w:t>
        </w:r>
        <w:r w:rsidR="009A1BCE">
          <w:rPr>
            <w:noProof/>
            <w:webHidden/>
          </w:rPr>
          <w:fldChar w:fldCharType="end"/>
        </w:r>
      </w:hyperlink>
    </w:p>
    <w:p w14:paraId="4CEFAED0" w14:textId="0D662F6F" w:rsidR="009A1BCE" w:rsidRDefault="00367D11">
      <w:pPr>
        <w:pStyle w:val="TOC2"/>
        <w:rPr>
          <w:rFonts w:eastAsiaTheme="minorEastAsia" w:cstheme="minorBidi"/>
          <w:i w:val="0"/>
          <w:iCs w:val="0"/>
          <w:noProof/>
          <w:sz w:val="22"/>
          <w:szCs w:val="22"/>
          <w:lang w:val="en-AU"/>
        </w:rPr>
      </w:pPr>
      <w:hyperlink w:anchor="_Toc13736002" w:history="1">
        <w:r w:rsidR="009A1BCE" w:rsidRPr="001976EF">
          <w:rPr>
            <w:rStyle w:val="Hyperlink"/>
            <w:noProof/>
          </w:rPr>
          <w:t>4.10</w:t>
        </w:r>
        <w:r w:rsidR="009A1BCE">
          <w:rPr>
            <w:rFonts w:eastAsiaTheme="minorEastAsia" w:cstheme="minorBidi"/>
            <w:i w:val="0"/>
            <w:iCs w:val="0"/>
            <w:noProof/>
            <w:sz w:val="22"/>
            <w:szCs w:val="22"/>
            <w:lang w:val="en-AU"/>
          </w:rPr>
          <w:tab/>
        </w:r>
        <w:r w:rsidR="009A1BCE" w:rsidRPr="001976EF">
          <w:rPr>
            <w:rStyle w:val="Hyperlink"/>
            <w:noProof/>
          </w:rPr>
          <w:t>Chromosome abnormalities products of conception: item 73293</w:t>
        </w:r>
        <w:r w:rsidR="009A1BCE">
          <w:rPr>
            <w:noProof/>
            <w:webHidden/>
          </w:rPr>
          <w:tab/>
        </w:r>
        <w:r w:rsidR="009A1BCE">
          <w:rPr>
            <w:noProof/>
            <w:webHidden/>
          </w:rPr>
          <w:fldChar w:fldCharType="begin"/>
        </w:r>
        <w:r w:rsidR="009A1BCE">
          <w:rPr>
            <w:noProof/>
            <w:webHidden/>
          </w:rPr>
          <w:instrText xml:space="preserve"> PAGEREF _Toc13736002 \h </w:instrText>
        </w:r>
        <w:r w:rsidR="009A1BCE">
          <w:rPr>
            <w:noProof/>
            <w:webHidden/>
          </w:rPr>
        </w:r>
        <w:r w:rsidR="009A1BCE">
          <w:rPr>
            <w:noProof/>
            <w:webHidden/>
          </w:rPr>
          <w:fldChar w:fldCharType="separate"/>
        </w:r>
        <w:r w:rsidR="009A1BCE">
          <w:rPr>
            <w:noProof/>
            <w:webHidden/>
          </w:rPr>
          <w:t>23</w:t>
        </w:r>
        <w:r w:rsidR="009A1BCE">
          <w:rPr>
            <w:noProof/>
            <w:webHidden/>
          </w:rPr>
          <w:fldChar w:fldCharType="end"/>
        </w:r>
      </w:hyperlink>
    </w:p>
    <w:p w14:paraId="22123A5B" w14:textId="545CC94B" w:rsidR="009A1BCE" w:rsidRDefault="00367D11">
      <w:pPr>
        <w:pStyle w:val="TOC3"/>
        <w:rPr>
          <w:rFonts w:eastAsiaTheme="minorEastAsia" w:cstheme="minorBidi"/>
          <w:noProof/>
          <w:sz w:val="22"/>
          <w:szCs w:val="22"/>
          <w:lang w:val="en-AU"/>
        </w:rPr>
      </w:pPr>
      <w:hyperlink w:anchor="_Toc13736003" w:history="1">
        <w:r w:rsidR="009A1BCE" w:rsidRPr="001976EF">
          <w:rPr>
            <w:rStyle w:val="Hyperlink"/>
            <w:noProof/>
            <w:lang w:val="en-AU"/>
          </w:rPr>
          <w:t>Recommendation 10</w:t>
        </w:r>
        <w:r w:rsidR="009A1BCE">
          <w:rPr>
            <w:noProof/>
            <w:webHidden/>
          </w:rPr>
          <w:tab/>
        </w:r>
        <w:r w:rsidR="009A1BCE">
          <w:rPr>
            <w:noProof/>
            <w:webHidden/>
          </w:rPr>
          <w:fldChar w:fldCharType="begin"/>
        </w:r>
        <w:r w:rsidR="009A1BCE">
          <w:rPr>
            <w:noProof/>
            <w:webHidden/>
          </w:rPr>
          <w:instrText xml:space="preserve"> PAGEREF _Toc13736003 \h </w:instrText>
        </w:r>
        <w:r w:rsidR="009A1BCE">
          <w:rPr>
            <w:noProof/>
            <w:webHidden/>
          </w:rPr>
        </w:r>
        <w:r w:rsidR="009A1BCE">
          <w:rPr>
            <w:noProof/>
            <w:webHidden/>
          </w:rPr>
          <w:fldChar w:fldCharType="separate"/>
        </w:r>
        <w:r w:rsidR="009A1BCE">
          <w:rPr>
            <w:noProof/>
            <w:webHidden/>
          </w:rPr>
          <w:t>23</w:t>
        </w:r>
        <w:r w:rsidR="009A1BCE">
          <w:rPr>
            <w:noProof/>
            <w:webHidden/>
          </w:rPr>
          <w:fldChar w:fldCharType="end"/>
        </w:r>
      </w:hyperlink>
    </w:p>
    <w:p w14:paraId="305571E7" w14:textId="3BB85B4F" w:rsidR="009A1BCE" w:rsidRDefault="00367D11">
      <w:pPr>
        <w:pStyle w:val="TOC3"/>
        <w:rPr>
          <w:rFonts w:eastAsiaTheme="minorEastAsia" w:cstheme="minorBidi"/>
          <w:noProof/>
          <w:sz w:val="22"/>
          <w:szCs w:val="22"/>
          <w:lang w:val="en-AU"/>
        </w:rPr>
      </w:pPr>
      <w:hyperlink w:anchor="_Toc13736004" w:history="1">
        <w:r w:rsidR="009A1BCE" w:rsidRPr="001976EF">
          <w:rPr>
            <w:rStyle w:val="Hyperlink"/>
            <w:noProof/>
            <w:lang w:val="en-AU"/>
          </w:rPr>
          <w:t>Rationale 10</w:t>
        </w:r>
        <w:r w:rsidR="009A1BCE">
          <w:rPr>
            <w:noProof/>
            <w:webHidden/>
          </w:rPr>
          <w:tab/>
        </w:r>
        <w:r w:rsidR="009A1BCE">
          <w:rPr>
            <w:noProof/>
            <w:webHidden/>
          </w:rPr>
          <w:fldChar w:fldCharType="begin"/>
        </w:r>
        <w:r w:rsidR="009A1BCE">
          <w:rPr>
            <w:noProof/>
            <w:webHidden/>
          </w:rPr>
          <w:instrText xml:space="preserve"> PAGEREF _Toc13736004 \h </w:instrText>
        </w:r>
        <w:r w:rsidR="009A1BCE">
          <w:rPr>
            <w:noProof/>
            <w:webHidden/>
          </w:rPr>
        </w:r>
        <w:r w:rsidR="009A1BCE">
          <w:rPr>
            <w:noProof/>
            <w:webHidden/>
          </w:rPr>
          <w:fldChar w:fldCharType="separate"/>
        </w:r>
        <w:r w:rsidR="009A1BCE">
          <w:rPr>
            <w:noProof/>
            <w:webHidden/>
          </w:rPr>
          <w:t>24</w:t>
        </w:r>
        <w:r w:rsidR="009A1BCE">
          <w:rPr>
            <w:noProof/>
            <w:webHidden/>
          </w:rPr>
          <w:fldChar w:fldCharType="end"/>
        </w:r>
      </w:hyperlink>
    </w:p>
    <w:p w14:paraId="58FF7146" w14:textId="0186BE8B" w:rsidR="009A1BCE" w:rsidRDefault="00367D11">
      <w:pPr>
        <w:pStyle w:val="TOC2"/>
        <w:rPr>
          <w:rFonts w:eastAsiaTheme="minorEastAsia" w:cstheme="minorBidi"/>
          <w:i w:val="0"/>
          <w:iCs w:val="0"/>
          <w:noProof/>
          <w:sz w:val="22"/>
          <w:szCs w:val="22"/>
          <w:lang w:val="en-AU"/>
        </w:rPr>
      </w:pPr>
      <w:hyperlink w:anchor="_Toc13736005" w:history="1">
        <w:r w:rsidR="009A1BCE" w:rsidRPr="001976EF">
          <w:rPr>
            <w:rStyle w:val="Hyperlink"/>
            <w:noProof/>
          </w:rPr>
          <w:t>4.11</w:t>
        </w:r>
        <w:r w:rsidR="009A1BCE">
          <w:rPr>
            <w:rFonts w:eastAsiaTheme="minorEastAsia" w:cstheme="minorBidi"/>
            <w:i w:val="0"/>
            <w:iCs w:val="0"/>
            <w:noProof/>
            <w:sz w:val="22"/>
            <w:szCs w:val="22"/>
            <w:lang w:val="en-AU"/>
          </w:rPr>
          <w:tab/>
        </w:r>
        <w:r w:rsidR="009A1BCE" w:rsidRPr="001976EF">
          <w:rPr>
            <w:rStyle w:val="Hyperlink"/>
            <w:noProof/>
          </w:rPr>
          <w:t>No changes</w:t>
        </w:r>
        <w:r w:rsidR="009A1BCE">
          <w:rPr>
            <w:noProof/>
            <w:webHidden/>
          </w:rPr>
          <w:tab/>
        </w:r>
        <w:r w:rsidR="009A1BCE">
          <w:rPr>
            <w:noProof/>
            <w:webHidden/>
          </w:rPr>
          <w:fldChar w:fldCharType="begin"/>
        </w:r>
        <w:r w:rsidR="009A1BCE">
          <w:rPr>
            <w:noProof/>
            <w:webHidden/>
          </w:rPr>
          <w:instrText xml:space="preserve"> PAGEREF _Toc13736005 \h </w:instrText>
        </w:r>
        <w:r w:rsidR="009A1BCE">
          <w:rPr>
            <w:noProof/>
            <w:webHidden/>
          </w:rPr>
        </w:r>
        <w:r w:rsidR="009A1BCE">
          <w:rPr>
            <w:noProof/>
            <w:webHidden/>
          </w:rPr>
          <w:fldChar w:fldCharType="separate"/>
        </w:r>
        <w:r w:rsidR="009A1BCE">
          <w:rPr>
            <w:noProof/>
            <w:webHidden/>
          </w:rPr>
          <w:t>24</w:t>
        </w:r>
        <w:r w:rsidR="009A1BCE">
          <w:rPr>
            <w:noProof/>
            <w:webHidden/>
          </w:rPr>
          <w:fldChar w:fldCharType="end"/>
        </w:r>
      </w:hyperlink>
    </w:p>
    <w:p w14:paraId="5AA979C6" w14:textId="5C481FFD" w:rsidR="009A1BCE" w:rsidRDefault="00367D11">
      <w:pPr>
        <w:pStyle w:val="TOC2"/>
        <w:rPr>
          <w:rFonts w:eastAsiaTheme="minorEastAsia" w:cstheme="minorBidi"/>
          <w:i w:val="0"/>
          <w:iCs w:val="0"/>
          <w:noProof/>
          <w:sz w:val="22"/>
          <w:szCs w:val="22"/>
          <w:lang w:val="en-AU"/>
        </w:rPr>
      </w:pPr>
      <w:hyperlink w:anchor="_Toc13736006" w:history="1">
        <w:r w:rsidR="009A1BCE" w:rsidRPr="001976EF">
          <w:rPr>
            <w:rStyle w:val="Hyperlink"/>
            <w:noProof/>
          </w:rPr>
          <w:t>4.12</w:t>
        </w:r>
        <w:r w:rsidR="009A1BCE">
          <w:rPr>
            <w:rFonts w:eastAsiaTheme="minorEastAsia" w:cstheme="minorBidi"/>
            <w:i w:val="0"/>
            <w:iCs w:val="0"/>
            <w:noProof/>
            <w:sz w:val="22"/>
            <w:szCs w:val="22"/>
            <w:lang w:val="en-AU"/>
          </w:rPr>
          <w:tab/>
        </w:r>
        <w:r w:rsidR="009A1BCE" w:rsidRPr="001976EF">
          <w:rPr>
            <w:rStyle w:val="Hyperlink"/>
            <w:noProof/>
          </w:rPr>
          <w:t>Minor changes</w:t>
        </w:r>
        <w:r w:rsidR="009A1BCE">
          <w:rPr>
            <w:noProof/>
            <w:webHidden/>
          </w:rPr>
          <w:tab/>
        </w:r>
        <w:r w:rsidR="009A1BCE">
          <w:rPr>
            <w:noProof/>
            <w:webHidden/>
          </w:rPr>
          <w:fldChar w:fldCharType="begin"/>
        </w:r>
        <w:r w:rsidR="009A1BCE">
          <w:rPr>
            <w:noProof/>
            <w:webHidden/>
          </w:rPr>
          <w:instrText xml:space="preserve"> PAGEREF _Toc13736006 \h </w:instrText>
        </w:r>
        <w:r w:rsidR="009A1BCE">
          <w:rPr>
            <w:noProof/>
            <w:webHidden/>
          </w:rPr>
        </w:r>
        <w:r w:rsidR="009A1BCE">
          <w:rPr>
            <w:noProof/>
            <w:webHidden/>
          </w:rPr>
          <w:fldChar w:fldCharType="separate"/>
        </w:r>
        <w:r w:rsidR="009A1BCE">
          <w:rPr>
            <w:noProof/>
            <w:webHidden/>
          </w:rPr>
          <w:t>25</w:t>
        </w:r>
        <w:r w:rsidR="009A1BCE">
          <w:rPr>
            <w:noProof/>
            <w:webHidden/>
          </w:rPr>
          <w:fldChar w:fldCharType="end"/>
        </w:r>
      </w:hyperlink>
    </w:p>
    <w:p w14:paraId="32B1779F" w14:textId="59817BC9" w:rsidR="009A1BCE" w:rsidRDefault="00367D11">
      <w:pPr>
        <w:pStyle w:val="TOC2"/>
        <w:rPr>
          <w:rFonts w:eastAsiaTheme="minorEastAsia" w:cstheme="minorBidi"/>
          <w:i w:val="0"/>
          <w:iCs w:val="0"/>
          <w:noProof/>
          <w:sz w:val="22"/>
          <w:szCs w:val="22"/>
          <w:lang w:val="en-AU"/>
        </w:rPr>
      </w:pPr>
      <w:hyperlink w:anchor="_Toc13736007" w:history="1">
        <w:r w:rsidR="009A1BCE" w:rsidRPr="001976EF">
          <w:rPr>
            <w:rStyle w:val="Hyperlink"/>
            <w:noProof/>
          </w:rPr>
          <w:t>4.13</w:t>
        </w:r>
        <w:r w:rsidR="009A1BCE">
          <w:rPr>
            <w:rFonts w:eastAsiaTheme="minorEastAsia" w:cstheme="minorBidi"/>
            <w:i w:val="0"/>
            <w:iCs w:val="0"/>
            <w:noProof/>
            <w:sz w:val="22"/>
            <w:szCs w:val="22"/>
            <w:lang w:val="en-AU"/>
          </w:rPr>
          <w:tab/>
        </w:r>
        <w:r w:rsidR="009A1BCE" w:rsidRPr="001976EF">
          <w:rPr>
            <w:rStyle w:val="Hyperlink"/>
            <w:noProof/>
          </w:rPr>
          <w:t>Items to be removed</w:t>
        </w:r>
        <w:r w:rsidR="009A1BCE">
          <w:rPr>
            <w:noProof/>
            <w:webHidden/>
          </w:rPr>
          <w:tab/>
        </w:r>
        <w:r w:rsidR="009A1BCE">
          <w:rPr>
            <w:noProof/>
            <w:webHidden/>
          </w:rPr>
          <w:fldChar w:fldCharType="begin"/>
        </w:r>
        <w:r w:rsidR="009A1BCE">
          <w:rPr>
            <w:noProof/>
            <w:webHidden/>
          </w:rPr>
          <w:instrText xml:space="preserve"> PAGEREF _Toc13736007 \h </w:instrText>
        </w:r>
        <w:r w:rsidR="009A1BCE">
          <w:rPr>
            <w:noProof/>
            <w:webHidden/>
          </w:rPr>
        </w:r>
        <w:r w:rsidR="009A1BCE">
          <w:rPr>
            <w:noProof/>
            <w:webHidden/>
          </w:rPr>
          <w:fldChar w:fldCharType="separate"/>
        </w:r>
        <w:r w:rsidR="009A1BCE">
          <w:rPr>
            <w:noProof/>
            <w:webHidden/>
          </w:rPr>
          <w:t>26</w:t>
        </w:r>
        <w:r w:rsidR="009A1BCE">
          <w:rPr>
            <w:noProof/>
            <w:webHidden/>
          </w:rPr>
          <w:fldChar w:fldCharType="end"/>
        </w:r>
      </w:hyperlink>
    </w:p>
    <w:p w14:paraId="5D46EEAB" w14:textId="7F4EA65D" w:rsidR="009A1BCE" w:rsidRDefault="00367D11">
      <w:pPr>
        <w:pStyle w:val="TOC1"/>
        <w:rPr>
          <w:rFonts w:eastAsiaTheme="minorEastAsia" w:cstheme="minorBidi"/>
          <w:b w:val="0"/>
          <w:bCs w:val="0"/>
          <w:noProof/>
          <w:sz w:val="22"/>
          <w:szCs w:val="22"/>
          <w:lang w:val="en-AU"/>
        </w:rPr>
      </w:pPr>
      <w:hyperlink w:anchor="_Toc13736008" w:history="1">
        <w:r w:rsidR="009A1BCE" w:rsidRPr="001976EF">
          <w:rPr>
            <w:rStyle w:val="Hyperlink"/>
            <w:noProof/>
            <w:lang w:val="en-AU" w:bidi="x-none"/>
            <w14:scene3d>
              <w14:camera w14:prst="orthographicFront"/>
              <w14:lightRig w14:rig="threePt" w14:dir="t">
                <w14:rot w14:lat="0" w14:lon="0" w14:rev="0"/>
              </w14:lightRig>
            </w14:scene3d>
          </w:rPr>
          <w:t>5.</w:t>
        </w:r>
        <w:r w:rsidR="009A1BCE">
          <w:rPr>
            <w:rFonts w:eastAsiaTheme="minorEastAsia" w:cstheme="minorBidi"/>
            <w:b w:val="0"/>
            <w:bCs w:val="0"/>
            <w:noProof/>
            <w:sz w:val="22"/>
            <w:szCs w:val="22"/>
            <w:lang w:val="en-AU"/>
          </w:rPr>
          <w:tab/>
        </w:r>
        <w:r w:rsidR="009A1BCE" w:rsidRPr="001976EF">
          <w:rPr>
            <w:rStyle w:val="Hyperlink"/>
            <w:noProof/>
            <w:lang w:val="en-AU"/>
          </w:rPr>
          <w:t>Recommendations to other committees</w:t>
        </w:r>
        <w:r w:rsidR="009A1BCE">
          <w:rPr>
            <w:noProof/>
            <w:webHidden/>
          </w:rPr>
          <w:tab/>
        </w:r>
        <w:r w:rsidR="009A1BCE">
          <w:rPr>
            <w:noProof/>
            <w:webHidden/>
          </w:rPr>
          <w:fldChar w:fldCharType="begin"/>
        </w:r>
        <w:r w:rsidR="009A1BCE">
          <w:rPr>
            <w:noProof/>
            <w:webHidden/>
          </w:rPr>
          <w:instrText xml:space="preserve"> PAGEREF _Toc13736008 \h </w:instrText>
        </w:r>
        <w:r w:rsidR="009A1BCE">
          <w:rPr>
            <w:noProof/>
            <w:webHidden/>
          </w:rPr>
        </w:r>
        <w:r w:rsidR="009A1BCE">
          <w:rPr>
            <w:noProof/>
            <w:webHidden/>
          </w:rPr>
          <w:fldChar w:fldCharType="separate"/>
        </w:r>
        <w:r w:rsidR="009A1BCE">
          <w:rPr>
            <w:noProof/>
            <w:webHidden/>
          </w:rPr>
          <w:t>28</w:t>
        </w:r>
        <w:r w:rsidR="009A1BCE">
          <w:rPr>
            <w:noProof/>
            <w:webHidden/>
          </w:rPr>
          <w:fldChar w:fldCharType="end"/>
        </w:r>
      </w:hyperlink>
    </w:p>
    <w:p w14:paraId="053F0325" w14:textId="53C0D946" w:rsidR="009A1BCE" w:rsidRDefault="00367D11">
      <w:pPr>
        <w:pStyle w:val="TOC2"/>
        <w:rPr>
          <w:rFonts w:eastAsiaTheme="minorEastAsia" w:cstheme="minorBidi"/>
          <w:i w:val="0"/>
          <w:iCs w:val="0"/>
          <w:noProof/>
          <w:sz w:val="22"/>
          <w:szCs w:val="22"/>
          <w:lang w:val="en-AU"/>
        </w:rPr>
      </w:pPr>
      <w:hyperlink w:anchor="_Toc13736009" w:history="1">
        <w:r w:rsidR="009A1BCE" w:rsidRPr="001976EF">
          <w:rPr>
            <w:rStyle w:val="Hyperlink"/>
            <w:noProof/>
          </w:rPr>
          <w:t>5.1</w:t>
        </w:r>
        <w:r w:rsidR="009A1BCE">
          <w:rPr>
            <w:rFonts w:eastAsiaTheme="minorEastAsia" w:cstheme="minorBidi"/>
            <w:i w:val="0"/>
            <w:iCs w:val="0"/>
            <w:noProof/>
            <w:sz w:val="22"/>
            <w:szCs w:val="22"/>
            <w:lang w:val="en-AU"/>
          </w:rPr>
          <w:tab/>
        </w:r>
        <w:r w:rsidR="009A1BCE" w:rsidRPr="001976EF">
          <w:rPr>
            <w:rStyle w:val="Hyperlink"/>
            <w:noProof/>
          </w:rPr>
          <w:t>Recommendations to Medical Services Advisory Committee</w:t>
        </w:r>
        <w:r w:rsidR="009A1BCE">
          <w:rPr>
            <w:noProof/>
            <w:webHidden/>
          </w:rPr>
          <w:tab/>
        </w:r>
        <w:r w:rsidR="009A1BCE">
          <w:rPr>
            <w:noProof/>
            <w:webHidden/>
          </w:rPr>
          <w:fldChar w:fldCharType="begin"/>
        </w:r>
        <w:r w:rsidR="009A1BCE">
          <w:rPr>
            <w:noProof/>
            <w:webHidden/>
          </w:rPr>
          <w:instrText xml:space="preserve"> PAGEREF _Toc13736009 \h </w:instrText>
        </w:r>
        <w:r w:rsidR="009A1BCE">
          <w:rPr>
            <w:noProof/>
            <w:webHidden/>
          </w:rPr>
        </w:r>
        <w:r w:rsidR="009A1BCE">
          <w:rPr>
            <w:noProof/>
            <w:webHidden/>
          </w:rPr>
          <w:fldChar w:fldCharType="separate"/>
        </w:r>
        <w:r w:rsidR="009A1BCE">
          <w:rPr>
            <w:noProof/>
            <w:webHidden/>
          </w:rPr>
          <w:t>28</w:t>
        </w:r>
        <w:r w:rsidR="009A1BCE">
          <w:rPr>
            <w:noProof/>
            <w:webHidden/>
          </w:rPr>
          <w:fldChar w:fldCharType="end"/>
        </w:r>
      </w:hyperlink>
    </w:p>
    <w:p w14:paraId="5D6860EE" w14:textId="773A1546" w:rsidR="009A1BCE" w:rsidRDefault="00367D11">
      <w:pPr>
        <w:pStyle w:val="TOC3"/>
        <w:tabs>
          <w:tab w:val="left" w:pos="1474"/>
        </w:tabs>
        <w:rPr>
          <w:rFonts w:eastAsiaTheme="minorEastAsia" w:cstheme="minorBidi"/>
          <w:noProof/>
          <w:sz w:val="22"/>
          <w:szCs w:val="22"/>
          <w:lang w:val="en-AU"/>
        </w:rPr>
      </w:pPr>
      <w:hyperlink w:anchor="_Toc13736010" w:history="1">
        <w:r w:rsidR="009A1BCE" w:rsidRPr="001976EF">
          <w:rPr>
            <w:rStyle w:val="Hyperlink"/>
            <w:noProof/>
            <w:lang w:val="en-AU"/>
          </w:rPr>
          <w:t>5.1.1</w:t>
        </w:r>
        <w:r w:rsidR="009A1BCE">
          <w:rPr>
            <w:rFonts w:eastAsiaTheme="minorEastAsia" w:cstheme="minorBidi"/>
            <w:noProof/>
            <w:sz w:val="22"/>
            <w:szCs w:val="22"/>
            <w:lang w:val="en-AU"/>
          </w:rPr>
          <w:tab/>
        </w:r>
        <w:r w:rsidR="009A1BCE" w:rsidRPr="001976EF">
          <w:rPr>
            <w:rStyle w:val="Hyperlink"/>
            <w:noProof/>
            <w:lang w:val="en-AU"/>
          </w:rPr>
          <w:t>Extension of item 73292 microarray: include new populations</w:t>
        </w:r>
        <w:r w:rsidR="009A1BCE">
          <w:rPr>
            <w:noProof/>
            <w:webHidden/>
          </w:rPr>
          <w:tab/>
        </w:r>
        <w:r w:rsidR="009A1BCE">
          <w:rPr>
            <w:noProof/>
            <w:webHidden/>
          </w:rPr>
          <w:fldChar w:fldCharType="begin"/>
        </w:r>
        <w:r w:rsidR="009A1BCE">
          <w:rPr>
            <w:noProof/>
            <w:webHidden/>
          </w:rPr>
          <w:instrText xml:space="preserve"> PAGEREF _Toc13736010 \h </w:instrText>
        </w:r>
        <w:r w:rsidR="009A1BCE">
          <w:rPr>
            <w:noProof/>
            <w:webHidden/>
          </w:rPr>
        </w:r>
        <w:r w:rsidR="009A1BCE">
          <w:rPr>
            <w:noProof/>
            <w:webHidden/>
          </w:rPr>
          <w:fldChar w:fldCharType="separate"/>
        </w:r>
        <w:r w:rsidR="009A1BCE">
          <w:rPr>
            <w:noProof/>
            <w:webHidden/>
          </w:rPr>
          <w:t>28</w:t>
        </w:r>
        <w:r w:rsidR="009A1BCE">
          <w:rPr>
            <w:noProof/>
            <w:webHidden/>
          </w:rPr>
          <w:fldChar w:fldCharType="end"/>
        </w:r>
      </w:hyperlink>
    </w:p>
    <w:p w14:paraId="085B7709" w14:textId="15D5FB5E" w:rsidR="009A1BCE" w:rsidRDefault="00367D11">
      <w:pPr>
        <w:pStyle w:val="TOC3"/>
        <w:rPr>
          <w:rFonts w:eastAsiaTheme="minorEastAsia" w:cstheme="minorBidi"/>
          <w:noProof/>
          <w:sz w:val="22"/>
          <w:szCs w:val="22"/>
          <w:lang w:val="en-AU"/>
        </w:rPr>
      </w:pPr>
      <w:hyperlink w:anchor="_Toc13736011" w:history="1">
        <w:r w:rsidR="009A1BCE" w:rsidRPr="001976EF">
          <w:rPr>
            <w:rStyle w:val="Hyperlink"/>
            <w:noProof/>
            <w:lang w:val="en-AU"/>
          </w:rPr>
          <w:t>Recommendation 11</w:t>
        </w:r>
        <w:r w:rsidR="009A1BCE">
          <w:rPr>
            <w:noProof/>
            <w:webHidden/>
          </w:rPr>
          <w:tab/>
        </w:r>
        <w:r w:rsidR="009A1BCE">
          <w:rPr>
            <w:noProof/>
            <w:webHidden/>
          </w:rPr>
          <w:fldChar w:fldCharType="begin"/>
        </w:r>
        <w:r w:rsidR="009A1BCE">
          <w:rPr>
            <w:noProof/>
            <w:webHidden/>
          </w:rPr>
          <w:instrText xml:space="preserve"> PAGEREF _Toc13736011 \h </w:instrText>
        </w:r>
        <w:r w:rsidR="009A1BCE">
          <w:rPr>
            <w:noProof/>
            <w:webHidden/>
          </w:rPr>
        </w:r>
        <w:r w:rsidR="009A1BCE">
          <w:rPr>
            <w:noProof/>
            <w:webHidden/>
          </w:rPr>
          <w:fldChar w:fldCharType="separate"/>
        </w:r>
        <w:r w:rsidR="009A1BCE">
          <w:rPr>
            <w:noProof/>
            <w:webHidden/>
          </w:rPr>
          <w:t>28</w:t>
        </w:r>
        <w:r w:rsidR="009A1BCE">
          <w:rPr>
            <w:noProof/>
            <w:webHidden/>
          </w:rPr>
          <w:fldChar w:fldCharType="end"/>
        </w:r>
      </w:hyperlink>
    </w:p>
    <w:p w14:paraId="37F24F50" w14:textId="51B3878C" w:rsidR="009A1BCE" w:rsidRDefault="00367D11">
      <w:pPr>
        <w:pStyle w:val="TOC3"/>
        <w:rPr>
          <w:rFonts w:eastAsiaTheme="minorEastAsia" w:cstheme="minorBidi"/>
          <w:noProof/>
          <w:sz w:val="22"/>
          <w:szCs w:val="22"/>
          <w:lang w:val="en-AU"/>
        </w:rPr>
      </w:pPr>
      <w:hyperlink w:anchor="_Toc13736012" w:history="1">
        <w:r w:rsidR="009A1BCE" w:rsidRPr="001976EF">
          <w:rPr>
            <w:rStyle w:val="Hyperlink"/>
            <w:noProof/>
            <w:lang w:val="en-AU"/>
          </w:rPr>
          <w:t>Rationale 11</w:t>
        </w:r>
        <w:r w:rsidR="009A1BCE">
          <w:rPr>
            <w:noProof/>
            <w:webHidden/>
          </w:rPr>
          <w:tab/>
        </w:r>
        <w:r w:rsidR="009A1BCE">
          <w:rPr>
            <w:noProof/>
            <w:webHidden/>
          </w:rPr>
          <w:fldChar w:fldCharType="begin"/>
        </w:r>
        <w:r w:rsidR="009A1BCE">
          <w:rPr>
            <w:noProof/>
            <w:webHidden/>
          </w:rPr>
          <w:instrText xml:space="preserve"> PAGEREF _Toc13736012 \h </w:instrText>
        </w:r>
        <w:r w:rsidR="009A1BCE">
          <w:rPr>
            <w:noProof/>
            <w:webHidden/>
          </w:rPr>
        </w:r>
        <w:r w:rsidR="009A1BCE">
          <w:rPr>
            <w:noProof/>
            <w:webHidden/>
          </w:rPr>
          <w:fldChar w:fldCharType="separate"/>
        </w:r>
        <w:r w:rsidR="009A1BCE">
          <w:rPr>
            <w:noProof/>
            <w:webHidden/>
          </w:rPr>
          <w:t>28</w:t>
        </w:r>
        <w:r w:rsidR="009A1BCE">
          <w:rPr>
            <w:noProof/>
            <w:webHidden/>
          </w:rPr>
          <w:fldChar w:fldCharType="end"/>
        </w:r>
      </w:hyperlink>
    </w:p>
    <w:p w14:paraId="65D98EFF" w14:textId="662200D8" w:rsidR="009A1BCE" w:rsidRDefault="00367D11">
      <w:pPr>
        <w:pStyle w:val="TOC3"/>
        <w:tabs>
          <w:tab w:val="left" w:pos="1474"/>
        </w:tabs>
        <w:rPr>
          <w:rFonts w:eastAsiaTheme="minorEastAsia" w:cstheme="minorBidi"/>
          <w:noProof/>
          <w:sz w:val="22"/>
          <w:szCs w:val="22"/>
          <w:lang w:val="en-AU"/>
        </w:rPr>
      </w:pPr>
      <w:hyperlink w:anchor="_Toc13736013" w:history="1">
        <w:r w:rsidR="009A1BCE" w:rsidRPr="001976EF">
          <w:rPr>
            <w:rStyle w:val="Hyperlink"/>
            <w:noProof/>
            <w:lang w:val="en-AU"/>
          </w:rPr>
          <w:t>5.1.2</w:t>
        </w:r>
        <w:r w:rsidR="009A1BCE">
          <w:rPr>
            <w:rFonts w:eastAsiaTheme="minorEastAsia" w:cstheme="minorBidi"/>
            <w:noProof/>
            <w:sz w:val="22"/>
            <w:szCs w:val="22"/>
            <w:lang w:val="en-AU"/>
          </w:rPr>
          <w:tab/>
        </w:r>
        <w:r w:rsidR="009A1BCE" w:rsidRPr="001976EF">
          <w:rPr>
            <w:rStyle w:val="Hyperlink"/>
            <w:noProof/>
            <w:lang w:val="en-AU"/>
          </w:rPr>
          <w:t>Extension of item 73325: include an additional population and a new mutation</w:t>
        </w:r>
        <w:r w:rsidR="009A1BCE">
          <w:rPr>
            <w:noProof/>
            <w:webHidden/>
          </w:rPr>
          <w:tab/>
        </w:r>
        <w:r w:rsidR="009A1BCE">
          <w:rPr>
            <w:noProof/>
            <w:webHidden/>
          </w:rPr>
          <w:fldChar w:fldCharType="begin"/>
        </w:r>
        <w:r w:rsidR="009A1BCE">
          <w:rPr>
            <w:noProof/>
            <w:webHidden/>
          </w:rPr>
          <w:instrText xml:space="preserve"> PAGEREF _Toc13736013 \h </w:instrText>
        </w:r>
        <w:r w:rsidR="009A1BCE">
          <w:rPr>
            <w:noProof/>
            <w:webHidden/>
          </w:rPr>
        </w:r>
        <w:r w:rsidR="009A1BCE">
          <w:rPr>
            <w:noProof/>
            <w:webHidden/>
          </w:rPr>
          <w:fldChar w:fldCharType="separate"/>
        </w:r>
        <w:r w:rsidR="009A1BCE">
          <w:rPr>
            <w:noProof/>
            <w:webHidden/>
          </w:rPr>
          <w:t>30</w:t>
        </w:r>
        <w:r w:rsidR="009A1BCE">
          <w:rPr>
            <w:noProof/>
            <w:webHidden/>
          </w:rPr>
          <w:fldChar w:fldCharType="end"/>
        </w:r>
      </w:hyperlink>
    </w:p>
    <w:p w14:paraId="664FABCB" w14:textId="7D3CECB6" w:rsidR="009A1BCE" w:rsidRDefault="00367D11">
      <w:pPr>
        <w:pStyle w:val="TOC3"/>
        <w:rPr>
          <w:rFonts w:eastAsiaTheme="minorEastAsia" w:cstheme="minorBidi"/>
          <w:noProof/>
          <w:sz w:val="22"/>
          <w:szCs w:val="22"/>
          <w:lang w:val="en-AU"/>
        </w:rPr>
      </w:pPr>
      <w:hyperlink w:anchor="_Toc13736014" w:history="1">
        <w:r w:rsidR="009A1BCE" w:rsidRPr="001976EF">
          <w:rPr>
            <w:rStyle w:val="Hyperlink"/>
            <w:noProof/>
            <w:lang w:val="en-AU"/>
          </w:rPr>
          <w:t>Recommendation 12</w:t>
        </w:r>
        <w:r w:rsidR="009A1BCE">
          <w:rPr>
            <w:noProof/>
            <w:webHidden/>
          </w:rPr>
          <w:tab/>
        </w:r>
        <w:r w:rsidR="009A1BCE">
          <w:rPr>
            <w:noProof/>
            <w:webHidden/>
          </w:rPr>
          <w:fldChar w:fldCharType="begin"/>
        </w:r>
        <w:r w:rsidR="009A1BCE">
          <w:rPr>
            <w:noProof/>
            <w:webHidden/>
          </w:rPr>
          <w:instrText xml:space="preserve"> PAGEREF _Toc13736014 \h </w:instrText>
        </w:r>
        <w:r w:rsidR="009A1BCE">
          <w:rPr>
            <w:noProof/>
            <w:webHidden/>
          </w:rPr>
        </w:r>
        <w:r w:rsidR="009A1BCE">
          <w:rPr>
            <w:noProof/>
            <w:webHidden/>
          </w:rPr>
          <w:fldChar w:fldCharType="separate"/>
        </w:r>
        <w:r w:rsidR="009A1BCE">
          <w:rPr>
            <w:noProof/>
            <w:webHidden/>
          </w:rPr>
          <w:t>30</w:t>
        </w:r>
        <w:r w:rsidR="009A1BCE">
          <w:rPr>
            <w:noProof/>
            <w:webHidden/>
          </w:rPr>
          <w:fldChar w:fldCharType="end"/>
        </w:r>
      </w:hyperlink>
    </w:p>
    <w:p w14:paraId="197E7ED0" w14:textId="543BAC0A" w:rsidR="009A1BCE" w:rsidRDefault="00367D11">
      <w:pPr>
        <w:pStyle w:val="TOC3"/>
        <w:rPr>
          <w:rFonts w:eastAsiaTheme="minorEastAsia" w:cstheme="minorBidi"/>
          <w:noProof/>
          <w:sz w:val="22"/>
          <w:szCs w:val="22"/>
          <w:lang w:val="en-AU"/>
        </w:rPr>
      </w:pPr>
      <w:hyperlink w:anchor="_Toc13736015" w:history="1">
        <w:r w:rsidR="009A1BCE" w:rsidRPr="001976EF">
          <w:rPr>
            <w:rStyle w:val="Hyperlink"/>
            <w:noProof/>
            <w:lang w:val="en-AU"/>
          </w:rPr>
          <w:t>Rationale 12</w:t>
        </w:r>
        <w:r w:rsidR="009A1BCE">
          <w:rPr>
            <w:noProof/>
            <w:webHidden/>
          </w:rPr>
          <w:tab/>
        </w:r>
        <w:r w:rsidR="009A1BCE">
          <w:rPr>
            <w:noProof/>
            <w:webHidden/>
          </w:rPr>
          <w:fldChar w:fldCharType="begin"/>
        </w:r>
        <w:r w:rsidR="009A1BCE">
          <w:rPr>
            <w:noProof/>
            <w:webHidden/>
          </w:rPr>
          <w:instrText xml:space="preserve"> PAGEREF _Toc13736015 \h </w:instrText>
        </w:r>
        <w:r w:rsidR="009A1BCE">
          <w:rPr>
            <w:noProof/>
            <w:webHidden/>
          </w:rPr>
        </w:r>
        <w:r w:rsidR="009A1BCE">
          <w:rPr>
            <w:noProof/>
            <w:webHidden/>
          </w:rPr>
          <w:fldChar w:fldCharType="separate"/>
        </w:r>
        <w:r w:rsidR="009A1BCE">
          <w:rPr>
            <w:noProof/>
            <w:webHidden/>
          </w:rPr>
          <w:t>30</w:t>
        </w:r>
        <w:r w:rsidR="009A1BCE">
          <w:rPr>
            <w:noProof/>
            <w:webHidden/>
          </w:rPr>
          <w:fldChar w:fldCharType="end"/>
        </w:r>
      </w:hyperlink>
    </w:p>
    <w:p w14:paraId="24D3B2E7" w14:textId="14953DD0" w:rsidR="009A1BCE" w:rsidRDefault="00367D11">
      <w:pPr>
        <w:pStyle w:val="TOC3"/>
        <w:tabs>
          <w:tab w:val="left" w:pos="1474"/>
        </w:tabs>
        <w:rPr>
          <w:rFonts w:eastAsiaTheme="minorEastAsia" w:cstheme="minorBidi"/>
          <w:noProof/>
          <w:sz w:val="22"/>
          <w:szCs w:val="22"/>
          <w:lang w:val="en-AU"/>
        </w:rPr>
      </w:pPr>
      <w:hyperlink w:anchor="_Toc13736016" w:history="1">
        <w:r w:rsidR="009A1BCE" w:rsidRPr="001976EF">
          <w:rPr>
            <w:rStyle w:val="Hyperlink"/>
            <w:noProof/>
            <w:lang w:val="en-AU"/>
          </w:rPr>
          <w:t>5.1.3</w:t>
        </w:r>
        <w:r w:rsidR="009A1BCE">
          <w:rPr>
            <w:rFonts w:eastAsiaTheme="minorEastAsia" w:cstheme="minorBidi"/>
            <w:noProof/>
            <w:sz w:val="22"/>
            <w:szCs w:val="22"/>
            <w:lang w:val="en-AU"/>
          </w:rPr>
          <w:tab/>
        </w:r>
        <w:r w:rsidR="009A1BCE" w:rsidRPr="001976EF">
          <w:rPr>
            <w:rStyle w:val="Hyperlink"/>
            <w:noProof/>
            <w:lang w:val="en-AU"/>
          </w:rPr>
          <w:t>Review of recently listed item 73342: ISH test for HER2 for PBS trastuzumab for gastric cancer</w:t>
        </w:r>
        <w:r w:rsidR="009A1BCE">
          <w:rPr>
            <w:noProof/>
            <w:webHidden/>
          </w:rPr>
          <w:tab/>
        </w:r>
        <w:r w:rsidR="009A1BCE">
          <w:rPr>
            <w:noProof/>
            <w:webHidden/>
          </w:rPr>
          <w:fldChar w:fldCharType="begin"/>
        </w:r>
        <w:r w:rsidR="009A1BCE">
          <w:rPr>
            <w:noProof/>
            <w:webHidden/>
          </w:rPr>
          <w:instrText xml:space="preserve"> PAGEREF _Toc13736016 \h </w:instrText>
        </w:r>
        <w:r w:rsidR="009A1BCE">
          <w:rPr>
            <w:noProof/>
            <w:webHidden/>
          </w:rPr>
        </w:r>
        <w:r w:rsidR="009A1BCE">
          <w:rPr>
            <w:noProof/>
            <w:webHidden/>
          </w:rPr>
          <w:fldChar w:fldCharType="separate"/>
        </w:r>
        <w:r w:rsidR="009A1BCE">
          <w:rPr>
            <w:noProof/>
            <w:webHidden/>
          </w:rPr>
          <w:t>31</w:t>
        </w:r>
        <w:r w:rsidR="009A1BCE">
          <w:rPr>
            <w:noProof/>
            <w:webHidden/>
          </w:rPr>
          <w:fldChar w:fldCharType="end"/>
        </w:r>
      </w:hyperlink>
    </w:p>
    <w:p w14:paraId="68830A61" w14:textId="5AD7B091" w:rsidR="009A1BCE" w:rsidRDefault="00367D11">
      <w:pPr>
        <w:pStyle w:val="TOC2"/>
        <w:rPr>
          <w:rFonts w:eastAsiaTheme="minorEastAsia" w:cstheme="minorBidi"/>
          <w:i w:val="0"/>
          <w:iCs w:val="0"/>
          <w:noProof/>
          <w:sz w:val="22"/>
          <w:szCs w:val="22"/>
          <w:lang w:val="en-AU"/>
        </w:rPr>
      </w:pPr>
      <w:hyperlink w:anchor="_Toc13736017" w:history="1">
        <w:r w:rsidR="009A1BCE" w:rsidRPr="001976EF">
          <w:rPr>
            <w:rStyle w:val="Hyperlink"/>
            <w:noProof/>
          </w:rPr>
          <w:t>5.2</w:t>
        </w:r>
        <w:r w:rsidR="009A1BCE">
          <w:rPr>
            <w:rFonts w:eastAsiaTheme="minorEastAsia" w:cstheme="minorBidi"/>
            <w:i w:val="0"/>
            <w:iCs w:val="0"/>
            <w:noProof/>
            <w:sz w:val="22"/>
            <w:szCs w:val="22"/>
            <w:lang w:val="en-AU"/>
          </w:rPr>
          <w:tab/>
        </w:r>
        <w:r w:rsidR="009A1BCE" w:rsidRPr="001976EF">
          <w:rPr>
            <w:rStyle w:val="Hyperlink"/>
            <w:noProof/>
          </w:rPr>
          <w:t>Referral to the Department</w:t>
        </w:r>
        <w:r w:rsidR="009A1BCE">
          <w:rPr>
            <w:noProof/>
            <w:webHidden/>
          </w:rPr>
          <w:tab/>
        </w:r>
        <w:r w:rsidR="009A1BCE">
          <w:rPr>
            <w:noProof/>
            <w:webHidden/>
          </w:rPr>
          <w:fldChar w:fldCharType="begin"/>
        </w:r>
        <w:r w:rsidR="009A1BCE">
          <w:rPr>
            <w:noProof/>
            <w:webHidden/>
          </w:rPr>
          <w:instrText xml:space="preserve"> PAGEREF _Toc13736017 \h </w:instrText>
        </w:r>
        <w:r w:rsidR="009A1BCE">
          <w:rPr>
            <w:noProof/>
            <w:webHidden/>
          </w:rPr>
        </w:r>
        <w:r w:rsidR="009A1BCE">
          <w:rPr>
            <w:noProof/>
            <w:webHidden/>
          </w:rPr>
          <w:fldChar w:fldCharType="separate"/>
        </w:r>
        <w:r w:rsidR="009A1BCE">
          <w:rPr>
            <w:noProof/>
            <w:webHidden/>
          </w:rPr>
          <w:t>32</w:t>
        </w:r>
        <w:r w:rsidR="009A1BCE">
          <w:rPr>
            <w:noProof/>
            <w:webHidden/>
          </w:rPr>
          <w:fldChar w:fldCharType="end"/>
        </w:r>
      </w:hyperlink>
    </w:p>
    <w:p w14:paraId="06320980" w14:textId="79CEE3AA" w:rsidR="009A1BCE" w:rsidRDefault="00367D11">
      <w:pPr>
        <w:pStyle w:val="TOC3"/>
        <w:tabs>
          <w:tab w:val="left" w:pos="1474"/>
        </w:tabs>
        <w:rPr>
          <w:rFonts w:eastAsiaTheme="minorEastAsia" w:cstheme="minorBidi"/>
          <w:noProof/>
          <w:sz w:val="22"/>
          <w:szCs w:val="22"/>
          <w:lang w:val="en-AU"/>
        </w:rPr>
      </w:pPr>
      <w:hyperlink w:anchor="_Toc13736018" w:history="1">
        <w:r w:rsidR="009A1BCE" w:rsidRPr="001976EF">
          <w:rPr>
            <w:rStyle w:val="Hyperlink"/>
            <w:noProof/>
            <w:lang w:val="en-AU"/>
          </w:rPr>
          <w:t>5.2.1</w:t>
        </w:r>
        <w:r w:rsidR="009A1BCE">
          <w:rPr>
            <w:rFonts w:eastAsiaTheme="minorEastAsia" w:cstheme="minorBidi"/>
            <w:noProof/>
            <w:sz w:val="22"/>
            <w:szCs w:val="22"/>
            <w:lang w:val="en-AU"/>
          </w:rPr>
          <w:tab/>
        </w:r>
        <w:r w:rsidR="009A1BCE" w:rsidRPr="001976EF">
          <w:rPr>
            <w:rStyle w:val="Hyperlink"/>
            <w:noProof/>
            <w:lang w:val="en-AU"/>
          </w:rPr>
          <w:t>Definition of tumour tissue relevant to items 73336 BRAF, 73337 EGFR and 73338 RAS</w:t>
        </w:r>
        <w:r w:rsidR="009A1BCE">
          <w:rPr>
            <w:noProof/>
            <w:webHidden/>
          </w:rPr>
          <w:tab/>
        </w:r>
        <w:r w:rsidR="009A1BCE">
          <w:rPr>
            <w:noProof/>
            <w:webHidden/>
          </w:rPr>
          <w:fldChar w:fldCharType="begin"/>
        </w:r>
        <w:r w:rsidR="009A1BCE">
          <w:rPr>
            <w:noProof/>
            <w:webHidden/>
          </w:rPr>
          <w:instrText xml:space="preserve"> PAGEREF _Toc13736018 \h </w:instrText>
        </w:r>
        <w:r w:rsidR="009A1BCE">
          <w:rPr>
            <w:noProof/>
            <w:webHidden/>
          </w:rPr>
        </w:r>
        <w:r w:rsidR="009A1BCE">
          <w:rPr>
            <w:noProof/>
            <w:webHidden/>
          </w:rPr>
          <w:fldChar w:fldCharType="separate"/>
        </w:r>
        <w:r w:rsidR="009A1BCE">
          <w:rPr>
            <w:noProof/>
            <w:webHidden/>
          </w:rPr>
          <w:t>32</w:t>
        </w:r>
        <w:r w:rsidR="009A1BCE">
          <w:rPr>
            <w:noProof/>
            <w:webHidden/>
          </w:rPr>
          <w:fldChar w:fldCharType="end"/>
        </w:r>
      </w:hyperlink>
    </w:p>
    <w:p w14:paraId="48A33A4F" w14:textId="6A8811F0" w:rsidR="009A1BCE" w:rsidRDefault="00367D11">
      <w:pPr>
        <w:pStyle w:val="TOC3"/>
        <w:tabs>
          <w:tab w:val="left" w:pos="1474"/>
        </w:tabs>
        <w:rPr>
          <w:rFonts w:eastAsiaTheme="minorEastAsia" w:cstheme="minorBidi"/>
          <w:noProof/>
          <w:sz w:val="22"/>
          <w:szCs w:val="22"/>
          <w:lang w:val="en-AU"/>
        </w:rPr>
      </w:pPr>
      <w:hyperlink w:anchor="_Toc13736019" w:history="1">
        <w:r w:rsidR="009A1BCE" w:rsidRPr="001976EF">
          <w:rPr>
            <w:rStyle w:val="Hyperlink"/>
            <w:noProof/>
            <w:lang w:val="en-AU"/>
          </w:rPr>
          <w:t>5.2.2</w:t>
        </w:r>
        <w:r w:rsidR="009A1BCE">
          <w:rPr>
            <w:rFonts w:eastAsiaTheme="minorEastAsia" w:cstheme="minorBidi"/>
            <w:noProof/>
            <w:sz w:val="22"/>
            <w:szCs w:val="22"/>
            <w:lang w:val="en-AU"/>
          </w:rPr>
          <w:tab/>
        </w:r>
        <w:r w:rsidR="009A1BCE" w:rsidRPr="001976EF">
          <w:rPr>
            <w:rStyle w:val="Hyperlink"/>
            <w:noProof/>
            <w:lang w:val="en-AU"/>
          </w:rPr>
          <w:t>Discussion regarding use of genetics items for ‘screening’ purposes</w:t>
        </w:r>
        <w:r w:rsidR="009A1BCE">
          <w:rPr>
            <w:noProof/>
            <w:webHidden/>
          </w:rPr>
          <w:tab/>
        </w:r>
        <w:r w:rsidR="009A1BCE">
          <w:rPr>
            <w:noProof/>
            <w:webHidden/>
          </w:rPr>
          <w:fldChar w:fldCharType="begin"/>
        </w:r>
        <w:r w:rsidR="009A1BCE">
          <w:rPr>
            <w:noProof/>
            <w:webHidden/>
          </w:rPr>
          <w:instrText xml:space="preserve"> PAGEREF _Toc13736019 \h </w:instrText>
        </w:r>
        <w:r w:rsidR="009A1BCE">
          <w:rPr>
            <w:noProof/>
            <w:webHidden/>
          </w:rPr>
        </w:r>
        <w:r w:rsidR="009A1BCE">
          <w:rPr>
            <w:noProof/>
            <w:webHidden/>
          </w:rPr>
          <w:fldChar w:fldCharType="separate"/>
        </w:r>
        <w:r w:rsidR="009A1BCE">
          <w:rPr>
            <w:noProof/>
            <w:webHidden/>
          </w:rPr>
          <w:t>32</w:t>
        </w:r>
        <w:r w:rsidR="009A1BCE">
          <w:rPr>
            <w:noProof/>
            <w:webHidden/>
          </w:rPr>
          <w:fldChar w:fldCharType="end"/>
        </w:r>
      </w:hyperlink>
    </w:p>
    <w:p w14:paraId="3900B520" w14:textId="088786CA" w:rsidR="009A1BCE" w:rsidRDefault="00367D11">
      <w:pPr>
        <w:pStyle w:val="TOC1"/>
        <w:rPr>
          <w:rFonts w:eastAsiaTheme="minorEastAsia" w:cstheme="minorBidi"/>
          <w:b w:val="0"/>
          <w:bCs w:val="0"/>
          <w:noProof/>
          <w:sz w:val="22"/>
          <w:szCs w:val="22"/>
          <w:lang w:val="en-AU"/>
        </w:rPr>
      </w:pPr>
      <w:hyperlink w:anchor="_Toc13736020" w:history="1">
        <w:r w:rsidR="009A1BCE" w:rsidRPr="001976EF">
          <w:rPr>
            <w:rStyle w:val="Hyperlink"/>
            <w:noProof/>
            <w:lang w:val="en-AU" w:bidi="x-none"/>
            <w14:scene3d>
              <w14:camera w14:prst="orthographicFront"/>
              <w14:lightRig w14:rig="threePt" w14:dir="t">
                <w14:rot w14:lat="0" w14:lon="0" w14:rev="0"/>
              </w14:lightRig>
            </w14:scene3d>
          </w:rPr>
          <w:t>6.</w:t>
        </w:r>
        <w:r w:rsidR="009A1BCE">
          <w:rPr>
            <w:rFonts w:eastAsiaTheme="minorEastAsia" w:cstheme="minorBidi"/>
            <w:b w:val="0"/>
            <w:bCs w:val="0"/>
            <w:noProof/>
            <w:sz w:val="22"/>
            <w:szCs w:val="22"/>
            <w:lang w:val="en-AU"/>
          </w:rPr>
          <w:tab/>
        </w:r>
        <w:r w:rsidR="009A1BCE" w:rsidRPr="001976EF">
          <w:rPr>
            <w:rStyle w:val="Hyperlink"/>
            <w:noProof/>
            <w:lang w:val="en-AU"/>
          </w:rPr>
          <w:t>References</w:t>
        </w:r>
        <w:r w:rsidR="009A1BCE">
          <w:rPr>
            <w:noProof/>
            <w:webHidden/>
          </w:rPr>
          <w:tab/>
        </w:r>
        <w:r w:rsidR="009A1BCE">
          <w:rPr>
            <w:noProof/>
            <w:webHidden/>
          </w:rPr>
          <w:fldChar w:fldCharType="begin"/>
        </w:r>
        <w:r w:rsidR="009A1BCE">
          <w:rPr>
            <w:noProof/>
            <w:webHidden/>
          </w:rPr>
          <w:instrText xml:space="preserve"> PAGEREF _Toc13736020 \h </w:instrText>
        </w:r>
        <w:r w:rsidR="009A1BCE">
          <w:rPr>
            <w:noProof/>
            <w:webHidden/>
          </w:rPr>
        </w:r>
        <w:r w:rsidR="009A1BCE">
          <w:rPr>
            <w:noProof/>
            <w:webHidden/>
          </w:rPr>
          <w:fldChar w:fldCharType="separate"/>
        </w:r>
        <w:r w:rsidR="009A1BCE">
          <w:rPr>
            <w:noProof/>
            <w:webHidden/>
          </w:rPr>
          <w:t>33</w:t>
        </w:r>
        <w:r w:rsidR="009A1BCE">
          <w:rPr>
            <w:noProof/>
            <w:webHidden/>
          </w:rPr>
          <w:fldChar w:fldCharType="end"/>
        </w:r>
      </w:hyperlink>
    </w:p>
    <w:p w14:paraId="6B3170F4" w14:textId="14B9858E" w:rsidR="009A1BCE" w:rsidRDefault="00367D11">
      <w:pPr>
        <w:pStyle w:val="TOC1"/>
        <w:rPr>
          <w:rFonts w:eastAsiaTheme="minorEastAsia" w:cstheme="minorBidi"/>
          <w:b w:val="0"/>
          <w:bCs w:val="0"/>
          <w:noProof/>
          <w:sz w:val="22"/>
          <w:szCs w:val="22"/>
          <w:lang w:val="en-AU"/>
        </w:rPr>
      </w:pPr>
      <w:hyperlink w:anchor="_Toc13736021" w:history="1">
        <w:r w:rsidR="009A1BCE" w:rsidRPr="001976EF">
          <w:rPr>
            <w:rStyle w:val="Hyperlink"/>
            <w:noProof/>
            <w:lang w:val="en-AU"/>
          </w:rPr>
          <w:t>Appendix A: Assigned items recommendations list</w:t>
        </w:r>
        <w:r w:rsidR="009A1BCE">
          <w:rPr>
            <w:noProof/>
            <w:webHidden/>
          </w:rPr>
          <w:tab/>
        </w:r>
        <w:r w:rsidR="009A1BCE">
          <w:rPr>
            <w:noProof/>
            <w:webHidden/>
          </w:rPr>
          <w:fldChar w:fldCharType="begin"/>
        </w:r>
        <w:r w:rsidR="009A1BCE">
          <w:rPr>
            <w:noProof/>
            <w:webHidden/>
          </w:rPr>
          <w:instrText xml:space="preserve"> PAGEREF _Toc13736021 \h </w:instrText>
        </w:r>
        <w:r w:rsidR="009A1BCE">
          <w:rPr>
            <w:noProof/>
            <w:webHidden/>
          </w:rPr>
        </w:r>
        <w:r w:rsidR="009A1BCE">
          <w:rPr>
            <w:noProof/>
            <w:webHidden/>
          </w:rPr>
          <w:fldChar w:fldCharType="separate"/>
        </w:r>
        <w:r w:rsidR="009A1BCE">
          <w:rPr>
            <w:noProof/>
            <w:webHidden/>
          </w:rPr>
          <w:t>36</w:t>
        </w:r>
        <w:r w:rsidR="009A1BCE">
          <w:rPr>
            <w:noProof/>
            <w:webHidden/>
          </w:rPr>
          <w:fldChar w:fldCharType="end"/>
        </w:r>
      </w:hyperlink>
    </w:p>
    <w:p w14:paraId="62C722CB" w14:textId="7BE25831" w:rsidR="009A1BCE" w:rsidRDefault="00367D11">
      <w:pPr>
        <w:pStyle w:val="TOC1"/>
        <w:rPr>
          <w:rFonts w:eastAsiaTheme="minorEastAsia" w:cstheme="minorBidi"/>
          <w:b w:val="0"/>
          <w:bCs w:val="0"/>
          <w:noProof/>
          <w:sz w:val="22"/>
          <w:szCs w:val="22"/>
          <w:lang w:val="en-AU"/>
        </w:rPr>
      </w:pPr>
      <w:hyperlink w:anchor="_Toc13736022" w:history="1">
        <w:r w:rsidR="009A1BCE" w:rsidRPr="001976EF">
          <w:rPr>
            <w:rStyle w:val="Hyperlink"/>
            <w:noProof/>
            <w:lang w:val="en-AU"/>
          </w:rPr>
          <w:t>Appendix B: Additional items recommendations list</w:t>
        </w:r>
        <w:r w:rsidR="009A1BCE">
          <w:rPr>
            <w:noProof/>
            <w:webHidden/>
          </w:rPr>
          <w:tab/>
        </w:r>
        <w:r w:rsidR="009A1BCE">
          <w:rPr>
            <w:noProof/>
            <w:webHidden/>
          </w:rPr>
          <w:fldChar w:fldCharType="begin"/>
        </w:r>
        <w:r w:rsidR="009A1BCE">
          <w:rPr>
            <w:noProof/>
            <w:webHidden/>
          </w:rPr>
          <w:instrText xml:space="preserve"> PAGEREF _Toc13736022 \h </w:instrText>
        </w:r>
        <w:r w:rsidR="009A1BCE">
          <w:rPr>
            <w:noProof/>
            <w:webHidden/>
          </w:rPr>
        </w:r>
        <w:r w:rsidR="009A1BCE">
          <w:rPr>
            <w:noProof/>
            <w:webHidden/>
          </w:rPr>
          <w:fldChar w:fldCharType="separate"/>
        </w:r>
        <w:r w:rsidR="009A1BCE">
          <w:rPr>
            <w:noProof/>
            <w:webHidden/>
          </w:rPr>
          <w:t>40</w:t>
        </w:r>
        <w:r w:rsidR="009A1BCE">
          <w:rPr>
            <w:noProof/>
            <w:webHidden/>
          </w:rPr>
          <w:fldChar w:fldCharType="end"/>
        </w:r>
      </w:hyperlink>
    </w:p>
    <w:p w14:paraId="0C8EC427" w14:textId="000A52B3" w:rsidR="009A1BCE" w:rsidRDefault="00367D11">
      <w:pPr>
        <w:pStyle w:val="TOC1"/>
        <w:rPr>
          <w:rFonts w:eastAsiaTheme="minorEastAsia" w:cstheme="minorBidi"/>
          <w:b w:val="0"/>
          <w:bCs w:val="0"/>
          <w:noProof/>
          <w:sz w:val="22"/>
          <w:szCs w:val="22"/>
          <w:lang w:val="en-AU"/>
        </w:rPr>
      </w:pPr>
      <w:hyperlink w:anchor="_Toc13736023" w:history="1">
        <w:r w:rsidR="009A1BCE" w:rsidRPr="001976EF">
          <w:rPr>
            <w:rStyle w:val="Hyperlink"/>
            <w:noProof/>
            <w:lang w:val="en-AU"/>
          </w:rPr>
          <w:t>Appendix C: Summary for consumers</w:t>
        </w:r>
        <w:r w:rsidR="009A1BCE">
          <w:rPr>
            <w:noProof/>
            <w:webHidden/>
          </w:rPr>
          <w:tab/>
        </w:r>
        <w:r w:rsidR="009A1BCE">
          <w:rPr>
            <w:noProof/>
            <w:webHidden/>
          </w:rPr>
          <w:fldChar w:fldCharType="begin"/>
        </w:r>
        <w:r w:rsidR="009A1BCE">
          <w:rPr>
            <w:noProof/>
            <w:webHidden/>
          </w:rPr>
          <w:instrText xml:space="preserve"> PAGEREF _Toc13736023 \h </w:instrText>
        </w:r>
        <w:r w:rsidR="009A1BCE">
          <w:rPr>
            <w:noProof/>
            <w:webHidden/>
          </w:rPr>
        </w:r>
        <w:r w:rsidR="009A1BCE">
          <w:rPr>
            <w:noProof/>
            <w:webHidden/>
          </w:rPr>
          <w:fldChar w:fldCharType="separate"/>
        </w:r>
        <w:r w:rsidR="009A1BCE">
          <w:rPr>
            <w:noProof/>
            <w:webHidden/>
          </w:rPr>
          <w:t>41</w:t>
        </w:r>
        <w:r w:rsidR="009A1BCE">
          <w:rPr>
            <w:noProof/>
            <w:webHidden/>
          </w:rPr>
          <w:fldChar w:fldCharType="end"/>
        </w:r>
      </w:hyperlink>
    </w:p>
    <w:p w14:paraId="5C07D00D" w14:textId="2C884514" w:rsidR="009A1BCE" w:rsidRDefault="00367D11">
      <w:pPr>
        <w:pStyle w:val="TOC1"/>
        <w:rPr>
          <w:rFonts w:eastAsiaTheme="minorEastAsia" w:cstheme="minorBidi"/>
          <w:b w:val="0"/>
          <w:bCs w:val="0"/>
          <w:noProof/>
          <w:sz w:val="22"/>
          <w:szCs w:val="22"/>
          <w:lang w:val="en-AU"/>
        </w:rPr>
      </w:pPr>
      <w:hyperlink w:anchor="_Toc13736024" w:history="1">
        <w:r w:rsidR="009A1BCE" w:rsidRPr="001976EF">
          <w:rPr>
            <w:rStyle w:val="Hyperlink"/>
            <w:noProof/>
            <w:lang w:val="en-AU"/>
          </w:rPr>
          <w:t>Appendix D: Glossary</w:t>
        </w:r>
        <w:r w:rsidR="009A1BCE">
          <w:rPr>
            <w:noProof/>
            <w:webHidden/>
          </w:rPr>
          <w:tab/>
        </w:r>
        <w:r w:rsidR="009A1BCE">
          <w:rPr>
            <w:noProof/>
            <w:webHidden/>
          </w:rPr>
          <w:fldChar w:fldCharType="begin"/>
        </w:r>
        <w:r w:rsidR="009A1BCE">
          <w:rPr>
            <w:noProof/>
            <w:webHidden/>
          </w:rPr>
          <w:instrText xml:space="preserve"> PAGEREF _Toc13736024 \h </w:instrText>
        </w:r>
        <w:r w:rsidR="009A1BCE">
          <w:rPr>
            <w:noProof/>
            <w:webHidden/>
          </w:rPr>
        </w:r>
        <w:r w:rsidR="009A1BCE">
          <w:rPr>
            <w:noProof/>
            <w:webHidden/>
          </w:rPr>
          <w:fldChar w:fldCharType="separate"/>
        </w:r>
        <w:r w:rsidR="009A1BCE">
          <w:rPr>
            <w:noProof/>
            <w:webHidden/>
          </w:rPr>
          <w:t>46</w:t>
        </w:r>
        <w:r w:rsidR="009A1BCE">
          <w:rPr>
            <w:noProof/>
            <w:webHidden/>
          </w:rPr>
          <w:fldChar w:fldCharType="end"/>
        </w:r>
      </w:hyperlink>
    </w:p>
    <w:p w14:paraId="57702182" w14:textId="16B582AA" w:rsidR="00CF0081" w:rsidRPr="00720661" w:rsidRDefault="00A5097F" w:rsidP="00082595">
      <w:pPr>
        <w:rPr>
          <w:lang w:val="en-AU"/>
        </w:rPr>
      </w:pPr>
      <w:r w:rsidRPr="009A54A7">
        <w:rPr>
          <w:lang w:val="en-AU"/>
        </w:rPr>
        <w:fldChar w:fldCharType="end"/>
      </w:r>
    </w:p>
    <w:p w14:paraId="03C25E0F" w14:textId="77777777" w:rsidR="00CF0081" w:rsidRPr="00720661" w:rsidRDefault="00CF0081">
      <w:pPr>
        <w:spacing w:before="0" w:after="0"/>
        <w:rPr>
          <w:lang w:val="en-AU"/>
        </w:rPr>
      </w:pPr>
      <w:r w:rsidRPr="00720661">
        <w:rPr>
          <w:lang w:val="en-AU"/>
        </w:rPr>
        <w:br w:type="page"/>
      </w:r>
    </w:p>
    <w:p w14:paraId="529F1328" w14:textId="77777777" w:rsidR="00836B2A" w:rsidRPr="00720661" w:rsidRDefault="00836B2A" w:rsidP="00082595">
      <w:pPr>
        <w:rPr>
          <w:b/>
          <w:color w:val="01653F"/>
          <w:sz w:val="32"/>
          <w:lang w:val="en-AU"/>
        </w:rPr>
      </w:pPr>
      <w:r w:rsidRPr="00720661">
        <w:rPr>
          <w:b/>
          <w:color w:val="01653F"/>
          <w:sz w:val="32"/>
          <w:lang w:val="en-AU"/>
        </w:rPr>
        <w:lastRenderedPageBreak/>
        <w:t>Tables</w:t>
      </w:r>
    </w:p>
    <w:p w14:paraId="3BAEB7BA" w14:textId="275E06B3" w:rsidR="006736F7" w:rsidRPr="00720661" w:rsidRDefault="009D7E4A">
      <w:pPr>
        <w:pStyle w:val="TableofFigures"/>
        <w:tabs>
          <w:tab w:val="right" w:leader="dot" w:pos="9016"/>
        </w:tabs>
        <w:rPr>
          <w:rFonts w:eastAsiaTheme="minorEastAsia" w:cstheme="minorBidi"/>
          <w:bCs w:val="0"/>
          <w:noProof/>
          <w:sz w:val="22"/>
          <w:szCs w:val="22"/>
          <w:lang w:val="en-AU"/>
        </w:rPr>
      </w:pPr>
      <w:r w:rsidRPr="009A53D1">
        <w:rPr>
          <w:b/>
          <w:color w:val="01653F"/>
          <w:sz w:val="32"/>
          <w:lang w:val="en-AU"/>
        </w:rPr>
        <w:fldChar w:fldCharType="begin"/>
      </w:r>
      <w:r w:rsidRPr="00720661">
        <w:rPr>
          <w:b/>
          <w:color w:val="01653F"/>
          <w:sz w:val="32"/>
          <w:lang w:val="en-AU"/>
        </w:rPr>
        <w:instrText xml:space="preserve"> TOC \f E \h \z \t "Caption" \c </w:instrText>
      </w:r>
      <w:r w:rsidRPr="009A53D1">
        <w:rPr>
          <w:b/>
          <w:color w:val="01653F"/>
          <w:sz w:val="32"/>
          <w:lang w:val="en-AU"/>
        </w:rPr>
        <w:fldChar w:fldCharType="separate"/>
      </w:r>
      <w:hyperlink w:anchor="_Toc482009623" w:history="1">
        <w:r w:rsidR="006736F7" w:rsidRPr="00720661">
          <w:rPr>
            <w:rStyle w:val="Hyperlink"/>
            <w:noProof/>
            <w:lang w:val="en-AU"/>
          </w:rPr>
          <w:t>Table 1.Pathology Clinical Committee members</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_Toc482009623 \h </w:instrText>
        </w:r>
        <w:r w:rsidR="006736F7" w:rsidRPr="001772CE">
          <w:rPr>
            <w:noProof/>
            <w:webHidden/>
            <w:lang w:val="en-AU"/>
          </w:rPr>
        </w:r>
        <w:r w:rsidR="006736F7" w:rsidRPr="001772CE">
          <w:rPr>
            <w:noProof/>
            <w:webHidden/>
            <w:lang w:val="en-AU"/>
          </w:rPr>
          <w:fldChar w:fldCharType="separate"/>
        </w:r>
        <w:r w:rsidR="009A1BCE">
          <w:rPr>
            <w:noProof/>
            <w:webHidden/>
            <w:lang w:val="en-AU"/>
          </w:rPr>
          <w:t>7</w:t>
        </w:r>
        <w:r w:rsidR="006736F7" w:rsidRPr="001772CE">
          <w:rPr>
            <w:noProof/>
            <w:webHidden/>
            <w:lang w:val="en-AU"/>
          </w:rPr>
          <w:fldChar w:fldCharType="end"/>
        </w:r>
      </w:hyperlink>
    </w:p>
    <w:p w14:paraId="38CB3E60" w14:textId="28D36EA9"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24" w:history="1">
        <w:r w:rsidR="006736F7" w:rsidRPr="00720661">
          <w:rPr>
            <w:rStyle w:val="Hyperlink"/>
            <w:noProof/>
            <w:lang w:val="en-AU"/>
          </w:rPr>
          <w:t>Table 2. Genetics Working Group Members</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_Toc482009624 \h </w:instrText>
        </w:r>
        <w:r w:rsidR="006736F7" w:rsidRPr="001772CE">
          <w:rPr>
            <w:noProof/>
            <w:webHidden/>
            <w:lang w:val="en-AU"/>
          </w:rPr>
        </w:r>
        <w:r w:rsidR="006736F7" w:rsidRPr="001772CE">
          <w:rPr>
            <w:noProof/>
            <w:webHidden/>
            <w:lang w:val="en-AU"/>
          </w:rPr>
          <w:fldChar w:fldCharType="separate"/>
        </w:r>
        <w:r w:rsidR="009A1BCE">
          <w:rPr>
            <w:noProof/>
            <w:webHidden/>
            <w:lang w:val="en-AU"/>
          </w:rPr>
          <w:t>8</w:t>
        </w:r>
        <w:r w:rsidR="006736F7" w:rsidRPr="001772CE">
          <w:rPr>
            <w:noProof/>
            <w:webHidden/>
            <w:lang w:val="en-AU"/>
          </w:rPr>
          <w:fldChar w:fldCharType="end"/>
        </w:r>
      </w:hyperlink>
    </w:p>
    <w:p w14:paraId="6824C09D" w14:textId="568C9800"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25" w:history="1">
        <w:r w:rsidR="006736F7" w:rsidRPr="001772CE">
          <w:rPr>
            <w:rStyle w:val="Hyperlink"/>
            <w:noProof/>
            <w:lang w:val="en-AU"/>
          </w:rPr>
          <w:t>Table 3. Item introduction table for item 73287</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_Toc482009625 \h </w:instrText>
        </w:r>
        <w:r w:rsidR="006736F7" w:rsidRPr="001772CE">
          <w:rPr>
            <w:noProof/>
            <w:webHidden/>
            <w:lang w:val="en-AU"/>
          </w:rPr>
        </w:r>
        <w:r w:rsidR="006736F7" w:rsidRPr="001772CE">
          <w:rPr>
            <w:noProof/>
            <w:webHidden/>
            <w:lang w:val="en-AU"/>
          </w:rPr>
          <w:fldChar w:fldCharType="separate"/>
        </w:r>
        <w:r w:rsidR="009A1BCE">
          <w:rPr>
            <w:noProof/>
            <w:webHidden/>
            <w:lang w:val="en-AU"/>
          </w:rPr>
          <w:t>10</w:t>
        </w:r>
        <w:r w:rsidR="006736F7" w:rsidRPr="001772CE">
          <w:rPr>
            <w:noProof/>
            <w:webHidden/>
            <w:lang w:val="en-AU"/>
          </w:rPr>
          <w:fldChar w:fldCharType="end"/>
        </w:r>
      </w:hyperlink>
    </w:p>
    <w:p w14:paraId="64FE3BC6" w14:textId="0069CE1E"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26" w:history="1">
        <w:r w:rsidR="006736F7" w:rsidRPr="001772CE">
          <w:rPr>
            <w:rStyle w:val="Hyperlink"/>
            <w:noProof/>
            <w:lang w:val="en-AU"/>
          </w:rPr>
          <w:t>Table 4. Proposed change to item 73287</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_Toc482009626 \h </w:instrText>
        </w:r>
        <w:r w:rsidR="006736F7" w:rsidRPr="001772CE">
          <w:rPr>
            <w:noProof/>
            <w:webHidden/>
            <w:lang w:val="en-AU"/>
          </w:rPr>
        </w:r>
        <w:r w:rsidR="006736F7" w:rsidRPr="001772CE">
          <w:rPr>
            <w:noProof/>
            <w:webHidden/>
            <w:lang w:val="en-AU"/>
          </w:rPr>
          <w:fldChar w:fldCharType="separate"/>
        </w:r>
        <w:r w:rsidR="009A1BCE">
          <w:rPr>
            <w:noProof/>
            <w:webHidden/>
            <w:lang w:val="en-AU"/>
          </w:rPr>
          <w:t>11</w:t>
        </w:r>
        <w:r w:rsidR="006736F7" w:rsidRPr="001772CE">
          <w:rPr>
            <w:noProof/>
            <w:webHidden/>
            <w:lang w:val="en-AU"/>
          </w:rPr>
          <w:fldChar w:fldCharType="end"/>
        </w:r>
      </w:hyperlink>
    </w:p>
    <w:p w14:paraId="0847F49F" w14:textId="1EBB8A63"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27" w:history="1">
        <w:r w:rsidR="006736F7" w:rsidRPr="001772CE">
          <w:rPr>
            <w:rStyle w:val="Hyperlink"/>
            <w:noProof/>
            <w:lang w:val="en-AU"/>
          </w:rPr>
          <w:t>Table 5. Item introduction table for item 73289</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_Toc482009627 \h </w:instrText>
        </w:r>
        <w:r w:rsidR="006736F7" w:rsidRPr="001772CE">
          <w:rPr>
            <w:noProof/>
            <w:webHidden/>
            <w:lang w:val="en-AU"/>
          </w:rPr>
        </w:r>
        <w:r w:rsidR="006736F7" w:rsidRPr="001772CE">
          <w:rPr>
            <w:noProof/>
            <w:webHidden/>
            <w:lang w:val="en-AU"/>
          </w:rPr>
          <w:fldChar w:fldCharType="separate"/>
        </w:r>
        <w:r w:rsidR="009A1BCE">
          <w:rPr>
            <w:noProof/>
            <w:webHidden/>
            <w:lang w:val="en-AU"/>
          </w:rPr>
          <w:t>11</w:t>
        </w:r>
        <w:r w:rsidR="006736F7" w:rsidRPr="001772CE">
          <w:rPr>
            <w:noProof/>
            <w:webHidden/>
            <w:lang w:val="en-AU"/>
          </w:rPr>
          <w:fldChar w:fldCharType="end"/>
        </w:r>
      </w:hyperlink>
    </w:p>
    <w:p w14:paraId="4B803B7F" w14:textId="1B86A6D2"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28" w:history="1">
        <w:r w:rsidR="006736F7" w:rsidRPr="001772CE">
          <w:rPr>
            <w:rStyle w:val="Hyperlink"/>
            <w:noProof/>
            <w:lang w:val="en-AU"/>
          </w:rPr>
          <w:t>Table 6. Proposed change to item 73289</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_Toc482009628 \h </w:instrText>
        </w:r>
        <w:r w:rsidR="006736F7" w:rsidRPr="001772CE">
          <w:rPr>
            <w:noProof/>
            <w:webHidden/>
            <w:lang w:val="en-AU"/>
          </w:rPr>
        </w:r>
        <w:r w:rsidR="006736F7" w:rsidRPr="001772CE">
          <w:rPr>
            <w:noProof/>
            <w:webHidden/>
            <w:lang w:val="en-AU"/>
          </w:rPr>
          <w:fldChar w:fldCharType="separate"/>
        </w:r>
        <w:r w:rsidR="009A1BCE">
          <w:rPr>
            <w:noProof/>
            <w:webHidden/>
            <w:lang w:val="en-AU"/>
          </w:rPr>
          <w:t>12</w:t>
        </w:r>
        <w:r w:rsidR="006736F7" w:rsidRPr="001772CE">
          <w:rPr>
            <w:noProof/>
            <w:webHidden/>
            <w:lang w:val="en-AU"/>
          </w:rPr>
          <w:fldChar w:fldCharType="end"/>
        </w:r>
      </w:hyperlink>
    </w:p>
    <w:p w14:paraId="117758C5" w14:textId="6C05B606"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29" w:history="1">
        <w:r w:rsidR="006736F7" w:rsidRPr="001772CE">
          <w:rPr>
            <w:rStyle w:val="Hyperlink"/>
            <w:noProof/>
            <w:lang w:val="en-AU"/>
          </w:rPr>
          <w:t>Table 7. Item introduction table for item 73289</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_Toc482009629 \h </w:instrText>
        </w:r>
        <w:r w:rsidR="006736F7" w:rsidRPr="001772CE">
          <w:rPr>
            <w:noProof/>
            <w:webHidden/>
            <w:lang w:val="en-AU"/>
          </w:rPr>
        </w:r>
        <w:r w:rsidR="006736F7" w:rsidRPr="001772CE">
          <w:rPr>
            <w:noProof/>
            <w:webHidden/>
            <w:lang w:val="en-AU"/>
          </w:rPr>
          <w:fldChar w:fldCharType="separate"/>
        </w:r>
        <w:r w:rsidR="009A1BCE">
          <w:rPr>
            <w:noProof/>
            <w:webHidden/>
            <w:lang w:val="en-AU"/>
          </w:rPr>
          <w:t>13</w:t>
        </w:r>
        <w:r w:rsidR="006736F7" w:rsidRPr="001772CE">
          <w:rPr>
            <w:noProof/>
            <w:webHidden/>
            <w:lang w:val="en-AU"/>
          </w:rPr>
          <w:fldChar w:fldCharType="end"/>
        </w:r>
      </w:hyperlink>
    </w:p>
    <w:p w14:paraId="2A954B0B" w14:textId="4CCAA787"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0" w:history="1">
        <w:r w:rsidR="006736F7" w:rsidRPr="001772CE">
          <w:rPr>
            <w:rStyle w:val="Hyperlink"/>
            <w:noProof/>
            <w:lang w:val="en-AU"/>
          </w:rPr>
          <w:t>Table 8. Proposed changes to item 73290</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_Toc482009630 \h </w:instrText>
        </w:r>
        <w:r w:rsidR="006736F7" w:rsidRPr="001772CE">
          <w:rPr>
            <w:noProof/>
            <w:webHidden/>
            <w:lang w:val="en-AU"/>
          </w:rPr>
        </w:r>
        <w:r w:rsidR="006736F7" w:rsidRPr="001772CE">
          <w:rPr>
            <w:noProof/>
            <w:webHidden/>
            <w:lang w:val="en-AU"/>
          </w:rPr>
          <w:fldChar w:fldCharType="separate"/>
        </w:r>
        <w:r w:rsidR="009A1BCE">
          <w:rPr>
            <w:noProof/>
            <w:webHidden/>
            <w:lang w:val="en-AU"/>
          </w:rPr>
          <w:t>14</w:t>
        </w:r>
        <w:r w:rsidR="006736F7" w:rsidRPr="001772CE">
          <w:rPr>
            <w:noProof/>
            <w:webHidden/>
            <w:lang w:val="en-AU"/>
          </w:rPr>
          <w:fldChar w:fldCharType="end"/>
        </w:r>
      </w:hyperlink>
    </w:p>
    <w:p w14:paraId="3C6CB7CB" w14:textId="5FB5BCBB"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1" w:history="1">
        <w:r w:rsidR="006736F7" w:rsidRPr="00720661">
          <w:rPr>
            <w:rStyle w:val="Hyperlink"/>
            <w:noProof/>
            <w:lang w:val="en-AU"/>
          </w:rPr>
          <w:t>Table 9. Item introduction table for item 73291</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_Toc482009631 \h </w:instrText>
        </w:r>
        <w:r w:rsidR="006736F7" w:rsidRPr="001772CE">
          <w:rPr>
            <w:noProof/>
            <w:webHidden/>
            <w:lang w:val="en-AU"/>
          </w:rPr>
        </w:r>
        <w:r w:rsidR="006736F7" w:rsidRPr="001772CE">
          <w:rPr>
            <w:noProof/>
            <w:webHidden/>
            <w:lang w:val="en-AU"/>
          </w:rPr>
          <w:fldChar w:fldCharType="separate"/>
        </w:r>
        <w:r w:rsidR="009A1BCE">
          <w:rPr>
            <w:noProof/>
            <w:webHidden/>
            <w:lang w:val="en-AU"/>
          </w:rPr>
          <w:t>14</w:t>
        </w:r>
        <w:r w:rsidR="006736F7" w:rsidRPr="001772CE">
          <w:rPr>
            <w:noProof/>
            <w:webHidden/>
            <w:lang w:val="en-AU"/>
          </w:rPr>
          <w:fldChar w:fldCharType="end"/>
        </w:r>
      </w:hyperlink>
    </w:p>
    <w:p w14:paraId="31D3B592" w14:textId="21186B67"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2" w:history="1">
        <w:r w:rsidR="006736F7" w:rsidRPr="001772CE">
          <w:rPr>
            <w:rStyle w:val="Hyperlink"/>
            <w:noProof/>
            <w:lang w:val="en-AU"/>
          </w:rPr>
          <w:t>Table 10. Proposed changes to item 73291</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_Toc482009632 \h </w:instrText>
        </w:r>
        <w:r w:rsidR="006736F7" w:rsidRPr="001772CE">
          <w:rPr>
            <w:noProof/>
            <w:webHidden/>
            <w:lang w:val="en-AU"/>
          </w:rPr>
        </w:r>
        <w:r w:rsidR="006736F7" w:rsidRPr="001772CE">
          <w:rPr>
            <w:noProof/>
            <w:webHidden/>
            <w:lang w:val="en-AU"/>
          </w:rPr>
          <w:fldChar w:fldCharType="separate"/>
        </w:r>
        <w:r w:rsidR="009A1BCE">
          <w:rPr>
            <w:noProof/>
            <w:webHidden/>
            <w:lang w:val="en-AU"/>
          </w:rPr>
          <w:t>15</w:t>
        </w:r>
        <w:r w:rsidR="006736F7" w:rsidRPr="001772CE">
          <w:rPr>
            <w:noProof/>
            <w:webHidden/>
            <w:lang w:val="en-AU"/>
          </w:rPr>
          <w:fldChar w:fldCharType="end"/>
        </w:r>
      </w:hyperlink>
    </w:p>
    <w:p w14:paraId="21E97F2D" w14:textId="7DA6716F"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3" w:history="1">
        <w:r w:rsidR="006736F7" w:rsidRPr="00720661">
          <w:rPr>
            <w:rStyle w:val="Hyperlink"/>
            <w:noProof/>
            <w:lang w:val="en-AU"/>
          </w:rPr>
          <w:t>Table 11. Item introduction table for item 73292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_Toc482009633 \h </w:instrText>
        </w:r>
        <w:r w:rsidR="006736F7" w:rsidRPr="001772CE">
          <w:rPr>
            <w:noProof/>
            <w:webHidden/>
            <w:lang w:val="en-AU"/>
          </w:rPr>
        </w:r>
        <w:r w:rsidR="006736F7" w:rsidRPr="001772CE">
          <w:rPr>
            <w:noProof/>
            <w:webHidden/>
            <w:lang w:val="en-AU"/>
          </w:rPr>
          <w:fldChar w:fldCharType="separate"/>
        </w:r>
        <w:r w:rsidR="009A1BCE">
          <w:rPr>
            <w:noProof/>
            <w:webHidden/>
            <w:lang w:val="en-AU"/>
          </w:rPr>
          <w:t>15</w:t>
        </w:r>
        <w:r w:rsidR="006736F7" w:rsidRPr="001772CE">
          <w:rPr>
            <w:noProof/>
            <w:webHidden/>
            <w:lang w:val="en-AU"/>
          </w:rPr>
          <w:fldChar w:fldCharType="end"/>
        </w:r>
      </w:hyperlink>
    </w:p>
    <w:p w14:paraId="15C0B2B9" w14:textId="2FBCA5DE"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4" w:history="1">
        <w:r w:rsidR="006736F7" w:rsidRPr="001772CE">
          <w:rPr>
            <w:rStyle w:val="Hyperlink"/>
            <w:noProof/>
            <w:lang w:val="en-AU"/>
          </w:rPr>
          <w:t>Table 12. Proposed changes to item 73292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_Toc482009634 \h </w:instrText>
        </w:r>
        <w:r w:rsidR="006736F7" w:rsidRPr="001772CE">
          <w:rPr>
            <w:noProof/>
            <w:webHidden/>
            <w:lang w:val="en-AU"/>
          </w:rPr>
        </w:r>
        <w:r w:rsidR="006736F7" w:rsidRPr="001772CE">
          <w:rPr>
            <w:noProof/>
            <w:webHidden/>
            <w:lang w:val="en-AU"/>
          </w:rPr>
          <w:fldChar w:fldCharType="separate"/>
        </w:r>
        <w:r w:rsidR="009A1BCE">
          <w:rPr>
            <w:noProof/>
            <w:webHidden/>
            <w:lang w:val="en-AU"/>
          </w:rPr>
          <w:t>16</w:t>
        </w:r>
        <w:r w:rsidR="006736F7" w:rsidRPr="001772CE">
          <w:rPr>
            <w:noProof/>
            <w:webHidden/>
            <w:lang w:val="en-AU"/>
          </w:rPr>
          <w:fldChar w:fldCharType="end"/>
        </w:r>
      </w:hyperlink>
    </w:p>
    <w:p w14:paraId="1C9520BA" w14:textId="2D6B954B"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5" w:history="1">
        <w:r w:rsidR="006736F7" w:rsidRPr="00720661">
          <w:rPr>
            <w:rStyle w:val="Hyperlink"/>
            <w:noProof/>
            <w:lang w:val="en-AU"/>
          </w:rPr>
          <w:t>Table 13. Item introduction table for items 73300 and 73305</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_Toc482009635 \h </w:instrText>
        </w:r>
        <w:r w:rsidR="006736F7" w:rsidRPr="001772CE">
          <w:rPr>
            <w:noProof/>
            <w:webHidden/>
            <w:lang w:val="en-AU"/>
          </w:rPr>
        </w:r>
        <w:r w:rsidR="006736F7" w:rsidRPr="001772CE">
          <w:rPr>
            <w:noProof/>
            <w:webHidden/>
            <w:lang w:val="en-AU"/>
          </w:rPr>
          <w:fldChar w:fldCharType="separate"/>
        </w:r>
        <w:r w:rsidR="009A1BCE">
          <w:rPr>
            <w:noProof/>
            <w:webHidden/>
            <w:lang w:val="en-AU"/>
          </w:rPr>
          <w:t>17</w:t>
        </w:r>
        <w:r w:rsidR="006736F7" w:rsidRPr="001772CE">
          <w:rPr>
            <w:noProof/>
            <w:webHidden/>
            <w:lang w:val="en-AU"/>
          </w:rPr>
          <w:fldChar w:fldCharType="end"/>
        </w:r>
      </w:hyperlink>
    </w:p>
    <w:p w14:paraId="201537EB" w14:textId="45748F87"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6" w:history="1">
        <w:r w:rsidR="006736F7" w:rsidRPr="00720661">
          <w:rPr>
            <w:rStyle w:val="Hyperlink"/>
            <w:noProof/>
            <w:lang w:val="en-AU"/>
          </w:rPr>
          <w:t>Table 14. Item introduction table for item 73332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_Toc482009636 \h </w:instrText>
        </w:r>
        <w:r w:rsidR="006736F7" w:rsidRPr="001772CE">
          <w:rPr>
            <w:noProof/>
            <w:webHidden/>
            <w:lang w:val="en-AU"/>
          </w:rPr>
        </w:r>
        <w:r w:rsidR="006736F7" w:rsidRPr="001772CE">
          <w:rPr>
            <w:noProof/>
            <w:webHidden/>
            <w:lang w:val="en-AU"/>
          </w:rPr>
          <w:fldChar w:fldCharType="separate"/>
        </w:r>
        <w:r w:rsidR="009A1BCE">
          <w:rPr>
            <w:noProof/>
            <w:webHidden/>
            <w:lang w:val="en-AU"/>
          </w:rPr>
          <w:t>18</w:t>
        </w:r>
        <w:r w:rsidR="006736F7" w:rsidRPr="001772CE">
          <w:rPr>
            <w:noProof/>
            <w:webHidden/>
            <w:lang w:val="en-AU"/>
          </w:rPr>
          <w:fldChar w:fldCharType="end"/>
        </w:r>
      </w:hyperlink>
    </w:p>
    <w:p w14:paraId="690EFC9F" w14:textId="28F9DB7A"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7" w:history="1">
        <w:r w:rsidR="006736F7" w:rsidRPr="001772CE">
          <w:rPr>
            <w:rStyle w:val="Hyperlink"/>
            <w:noProof/>
            <w:lang w:val="en-AU"/>
          </w:rPr>
          <w:t>Table 15. Proposed changes to item 73332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_Toc482009637 \h </w:instrText>
        </w:r>
        <w:r w:rsidR="006736F7" w:rsidRPr="001772CE">
          <w:rPr>
            <w:noProof/>
            <w:webHidden/>
            <w:lang w:val="en-AU"/>
          </w:rPr>
        </w:r>
        <w:r w:rsidR="006736F7" w:rsidRPr="001772CE">
          <w:rPr>
            <w:noProof/>
            <w:webHidden/>
            <w:lang w:val="en-AU"/>
          </w:rPr>
          <w:fldChar w:fldCharType="separate"/>
        </w:r>
        <w:r w:rsidR="009A1BCE">
          <w:rPr>
            <w:noProof/>
            <w:webHidden/>
            <w:lang w:val="en-AU"/>
          </w:rPr>
          <w:t>19</w:t>
        </w:r>
        <w:r w:rsidR="006736F7" w:rsidRPr="001772CE">
          <w:rPr>
            <w:noProof/>
            <w:webHidden/>
            <w:lang w:val="en-AU"/>
          </w:rPr>
          <w:fldChar w:fldCharType="end"/>
        </w:r>
      </w:hyperlink>
    </w:p>
    <w:p w14:paraId="7EFE602F" w14:textId="1C3EC416"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8" w:history="1">
        <w:r w:rsidR="006736F7" w:rsidRPr="001772CE">
          <w:rPr>
            <w:rStyle w:val="Hyperlink"/>
            <w:noProof/>
            <w:lang w:val="en-AU"/>
          </w:rPr>
          <w:t>Table 16. Item introduction table for item 73342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_Toc482009638 \h </w:instrText>
        </w:r>
        <w:r w:rsidR="006736F7" w:rsidRPr="001772CE">
          <w:rPr>
            <w:noProof/>
            <w:webHidden/>
            <w:lang w:val="en-AU"/>
          </w:rPr>
        </w:r>
        <w:r w:rsidR="006736F7" w:rsidRPr="001772CE">
          <w:rPr>
            <w:noProof/>
            <w:webHidden/>
            <w:lang w:val="en-AU"/>
          </w:rPr>
          <w:fldChar w:fldCharType="separate"/>
        </w:r>
        <w:r w:rsidR="009A1BCE">
          <w:rPr>
            <w:noProof/>
            <w:webHidden/>
            <w:lang w:val="en-AU"/>
          </w:rPr>
          <w:t>20</w:t>
        </w:r>
        <w:r w:rsidR="006736F7" w:rsidRPr="001772CE">
          <w:rPr>
            <w:noProof/>
            <w:webHidden/>
            <w:lang w:val="en-AU"/>
          </w:rPr>
          <w:fldChar w:fldCharType="end"/>
        </w:r>
      </w:hyperlink>
    </w:p>
    <w:p w14:paraId="7FBCF803" w14:textId="122B7898"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39" w:history="1">
        <w:r w:rsidR="006736F7" w:rsidRPr="001772CE">
          <w:rPr>
            <w:rStyle w:val="Hyperlink"/>
            <w:noProof/>
            <w:lang w:val="en-AU"/>
          </w:rPr>
          <w:t>Table 17. Proposed changes to item 73342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_Toc482009639 \h </w:instrText>
        </w:r>
        <w:r w:rsidR="006736F7" w:rsidRPr="001772CE">
          <w:rPr>
            <w:noProof/>
            <w:webHidden/>
            <w:lang w:val="en-AU"/>
          </w:rPr>
        </w:r>
        <w:r w:rsidR="006736F7" w:rsidRPr="001772CE">
          <w:rPr>
            <w:noProof/>
            <w:webHidden/>
            <w:lang w:val="en-AU"/>
          </w:rPr>
          <w:fldChar w:fldCharType="separate"/>
        </w:r>
        <w:r w:rsidR="009A1BCE">
          <w:rPr>
            <w:noProof/>
            <w:webHidden/>
            <w:lang w:val="en-AU"/>
          </w:rPr>
          <w:t>20</w:t>
        </w:r>
        <w:r w:rsidR="006736F7" w:rsidRPr="001772CE">
          <w:rPr>
            <w:noProof/>
            <w:webHidden/>
            <w:lang w:val="en-AU"/>
          </w:rPr>
          <w:fldChar w:fldCharType="end"/>
        </w:r>
      </w:hyperlink>
    </w:p>
    <w:p w14:paraId="0F837E8F" w14:textId="1EE00857"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0" w:history="1">
        <w:r w:rsidR="006736F7" w:rsidRPr="00720661">
          <w:rPr>
            <w:rStyle w:val="Hyperlink"/>
            <w:noProof/>
            <w:lang w:val="en-AU"/>
          </w:rPr>
          <w:t>Table 18. Item introduction table for items 73308, 73309, 73311 and 73312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_Toc482009640 \h </w:instrText>
        </w:r>
        <w:r w:rsidR="006736F7" w:rsidRPr="001772CE">
          <w:rPr>
            <w:noProof/>
            <w:webHidden/>
            <w:lang w:val="en-AU"/>
          </w:rPr>
        </w:r>
        <w:r w:rsidR="006736F7" w:rsidRPr="001772CE">
          <w:rPr>
            <w:noProof/>
            <w:webHidden/>
            <w:lang w:val="en-AU"/>
          </w:rPr>
          <w:fldChar w:fldCharType="separate"/>
        </w:r>
        <w:r w:rsidR="009A1BCE">
          <w:rPr>
            <w:noProof/>
            <w:webHidden/>
            <w:lang w:val="en-AU"/>
          </w:rPr>
          <w:t>21</w:t>
        </w:r>
        <w:r w:rsidR="006736F7" w:rsidRPr="001772CE">
          <w:rPr>
            <w:noProof/>
            <w:webHidden/>
            <w:lang w:val="en-AU"/>
          </w:rPr>
          <w:fldChar w:fldCharType="end"/>
        </w:r>
      </w:hyperlink>
    </w:p>
    <w:p w14:paraId="429AE3FA" w14:textId="6134A913"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1" w:history="1">
        <w:r w:rsidR="006736F7" w:rsidRPr="001772CE">
          <w:rPr>
            <w:rStyle w:val="Hyperlink"/>
            <w:noProof/>
            <w:lang w:val="en-AU"/>
          </w:rPr>
          <w:t>Table 19. Proposed changes to items 73308, 73309, 73311 and 73312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_Toc482009641 \h </w:instrText>
        </w:r>
        <w:r w:rsidR="006736F7" w:rsidRPr="001772CE">
          <w:rPr>
            <w:noProof/>
            <w:webHidden/>
            <w:lang w:val="en-AU"/>
          </w:rPr>
        </w:r>
        <w:r w:rsidR="006736F7" w:rsidRPr="001772CE">
          <w:rPr>
            <w:noProof/>
            <w:webHidden/>
            <w:lang w:val="en-AU"/>
          </w:rPr>
          <w:fldChar w:fldCharType="separate"/>
        </w:r>
        <w:r w:rsidR="009A1BCE">
          <w:rPr>
            <w:noProof/>
            <w:webHidden/>
            <w:lang w:val="en-AU"/>
          </w:rPr>
          <w:t>22</w:t>
        </w:r>
        <w:r w:rsidR="006736F7" w:rsidRPr="001772CE">
          <w:rPr>
            <w:noProof/>
            <w:webHidden/>
            <w:lang w:val="en-AU"/>
          </w:rPr>
          <w:fldChar w:fldCharType="end"/>
        </w:r>
      </w:hyperlink>
    </w:p>
    <w:p w14:paraId="4B28D838" w14:textId="1209FBCC"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2" w:history="1">
        <w:r w:rsidR="006736F7" w:rsidRPr="001772CE">
          <w:rPr>
            <w:rStyle w:val="Hyperlink"/>
            <w:noProof/>
            <w:lang w:val="en-AU"/>
          </w:rPr>
          <w:t>Table 20. Item introduction table for item 73293</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_Toc482009642 \h </w:instrText>
        </w:r>
        <w:r w:rsidR="006736F7" w:rsidRPr="001772CE">
          <w:rPr>
            <w:noProof/>
            <w:webHidden/>
            <w:lang w:val="en-AU"/>
          </w:rPr>
        </w:r>
        <w:r w:rsidR="006736F7" w:rsidRPr="001772CE">
          <w:rPr>
            <w:noProof/>
            <w:webHidden/>
            <w:lang w:val="en-AU"/>
          </w:rPr>
          <w:fldChar w:fldCharType="separate"/>
        </w:r>
        <w:r w:rsidR="009A1BCE">
          <w:rPr>
            <w:noProof/>
            <w:webHidden/>
            <w:lang w:val="en-AU"/>
          </w:rPr>
          <w:t>23</w:t>
        </w:r>
        <w:r w:rsidR="006736F7" w:rsidRPr="001772CE">
          <w:rPr>
            <w:noProof/>
            <w:webHidden/>
            <w:lang w:val="en-AU"/>
          </w:rPr>
          <w:fldChar w:fldCharType="end"/>
        </w:r>
      </w:hyperlink>
    </w:p>
    <w:p w14:paraId="78FBB37B" w14:textId="344CA402"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3" w:history="1">
        <w:r w:rsidR="006736F7" w:rsidRPr="001772CE">
          <w:rPr>
            <w:rStyle w:val="Hyperlink"/>
            <w:noProof/>
            <w:lang w:val="en-AU"/>
          </w:rPr>
          <w:t>Table 21. Proposed changes to item 73293</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_Toc482009643 \h </w:instrText>
        </w:r>
        <w:r w:rsidR="006736F7" w:rsidRPr="001772CE">
          <w:rPr>
            <w:noProof/>
            <w:webHidden/>
            <w:lang w:val="en-AU"/>
          </w:rPr>
        </w:r>
        <w:r w:rsidR="006736F7" w:rsidRPr="001772CE">
          <w:rPr>
            <w:noProof/>
            <w:webHidden/>
            <w:lang w:val="en-AU"/>
          </w:rPr>
          <w:fldChar w:fldCharType="separate"/>
        </w:r>
        <w:r w:rsidR="009A1BCE">
          <w:rPr>
            <w:noProof/>
            <w:webHidden/>
            <w:lang w:val="en-AU"/>
          </w:rPr>
          <w:t>24</w:t>
        </w:r>
        <w:r w:rsidR="006736F7" w:rsidRPr="001772CE">
          <w:rPr>
            <w:noProof/>
            <w:webHidden/>
            <w:lang w:val="en-AU"/>
          </w:rPr>
          <w:fldChar w:fldCharType="end"/>
        </w:r>
      </w:hyperlink>
    </w:p>
    <w:p w14:paraId="6B217F66" w14:textId="632D2597"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4" w:history="1">
        <w:r w:rsidR="006736F7" w:rsidRPr="001772CE">
          <w:rPr>
            <w:rStyle w:val="Hyperlink"/>
            <w:noProof/>
            <w:lang w:val="en-AU"/>
          </w:rPr>
          <w:t>Table 22. MBS items that do not require amendment</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_Toc482009644 \h </w:instrText>
        </w:r>
        <w:r w:rsidR="006736F7" w:rsidRPr="001772CE">
          <w:rPr>
            <w:noProof/>
            <w:webHidden/>
            <w:lang w:val="en-AU"/>
          </w:rPr>
        </w:r>
        <w:r w:rsidR="006736F7" w:rsidRPr="001772CE">
          <w:rPr>
            <w:noProof/>
            <w:webHidden/>
            <w:lang w:val="en-AU"/>
          </w:rPr>
          <w:fldChar w:fldCharType="separate"/>
        </w:r>
        <w:r w:rsidR="009A1BCE">
          <w:rPr>
            <w:noProof/>
            <w:webHidden/>
            <w:lang w:val="en-AU"/>
          </w:rPr>
          <w:t>24</w:t>
        </w:r>
        <w:r w:rsidR="006736F7" w:rsidRPr="001772CE">
          <w:rPr>
            <w:noProof/>
            <w:webHidden/>
            <w:lang w:val="en-AU"/>
          </w:rPr>
          <w:fldChar w:fldCharType="end"/>
        </w:r>
      </w:hyperlink>
    </w:p>
    <w:p w14:paraId="7F2166DC" w14:textId="08F55CD3"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5" w:history="1">
        <w:r w:rsidR="006736F7" w:rsidRPr="001772CE">
          <w:rPr>
            <w:rStyle w:val="Hyperlink"/>
            <w:noProof/>
            <w:lang w:val="en-AU"/>
          </w:rPr>
          <w:t>Table 23. Minor changes recommended</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_Toc482009645 \h </w:instrText>
        </w:r>
        <w:r w:rsidR="006736F7" w:rsidRPr="001772CE">
          <w:rPr>
            <w:noProof/>
            <w:webHidden/>
            <w:lang w:val="en-AU"/>
          </w:rPr>
        </w:r>
        <w:r w:rsidR="006736F7" w:rsidRPr="001772CE">
          <w:rPr>
            <w:noProof/>
            <w:webHidden/>
            <w:lang w:val="en-AU"/>
          </w:rPr>
          <w:fldChar w:fldCharType="separate"/>
        </w:r>
        <w:r w:rsidR="009A1BCE">
          <w:rPr>
            <w:noProof/>
            <w:webHidden/>
            <w:lang w:val="en-AU"/>
          </w:rPr>
          <w:t>26</w:t>
        </w:r>
        <w:r w:rsidR="006736F7" w:rsidRPr="001772CE">
          <w:rPr>
            <w:noProof/>
            <w:webHidden/>
            <w:lang w:val="en-AU"/>
          </w:rPr>
          <w:fldChar w:fldCharType="end"/>
        </w:r>
      </w:hyperlink>
    </w:p>
    <w:p w14:paraId="3F73FB09" w14:textId="5D5F26E3"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6" w:history="1">
        <w:r w:rsidR="006736F7" w:rsidRPr="001772CE">
          <w:rPr>
            <w:rStyle w:val="Hyperlink"/>
            <w:noProof/>
            <w:lang w:val="en-AU"/>
          </w:rPr>
          <w:t>Table 24. Items recommended for removal from the MBS</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_Toc482009646 \h </w:instrText>
        </w:r>
        <w:r w:rsidR="006736F7" w:rsidRPr="001772CE">
          <w:rPr>
            <w:noProof/>
            <w:webHidden/>
            <w:lang w:val="en-AU"/>
          </w:rPr>
        </w:r>
        <w:r w:rsidR="006736F7" w:rsidRPr="001772CE">
          <w:rPr>
            <w:noProof/>
            <w:webHidden/>
            <w:lang w:val="en-AU"/>
          </w:rPr>
          <w:fldChar w:fldCharType="separate"/>
        </w:r>
        <w:r w:rsidR="009A1BCE">
          <w:rPr>
            <w:noProof/>
            <w:webHidden/>
            <w:lang w:val="en-AU"/>
          </w:rPr>
          <w:t>27</w:t>
        </w:r>
        <w:r w:rsidR="006736F7" w:rsidRPr="001772CE">
          <w:rPr>
            <w:noProof/>
            <w:webHidden/>
            <w:lang w:val="en-AU"/>
          </w:rPr>
          <w:fldChar w:fldCharType="end"/>
        </w:r>
      </w:hyperlink>
    </w:p>
    <w:p w14:paraId="5F725E83" w14:textId="5A5CEC6B"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7" w:history="1">
        <w:r w:rsidR="006736F7" w:rsidRPr="001772CE">
          <w:rPr>
            <w:rStyle w:val="Hyperlink"/>
            <w:rFonts w:cs="Calibri"/>
            <w:noProof/>
            <w:lang w:val="en-AU"/>
          </w:rPr>
          <w:t xml:space="preserve">Table </w:t>
        </w:r>
        <w:r w:rsidR="006736F7" w:rsidRPr="001772CE">
          <w:rPr>
            <w:rStyle w:val="Hyperlink"/>
            <w:noProof/>
            <w:lang w:val="en-AU"/>
          </w:rPr>
          <w:t>25. Item introduction table for item 73292</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_Toc482009647 \h </w:instrText>
        </w:r>
        <w:r w:rsidR="006736F7" w:rsidRPr="001772CE">
          <w:rPr>
            <w:noProof/>
            <w:webHidden/>
            <w:lang w:val="en-AU"/>
          </w:rPr>
        </w:r>
        <w:r w:rsidR="006736F7" w:rsidRPr="001772CE">
          <w:rPr>
            <w:noProof/>
            <w:webHidden/>
            <w:lang w:val="en-AU"/>
          </w:rPr>
          <w:fldChar w:fldCharType="separate"/>
        </w:r>
        <w:r w:rsidR="009A1BCE">
          <w:rPr>
            <w:noProof/>
            <w:webHidden/>
            <w:lang w:val="en-AU"/>
          </w:rPr>
          <w:t>28</w:t>
        </w:r>
        <w:r w:rsidR="006736F7" w:rsidRPr="001772CE">
          <w:rPr>
            <w:noProof/>
            <w:webHidden/>
            <w:lang w:val="en-AU"/>
          </w:rPr>
          <w:fldChar w:fldCharType="end"/>
        </w:r>
      </w:hyperlink>
    </w:p>
    <w:p w14:paraId="41A0A40D" w14:textId="619124B3"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8" w:history="1">
        <w:r w:rsidR="006736F7" w:rsidRPr="001772CE">
          <w:rPr>
            <w:rStyle w:val="Hyperlink"/>
            <w:noProof/>
            <w:lang w:val="en-AU"/>
          </w:rPr>
          <w:t>Table 26. Proposed descriptors for new items for microarray</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_Toc482009648 \h </w:instrText>
        </w:r>
        <w:r w:rsidR="006736F7" w:rsidRPr="001772CE">
          <w:rPr>
            <w:noProof/>
            <w:webHidden/>
            <w:lang w:val="en-AU"/>
          </w:rPr>
        </w:r>
        <w:r w:rsidR="006736F7" w:rsidRPr="001772CE">
          <w:rPr>
            <w:noProof/>
            <w:webHidden/>
            <w:lang w:val="en-AU"/>
          </w:rPr>
          <w:fldChar w:fldCharType="separate"/>
        </w:r>
        <w:r w:rsidR="009A1BCE">
          <w:rPr>
            <w:noProof/>
            <w:webHidden/>
            <w:lang w:val="en-AU"/>
          </w:rPr>
          <w:t>29</w:t>
        </w:r>
        <w:r w:rsidR="006736F7" w:rsidRPr="001772CE">
          <w:rPr>
            <w:noProof/>
            <w:webHidden/>
            <w:lang w:val="en-AU"/>
          </w:rPr>
          <w:fldChar w:fldCharType="end"/>
        </w:r>
      </w:hyperlink>
    </w:p>
    <w:p w14:paraId="4AC2661B" w14:textId="7B834C7D"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49" w:history="1">
        <w:r w:rsidR="006736F7" w:rsidRPr="001772CE">
          <w:rPr>
            <w:rStyle w:val="Hyperlink"/>
            <w:noProof/>
            <w:lang w:val="en-AU"/>
          </w:rPr>
          <w:t>Table 27. Item introduction table for item 73325</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_Toc482009649 \h </w:instrText>
        </w:r>
        <w:r w:rsidR="006736F7" w:rsidRPr="001772CE">
          <w:rPr>
            <w:noProof/>
            <w:webHidden/>
            <w:lang w:val="en-AU"/>
          </w:rPr>
        </w:r>
        <w:r w:rsidR="006736F7" w:rsidRPr="001772CE">
          <w:rPr>
            <w:noProof/>
            <w:webHidden/>
            <w:lang w:val="en-AU"/>
          </w:rPr>
          <w:fldChar w:fldCharType="separate"/>
        </w:r>
        <w:r w:rsidR="009A1BCE">
          <w:rPr>
            <w:noProof/>
            <w:webHidden/>
            <w:lang w:val="en-AU"/>
          </w:rPr>
          <w:t>30</w:t>
        </w:r>
        <w:r w:rsidR="006736F7" w:rsidRPr="001772CE">
          <w:rPr>
            <w:noProof/>
            <w:webHidden/>
            <w:lang w:val="en-AU"/>
          </w:rPr>
          <w:fldChar w:fldCharType="end"/>
        </w:r>
      </w:hyperlink>
    </w:p>
    <w:p w14:paraId="1ED3FC6B" w14:textId="479D3F6C" w:rsidR="006736F7" w:rsidRPr="00720661" w:rsidRDefault="00367D11">
      <w:pPr>
        <w:pStyle w:val="TableofFigures"/>
        <w:tabs>
          <w:tab w:val="right" w:leader="dot" w:pos="9016"/>
        </w:tabs>
        <w:rPr>
          <w:rFonts w:eastAsiaTheme="minorEastAsia" w:cstheme="minorBidi"/>
          <w:bCs w:val="0"/>
          <w:noProof/>
          <w:sz w:val="22"/>
          <w:szCs w:val="22"/>
          <w:lang w:val="en-AU"/>
        </w:rPr>
      </w:pPr>
      <w:hyperlink w:anchor="_Toc482009650" w:history="1">
        <w:r w:rsidR="006736F7" w:rsidRPr="001772CE">
          <w:rPr>
            <w:rStyle w:val="Hyperlink"/>
            <w:noProof/>
            <w:lang w:val="en-AU"/>
          </w:rPr>
          <w:t>Table 28. Proposed changes to item 73325</w:t>
        </w:r>
        <w:r w:rsidR="006736F7" w:rsidRPr="001772CE">
          <w:rPr>
            <w:noProof/>
            <w:webHidden/>
            <w:lang w:val="en-AU"/>
          </w:rPr>
          <w:tab/>
        </w:r>
        <w:r w:rsidR="006736F7" w:rsidRPr="001772CE">
          <w:rPr>
            <w:noProof/>
            <w:webHidden/>
            <w:lang w:val="en-AU"/>
          </w:rPr>
          <w:fldChar w:fldCharType="begin"/>
        </w:r>
        <w:r w:rsidR="006736F7" w:rsidRPr="001772CE">
          <w:rPr>
            <w:noProof/>
            <w:webHidden/>
            <w:lang w:val="en-AU"/>
          </w:rPr>
          <w:instrText xml:space="preserve"> PAGEREF _Toc482009650 \h </w:instrText>
        </w:r>
        <w:r w:rsidR="006736F7" w:rsidRPr="001772CE">
          <w:rPr>
            <w:noProof/>
            <w:webHidden/>
            <w:lang w:val="en-AU"/>
          </w:rPr>
        </w:r>
        <w:r w:rsidR="006736F7" w:rsidRPr="001772CE">
          <w:rPr>
            <w:noProof/>
            <w:webHidden/>
            <w:lang w:val="en-AU"/>
          </w:rPr>
          <w:fldChar w:fldCharType="separate"/>
        </w:r>
        <w:r w:rsidR="009A1BCE">
          <w:rPr>
            <w:noProof/>
            <w:webHidden/>
            <w:lang w:val="en-AU"/>
          </w:rPr>
          <w:t>31</w:t>
        </w:r>
        <w:r w:rsidR="006736F7" w:rsidRPr="001772CE">
          <w:rPr>
            <w:noProof/>
            <w:webHidden/>
            <w:lang w:val="en-AU"/>
          </w:rPr>
          <w:fldChar w:fldCharType="end"/>
        </w:r>
      </w:hyperlink>
    </w:p>
    <w:p w14:paraId="458749D8" w14:textId="18B983DB" w:rsidR="00836B2A" w:rsidRPr="00720661" w:rsidRDefault="009D7E4A" w:rsidP="00082595">
      <w:pPr>
        <w:rPr>
          <w:b/>
          <w:color w:val="01653F"/>
          <w:sz w:val="32"/>
          <w:lang w:val="en-AU"/>
        </w:rPr>
      </w:pPr>
      <w:r w:rsidRPr="009A53D1">
        <w:rPr>
          <w:b/>
          <w:color w:val="01653F"/>
          <w:sz w:val="32"/>
          <w:szCs w:val="20"/>
          <w:lang w:val="en-AU"/>
        </w:rPr>
        <w:fldChar w:fldCharType="end"/>
      </w:r>
      <w:r w:rsidR="00836B2A" w:rsidRPr="00720661">
        <w:rPr>
          <w:b/>
          <w:color w:val="01653F"/>
          <w:sz w:val="32"/>
          <w:lang w:val="en-AU"/>
        </w:rPr>
        <w:t>Figures</w:t>
      </w:r>
    </w:p>
    <w:p w14:paraId="7228CD6A" w14:textId="21A3A074" w:rsidR="00222D1D" w:rsidRPr="001772CE" w:rsidRDefault="004D68DE">
      <w:pPr>
        <w:pStyle w:val="TableofFigures"/>
        <w:tabs>
          <w:tab w:val="right" w:leader="dot" w:pos="9016"/>
        </w:tabs>
        <w:rPr>
          <w:noProof/>
          <w:color w:val="0000FF" w:themeColor="hyperlink"/>
          <w:u w:val="single"/>
          <w:lang w:val="en-AU"/>
        </w:rPr>
      </w:pPr>
      <w:r w:rsidRPr="001772CE">
        <w:rPr>
          <w:bCs w:val="0"/>
          <w:lang w:val="en-AU"/>
        </w:rPr>
        <w:fldChar w:fldCharType="begin"/>
      </w:r>
      <w:r w:rsidRPr="00720661">
        <w:rPr>
          <w:bCs w:val="0"/>
          <w:lang w:val="en-AU"/>
        </w:rPr>
        <w:instrText xml:space="preserve"> TOC \h \z \c "Figure" </w:instrText>
      </w:r>
      <w:r w:rsidRPr="001772CE">
        <w:rPr>
          <w:bCs w:val="0"/>
          <w:lang w:val="en-AU"/>
        </w:rPr>
        <w:fldChar w:fldCharType="separate"/>
      </w:r>
      <w:hyperlink w:anchor="_Toc482007239" w:history="1">
        <w:r w:rsidR="00474F25" w:rsidRPr="00720661">
          <w:rPr>
            <w:rStyle w:val="Hyperlink"/>
            <w:noProof/>
            <w:lang w:val="en-AU"/>
          </w:rPr>
          <w:t>Figure 1: Prioritisation mat</w:t>
        </w:r>
        <w:r w:rsidR="005879F8" w:rsidRPr="00720661">
          <w:rPr>
            <w:rStyle w:val="Hyperlink"/>
            <w:noProof/>
            <w:lang w:val="en-AU"/>
          </w:rPr>
          <w:t>r</w:t>
        </w:r>
        <w:r w:rsidR="00474F25" w:rsidRPr="00720661">
          <w:rPr>
            <w:rStyle w:val="Hyperlink"/>
            <w:noProof/>
            <w:lang w:val="en-AU"/>
          </w:rPr>
          <w:t>ix</w:t>
        </w:r>
        <w:r w:rsidR="00474F25" w:rsidRPr="001772CE">
          <w:rPr>
            <w:noProof/>
            <w:webHidden/>
            <w:lang w:val="en-AU"/>
          </w:rPr>
          <w:tab/>
        </w:r>
        <w:r w:rsidR="00474F25" w:rsidRPr="001772CE">
          <w:rPr>
            <w:noProof/>
            <w:webHidden/>
            <w:lang w:val="en-AU"/>
          </w:rPr>
          <w:fldChar w:fldCharType="begin"/>
        </w:r>
        <w:r w:rsidR="00474F25" w:rsidRPr="001772CE">
          <w:rPr>
            <w:noProof/>
            <w:webHidden/>
            <w:lang w:val="en-AU"/>
          </w:rPr>
          <w:instrText xml:space="preserve"> PAGEREF _Toc482007239 \h </w:instrText>
        </w:r>
        <w:r w:rsidR="00474F25" w:rsidRPr="001772CE">
          <w:rPr>
            <w:noProof/>
            <w:webHidden/>
            <w:lang w:val="en-AU"/>
          </w:rPr>
        </w:r>
        <w:r w:rsidR="00474F25" w:rsidRPr="001772CE">
          <w:rPr>
            <w:noProof/>
            <w:webHidden/>
            <w:lang w:val="en-AU"/>
          </w:rPr>
          <w:fldChar w:fldCharType="separate"/>
        </w:r>
        <w:r w:rsidR="009A1BCE">
          <w:rPr>
            <w:noProof/>
            <w:webHidden/>
            <w:lang w:val="en-AU"/>
          </w:rPr>
          <w:t>6</w:t>
        </w:r>
        <w:r w:rsidR="00474F25" w:rsidRPr="001772CE">
          <w:rPr>
            <w:noProof/>
            <w:webHidden/>
            <w:lang w:val="en-AU"/>
          </w:rPr>
          <w:fldChar w:fldCharType="end"/>
        </w:r>
      </w:hyperlink>
    </w:p>
    <w:p w14:paraId="225D5591" w14:textId="77777777" w:rsidR="00222D1D" w:rsidRPr="00720661" w:rsidRDefault="00222D1D" w:rsidP="00082595">
      <w:pPr>
        <w:rPr>
          <w:noProof/>
          <w:lang w:val="en-AU"/>
        </w:rPr>
        <w:sectPr w:rsidR="00222D1D" w:rsidRPr="00720661" w:rsidSect="0048563C">
          <w:pgSz w:w="11906" w:h="16838" w:code="9"/>
          <w:pgMar w:top="1440" w:right="1440" w:bottom="1276" w:left="1440" w:header="720" w:footer="720" w:gutter="0"/>
          <w:paperSrc w:first="2" w:other="2"/>
          <w:cols w:space="720"/>
          <w:docGrid w:linePitch="326"/>
        </w:sectPr>
      </w:pPr>
    </w:p>
    <w:p w14:paraId="71A87177" w14:textId="77777777" w:rsidR="00512F2C" w:rsidRPr="003B31BB" w:rsidRDefault="004D68DE" w:rsidP="005879F8">
      <w:pPr>
        <w:pStyle w:val="Heading1"/>
        <w:rPr>
          <w:lang w:val="en-AU"/>
        </w:rPr>
      </w:pPr>
      <w:r w:rsidRPr="001772CE">
        <w:rPr>
          <w:bCs w:val="0"/>
          <w:sz w:val="20"/>
          <w:szCs w:val="20"/>
          <w:lang w:val="en-AU"/>
        </w:rPr>
        <w:lastRenderedPageBreak/>
        <w:fldChar w:fldCharType="end"/>
      </w:r>
      <w:bookmarkStart w:id="2" w:name="_Toc456045422"/>
      <w:bookmarkStart w:id="3" w:name="_Toc13735955"/>
      <w:bookmarkEnd w:id="1"/>
      <w:r w:rsidR="00262127" w:rsidRPr="003B31BB">
        <w:rPr>
          <w:lang w:val="en-AU"/>
        </w:rPr>
        <w:t xml:space="preserve">Executive </w:t>
      </w:r>
      <w:r w:rsidR="00AF345C" w:rsidRPr="003B31BB">
        <w:rPr>
          <w:lang w:val="en-AU"/>
        </w:rPr>
        <w:t>s</w:t>
      </w:r>
      <w:r w:rsidR="00262127" w:rsidRPr="003B31BB">
        <w:rPr>
          <w:lang w:val="en-AU"/>
        </w:rPr>
        <w:t>ummary</w:t>
      </w:r>
      <w:bookmarkEnd w:id="2"/>
      <w:bookmarkEnd w:id="3"/>
    </w:p>
    <w:p w14:paraId="6615E19B" w14:textId="77777777" w:rsidR="0009619B" w:rsidRPr="00720661" w:rsidRDefault="0009619B" w:rsidP="0009619B">
      <w:pPr>
        <w:rPr>
          <w:lang w:val="en-AU"/>
        </w:rPr>
      </w:pPr>
      <w:r w:rsidRPr="00720661">
        <w:rPr>
          <w:lang w:val="en-AU"/>
        </w:rPr>
        <w:t xml:space="preserve">The Medicare Benefits Schedule (MBS) Review Taskforce (the Taskforce) is undertaking a program of work that considers how more than 5700 items on the MBS can be aligned with contemporary clinical evidence and practice and improves health outcomes for patients. The Taskforce will also seek to identify any services that may be unnecessary, outdated or potentially unsafe. </w:t>
      </w:r>
    </w:p>
    <w:p w14:paraId="707CEF6A" w14:textId="77777777" w:rsidR="0009619B" w:rsidRPr="00720661" w:rsidRDefault="0009619B" w:rsidP="0009619B">
      <w:pPr>
        <w:rPr>
          <w:lang w:val="en-AU"/>
        </w:rPr>
      </w:pPr>
      <w:r w:rsidRPr="00720661">
        <w:rPr>
          <w:lang w:val="en-AU"/>
        </w:rPr>
        <w:t>The Taskforce is committed to providing recommendations to the Minister for Health that will allow the MBS to deliver on each of these four key goals:</w:t>
      </w:r>
    </w:p>
    <w:p w14:paraId="03F9BC3C" w14:textId="77777777" w:rsidR="0009619B" w:rsidRPr="00720661" w:rsidRDefault="0009619B" w:rsidP="003B31BB">
      <w:pPr>
        <w:pStyle w:val="NormalBulleted"/>
        <w:rPr>
          <w:lang w:val="en-AU" w:eastAsia="en-US"/>
        </w:rPr>
      </w:pPr>
      <w:r w:rsidRPr="00720661">
        <w:rPr>
          <w:lang w:val="en-AU" w:eastAsia="en-US"/>
        </w:rPr>
        <w:t>Affordable and universal access</w:t>
      </w:r>
    </w:p>
    <w:p w14:paraId="1EB6EDB1" w14:textId="77777777" w:rsidR="0009619B" w:rsidRPr="00720661" w:rsidRDefault="0009619B" w:rsidP="003B31BB">
      <w:pPr>
        <w:pStyle w:val="NormalBulleted"/>
        <w:rPr>
          <w:lang w:val="en-AU" w:eastAsia="en-US"/>
        </w:rPr>
      </w:pPr>
      <w:r w:rsidRPr="00720661">
        <w:rPr>
          <w:lang w:val="en-AU" w:eastAsia="en-US"/>
        </w:rPr>
        <w:t>Best-practice health services</w:t>
      </w:r>
    </w:p>
    <w:p w14:paraId="6AC95300" w14:textId="77777777" w:rsidR="0009619B" w:rsidRPr="00720661" w:rsidRDefault="0009619B" w:rsidP="003B31BB">
      <w:pPr>
        <w:pStyle w:val="NormalBulleted"/>
        <w:rPr>
          <w:lang w:val="en-AU" w:eastAsia="en-US"/>
        </w:rPr>
      </w:pPr>
      <w:r w:rsidRPr="00720661">
        <w:rPr>
          <w:lang w:val="en-AU" w:eastAsia="en-US"/>
        </w:rPr>
        <w:t>Value for the individual patient</w:t>
      </w:r>
    </w:p>
    <w:p w14:paraId="48820D94" w14:textId="77777777" w:rsidR="0009619B" w:rsidRPr="00720661" w:rsidRDefault="0009619B" w:rsidP="003B31BB">
      <w:pPr>
        <w:pStyle w:val="NormalBulleted"/>
        <w:rPr>
          <w:lang w:val="en-AU" w:eastAsia="en-US"/>
        </w:rPr>
      </w:pPr>
      <w:r w:rsidRPr="00720661">
        <w:rPr>
          <w:lang w:val="en-AU" w:eastAsia="en-US"/>
        </w:rPr>
        <w:t>Value for the health system.</w:t>
      </w:r>
    </w:p>
    <w:p w14:paraId="404FB3DE" w14:textId="77777777" w:rsidR="0009619B" w:rsidRPr="00720661" w:rsidRDefault="0009619B" w:rsidP="0009619B">
      <w:pPr>
        <w:rPr>
          <w:lang w:val="en-AU"/>
        </w:rPr>
      </w:pPr>
      <w:r w:rsidRPr="00720661">
        <w:rPr>
          <w:lang w:val="en-AU"/>
        </w:rPr>
        <w:t xml:space="preserve">The Taskforce has endorsed a methodology whereby the necessary clinical review of MBS items is undertaken by </w:t>
      </w:r>
      <w:r w:rsidR="000A1C35" w:rsidRPr="00720661">
        <w:rPr>
          <w:lang w:val="en-AU"/>
        </w:rPr>
        <w:t xml:space="preserve">clinical committees </w:t>
      </w:r>
      <w:r w:rsidRPr="00720661">
        <w:rPr>
          <w:lang w:val="en-AU"/>
        </w:rPr>
        <w:t xml:space="preserve">and </w:t>
      </w:r>
      <w:r w:rsidR="000A1C35" w:rsidRPr="00720661">
        <w:rPr>
          <w:lang w:val="en-AU"/>
        </w:rPr>
        <w:t>working groups</w:t>
      </w:r>
      <w:r w:rsidRPr="00720661">
        <w:rPr>
          <w:lang w:val="en-AU"/>
        </w:rPr>
        <w:t xml:space="preserve">. The Taskforce has asked the </w:t>
      </w:r>
      <w:r w:rsidR="000A1C35" w:rsidRPr="00720661">
        <w:rPr>
          <w:lang w:val="en-AU"/>
        </w:rPr>
        <w:t xml:space="preserve">clinical committees </w:t>
      </w:r>
      <w:r w:rsidRPr="00720661">
        <w:rPr>
          <w:lang w:val="en-AU"/>
        </w:rPr>
        <w:t>to undertake the following tasks:</w:t>
      </w:r>
    </w:p>
    <w:p w14:paraId="4CB421F7" w14:textId="77777777" w:rsidR="0009619B" w:rsidRPr="00720661" w:rsidRDefault="0009619B" w:rsidP="00D567B2">
      <w:pPr>
        <w:numPr>
          <w:ilvl w:val="0"/>
          <w:numId w:val="20"/>
        </w:numPr>
        <w:spacing w:before="180"/>
        <w:contextualSpacing/>
        <w:rPr>
          <w:rFonts w:eastAsiaTheme="minorHAnsi" w:cs="Arial"/>
          <w:szCs w:val="22"/>
          <w:lang w:val="en-AU"/>
        </w:rPr>
      </w:pPr>
      <w:r w:rsidRPr="00720661">
        <w:rPr>
          <w:rFonts w:eastAsiaTheme="minorHAnsi" w:cs="Arial"/>
          <w:szCs w:val="22"/>
          <w:lang w:val="en-AU"/>
        </w:rPr>
        <w:t>Consider whether there are MBS items that are obsolete and should be removed from the MBS.</w:t>
      </w:r>
    </w:p>
    <w:p w14:paraId="3587E429" w14:textId="77777777" w:rsidR="0009619B" w:rsidRPr="00720661" w:rsidRDefault="0009619B" w:rsidP="00D567B2">
      <w:pPr>
        <w:numPr>
          <w:ilvl w:val="0"/>
          <w:numId w:val="20"/>
        </w:numPr>
        <w:spacing w:before="180"/>
        <w:contextualSpacing/>
        <w:rPr>
          <w:rFonts w:eastAsiaTheme="minorHAnsi" w:cs="Arial"/>
          <w:szCs w:val="22"/>
          <w:lang w:val="en-AU"/>
        </w:rPr>
      </w:pPr>
      <w:r w:rsidRPr="00720661">
        <w:rPr>
          <w:rFonts w:eastAsiaTheme="minorHAnsi" w:cs="Arial"/>
          <w:szCs w:val="22"/>
          <w:lang w:val="en-AU"/>
        </w:rPr>
        <w:t>Consider identified priority reviews of selected MBS services.</w:t>
      </w:r>
    </w:p>
    <w:p w14:paraId="3948D428" w14:textId="77777777" w:rsidR="0009619B" w:rsidRPr="00720661" w:rsidRDefault="0009619B" w:rsidP="00D567B2">
      <w:pPr>
        <w:numPr>
          <w:ilvl w:val="0"/>
          <w:numId w:val="20"/>
        </w:numPr>
        <w:spacing w:before="180"/>
        <w:contextualSpacing/>
        <w:rPr>
          <w:rFonts w:eastAsiaTheme="minorHAnsi" w:cs="Arial"/>
          <w:szCs w:val="22"/>
          <w:lang w:val="en-AU"/>
        </w:rPr>
      </w:pPr>
      <w:r w:rsidRPr="00720661">
        <w:rPr>
          <w:rFonts w:eastAsiaTheme="minorHAnsi" w:cs="Arial"/>
          <w:szCs w:val="22"/>
          <w:lang w:val="en-AU"/>
        </w:rPr>
        <w:t>Develop a program of work to consider the balance of MBS services within its remit and items assigned to the Committee.</w:t>
      </w:r>
    </w:p>
    <w:p w14:paraId="39FFE583" w14:textId="77777777" w:rsidR="0009619B" w:rsidRPr="00720661" w:rsidRDefault="0009619B" w:rsidP="00D567B2">
      <w:pPr>
        <w:numPr>
          <w:ilvl w:val="0"/>
          <w:numId w:val="20"/>
        </w:numPr>
        <w:spacing w:before="180"/>
        <w:contextualSpacing/>
        <w:rPr>
          <w:rFonts w:eastAsiaTheme="minorHAnsi" w:cs="Arial"/>
          <w:szCs w:val="22"/>
          <w:lang w:val="en-AU"/>
        </w:rPr>
      </w:pPr>
      <w:r w:rsidRPr="00720661">
        <w:rPr>
          <w:rFonts w:eastAsiaTheme="minorHAnsi" w:cs="Arial"/>
          <w:szCs w:val="22"/>
          <w:lang w:val="en-AU"/>
        </w:rPr>
        <w:t>Advise the Taskforce on relevant general MBS issues identified by the Committee in the course of its deliberations.</w:t>
      </w:r>
    </w:p>
    <w:p w14:paraId="2914AA68" w14:textId="77777777" w:rsidR="0009619B" w:rsidRPr="003B31BB" w:rsidRDefault="0009619B" w:rsidP="0009619B">
      <w:pPr>
        <w:rPr>
          <w:lang w:val="en-AU" w:eastAsia="en-US"/>
        </w:rPr>
      </w:pPr>
      <w:r w:rsidRPr="00720661">
        <w:rPr>
          <w:lang w:val="en-AU"/>
        </w:rPr>
        <w:t xml:space="preserve">The recommendations from the </w:t>
      </w:r>
      <w:r w:rsidR="000A1C35" w:rsidRPr="00720661">
        <w:rPr>
          <w:lang w:val="en-AU"/>
        </w:rPr>
        <w:t xml:space="preserve">clinical committees </w:t>
      </w:r>
      <w:r w:rsidRPr="00720661">
        <w:rPr>
          <w:lang w:val="en-AU"/>
        </w:rPr>
        <w:t xml:space="preserve">are released for stakeholder consultation. The </w:t>
      </w:r>
      <w:r w:rsidR="000A1C35" w:rsidRPr="00720661">
        <w:rPr>
          <w:lang w:val="en-AU"/>
        </w:rPr>
        <w:t xml:space="preserve">clinical committees </w:t>
      </w:r>
      <w:r w:rsidRPr="00720661">
        <w:rPr>
          <w:lang w:val="en-AU"/>
        </w:rPr>
        <w:t>consider feedback from stakeholders then provide recommendations to the Taskforce in a Review Report. The Taskforce consider</w:t>
      </w:r>
      <w:r w:rsidR="000A1C35" w:rsidRPr="00720661">
        <w:rPr>
          <w:lang w:val="en-AU"/>
        </w:rPr>
        <w:t>s</w:t>
      </w:r>
      <w:r w:rsidRPr="00720661">
        <w:rPr>
          <w:lang w:val="en-AU"/>
        </w:rPr>
        <w:t xml:space="preserve"> the Review Report from </w:t>
      </w:r>
      <w:r w:rsidR="000A1C35" w:rsidRPr="00720661">
        <w:rPr>
          <w:lang w:val="en-AU"/>
        </w:rPr>
        <w:t xml:space="preserve">clinical committees </w:t>
      </w:r>
      <w:r w:rsidRPr="00720661">
        <w:rPr>
          <w:lang w:val="en-AU"/>
        </w:rPr>
        <w:t>and stakeholder feedback before making recommendations to the Minister for Health, for consideration by Government.</w:t>
      </w:r>
    </w:p>
    <w:p w14:paraId="18DA2D21" w14:textId="77777777" w:rsidR="00512F2C" w:rsidRPr="001772CE" w:rsidRDefault="00390750">
      <w:pPr>
        <w:pStyle w:val="Heading2"/>
      </w:pPr>
      <w:bookmarkStart w:id="4" w:name="_Toc13735956"/>
      <w:r w:rsidRPr="001772CE">
        <w:t xml:space="preserve">The </w:t>
      </w:r>
      <w:r w:rsidR="00C5240A" w:rsidRPr="001772CE">
        <w:t>Pathology</w:t>
      </w:r>
      <w:r w:rsidRPr="001772CE">
        <w:t xml:space="preserve"> Cli</w:t>
      </w:r>
      <w:r w:rsidR="003607B2" w:rsidRPr="001772CE">
        <w:t>nical Committee</w:t>
      </w:r>
      <w:bookmarkEnd w:id="4"/>
    </w:p>
    <w:p w14:paraId="0501FA32" w14:textId="77777777" w:rsidR="0009619B" w:rsidRPr="001772CE" w:rsidRDefault="0009619B" w:rsidP="0009619B">
      <w:pPr>
        <w:rPr>
          <w:lang w:val="en-AU" w:eastAsia="en-US"/>
        </w:rPr>
      </w:pPr>
      <w:r w:rsidRPr="001772CE">
        <w:rPr>
          <w:lang w:val="en-AU" w:eastAsia="en-US"/>
        </w:rPr>
        <w:t>The Pathology Clinical Committee (the Committee) was established in 2016 to make recommendations to the MBS Review Taskforce on the review of MBS items within its remit, based on rapid evidence review and clinical expertise.</w:t>
      </w:r>
    </w:p>
    <w:p w14:paraId="37E81446" w14:textId="77777777" w:rsidR="0009619B" w:rsidRPr="00720661" w:rsidRDefault="0006183A" w:rsidP="0009619B">
      <w:pPr>
        <w:rPr>
          <w:lang w:val="en-AU"/>
        </w:rPr>
      </w:pPr>
      <w:r w:rsidRPr="00720661">
        <w:rPr>
          <w:lang w:val="en-AU"/>
        </w:rPr>
        <w:t>The majority of</w:t>
      </w:r>
      <w:r w:rsidRPr="00551F4D">
        <w:rPr>
          <w:lang w:val="en-AU"/>
        </w:rPr>
        <w:t xml:space="preserve"> </w:t>
      </w:r>
      <w:r w:rsidR="0009619B" w:rsidRPr="00551F4D">
        <w:rPr>
          <w:lang w:val="en-AU"/>
        </w:rPr>
        <w:t xml:space="preserve">recommendations relating to these items are included in this report for consultation. The Committee also provided </w:t>
      </w:r>
      <w:r w:rsidR="0009619B" w:rsidRPr="00720661">
        <w:rPr>
          <w:lang w:val="en-AU"/>
        </w:rPr>
        <w:t xml:space="preserve">recommendations on items that will be referred to other committees for consultation. </w:t>
      </w:r>
    </w:p>
    <w:p w14:paraId="5D5E9F8A" w14:textId="77777777" w:rsidR="00C72869" w:rsidRPr="003B31BB" w:rsidRDefault="000A1C35">
      <w:pPr>
        <w:pStyle w:val="Heading2"/>
      </w:pPr>
      <w:bookmarkStart w:id="5" w:name="_Toc13735957"/>
      <w:r w:rsidRPr="003B31BB">
        <w:t>Key r</w:t>
      </w:r>
      <w:r w:rsidR="004963B8" w:rsidRPr="003B31BB">
        <w:t>ecommendations</w:t>
      </w:r>
      <w:bookmarkEnd w:id="5"/>
    </w:p>
    <w:p w14:paraId="121B505F" w14:textId="77777777" w:rsidR="00EC532A" w:rsidRPr="008673DD" w:rsidRDefault="005E7DDE" w:rsidP="00EC532A">
      <w:pPr>
        <w:rPr>
          <w:lang w:val="en-AU"/>
        </w:rPr>
      </w:pPr>
      <w:r w:rsidRPr="00720661">
        <w:rPr>
          <w:lang w:val="en-AU"/>
        </w:rPr>
        <w:t xml:space="preserve">The Committee has highlighted its most important recommendations below. The complete </w:t>
      </w:r>
      <w:r w:rsidR="000A1C35" w:rsidRPr="00551F4D">
        <w:rPr>
          <w:lang w:val="en-AU"/>
        </w:rPr>
        <w:t xml:space="preserve">list of </w:t>
      </w:r>
      <w:r w:rsidRPr="00720661">
        <w:rPr>
          <w:lang w:val="en-AU"/>
        </w:rPr>
        <w:t xml:space="preserve">recommendations (and the accompanying rationales) for all items can be found in </w:t>
      </w:r>
      <w:hyperlink w:anchor="_Recommendations_for_consultation" w:history="1">
        <w:r w:rsidRPr="008673DD">
          <w:rPr>
            <w:rStyle w:val="Hyperlink"/>
            <w:color w:val="auto"/>
            <w:u w:val="none"/>
            <w:lang w:val="en-AU"/>
          </w:rPr>
          <w:t xml:space="preserve">Section </w:t>
        </w:r>
        <w:r w:rsidR="007E4981" w:rsidRPr="008673DD">
          <w:rPr>
            <w:rStyle w:val="Hyperlink"/>
            <w:color w:val="auto"/>
            <w:u w:val="none"/>
            <w:lang w:val="en-AU"/>
          </w:rPr>
          <w:t>4</w:t>
        </w:r>
      </w:hyperlink>
      <w:r w:rsidR="003B30E4" w:rsidRPr="008673DD">
        <w:rPr>
          <w:lang w:val="en-AU"/>
        </w:rPr>
        <w:t>.</w:t>
      </w:r>
      <w:r w:rsidR="00416C03" w:rsidRPr="008673DD">
        <w:rPr>
          <w:lang w:val="en-AU"/>
        </w:rPr>
        <w:t xml:space="preserve"> Recommendations developed for referral to other committee</w:t>
      </w:r>
      <w:r w:rsidR="000060B8" w:rsidRPr="008673DD">
        <w:rPr>
          <w:lang w:val="en-AU"/>
        </w:rPr>
        <w:t>s</w:t>
      </w:r>
      <w:r w:rsidR="00416C03" w:rsidRPr="008673DD">
        <w:rPr>
          <w:lang w:val="en-AU"/>
        </w:rPr>
        <w:t xml:space="preserve"> are </w:t>
      </w:r>
      <w:r w:rsidR="00B62E1F" w:rsidRPr="008673DD">
        <w:rPr>
          <w:lang w:val="en-AU"/>
        </w:rPr>
        <w:t>presented</w:t>
      </w:r>
      <w:r w:rsidR="00416C03" w:rsidRPr="008673DD">
        <w:rPr>
          <w:lang w:val="en-AU"/>
        </w:rPr>
        <w:t xml:space="preserve"> in </w:t>
      </w:r>
      <w:hyperlink w:anchor="_Recommendations_to_other" w:history="1">
        <w:r w:rsidR="00416C03" w:rsidRPr="008673DD">
          <w:rPr>
            <w:rStyle w:val="Hyperlink"/>
            <w:color w:val="auto"/>
            <w:u w:val="none"/>
            <w:lang w:val="en-AU"/>
          </w:rPr>
          <w:t xml:space="preserve">Section </w:t>
        </w:r>
        <w:r w:rsidR="007E4981" w:rsidRPr="008673DD">
          <w:rPr>
            <w:rStyle w:val="Hyperlink"/>
            <w:color w:val="auto"/>
            <w:u w:val="none"/>
            <w:lang w:val="en-AU"/>
          </w:rPr>
          <w:t>5</w:t>
        </w:r>
      </w:hyperlink>
      <w:r w:rsidR="00416C03" w:rsidRPr="008673DD">
        <w:rPr>
          <w:lang w:val="en-AU"/>
        </w:rPr>
        <w:t>.</w:t>
      </w:r>
      <w:r w:rsidR="003B30E4" w:rsidRPr="008673DD">
        <w:rPr>
          <w:lang w:val="en-AU"/>
        </w:rPr>
        <w:t xml:space="preserve"> </w:t>
      </w:r>
      <w:r w:rsidR="009E180B" w:rsidRPr="008673DD">
        <w:rPr>
          <w:lang w:val="en-AU"/>
        </w:rPr>
        <w:t>A </w:t>
      </w:r>
      <w:r w:rsidR="003B30E4" w:rsidRPr="008673DD">
        <w:rPr>
          <w:lang w:val="en-AU"/>
        </w:rPr>
        <w:t xml:space="preserve">complete list of items, </w:t>
      </w:r>
      <w:r w:rsidR="000012D6" w:rsidRPr="008673DD">
        <w:rPr>
          <w:lang w:val="en-AU"/>
        </w:rPr>
        <w:t xml:space="preserve">including </w:t>
      </w:r>
      <w:r w:rsidR="003B30E4" w:rsidRPr="008673DD">
        <w:rPr>
          <w:lang w:val="en-AU"/>
        </w:rPr>
        <w:t xml:space="preserve">the nature of the recommendations and the </w:t>
      </w:r>
      <w:r w:rsidR="003C4E4C" w:rsidRPr="008673DD">
        <w:rPr>
          <w:lang w:val="en-AU"/>
        </w:rPr>
        <w:t>section</w:t>
      </w:r>
      <w:r w:rsidR="003B30E4" w:rsidRPr="008673DD">
        <w:rPr>
          <w:lang w:val="en-AU"/>
        </w:rPr>
        <w:t xml:space="preserve"> number </w:t>
      </w:r>
      <w:r w:rsidR="0076302F" w:rsidRPr="008673DD">
        <w:rPr>
          <w:lang w:val="en-AU"/>
        </w:rPr>
        <w:t>for each</w:t>
      </w:r>
      <w:r w:rsidR="003B30E4" w:rsidRPr="008673DD">
        <w:rPr>
          <w:lang w:val="en-AU"/>
        </w:rPr>
        <w:t xml:space="preserve"> recommendation</w:t>
      </w:r>
      <w:r w:rsidR="00FF742B" w:rsidRPr="008673DD">
        <w:rPr>
          <w:lang w:val="en-AU"/>
        </w:rPr>
        <w:t>,</w:t>
      </w:r>
      <w:r w:rsidR="003B30E4" w:rsidRPr="008673DD">
        <w:rPr>
          <w:lang w:val="en-AU"/>
        </w:rPr>
        <w:t xml:space="preserve"> can be found in Appendices </w:t>
      </w:r>
      <w:hyperlink w:anchor="_Appendix_A:_Assigned" w:history="1">
        <w:r w:rsidR="003B30E4" w:rsidRPr="008673DD">
          <w:rPr>
            <w:rStyle w:val="Hyperlink"/>
            <w:color w:val="auto"/>
            <w:u w:val="none"/>
            <w:lang w:val="en-AU"/>
          </w:rPr>
          <w:t>A</w:t>
        </w:r>
      </w:hyperlink>
      <w:r w:rsidR="003B30E4" w:rsidRPr="008673DD">
        <w:rPr>
          <w:lang w:val="en-AU"/>
        </w:rPr>
        <w:t xml:space="preserve"> and </w:t>
      </w:r>
      <w:hyperlink w:anchor="_Appendix_B:_Additional" w:history="1">
        <w:r w:rsidR="003B30E4" w:rsidRPr="008673DD">
          <w:rPr>
            <w:rStyle w:val="Hyperlink"/>
            <w:color w:val="auto"/>
            <w:u w:val="none"/>
            <w:lang w:val="en-AU"/>
          </w:rPr>
          <w:t>B</w:t>
        </w:r>
      </w:hyperlink>
      <w:r w:rsidR="003B30E4" w:rsidRPr="008673DD">
        <w:rPr>
          <w:lang w:val="en-AU"/>
        </w:rPr>
        <w:t xml:space="preserve"> (in table summary form).</w:t>
      </w:r>
    </w:p>
    <w:p w14:paraId="3CE6FAD1" w14:textId="77777777" w:rsidR="005E7DDE" w:rsidRPr="003B31BB" w:rsidRDefault="005E7DDE" w:rsidP="00677AEE">
      <w:pPr>
        <w:pStyle w:val="Heading3"/>
        <w:numPr>
          <w:ilvl w:val="0"/>
          <w:numId w:val="0"/>
        </w:numPr>
        <w:ind w:left="720" w:hanging="720"/>
        <w:rPr>
          <w:lang w:val="en-AU"/>
        </w:rPr>
      </w:pPr>
      <w:bookmarkStart w:id="6" w:name="_Toc13735958"/>
      <w:r w:rsidRPr="003B31BB">
        <w:rPr>
          <w:lang w:val="en-AU"/>
        </w:rPr>
        <w:lastRenderedPageBreak/>
        <w:t xml:space="preserve">Recommendations </w:t>
      </w:r>
      <w:r w:rsidR="009864CC" w:rsidRPr="003B31BB">
        <w:rPr>
          <w:lang w:val="en-AU"/>
        </w:rPr>
        <w:t xml:space="preserve">for </w:t>
      </w:r>
      <w:r w:rsidR="003B30E4" w:rsidRPr="003B31BB">
        <w:rPr>
          <w:lang w:val="en-AU"/>
        </w:rPr>
        <w:t>c</w:t>
      </w:r>
      <w:r w:rsidR="009864CC" w:rsidRPr="003B31BB">
        <w:rPr>
          <w:lang w:val="en-AU"/>
        </w:rPr>
        <w:t>onsultation</w:t>
      </w:r>
      <w:bookmarkEnd w:id="6"/>
    </w:p>
    <w:p w14:paraId="04310782" w14:textId="77777777" w:rsidR="0006183A" w:rsidRPr="00551F4D" w:rsidRDefault="00EC532A" w:rsidP="00EC532A">
      <w:pPr>
        <w:rPr>
          <w:lang w:val="en-AU"/>
        </w:rPr>
      </w:pPr>
      <w:r w:rsidRPr="00720661">
        <w:rPr>
          <w:lang w:val="en-AU"/>
        </w:rPr>
        <w:t>The Committee’s provisional recommendations for stakeholder consultation are</w:t>
      </w:r>
      <w:r w:rsidR="008D3321">
        <w:rPr>
          <w:lang w:val="en-AU"/>
        </w:rPr>
        <w:t xml:space="preserve"> that</w:t>
      </w:r>
      <w:r w:rsidR="0006183A" w:rsidRPr="00551F4D">
        <w:rPr>
          <w:lang w:val="en-AU"/>
        </w:rPr>
        <w:t>:</w:t>
      </w:r>
    </w:p>
    <w:p w14:paraId="67F9C90F" w14:textId="77777777" w:rsidR="0006183A" w:rsidRPr="00720661" w:rsidRDefault="004F78EB" w:rsidP="00F13BE2">
      <w:pPr>
        <w:pStyle w:val="ListParagraph"/>
        <w:numPr>
          <w:ilvl w:val="0"/>
          <w:numId w:val="24"/>
        </w:numPr>
        <w:rPr>
          <w:lang w:val="en-AU"/>
        </w:rPr>
      </w:pPr>
      <w:r w:rsidRPr="00720661">
        <w:rPr>
          <w:lang w:val="en-AU"/>
        </w:rPr>
        <w:t xml:space="preserve">three </w:t>
      </w:r>
      <w:r w:rsidR="00EC532A" w:rsidRPr="00720661">
        <w:rPr>
          <w:lang w:val="en-AU"/>
        </w:rPr>
        <w:t xml:space="preserve">items should be deleted </w:t>
      </w:r>
      <w:r w:rsidR="0006183A" w:rsidRPr="00720661">
        <w:rPr>
          <w:lang w:val="en-AU"/>
        </w:rPr>
        <w:t>from</w:t>
      </w:r>
      <w:r w:rsidR="00EC532A" w:rsidRPr="00720661">
        <w:rPr>
          <w:lang w:val="en-AU"/>
        </w:rPr>
        <w:t xml:space="preserve"> the MBS </w:t>
      </w:r>
    </w:p>
    <w:p w14:paraId="74A3458C" w14:textId="77777777" w:rsidR="0006183A" w:rsidRPr="00720661" w:rsidRDefault="004F78EB" w:rsidP="00F13BE2">
      <w:pPr>
        <w:pStyle w:val="ListParagraph"/>
        <w:numPr>
          <w:ilvl w:val="0"/>
          <w:numId w:val="24"/>
        </w:numPr>
        <w:rPr>
          <w:lang w:val="en-AU"/>
        </w:rPr>
      </w:pPr>
      <w:r w:rsidRPr="00720661">
        <w:rPr>
          <w:lang w:val="en-AU"/>
        </w:rPr>
        <w:t xml:space="preserve">15 </w:t>
      </w:r>
      <w:r w:rsidR="00EC532A" w:rsidRPr="00720661">
        <w:rPr>
          <w:lang w:val="en-AU"/>
        </w:rPr>
        <w:t>items should be changed</w:t>
      </w:r>
    </w:p>
    <w:p w14:paraId="36B00ACA" w14:textId="77777777" w:rsidR="0006183A" w:rsidRPr="00720661" w:rsidRDefault="004F78EB" w:rsidP="00F13BE2">
      <w:pPr>
        <w:pStyle w:val="ListParagraph"/>
        <w:numPr>
          <w:ilvl w:val="0"/>
          <w:numId w:val="24"/>
        </w:numPr>
        <w:rPr>
          <w:lang w:val="en-AU"/>
        </w:rPr>
      </w:pPr>
      <w:r w:rsidRPr="00720661">
        <w:rPr>
          <w:lang w:val="en-AU"/>
        </w:rPr>
        <w:t xml:space="preserve">17 </w:t>
      </w:r>
      <w:r w:rsidR="00EC532A" w:rsidRPr="00720661">
        <w:rPr>
          <w:lang w:val="en-AU"/>
        </w:rPr>
        <w:t xml:space="preserve">items should remain unchanged. </w:t>
      </w:r>
    </w:p>
    <w:p w14:paraId="1A9AB5D6" w14:textId="77777777" w:rsidR="005422C3" w:rsidRPr="00720661" w:rsidRDefault="005422C3" w:rsidP="00EC532A">
      <w:pPr>
        <w:rPr>
          <w:lang w:val="en-AU"/>
        </w:rPr>
      </w:pPr>
      <w:r w:rsidRPr="00720661">
        <w:rPr>
          <w:lang w:val="en-AU"/>
        </w:rPr>
        <w:t>These changes focus on encouraging best practice, modernising the MBS to reflect contemporary practice, and ensuring that MBS services provide value for the patient and the healthcare system.</w:t>
      </w:r>
    </w:p>
    <w:p w14:paraId="3C3E8D09" w14:textId="77777777" w:rsidR="00EC532A" w:rsidRPr="00720661" w:rsidRDefault="00EC532A" w:rsidP="00EC532A">
      <w:pPr>
        <w:rPr>
          <w:lang w:val="en-AU"/>
        </w:rPr>
      </w:pPr>
      <w:r w:rsidRPr="00720661">
        <w:rPr>
          <w:lang w:val="en-AU"/>
        </w:rPr>
        <w:t xml:space="preserve">The Committee has </w:t>
      </w:r>
      <w:r w:rsidR="004F78EB" w:rsidRPr="00720661">
        <w:rPr>
          <w:lang w:val="en-AU"/>
        </w:rPr>
        <w:t xml:space="preserve">referred </w:t>
      </w:r>
      <w:r w:rsidR="003F4ED4" w:rsidRPr="00720661">
        <w:rPr>
          <w:lang w:val="en-AU"/>
        </w:rPr>
        <w:t>two</w:t>
      </w:r>
      <w:r w:rsidR="004F78EB" w:rsidRPr="00720661">
        <w:rPr>
          <w:lang w:val="en-AU"/>
        </w:rPr>
        <w:t xml:space="preserve"> items for extension of indications </w:t>
      </w:r>
      <w:r w:rsidR="003F4ED4" w:rsidRPr="00720661">
        <w:rPr>
          <w:lang w:val="en-AU"/>
        </w:rPr>
        <w:t xml:space="preserve">and one for </w:t>
      </w:r>
      <w:r w:rsidR="004F78EB" w:rsidRPr="00720661">
        <w:rPr>
          <w:lang w:val="en-AU"/>
        </w:rPr>
        <w:t>review</w:t>
      </w:r>
      <w:r w:rsidR="00CB1A8E" w:rsidRPr="00720661">
        <w:rPr>
          <w:lang w:val="en-AU"/>
        </w:rPr>
        <w:t xml:space="preserve"> </w:t>
      </w:r>
      <w:r w:rsidR="004F78EB" w:rsidRPr="00720661">
        <w:rPr>
          <w:lang w:val="en-AU"/>
        </w:rPr>
        <w:t>to</w:t>
      </w:r>
      <w:r w:rsidR="008D3321">
        <w:rPr>
          <w:lang w:val="en-AU"/>
        </w:rPr>
        <w:t xml:space="preserve"> the</w:t>
      </w:r>
      <w:r w:rsidR="004F78EB" w:rsidRPr="00720661">
        <w:rPr>
          <w:lang w:val="en-AU"/>
        </w:rPr>
        <w:t xml:space="preserve"> Medical Services Advisory Committee (MSAC)</w:t>
      </w:r>
      <w:r w:rsidR="00CB1A8E" w:rsidRPr="00720661">
        <w:rPr>
          <w:lang w:val="en-AU"/>
        </w:rPr>
        <w:t>.</w:t>
      </w:r>
      <w:r w:rsidRPr="00720661">
        <w:rPr>
          <w:lang w:val="en-AU"/>
        </w:rPr>
        <w:t xml:space="preserve"> </w:t>
      </w:r>
    </w:p>
    <w:p w14:paraId="46B5783F" w14:textId="77777777" w:rsidR="00EC532A" w:rsidRPr="00720661" w:rsidRDefault="0006183A" w:rsidP="0006183A">
      <w:pPr>
        <w:rPr>
          <w:color w:val="FF0000"/>
          <w:lang w:val="en-AU" w:eastAsia="en-US"/>
        </w:rPr>
      </w:pPr>
      <w:r w:rsidRPr="00720661">
        <w:rPr>
          <w:lang w:val="en-AU"/>
        </w:rPr>
        <w:t>Significant</w:t>
      </w:r>
      <w:r w:rsidR="00EC532A" w:rsidRPr="00720661">
        <w:rPr>
          <w:lang w:val="en-AU" w:eastAsia="en-US"/>
        </w:rPr>
        <w:t xml:space="preserve"> recommendations are summarised below.</w:t>
      </w:r>
      <w:r w:rsidR="00C83A2E" w:rsidRPr="00720661">
        <w:rPr>
          <w:lang w:val="en-AU" w:eastAsia="en-US"/>
        </w:rPr>
        <w:t xml:space="preserve"> </w:t>
      </w:r>
    </w:p>
    <w:p w14:paraId="3AD2EAE5" w14:textId="77777777" w:rsidR="00BD7B9B" w:rsidRPr="003B31BB" w:rsidRDefault="00BD7B9B" w:rsidP="00A411ED">
      <w:pPr>
        <w:pStyle w:val="01squarebullet"/>
        <w:rPr>
          <w:rFonts w:cstheme="minorHAnsi"/>
          <w:szCs w:val="22"/>
          <w:lang w:val="en-AU"/>
        </w:rPr>
      </w:pPr>
      <w:r w:rsidRPr="003B31BB">
        <w:rPr>
          <w:b/>
          <w:lang w:val="en-AU"/>
        </w:rPr>
        <w:t xml:space="preserve">Chromosome analysis for specific constitutional abnormalities (item 73291). </w:t>
      </w:r>
      <w:r w:rsidR="00E90C9E" w:rsidRPr="003B31BB">
        <w:rPr>
          <w:lang w:val="en-AU"/>
        </w:rPr>
        <w:t>Amend</w:t>
      </w:r>
      <w:r w:rsidRPr="003B31BB">
        <w:rPr>
          <w:lang w:val="en-AU"/>
        </w:rPr>
        <w:t xml:space="preserve"> this te</w:t>
      </w:r>
      <w:r w:rsidR="00E90C9E" w:rsidRPr="003B31BB">
        <w:rPr>
          <w:lang w:val="en-AU"/>
        </w:rPr>
        <w:t xml:space="preserve">st to include </w:t>
      </w:r>
      <w:r w:rsidRPr="003B31BB">
        <w:rPr>
          <w:lang w:val="en-AU"/>
        </w:rPr>
        <w:t>relative</w:t>
      </w:r>
      <w:r w:rsidR="00E90C9E" w:rsidRPr="003B31BB">
        <w:rPr>
          <w:lang w:val="en-AU"/>
        </w:rPr>
        <w:t>s only and d</w:t>
      </w:r>
      <w:r w:rsidRPr="003B31BB">
        <w:rPr>
          <w:lang w:val="en-AU"/>
        </w:rPr>
        <w:t xml:space="preserve">efine the resolution threshold for </w:t>
      </w:r>
      <w:r w:rsidR="00E90C9E" w:rsidRPr="003B31BB">
        <w:rPr>
          <w:lang w:val="en-AU"/>
        </w:rPr>
        <w:t>testing.</w:t>
      </w:r>
    </w:p>
    <w:p w14:paraId="488A1D25" w14:textId="77777777" w:rsidR="00E90C9E" w:rsidRPr="003B31BB" w:rsidRDefault="00E90C9E" w:rsidP="00A411ED">
      <w:pPr>
        <w:pStyle w:val="01squarebullet"/>
        <w:rPr>
          <w:rFonts w:cstheme="minorHAnsi"/>
          <w:szCs w:val="22"/>
          <w:lang w:val="en-AU"/>
        </w:rPr>
      </w:pPr>
      <w:r w:rsidRPr="003B31BB">
        <w:rPr>
          <w:b/>
          <w:lang w:val="en-AU"/>
        </w:rPr>
        <w:t>Chromosome analysis by genome-</w:t>
      </w:r>
      <w:r w:rsidRPr="003B31BB">
        <w:rPr>
          <w:rFonts w:cstheme="minorHAnsi"/>
          <w:b/>
          <w:szCs w:val="22"/>
          <w:lang w:val="en-AU"/>
        </w:rPr>
        <w:t xml:space="preserve">wide microarray (item 73292). </w:t>
      </w:r>
      <w:r w:rsidRPr="003B31BB">
        <w:rPr>
          <w:rFonts w:cstheme="minorHAnsi"/>
          <w:szCs w:val="22"/>
          <w:lang w:val="en-AU"/>
        </w:rPr>
        <w:t>Amend the descriptor to define the resolution threshold for testing.</w:t>
      </w:r>
    </w:p>
    <w:p w14:paraId="758CF8FE" w14:textId="77777777" w:rsidR="00E90C9E" w:rsidRPr="003B31BB" w:rsidRDefault="00E90C9E" w:rsidP="00A411ED">
      <w:pPr>
        <w:pStyle w:val="01squarebullet"/>
        <w:rPr>
          <w:rFonts w:cstheme="minorHAnsi"/>
          <w:szCs w:val="22"/>
          <w:lang w:val="en-AU"/>
        </w:rPr>
      </w:pPr>
      <w:r w:rsidRPr="003B31BB">
        <w:rPr>
          <w:b/>
          <w:lang w:val="en-AU"/>
        </w:rPr>
        <w:t xml:space="preserve">Detection of </w:t>
      </w:r>
      <w:r w:rsidRPr="003B31BB">
        <w:rPr>
          <w:b/>
          <w:i/>
          <w:lang w:val="en-AU"/>
        </w:rPr>
        <w:t>FMR1</w:t>
      </w:r>
      <w:r w:rsidRPr="003B31BB">
        <w:rPr>
          <w:b/>
          <w:lang w:val="en-AU"/>
        </w:rPr>
        <w:t xml:space="preserve"> gene mutation</w:t>
      </w:r>
      <w:r w:rsidR="00782EC3" w:rsidRPr="003B31BB">
        <w:rPr>
          <w:b/>
          <w:lang w:val="en-AU"/>
        </w:rPr>
        <w:t xml:space="preserve"> (items 73300 and 73305)</w:t>
      </w:r>
      <w:r w:rsidRPr="003B31BB">
        <w:rPr>
          <w:b/>
          <w:lang w:val="en-AU"/>
        </w:rPr>
        <w:t xml:space="preserve">. </w:t>
      </w:r>
      <w:r w:rsidRPr="003B31BB">
        <w:rPr>
          <w:lang w:val="en-AU"/>
        </w:rPr>
        <w:t xml:space="preserve">Remove </w:t>
      </w:r>
      <w:r w:rsidR="00782EC3" w:rsidRPr="003B31BB">
        <w:rPr>
          <w:lang w:val="en-AU"/>
        </w:rPr>
        <w:t xml:space="preserve">the </w:t>
      </w:r>
      <w:r w:rsidRPr="003B31BB">
        <w:rPr>
          <w:lang w:val="en-AU"/>
        </w:rPr>
        <w:t xml:space="preserve">older test method </w:t>
      </w:r>
      <w:r w:rsidR="00782EC3" w:rsidRPr="003B31BB">
        <w:rPr>
          <w:lang w:val="en-AU"/>
        </w:rPr>
        <w:t xml:space="preserve">(Southern blot) </w:t>
      </w:r>
      <w:r w:rsidRPr="003B31BB">
        <w:rPr>
          <w:lang w:val="en-AU"/>
        </w:rPr>
        <w:t xml:space="preserve">and </w:t>
      </w:r>
      <w:r w:rsidR="00782EC3" w:rsidRPr="003B31BB">
        <w:rPr>
          <w:lang w:val="en-AU"/>
        </w:rPr>
        <w:t>recommend a review of the cost of the contemporary test methods to diagnose fragile X syndrome.</w:t>
      </w:r>
    </w:p>
    <w:p w14:paraId="3C391F56" w14:textId="77777777" w:rsidR="00782EC3" w:rsidRPr="003B31BB" w:rsidRDefault="00782EC3" w:rsidP="00A411ED">
      <w:pPr>
        <w:pStyle w:val="01squarebullet"/>
        <w:rPr>
          <w:rFonts w:cstheme="minorHAnsi"/>
          <w:szCs w:val="22"/>
          <w:lang w:val="en-AU"/>
        </w:rPr>
      </w:pPr>
      <w:r w:rsidRPr="003B31BB">
        <w:rPr>
          <w:b/>
          <w:lang w:val="en-AU"/>
        </w:rPr>
        <w:t xml:space="preserve">In-situ hybridization (ISH) test for </w:t>
      </w:r>
      <w:r w:rsidRPr="003B31BB">
        <w:rPr>
          <w:b/>
          <w:i/>
          <w:lang w:val="en-AU"/>
        </w:rPr>
        <w:t>HER2</w:t>
      </w:r>
      <w:r w:rsidRPr="003B31BB">
        <w:rPr>
          <w:b/>
          <w:lang w:val="en-AU"/>
        </w:rPr>
        <w:t xml:space="preserve"> for access to PBS listed trastuzumab for breast cancer (item 73332) and gastric cancer (item 73342). </w:t>
      </w:r>
      <w:r w:rsidRPr="003B31BB">
        <w:rPr>
          <w:lang w:val="en-AU"/>
        </w:rPr>
        <w:t xml:space="preserve">Amend the descriptors </w:t>
      </w:r>
      <w:r w:rsidR="004C3FAC" w:rsidRPr="003B31BB">
        <w:rPr>
          <w:lang w:val="en-AU"/>
        </w:rPr>
        <w:t>to provide requestors and providers of the services with relevant information to improve test processes.</w:t>
      </w:r>
    </w:p>
    <w:p w14:paraId="7673F1D8" w14:textId="77777777" w:rsidR="00106ABD" w:rsidRDefault="00106ABD" w:rsidP="00106ABD">
      <w:pPr>
        <w:pStyle w:val="01squarebullet"/>
        <w:rPr>
          <w:szCs w:val="22"/>
        </w:rPr>
      </w:pPr>
      <w:r>
        <w:rPr>
          <w:b/>
          <w:bCs/>
        </w:rPr>
        <w:t xml:space="preserve">Analysis of gene mutations in the investigation of venous thromboembolism (items 73308, 73309, 73311, and 73312). </w:t>
      </w:r>
      <w:r>
        <w:t xml:space="preserve">Limit these tests to include only the gene mutations and populations where there is sufficient evidence to support testing by only </w:t>
      </w:r>
      <w:proofErr w:type="spellStart"/>
      <w:r>
        <w:t>analysing</w:t>
      </w:r>
      <w:proofErr w:type="spellEnd"/>
      <w:r>
        <w:t xml:space="preserve"> for </w:t>
      </w:r>
      <w:r>
        <w:rPr>
          <w:i/>
          <w:iCs/>
        </w:rPr>
        <w:t>factor V Leiden</w:t>
      </w:r>
      <w:r>
        <w:t xml:space="preserve"> (FVL) and </w:t>
      </w:r>
      <w:r>
        <w:rPr>
          <w:i/>
          <w:iCs/>
        </w:rPr>
        <w:t>prothrombin 201210&gt;A</w:t>
      </w:r>
      <w:r>
        <w:t xml:space="preserve"> (PT) gene mutations, by only </w:t>
      </w:r>
      <w:proofErr w:type="spellStart"/>
      <w:r>
        <w:t>analysing</w:t>
      </w:r>
      <w:proofErr w:type="spellEnd"/>
      <w:r>
        <w:t xml:space="preserve"> for these gene mutations in those persons who have an activated protein C resistance (APCR), and by no longer testing first degree relatives of persons proven to have abnormal genotypes.</w:t>
      </w:r>
    </w:p>
    <w:p w14:paraId="5911CFDF" w14:textId="77777777" w:rsidR="000208B5" w:rsidRPr="003B31BB" w:rsidRDefault="00D1731A" w:rsidP="00677AEE">
      <w:pPr>
        <w:pStyle w:val="Heading3"/>
        <w:numPr>
          <w:ilvl w:val="0"/>
          <w:numId w:val="0"/>
        </w:numPr>
        <w:ind w:left="720" w:hanging="720"/>
        <w:rPr>
          <w:lang w:val="en-AU"/>
        </w:rPr>
      </w:pPr>
      <w:bookmarkStart w:id="7" w:name="_Toc13735959"/>
      <w:r w:rsidRPr="003B31BB">
        <w:rPr>
          <w:lang w:val="en-AU"/>
        </w:rPr>
        <w:t>R</w:t>
      </w:r>
      <w:r w:rsidR="000208B5" w:rsidRPr="003B31BB">
        <w:rPr>
          <w:lang w:val="en-AU"/>
        </w:rPr>
        <w:t xml:space="preserve">ecommendations for referral to other </w:t>
      </w:r>
      <w:r w:rsidR="0046198B" w:rsidRPr="003B31BB">
        <w:rPr>
          <w:lang w:val="en-AU"/>
        </w:rPr>
        <w:t>c</w:t>
      </w:r>
      <w:r w:rsidR="000208B5" w:rsidRPr="003B31BB">
        <w:rPr>
          <w:lang w:val="en-AU"/>
        </w:rPr>
        <w:t>ommittees</w:t>
      </w:r>
      <w:bookmarkEnd w:id="7"/>
    </w:p>
    <w:p w14:paraId="1B608723" w14:textId="77777777" w:rsidR="0006183A" w:rsidRPr="00551F4D" w:rsidRDefault="009469F4" w:rsidP="0099553D">
      <w:pPr>
        <w:rPr>
          <w:color w:val="FF0000"/>
          <w:lang w:val="en-AU" w:eastAsia="en-US"/>
        </w:rPr>
      </w:pPr>
      <w:r w:rsidRPr="00720661">
        <w:rPr>
          <w:lang w:val="en-AU"/>
        </w:rPr>
        <w:t xml:space="preserve">The Committee’s recommendations </w:t>
      </w:r>
      <w:r w:rsidR="00286B4C" w:rsidRPr="00551F4D">
        <w:rPr>
          <w:lang w:val="en-AU"/>
        </w:rPr>
        <w:t>for referral</w:t>
      </w:r>
      <w:r w:rsidR="0006183A" w:rsidRPr="00551F4D">
        <w:rPr>
          <w:lang w:val="en-AU"/>
        </w:rPr>
        <w:t xml:space="preserve"> to MSAC for their</w:t>
      </w:r>
      <w:r w:rsidRPr="00551F4D">
        <w:rPr>
          <w:lang w:val="en-AU"/>
        </w:rPr>
        <w:t xml:space="preserve"> consideration</w:t>
      </w:r>
      <w:r w:rsidR="0006183A" w:rsidRPr="00551F4D">
        <w:rPr>
          <w:lang w:val="en-AU"/>
        </w:rPr>
        <w:t xml:space="preserve">: </w:t>
      </w:r>
    </w:p>
    <w:p w14:paraId="612D1D7C" w14:textId="77777777" w:rsidR="00046506" w:rsidRPr="003B31BB" w:rsidRDefault="00046506" w:rsidP="00046506">
      <w:pPr>
        <w:pStyle w:val="01squarebullet"/>
        <w:rPr>
          <w:b/>
          <w:lang w:val="en-AU"/>
        </w:rPr>
      </w:pPr>
      <w:r w:rsidRPr="003B31BB">
        <w:rPr>
          <w:b/>
          <w:lang w:val="en-AU"/>
        </w:rPr>
        <w:t>Extension of genome-wide microarray to include two additional populations and settings:</w:t>
      </w:r>
    </w:p>
    <w:p w14:paraId="1AD0FABC" w14:textId="77777777" w:rsidR="00046506" w:rsidRPr="003B31BB" w:rsidRDefault="00046506" w:rsidP="00046506">
      <w:pPr>
        <w:pStyle w:val="02dash"/>
        <w:rPr>
          <w:lang w:val="en-AU"/>
        </w:rPr>
      </w:pPr>
      <w:r w:rsidRPr="003B31BB">
        <w:rPr>
          <w:lang w:val="en-AU"/>
        </w:rPr>
        <w:t xml:space="preserve">The prenatal setting, when invasive testing is undertaken in pregnancy to investigate a pregnancy where there are major </w:t>
      </w:r>
      <w:proofErr w:type="spellStart"/>
      <w:r w:rsidRPr="003B31BB">
        <w:rPr>
          <w:lang w:val="en-AU"/>
        </w:rPr>
        <w:t>fetal</w:t>
      </w:r>
      <w:proofErr w:type="spellEnd"/>
      <w:r w:rsidRPr="003B31BB">
        <w:rPr>
          <w:lang w:val="en-AU"/>
        </w:rPr>
        <w:t xml:space="preserve"> ultrasound abnormalities (in preference to karyotype testing). </w:t>
      </w:r>
    </w:p>
    <w:p w14:paraId="5E2FCC39" w14:textId="77777777" w:rsidR="00046506" w:rsidRPr="003B31BB" w:rsidRDefault="00046506" w:rsidP="00046506">
      <w:pPr>
        <w:pStyle w:val="02dash"/>
        <w:rPr>
          <w:lang w:val="en-AU"/>
        </w:rPr>
      </w:pPr>
      <w:r w:rsidRPr="003B31BB">
        <w:rPr>
          <w:lang w:val="en-AU"/>
        </w:rPr>
        <w:t xml:space="preserve">For two specific chronic haematological malignancies, chronic lymphocytic leukaemia (CLL) and multiple myeloma (MM), often as an adjunct or alternative testing method to current investigations. </w:t>
      </w:r>
    </w:p>
    <w:p w14:paraId="6ABA7CF2" w14:textId="77777777" w:rsidR="00046506" w:rsidRPr="003B31BB" w:rsidRDefault="00046506" w:rsidP="00046506">
      <w:pPr>
        <w:pStyle w:val="01squarebullet"/>
        <w:rPr>
          <w:b/>
          <w:lang w:val="en-AU"/>
        </w:rPr>
      </w:pPr>
      <w:r w:rsidRPr="003B31BB">
        <w:rPr>
          <w:b/>
          <w:lang w:val="en-AU"/>
        </w:rPr>
        <w:t xml:space="preserve">Extension of </w:t>
      </w:r>
      <w:r w:rsidR="00286B4C" w:rsidRPr="003B31BB">
        <w:rPr>
          <w:b/>
          <w:lang w:val="en-AU"/>
        </w:rPr>
        <w:t xml:space="preserve">item 73325 </w:t>
      </w:r>
      <w:r w:rsidR="00D261F3" w:rsidRPr="003B31BB">
        <w:rPr>
          <w:b/>
          <w:lang w:val="en-AU"/>
        </w:rPr>
        <w:t>to include an additional</w:t>
      </w:r>
      <w:r w:rsidR="007E12A7" w:rsidRPr="003B31BB">
        <w:rPr>
          <w:b/>
          <w:lang w:val="en-AU"/>
        </w:rPr>
        <w:t xml:space="preserve"> population and gene mutation in </w:t>
      </w:r>
      <w:r w:rsidR="00286B4C" w:rsidRPr="003B31BB">
        <w:rPr>
          <w:b/>
          <w:lang w:val="en-AU"/>
        </w:rPr>
        <w:t>the diagnosis of</w:t>
      </w:r>
      <w:r w:rsidR="007E12A7" w:rsidRPr="003B31BB">
        <w:rPr>
          <w:b/>
          <w:lang w:val="en-AU"/>
        </w:rPr>
        <w:t xml:space="preserve"> myeloproliferative disorders</w:t>
      </w:r>
      <w:r w:rsidRPr="003B31BB">
        <w:rPr>
          <w:b/>
          <w:lang w:val="en-AU"/>
        </w:rPr>
        <w:t>:</w:t>
      </w:r>
    </w:p>
    <w:p w14:paraId="0F5852BE" w14:textId="77777777" w:rsidR="00046506" w:rsidRPr="003B31BB" w:rsidRDefault="00046506" w:rsidP="00046506">
      <w:pPr>
        <w:pStyle w:val="02dash"/>
        <w:rPr>
          <w:lang w:val="en-AU"/>
        </w:rPr>
      </w:pPr>
      <w:r w:rsidRPr="003B31BB">
        <w:rPr>
          <w:lang w:val="en-AU"/>
        </w:rPr>
        <w:t xml:space="preserve">the </w:t>
      </w:r>
      <w:r w:rsidR="007E12A7" w:rsidRPr="003B31BB">
        <w:rPr>
          <w:lang w:val="en-AU"/>
        </w:rPr>
        <w:t>analysis</w:t>
      </w:r>
      <w:r w:rsidRPr="003B31BB">
        <w:rPr>
          <w:lang w:val="en-AU"/>
        </w:rPr>
        <w:t xml:space="preserve"> of mutations in the calreticulin (</w:t>
      </w:r>
      <w:r w:rsidRPr="003B31BB">
        <w:rPr>
          <w:i/>
          <w:lang w:val="en-AU"/>
        </w:rPr>
        <w:t>CALR</w:t>
      </w:r>
      <w:r w:rsidRPr="003B31BB">
        <w:rPr>
          <w:lang w:val="en-AU"/>
        </w:rPr>
        <w:t xml:space="preserve">) gene, and </w:t>
      </w:r>
    </w:p>
    <w:p w14:paraId="4A6AFC0B" w14:textId="77777777" w:rsidR="00046506" w:rsidRPr="00720661" w:rsidRDefault="00046506" w:rsidP="00046506">
      <w:pPr>
        <w:pStyle w:val="02dash"/>
        <w:rPr>
          <w:rFonts w:cstheme="minorHAnsi"/>
          <w:color w:val="000000"/>
          <w:szCs w:val="22"/>
          <w:lang w:val="en-AU"/>
        </w:rPr>
      </w:pPr>
      <w:r w:rsidRPr="003B31BB">
        <w:rPr>
          <w:lang w:val="en-AU"/>
        </w:rPr>
        <w:t xml:space="preserve">a third myeloproliferative neoplasm population —patients with clinical and laboratory evidence of primary myelofibrosis (PMF). </w:t>
      </w:r>
    </w:p>
    <w:p w14:paraId="0554149B" w14:textId="77777777" w:rsidR="0006183A" w:rsidRPr="003B31BB" w:rsidRDefault="00286B4C" w:rsidP="0099553D">
      <w:pPr>
        <w:pStyle w:val="01squarebullet"/>
        <w:rPr>
          <w:b/>
          <w:lang w:val="en-AU"/>
        </w:rPr>
      </w:pPr>
      <w:r w:rsidRPr="003B31BB">
        <w:rPr>
          <w:b/>
          <w:lang w:val="en-AU"/>
        </w:rPr>
        <w:lastRenderedPageBreak/>
        <w:t>Review of recently listed item 73342: ISH test for HER2 for PBS trastuzumab for gastric cancer</w:t>
      </w:r>
    </w:p>
    <w:p w14:paraId="05A73349" w14:textId="77777777" w:rsidR="0099553D" w:rsidRPr="00551F4D" w:rsidRDefault="0006183A" w:rsidP="0099553D">
      <w:pPr>
        <w:rPr>
          <w:color w:val="FF0000"/>
          <w:lang w:val="en-AU" w:eastAsia="en-US"/>
        </w:rPr>
      </w:pPr>
      <w:r w:rsidRPr="00720661">
        <w:rPr>
          <w:lang w:val="en-AU"/>
        </w:rPr>
        <w:t xml:space="preserve">The Committee’s recommendations </w:t>
      </w:r>
      <w:r w:rsidR="00286B4C" w:rsidRPr="00551F4D">
        <w:rPr>
          <w:lang w:val="en-AU"/>
        </w:rPr>
        <w:t>for referral</w:t>
      </w:r>
      <w:r w:rsidRPr="00551F4D">
        <w:rPr>
          <w:lang w:val="en-AU"/>
        </w:rPr>
        <w:t xml:space="preserve"> to the Department:</w:t>
      </w:r>
    </w:p>
    <w:p w14:paraId="7A673B1A" w14:textId="77777777" w:rsidR="00286B4C" w:rsidRPr="003B31BB" w:rsidRDefault="00286B4C" w:rsidP="00286B4C">
      <w:pPr>
        <w:pStyle w:val="01squarebullet"/>
        <w:rPr>
          <w:b/>
          <w:lang w:val="en-AU"/>
        </w:rPr>
      </w:pPr>
      <w:r w:rsidRPr="003B31BB">
        <w:rPr>
          <w:b/>
          <w:lang w:val="en-AU"/>
        </w:rPr>
        <w:t>Definition of tumour tissue relevant to items 73336 BRAF, 73337 EGFR and 73338 RAS.</w:t>
      </w:r>
    </w:p>
    <w:p w14:paraId="65534E80" w14:textId="77777777" w:rsidR="00286B4C" w:rsidRPr="003B31BB" w:rsidRDefault="00286B4C" w:rsidP="00286B4C">
      <w:pPr>
        <w:pStyle w:val="01squarebullet"/>
        <w:rPr>
          <w:b/>
          <w:lang w:val="en-AU"/>
        </w:rPr>
      </w:pPr>
      <w:r w:rsidRPr="003B31BB">
        <w:rPr>
          <w:b/>
          <w:lang w:val="en-AU"/>
        </w:rPr>
        <w:t>Discussion regarding use of items for ‘screening’ purposes.</w:t>
      </w:r>
    </w:p>
    <w:p w14:paraId="47F780A8" w14:textId="77777777" w:rsidR="002A6EE9" w:rsidRDefault="002A6EE9" w:rsidP="002A6EE9">
      <w:pPr>
        <w:pStyle w:val="Heading2"/>
        <w:spacing w:before="280" w:after="120"/>
        <w:ind w:left="576"/>
        <w:rPr>
          <w:rFonts w:eastAsia="Times New Roman"/>
          <w:lang w:val="en-US"/>
        </w:rPr>
      </w:pPr>
      <w:bookmarkStart w:id="8" w:name="_Toc498516939"/>
      <w:bookmarkStart w:id="9" w:name="_Toc13735960"/>
      <w:r>
        <w:rPr>
          <w:rFonts w:eastAsia="Times New Roman"/>
          <w:lang w:val="en-US"/>
        </w:rPr>
        <w:t>Consumer engagement and impact</w:t>
      </w:r>
      <w:bookmarkEnd w:id="8"/>
      <w:bookmarkEnd w:id="9"/>
    </w:p>
    <w:p w14:paraId="7D0F860B" w14:textId="77777777" w:rsidR="002A6EE9" w:rsidRPr="002A6EE9" w:rsidRDefault="002A6EE9" w:rsidP="002A6EE9">
      <w:pPr>
        <w:spacing w:before="120" w:after="120"/>
        <w:ind w:right="-330"/>
        <w:rPr>
          <w:rFonts w:cs="Arial"/>
          <w:lang w:val="en-AU" w:eastAsia="en-US"/>
        </w:rPr>
      </w:pPr>
      <w:r w:rsidRPr="002A6EE9">
        <w:rPr>
          <w:rFonts w:cs="Arial"/>
          <w:lang w:val="en-AU" w:eastAsia="en-US"/>
        </w:rPr>
        <w:t xml:space="preserve">The Committee includes experienced and committed health practitioners and consumer representatives. This section summarises the report’s key recommendations from a consumer perspective. It aims to make it easier for health consumers and members of the general public to understand the report’s recommendations. </w:t>
      </w:r>
    </w:p>
    <w:p w14:paraId="57964C1B" w14:textId="77777777" w:rsidR="002A6EE9" w:rsidRPr="002A6EE9" w:rsidRDefault="002A6EE9" w:rsidP="002A6EE9">
      <w:pPr>
        <w:spacing w:before="120" w:after="120"/>
        <w:ind w:right="-330"/>
        <w:rPr>
          <w:rFonts w:cs="Arial"/>
          <w:lang w:val="en-AU" w:eastAsia="en-US"/>
        </w:rPr>
      </w:pPr>
      <w:r w:rsidRPr="002A6EE9">
        <w:rPr>
          <w:rFonts w:cs="Arial"/>
          <w:lang w:val="en-AU" w:eastAsia="en-US"/>
        </w:rPr>
        <w:t>A complete list of the recommenda</w:t>
      </w:r>
      <w:r>
        <w:rPr>
          <w:rFonts w:cs="Arial"/>
          <w:lang w:val="en-AU" w:eastAsia="en-US"/>
        </w:rPr>
        <w:t>tions can be found in Appendix C</w:t>
      </w:r>
      <w:r w:rsidRPr="002A6EE9">
        <w:rPr>
          <w:rFonts w:cs="Arial"/>
          <w:lang w:val="en-AU" w:eastAsia="en-US"/>
        </w:rPr>
        <w:t xml:space="preserve">, including a description in plain English of the medical service and the Committee’s recommendation, as well as an explanation of why the recommendation has been made. </w:t>
      </w:r>
    </w:p>
    <w:p w14:paraId="3BF2883E" w14:textId="77777777" w:rsidR="002A6EE9" w:rsidRPr="002A6EE9" w:rsidRDefault="002A6EE9" w:rsidP="002A6EE9">
      <w:pPr>
        <w:spacing w:before="120" w:after="120"/>
        <w:ind w:right="-330"/>
        <w:rPr>
          <w:rFonts w:cs="Arial"/>
          <w:lang w:val="en-AU" w:eastAsia="en-US"/>
        </w:rPr>
      </w:pPr>
      <w:r w:rsidRPr="002A6EE9">
        <w:rPr>
          <w:rFonts w:cs="Arial"/>
          <w:lang w:val="en-AU" w:eastAsia="en-US"/>
        </w:rPr>
        <w:t xml:space="preserve">Consumers rarely engage with MBS item numbers unless they are following up on out-of-pocket expenses. Nevertheless, item descriptions and restrictions are an important part of healthcare accountability. The Committee’s recommendations encourage agreed best practice and reflect current clinical evidence. </w:t>
      </w:r>
    </w:p>
    <w:p w14:paraId="62618398" w14:textId="77777777" w:rsidR="002A6EE9" w:rsidRPr="002A6EE9" w:rsidRDefault="002A6EE9" w:rsidP="002A6EE9">
      <w:pPr>
        <w:spacing w:before="120" w:after="120"/>
        <w:ind w:right="-330"/>
        <w:rPr>
          <w:rFonts w:cs="Arial"/>
          <w:lang w:val="en-AU" w:eastAsia="en-US"/>
        </w:rPr>
      </w:pPr>
      <w:r w:rsidRPr="002A6EE9">
        <w:rPr>
          <w:rFonts w:cs="Arial"/>
          <w:lang w:val="en-AU" w:eastAsia="en-US"/>
        </w:rPr>
        <w:t xml:space="preserve">Both consumers and clinicians are expected to benefit from these recommendations because they address concerns regarding consumer safety and quality of </w:t>
      </w:r>
      <w:proofErr w:type="gramStart"/>
      <w:r w:rsidRPr="002A6EE9">
        <w:rPr>
          <w:rFonts w:cs="Arial"/>
          <w:lang w:val="en-AU" w:eastAsia="en-US"/>
        </w:rPr>
        <w:t>care, and</w:t>
      </w:r>
      <w:proofErr w:type="gramEnd"/>
      <w:r w:rsidRPr="002A6EE9">
        <w:rPr>
          <w:rFonts w:cs="Arial"/>
          <w:lang w:val="en-AU" w:eastAsia="en-US"/>
        </w:rPr>
        <w:t xml:space="preserve"> take steps to simplify the MBS and make it easier to use and understand. Consumer access to services was considered for each recommendation. The Committee also considered the impact of each recommendation on requestor and provider groups to ensure that changes were reasonable and fair. However, if the Committee identified evidence of potential item misuse or safety concerns, recommendations were made to encourage best practice, in line with the overarching purpose of the MBS Review. </w:t>
      </w:r>
    </w:p>
    <w:p w14:paraId="52024C96" w14:textId="77777777" w:rsidR="002A6EE9" w:rsidRPr="002A6EE9" w:rsidRDefault="002A6EE9" w:rsidP="002A6EE9">
      <w:pPr>
        <w:spacing w:before="120" w:after="120"/>
        <w:ind w:right="-330"/>
        <w:rPr>
          <w:rFonts w:cs="Arial"/>
          <w:lang w:val="en-AU" w:eastAsia="en-US"/>
        </w:rPr>
      </w:pPr>
      <w:r w:rsidRPr="002A6EE9">
        <w:rPr>
          <w:rFonts w:cs="Arial"/>
          <w:lang w:val="en-AU" w:eastAsia="en-US"/>
        </w:rPr>
        <w:t xml:space="preserve">The Committee expects these recommendations to support better requesting, with the aim of ensuring that patients are provided with clinically indicated, high-quality care that reflects modern best practice. </w:t>
      </w:r>
    </w:p>
    <w:p w14:paraId="3D4105B0" w14:textId="77777777" w:rsidR="002A6EE9" w:rsidRDefault="002A6EE9" w:rsidP="002A6EE9">
      <w:pPr>
        <w:pStyle w:val="01squarebullet"/>
        <w:numPr>
          <w:ilvl w:val="0"/>
          <w:numId w:val="0"/>
        </w:numPr>
        <w:ind w:left="360" w:hanging="360"/>
      </w:pPr>
      <w:r>
        <w:t>The consumer representatives used the following framework to assess recommendations:</w:t>
      </w:r>
    </w:p>
    <w:p w14:paraId="0283F9B2" w14:textId="77777777" w:rsidR="002A6EE9" w:rsidRDefault="002A6EE9" w:rsidP="002A6EE9">
      <w:pPr>
        <w:pStyle w:val="02dash"/>
        <w:numPr>
          <w:ilvl w:val="0"/>
          <w:numId w:val="0"/>
        </w:numPr>
        <w:tabs>
          <w:tab w:val="left" w:pos="720"/>
        </w:tabs>
        <w:ind w:left="567"/>
      </w:pPr>
      <w:r>
        <w:rPr>
          <w:b/>
          <w:bCs/>
        </w:rPr>
        <w:t>Safety</w:t>
      </w:r>
      <w:r>
        <w:t>: None of the recommendations negatively affects the safety of pathology services.</w:t>
      </w:r>
    </w:p>
    <w:p w14:paraId="1C0EE374" w14:textId="77777777" w:rsidR="002A6EE9" w:rsidRDefault="002A6EE9" w:rsidP="002A6EE9">
      <w:pPr>
        <w:pStyle w:val="02dash"/>
        <w:numPr>
          <w:ilvl w:val="0"/>
          <w:numId w:val="0"/>
        </w:numPr>
        <w:tabs>
          <w:tab w:val="left" w:pos="720"/>
        </w:tabs>
        <w:ind w:left="567"/>
      </w:pPr>
      <w:r>
        <w:rPr>
          <w:b/>
          <w:bCs/>
        </w:rPr>
        <w:t>Quality</w:t>
      </w:r>
      <w:r>
        <w:t xml:space="preserve">: Many of the recommended changes are intended to improve quality, primarily by aligning the reimbursement system with evidence-based practice. </w:t>
      </w:r>
    </w:p>
    <w:p w14:paraId="02389F0E" w14:textId="77777777" w:rsidR="002A6EE9" w:rsidRDefault="002A6EE9" w:rsidP="002A6EE9">
      <w:pPr>
        <w:pStyle w:val="02dash"/>
        <w:numPr>
          <w:ilvl w:val="0"/>
          <w:numId w:val="0"/>
        </w:numPr>
        <w:tabs>
          <w:tab w:val="left" w:pos="720"/>
        </w:tabs>
        <w:ind w:left="567"/>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513A9242" w14:textId="77777777" w:rsidR="002A6EE9" w:rsidRDefault="002A6EE9" w:rsidP="002A6EE9">
      <w:pPr>
        <w:pStyle w:val="02dash"/>
        <w:numPr>
          <w:ilvl w:val="0"/>
          <w:numId w:val="0"/>
        </w:numPr>
        <w:tabs>
          <w:tab w:val="left" w:pos="720"/>
        </w:tabs>
        <w:ind w:left="567"/>
      </w:pPr>
      <w:r>
        <w:rPr>
          <w:b/>
          <w:bCs/>
        </w:rPr>
        <w:t>Effectiveness</w:t>
      </w:r>
      <w:r>
        <w:t xml:space="preserve">: None of the recommendations reduces the effectiveness of pathology services. </w:t>
      </w:r>
    </w:p>
    <w:p w14:paraId="4F09D455" w14:textId="77777777" w:rsidR="002A6EE9" w:rsidRDefault="002A6EE9" w:rsidP="002A6EE9">
      <w:pPr>
        <w:pStyle w:val="02dash"/>
        <w:numPr>
          <w:ilvl w:val="0"/>
          <w:numId w:val="0"/>
        </w:numPr>
        <w:tabs>
          <w:tab w:val="left" w:pos="720"/>
        </w:tabs>
        <w:ind w:left="567"/>
      </w:pPr>
      <w:r>
        <w:rPr>
          <w:b/>
          <w:bCs/>
        </w:rPr>
        <w:t>Cost-effectiveness</w:t>
      </w:r>
      <w:r>
        <w:t xml:space="preserve">: The recommendations will have a positive effect on cost-effectiveness because they make it easier to determine which patient groups should have access to specific tests and treatments. </w:t>
      </w:r>
    </w:p>
    <w:p w14:paraId="47239001" w14:textId="77777777" w:rsidR="002A6EE9" w:rsidRDefault="002A6EE9" w:rsidP="002A6EE9">
      <w:pPr>
        <w:pStyle w:val="02dash"/>
        <w:numPr>
          <w:ilvl w:val="0"/>
          <w:numId w:val="0"/>
        </w:numPr>
        <w:tabs>
          <w:tab w:val="left" w:pos="720"/>
        </w:tabs>
        <w:ind w:left="567"/>
      </w:pPr>
      <w:r>
        <w:rPr>
          <w:b/>
          <w:bCs/>
        </w:rPr>
        <w:t>Accountability</w:t>
      </w:r>
      <w:r>
        <w:t>: Many of the changes include wording that facilitates future auditing for quality purposes.</w:t>
      </w:r>
    </w:p>
    <w:p w14:paraId="67F5B8FA" w14:textId="36210130" w:rsidR="00632263" w:rsidRPr="00720661" w:rsidRDefault="002A6EE9" w:rsidP="009A1BCE">
      <w:pPr>
        <w:pStyle w:val="02dash"/>
        <w:numPr>
          <w:ilvl w:val="0"/>
          <w:numId w:val="0"/>
        </w:numPr>
        <w:tabs>
          <w:tab w:val="left" w:pos="720"/>
        </w:tabs>
        <w:ind w:left="567"/>
        <w:rPr>
          <w:lang w:val="en-AU"/>
        </w:rPr>
      </w:pPr>
      <w:r>
        <w:rPr>
          <w:b/>
          <w:bCs/>
        </w:rPr>
        <w:t>Data collection</w:t>
      </w:r>
      <w:r>
        <w:t>: Data collection for research, monitoring and auditing presents a huge opportunity for a revised MBS, and the recommendations should improve the opportunities to use this data for targeted research in the future.</w:t>
      </w:r>
      <w:r w:rsidR="00632263" w:rsidRPr="00720661">
        <w:rPr>
          <w:lang w:val="en-AU"/>
        </w:rPr>
        <w:br w:type="page"/>
      </w:r>
    </w:p>
    <w:p w14:paraId="58C63432" w14:textId="77777777" w:rsidR="009F0E90" w:rsidRPr="00720661" w:rsidRDefault="009F0E90" w:rsidP="009F0E90">
      <w:pPr>
        <w:pStyle w:val="Heading1"/>
        <w:rPr>
          <w:lang w:val="en-AU"/>
        </w:rPr>
      </w:pPr>
      <w:bookmarkStart w:id="10" w:name="_Toc457411123"/>
      <w:bookmarkStart w:id="11" w:name="_Toc458774409"/>
      <w:bookmarkStart w:id="12" w:name="_Toc459973078"/>
      <w:bookmarkStart w:id="13" w:name="_Toc460228386"/>
      <w:bookmarkStart w:id="14" w:name="_Toc13735961"/>
      <w:bookmarkStart w:id="15" w:name="_Toc456045424"/>
      <w:bookmarkStart w:id="16" w:name="_Toc459996804"/>
      <w:bookmarkStart w:id="17" w:name="_Toc458166992"/>
      <w:r w:rsidRPr="00720661">
        <w:rPr>
          <w:lang w:val="en-AU"/>
        </w:rPr>
        <w:lastRenderedPageBreak/>
        <w:t>About the Medicare Benefits Schedule (MBS) Review</w:t>
      </w:r>
      <w:bookmarkEnd w:id="10"/>
      <w:bookmarkEnd w:id="11"/>
      <w:bookmarkEnd w:id="12"/>
      <w:bookmarkEnd w:id="13"/>
      <w:bookmarkEnd w:id="14"/>
    </w:p>
    <w:p w14:paraId="46CD5926" w14:textId="77777777" w:rsidR="003B30E4" w:rsidRPr="00720661" w:rsidRDefault="003B30E4">
      <w:pPr>
        <w:pStyle w:val="Heading2"/>
      </w:pPr>
      <w:bookmarkStart w:id="18" w:name="_Toc456045425"/>
      <w:bookmarkStart w:id="19" w:name="_Toc457463614"/>
      <w:bookmarkStart w:id="20" w:name="_Toc459996805"/>
      <w:bookmarkStart w:id="21" w:name="_Toc458166993"/>
      <w:bookmarkStart w:id="22" w:name="_Toc13735962"/>
      <w:bookmarkStart w:id="23" w:name="_Toc456045427"/>
      <w:bookmarkEnd w:id="15"/>
      <w:bookmarkEnd w:id="16"/>
      <w:bookmarkEnd w:id="17"/>
      <w:r w:rsidRPr="00720661">
        <w:t>Medicare and the MBS</w:t>
      </w:r>
      <w:bookmarkEnd w:id="18"/>
      <w:bookmarkEnd w:id="19"/>
      <w:bookmarkEnd w:id="20"/>
      <w:bookmarkEnd w:id="21"/>
      <w:bookmarkEnd w:id="22"/>
    </w:p>
    <w:p w14:paraId="4EE1F1BA" w14:textId="77777777" w:rsidR="0048781A" w:rsidRPr="003B31BB" w:rsidRDefault="0048781A" w:rsidP="00677AEE">
      <w:pPr>
        <w:pStyle w:val="Heading3"/>
        <w:numPr>
          <w:ilvl w:val="0"/>
          <w:numId w:val="0"/>
        </w:numPr>
        <w:ind w:left="720" w:hanging="720"/>
        <w:rPr>
          <w:lang w:val="en-AU"/>
        </w:rPr>
      </w:pPr>
      <w:bookmarkStart w:id="24" w:name="_Toc476515274"/>
      <w:bookmarkStart w:id="25" w:name="_Toc13735963"/>
      <w:r w:rsidRPr="003B31BB">
        <w:rPr>
          <w:lang w:val="en-AU"/>
        </w:rPr>
        <w:t>What is Medicare?</w:t>
      </w:r>
      <w:bookmarkEnd w:id="24"/>
      <w:bookmarkEnd w:id="25"/>
    </w:p>
    <w:p w14:paraId="4D034E20" w14:textId="77777777" w:rsidR="00307B56" w:rsidRPr="003B31BB" w:rsidRDefault="00307B56" w:rsidP="00307B56">
      <w:pPr>
        <w:spacing w:before="120" w:after="120"/>
        <w:ind w:right="-330"/>
        <w:rPr>
          <w:rFonts w:cs="Arial"/>
          <w:lang w:val="en-AU" w:eastAsia="en-US"/>
        </w:rPr>
      </w:pPr>
      <w:r w:rsidRPr="003B31BB">
        <w:rPr>
          <w:rFonts w:cs="Arial"/>
          <w:lang w:val="en-AU" w:eastAsia="en-US"/>
        </w:rPr>
        <w:t xml:space="preserve">Medicare is Australia’s universal health scheme which enables all citizens (and some overseas visitors) to have access to a wide range of health services and medicines at little or no cost. </w:t>
      </w:r>
    </w:p>
    <w:p w14:paraId="12D90E80" w14:textId="77777777" w:rsidR="00307B56" w:rsidRPr="003B31BB" w:rsidRDefault="00307B56" w:rsidP="00307B56">
      <w:pPr>
        <w:spacing w:before="120" w:after="120"/>
        <w:ind w:right="-330"/>
        <w:rPr>
          <w:rFonts w:cs="Arial"/>
          <w:lang w:val="en-AU"/>
        </w:rPr>
      </w:pPr>
      <w:r w:rsidRPr="003B31BB">
        <w:rPr>
          <w:rFonts w:cs="Arial"/>
          <w:lang w:val="en-AU"/>
        </w:rPr>
        <w:t>Introduced in 1984, Medicare has three components:</w:t>
      </w:r>
    </w:p>
    <w:p w14:paraId="2C0DF50E" w14:textId="77777777" w:rsidR="00307B56" w:rsidRPr="003B31BB" w:rsidRDefault="00307B56" w:rsidP="003B31BB">
      <w:pPr>
        <w:pStyle w:val="Bulleted"/>
        <w:numPr>
          <w:ilvl w:val="0"/>
          <w:numId w:val="15"/>
        </w:numPr>
        <w:autoSpaceDE/>
        <w:autoSpaceDN/>
        <w:adjustRightInd/>
        <w:spacing w:before="180" w:after="60" w:line="312" w:lineRule="auto"/>
        <w:contextualSpacing/>
        <w:rPr>
          <w:rFonts w:eastAsiaTheme="minorHAnsi"/>
          <w:b/>
          <w:lang w:val="en-AU"/>
        </w:rPr>
      </w:pPr>
      <w:r w:rsidRPr="003B31BB">
        <w:rPr>
          <w:lang w:val="en-AU"/>
        </w:rPr>
        <w:t>free public hospital services for public patients</w:t>
      </w:r>
    </w:p>
    <w:p w14:paraId="2E7EE88A" w14:textId="77777777" w:rsidR="00307B56" w:rsidRPr="003B31BB" w:rsidRDefault="00307B56" w:rsidP="003B31BB">
      <w:pPr>
        <w:pStyle w:val="Bulleted"/>
        <w:numPr>
          <w:ilvl w:val="0"/>
          <w:numId w:val="15"/>
        </w:numPr>
        <w:autoSpaceDE/>
        <w:autoSpaceDN/>
        <w:adjustRightInd/>
        <w:spacing w:before="180" w:after="60" w:line="312" w:lineRule="auto"/>
        <w:contextualSpacing/>
        <w:rPr>
          <w:rFonts w:eastAsiaTheme="minorHAnsi"/>
          <w:b/>
          <w:lang w:val="en-AU"/>
        </w:rPr>
      </w:pPr>
      <w:r w:rsidRPr="003B31BB">
        <w:rPr>
          <w:lang w:val="en-AU"/>
        </w:rPr>
        <w:t>subsidised drugs covered by the Pharmaceutical Benefits Scheme</w:t>
      </w:r>
    </w:p>
    <w:p w14:paraId="55ABB06D" w14:textId="77777777" w:rsidR="00307B56" w:rsidRPr="003B31BB" w:rsidRDefault="00307B56" w:rsidP="003B31BB">
      <w:pPr>
        <w:pStyle w:val="Bulleted"/>
        <w:numPr>
          <w:ilvl w:val="0"/>
          <w:numId w:val="15"/>
        </w:numPr>
        <w:autoSpaceDE/>
        <w:autoSpaceDN/>
        <w:adjustRightInd/>
        <w:spacing w:before="180" w:after="60" w:line="312" w:lineRule="auto"/>
        <w:contextualSpacing/>
        <w:rPr>
          <w:b/>
          <w:lang w:val="en-AU"/>
        </w:rPr>
      </w:pPr>
      <w:r w:rsidRPr="003B31BB">
        <w:rPr>
          <w:lang w:val="en-AU"/>
        </w:rPr>
        <w:t>subsidised health professional services listed on the MBS.</w:t>
      </w:r>
    </w:p>
    <w:p w14:paraId="369C2B93" w14:textId="77777777" w:rsidR="0048781A" w:rsidRPr="003B31BB" w:rsidRDefault="0048781A" w:rsidP="00677AEE">
      <w:pPr>
        <w:pStyle w:val="Heading3"/>
        <w:numPr>
          <w:ilvl w:val="0"/>
          <w:numId w:val="0"/>
        </w:numPr>
        <w:ind w:left="720" w:hanging="720"/>
        <w:rPr>
          <w:lang w:val="en-AU"/>
        </w:rPr>
      </w:pPr>
      <w:bookmarkStart w:id="26" w:name="_Toc476515275"/>
      <w:bookmarkStart w:id="27" w:name="_Toc13735964"/>
      <w:r w:rsidRPr="003B31BB">
        <w:rPr>
          <w:lang w:val="en-AU"/>
        </w:rPr>
        <w:t>What is the MBS?</w:t>
      </w:r>
      <w:bookmarkEnd w:id="26"/>
      <w:bookmarkEnd w:id="27"/>
    </w:p>
    <w:p w14:paraId="20408869" w14:textId="77777777" w:rsidR="0048781A" w:rsidRPr="00720661" w:rsidRDefault="0048781A" w:rsidP="0048781A">
      <w:pPr>
        <w:rPr>
          <w:lang w:val="en-AU" w:eastAsia="en-US"/>
        </w:rPr>
      </w:pPr>
      <w:r w:rsidRPr="00720661">
        <w:rPr>
          <w:lang w:val="en-AU" w:eastAsia="en-US"/>
        </w:rPr>
        <w:t>The MBS is a listing of the</w:t>
      </w:r>
      <w:r w:rsidRPr="00551F4D">
        <w:rPr>
          <w:lang w:val="en-AU" w:eastAsia="en-US"/>
        </w:rPr>
        <w:t xml:space="preserve"> health professional services subsidised by the Australian </w:t>
      </w:r>
      <w:r w:rsidR="00FD6135">
        <w:rPr>
          <w:lang w:val="en-AU" w:eastAsia="en-US"/>
        </w:rPr>
        <w:t>G</w:t>
      </w:r>
      <w:r w:rsidR="00307B56" w:rsidRPr="00720661">
        <w:rPr>
          <w:lang w:val="en-AU" w:eastAsia="en-US"/>
        </w:rPr>
        <w:t>overnment</w:t>
      </w:r>
      <w:r w:rsidRPr="00720661">
        <w:rPr>
          <w:lang w:val="en-AU" w:eastAsia="en-US"/>
        </w:rPr>
        <w:t xml:space="preserve">. There are more than 5700 MBS items, which provide benefits to patients for a comprehensive range of services including consultations, diagnostic tests and operations. </w:t>
      </w:r>
    </w:p>
    <w:p w14:paraId="66BDEE19" w14:textId="77777777" w:rsidR="003B30E4" w:rsidRPr="00720661" w:rsidRDefault="003B30E4">
      <w:pPr>
        <w:pStyle w:val="Heading2"/>
      </w:pPr>
      <w:bookmarkStart w:id="28" w:name="_Toc456045426"/>
      <w:bookmarkStart w:id="29" w:name="_Toc457463615"/>
      <w:bookmarkStart w:id="30" w:name="_Toc459996806"/>
      <w:bookmarkStart w:id="31" w:name="_Toc458166994"/>
      <w:bookmarkStart w:id="32" w:name="_Toc13735965"/>
      <w:r w:rsidRPr="00720661">
        <w:t>The MBS Review Taskforce</w:t>
      </w:r>
      <w:bookmarkEnd w:id="28"/>
      <w:bookmarkEnd w:id="29"/>
      <w:bookmarkEnd w:id="30"/>
      <w:bookmarkEnd w:id="31"/>
      <w:bookmarkEnd w:id="32"/>
    </w:p>
    <w:p w14:paraId="1F6419A3" w14:textId="77777777" w:rsidR="0048781A" w:rsidRPr="003B31BB" w:rsidRDefault="0048781A" w:rsidP="00677AEE">
      <w:pPr>
        <w:pStyle w:val="Heading3"/>
        <w:numPr>
          <w:ilvl w:val="0"/>
          <w:numId w:val="0"/>
        </w:numPr>
        <w:ind w:left="720" w:hanging="720"/>
        <w:rPr>
          <w:lang w:val="en-AU"/>
        </w:rPr>
      </w:pPr>
      <w:bookmarkStart w:id="33" w:name="_Toc476515277"/>
      <w:bookmarkStart w:id="34" w:name="_Toc13735966"/>
      <w:r w:rsidRPr="003B31BB">
        <w:rPr>
          <w:lang w:val="en-AU"/>
        </w:rPr>
        <w:t>What is the MBS Review Taskforce?</w:t>
      </w:r>
      <w:bookmarkEnd w:id="33"/>
      <w:bookmarkEnd w:id="34"/>
    </w:p>
    <w:p w14:paraId="5E3852E9" w14:textId="77777777" w:rsidR="0048781A" w:rsidRPr="00720661" w:rsidRDefault="0048781A" w:rsidP="0048781A">
      <w:pPr>
        <w:rPr>
          <w:lang w:val="en-AU"/>
        </w:rPr>
      </w:pPr>
      <w:r w:rsidRPr="00720661">
        <w:rPr>
          <w:lang w:val="en-AU" w:eastAsia="en-US"/>
        </w:rPr>
        <w:t>The Government established a</w:t>
      </w:r>
      <w:r w:rsidRPr="00551F4D">
        <w:rPr>
          <w:lang w:val="en-AU" w:eastAsia="en-US"/>
        </w:rPr>
        <w:t>n MBS Review Taskforce (the Taskforce) to review all 5</w:t>
      </w:r>
      <w:r w:rsidR="00C10257">
        <w:rPr>
          <w:lang w:val="en-AU" w:eastAsia="en-US"/>
        </w:rPr>
        <w:t>,</w:t>
      </w:r>
      <w:r w:rsidRPr="00551F4D">
        <w:rPr>
          <w:lang w:val="en-AU" w:eastAsia="en-US"/>
        </w:rPr>
        <w:t xml:space="preserve">700 MBS items to ensure </w:t>
      </w:r>
      <w:r w:rsidRPr="00720661">
        <w:rPr>
          <w:lang w:val="en-AU" w:eastAsia="en-US"/>
        </w:rPr>
        <w:t>that they align with contemporary clinical evidence and practice, and to improve health outcomes for patients.</w:t>
      </w:r>
      <w:r w:rsidRPr="00720661">
        <w:rPr>
          <w:lang w:val="en-AU"/>
        </w:rPr>
        <w:t xml:space="preserve"> </w:t>
      </w:r>
      <w:r w:rsidR="00307B56" w:rsidRPr="003B31BB">
        <w:rPr>
          <w:lang w:val="en-AU"/>
        </w:rPr>
        <w:t>The Taskforce will also modernise the MBS by identifying any services that may be unnecessary, outdated or potentially unsafe. The Review is clinician-led, and there are no targets for savings attached to the Review.</w:t>
      </w:r>
    </w:p>
    <w:p w14:paraId="31D1A689" w14:textId="77777777" w:rsidR="0048781A" w:rsidRPr="003B31BB" w:rsidRDefault="0048781A" w:rsidP="00677AEE">
      <w:pPr>
        <w:pStyle w:val="Heading3"/>
        <w:numPr>
          <w:ilvl w:val="0"/>
          <w:numId w:val="0"/>
        </w:numPr>
        <w:ind w:left="720" w:hanging="720"/>
        <w:rPr>
          <w:lang w:val="en-AU"/>
        </w:rPr>
      </w:pPr>
      <w:bookmarkStart w:id="35" w:name="_Toc476515278"/>
      <w:bookmarkStart w:id="36" w:name="_Toc13735967"/>
      <w:r w:rsidRPr="003B31BB">
        <w:rPr>
          <w:lang w:val="en-AU"/>
        </w:rPr>
        <w:t>What are the goals of the Taskforce?</w:t>
      </w:r>
      <w:bookmarkEnd w:id="35"/>
      <w:bookmarkEnd w:id="36"/>
    </w:p>
    <w:p w14:paraId="52EEB334" w14:textId="77777777" w:rsidR="0048781A" w:rsidRPr="00551F4D" w:rsidRDefault="0048781A" w:rsidP="0048781A">
      <w:pPr>
        <w:rPr>
          <w:lang w:val="en-AU"/>
        </w:rPr>
      </w:pPr>
      <w:r w:rsidRPr="00720661">
        <w:rPr>
          <w:lang w:val="en-AU"/>
        </w:rPr>
        <w:t xml:space="preserve">The Taskforce is committed to providing recommendations to the </w:t>
      </w:r>
      <w:r w:rsidRPr="00551F4D">
        <w:rPr>
          <w:lang w:val="en-AU"/>
        </w:rPr>
        <w:t>Minister for Health that will allow the MBS to deliver on each of these four goals:</w:t>
      </w:r>
    </w:p>
    <w:p w14:paraId="2A5DBF23" w14:textId="77777777" w:rsidR="0048781A" w:rsidRPr="00720661" w:rsidRDefault="0048781A" w:rsidP="0048781A">
      <w:pPr>
        <w:pStyle w:val="01squarebullet"/>
        <w:rPr>
          <w:lang w:val="en-AU"/>
        </w:rPr>
      </w:pPr>
      <w:r w:rsidRPr="00720661">
        <w:rPr>
          <w:b/>
          <w:lang w:val="en-AU"/>
        </w:rPr>
        <w:t>Affordable and universal access.</w:t>
      </w:r>
      <w:r w:rsidRPr="00720661">
        <w:rPr>
          <w:lang w:val="en-AU"/>
        </w:rPr>
        <w:t xml:space="preserve"> 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697A751C" w14:textId="77777777" w:rsidR="0048781A" w:rsidRPr="00720661" w:rsidRDefault="0048781A" w:rsidP="0048781A">
      <w:pPr>
        <w:pStyle w:val="01squarebullet"/>
        <w:rPr>
          <w:lang w:val="en-AU"/>
        </w:rPr>
      </w:pPr>
      <w:r w:rsidRPr="00720661">
        <w:rPr>
          <w:b/>
          <w:lang w:val="en-AU"/>
        </w:rPr>
        <w:t>Best-practice health services.</w:t>
      </w:r>
      <w:r w:rsidRPr="00720661">
        <w:rPr>
          <w:lang w:val="en-AU"/>
        </w:rPr>
        <w:t xml:space="preserve"> One of the core objectives of the Review is to modernise the MBS, ensuring that individual items and their descriptors are consistent with contemporary best practice and the evidence base, where possible. Although the MSAC plays a crucial role in thoroughly evaluating new services, the vast majority of existing MBS items pre-date this process and have never been reviewed.</w:t>
      </w:r>
    </w:p>
    <w:p w14:paraId="19EB9362" w14:textId="77777777" w:rsidR="0048781A" w:rsidRPr="00720661" w:rsidRDefault="0048781A" w:rsidP="0048781A">
      <w:pPr>
        <w:pStyle w:val="01squarebullet"/>
        <w:rPr>
          <w:lang w:val="en-AU"/>
        </w:rPr>
      </w:pPr>
      <w:r w:rsidRPr="00720661">
        <w:rPr>
          <w:b/>
          <w:lang w:val="en-AU"/>
        </w:rPr>
        <w:t xml:space="preserve">Value for the individual patient. </w:t>
      </w:r>
      <w:r w:rsidRPr="00720661">
        <w:rPr>
          <w:lang w:val="en-AU"/>
        </w:rPr>
        <w:t>Another core objective of the Review is to maintain an MBS that supports the delivery of services that are appropriate to the patient’s needs, provide real clinical value and do not expose the patient to unnecessary risk or expense.</w:t>
      </w:r>
    </w:p>
    <w:p w14:paraId="7D81D2C4" w14:textId="77777777" w:rsidR="0048781A" w:rsidRPr="00720661" w:rsidRDefault="0048781A" w:rsidP="0048781A">
      <w:pPr>
        <w:pStyle w:val="01squarebullet"/>
        <w:rPr>
          <w:lang w:val="en-AU"/>
        </w:rPr>
      </w:pPr>
      <w:r w:rsidRPr="00720661">
        <w:rPr>
          <w:b/>
          <w:lang w:val="en-AU"/>
        </w:rPr>
        <w:t xml:space="preserve">Value for the health system. </w:t>
      </w:r>
      <w:r w:rsidRPr="00720661">
        <w:rPr>
          <w:lang w:val="en-AU"/>
        </w:rPr>
        <w:t xml:space="preserve">Achieving the above elements will go a long way towards achieving improved value for the health system overall. Reducing the volume of services that provide little or no clinical benefit will enable resources to be redirected to new and existing </w:t>
      </w:r>
      <w:r w:rsidRPr="00720661">
        <w:rPr>
          <w:lang w:val="en-AU"/>
        </w:rPr>
        <w:lastRenderedPageBreak/>
        <w:t>services that have proven benefits but are underused, particularly for patients who cannot readily access these services.</w:t>
      </w:r>
    </w:p>
    <w:p w14:paraId="787FA3EF" w14:textId="77777777" w:rsidR="003B30E4" w:rsidRPr="00720661" w:rsidRDefault="003B30E4">
      <w:pPr>
        <w:pStyle w:val="Heading2"/>
      </w:pPr>
      <w:bookmarkStart w:id="37" w:name="_Toc457463616"/>
      <w:bookmarkStart w:id="38" w:name="_Toc459996807"/>
      <w:bookmarkStart w:id="39" w:name="_Toc458166995"/>
      <w:bookmarkStart w:id="40" w:name="_Toc13735968"/>
      <w:bookmarkStart w:id="41" w:name="_Toc456045428"/>
      <w:bookmarkEnd w:id="23"/>
      <w:r w:rsidRPr="00720661">
        <w:t>The Taskforce’s approach</w:t>
      </w:r>
      <w:bookmarkEnd w:id="37"/>
      <w:bookmarkEnd w:id="38"/>
      <w:bookmarkEnd w:id="39"/>
      <w:bookmarkEnd w:id="40"/>
    </w:p>
    <w:p w14:paraId="53C0F60B" w14:textId="77777777" w:rsidR="00A27916" w:rsidRPr="00720661" w:rsidRDefault="003B30E4" w:rsidP="00082595">
      <w:pPr>
        <w:rPr>
          <w:lang w:val="en-AU"/>
        </w:rPr>
      </w:pPr>
      <w:r w:rsidRPr="00720661">
        <w:rPr>
          <w:lang w:val="en-AU"/>
        </w:rPr>
        <w:t xml:space="preserve">The Taskforce is reviewing existing MBS items, with a primary focus on ensuring that individual items and usage meet the definition of best practice. Within the Taskforce’s brief, there is considerable scope to review and </w:t>
      </w:r>
      <w:r w:rsidR="00D03EBD" w:rsidRPr="00720661">
        <w:rPr>
          <w:lang w:val="en-AU"/>
        </w:rPr>
        <w:t xml:space="preserve">provide </w:t>
      </w:r>
      <w:r w:rsidRPr="00720661">
        <w:rPr>
          <w:lang w:val="en-AU"/>
        </w:rPr>
        <w:t>advi</w:t>
      </w:r>
      <w:r w:rsidR="00D03EBD" w:rsidRPr="00720661">
        <w:rPr>
          <w:lang w:val="en-AU"/>
        </w:rPr>
        <w:t>c</w:t>
      </w:r>
      <w:r w:rsidRPr="00720661">
        <w:rPr>
          <w:lang w:val="en-AU"/>
        </w:rPr>
        <w:t>e on all aspects that would contribute to a modern, transparent and responsive system. This includes not only making recommendations about adding new items or services to the MBS, but also about an MBS structure that could better accommodate changing health service models.</w:t>
      </w:r>
    </w:p>
    <w:p w14:paraId="2CABE554" w14:textId="77777777" w:rsidR="003B30E4" w:rsidRPr="00720661" w:rsidRDefault="003B30E4" w:rsidP="00082595">
      <w:pPr>
        <w:rPr>
          <w:lang w:val="en-AU"/>
        </w:rPr>
      </w:pPr>
      <w:r w:rsidRPr="00720661">
        <w:rPr>
          <w:lang w:val="en-AU"/>
        </w:rPr>
        <w:t xml:space="preserve">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w:t>
      </w:r>
      <w:r w:rsidR="00E54055" w:rsidRPr="00720661">
        <w:rPr>
          <w:lang w:val="en-AU"/>
        </w:rPr>
        <w:t>Review</w:t>
      </w:r>
      <w:r w:rsidRPr="00720661">
        <w:rPr>
          <w:lang w:val="en-AU"/>
        </w:rPr>
        <w:t xml:space="preserve"> has concluded.</w:t>
      </w:r>
    </w:p>
    <w:p w14:paraId="59899F7B" w14:textId="77777777" w:rsidR="003B30E4" w:rsidRPr="00720661" w:rsidRDefault="003B30E4" w:rsidP="00082595">
      <w:pPr>
        <w:rPr>
          <w:lang w:val="en-AU"/>
        </w:rPr>
      </w:pPr>
      <w:r w:rsidRPr="00720661">
        <w:rPr>
          <w:lang w:val="en-AU"/>
        </w:rPr>
        <w:t xml:space="preserve">As the MBS Review is to be clinician-led, the Taskforce decided that </w:t>
      </w:r>
      <w:r w:rsidR="00C10257">
        <w:rPr>
          <w:lang w:val="en-AU"/>
        </w:rPr>
        <w:t>c</w:t>
      </w:r>
      <w:r w:rsidR="007D479F" w:rsidRPr="00720661">
        <w:rPr>
          <w:lang w:val="en-AU"/>
        </w:rPr>
        <w:t xml:space="preserve">linical </w:t>
      </w:r>
      <w:r w:rsidR="00C10257">
        <w:rPr>
          <w:lang w:val="en-AU"/>
        </w:rPr>
        <w:t>c</w:t>
      </w:r>
      <w:r w:rsidR="007D479F" w:rsidRPr="00720661">
        <w:rPr>
          <w:lang w:val="en-AU"/>
        </w:rPr>
        <w:t>ommittee</w:t>
      </w:r>
      <w:r w:rsidR="00680028" w:rsidRPr="00720661">
        <w:rPr>
          <w:lang w:val="en-AU"/>
        </w:rPr>
        <w:t xml:space="preserve">s should conduct </w:t>
      </w:r>
      <w:r w:rsidRPr="00720661">
        <w:rPr>
          <w:lang w:val="en-AU"/>
        </w:rPr>
        <w:t xml:space="preserve">the detailed review of MBS items. The committees are broad-based in their membership, and members have been appointed in </w:t>
      </w:r>
      <w:r w:rsidR="00122F79" w:rsidRPr="00720661">
        <w:rPr>
          <w:lang w:val="en-AU"/>
        </w:rPr>
        <w:t xml:space="preserve">an </w:t>
      </w:r>
      <w:r w:rsidRPr="00720661">
        <w:rPr>
          <w:lang w:val="en-AU"/>
        </w:rPr>
        <w:t xml:space="preserve">individual capacity rather than as representatives of any organisation. </w:t>
      </w:r>
    </w:p>
    <w:p w14:paraId="0FB814F8" w14:textId="77777777" w:rsidR="003B30E4" w:rsidRPr="00551F4D" w:rsidRDefault="003B30E4" w:rsidP="00082595">
      <w:pPr>
        <w:rPr>
          <w:lang w:val="en-AU"/>
        </w:rPr>
      </w:pPr>
      <w:r w:rsidRPr="00720661">
        <w:rPr>
          <w:lang w:val="en-AU"/>
        </w:rPr>
        <w:t xml:space="preserve">The Taskforce asked all committees to review MBS items using a framework based on </w:t>
      </w:r>
      <w:r w:rsidR="00E54055" w:rsidRPr="00720661">
        <w:rPr>
          <w:lang w:val="en-AU"/>
        </w:rPr>
        <w:t>A</w:t>
      </w:r>
      <w:r w:rsidRPr="00720661">
        <w:rPr>
          <w:lang w:val="en-AU"/>
        </w:rPr>
        <w:t xml:space="preserve">ppropriate </w:t>
      </w:r>
      <w:r w:rsidR="00E54055" w:rsidRPr="00720661">
        <w:rPr>
          <w:lang w:val="en-AU"/>
        </w:rPr>
        <w:t>U</w:t>
      </w:r>
      <w:r w:rsidRPr="00720661">
        <w:rPr>
          <w:lang w:val="en-AU"/>
        </w:rPr>
        <w:t xml:space="preserve">se </w:t>
      </w:r>
      <w:r w:rsidR="00E54055" w:rsidRPr="00720661">
        <w:rPr>
          <w:lang w:val="en-AU"/>
        </w:rPr>
        <w:t>C</w:t>
      </w:r>
      <w:r w:rsidRPr="00720661">
        <w:rPr>
          <w:lang w:val="en-AU"/>
        </w:rPr>
        <w:t>riteria</w:t>
      </w:r>
      <w:r w:rsidR="00784E75" w:rsidRPr="00720661">
        <w:rPr>
          <w:lang w:val="en-AU"/>
        </w:rPr>
        <w:t xml:space="preserve"> </w:t>
      </w:r>
      <w:r w:rsidR="00E54055" w:rsidRPr="00720661">
        <w:rPr>
          <w:lang w:val="en-AU"/>
        </w:rPr>
        <w:t>accepted by the Taskforce</w:t>
      </w:r>
      <w:r w:rsidR="00C43EF8">
        <w:rPr>
          <w:lang w:val="en-AU"/>
        </w:rPr>
        <w:t>.</w:t>
      </w:r>
      <w:r w:rsidR="00CA2D71">
        <w:rPr>
          <w:lang w:val="en-AU"/>
        </w:rPr>
        <w:t xml:space="preserve"> </w:t>
      </w:r>
      <w:r w:rsidR="007C7B08" w:rsidRPr="00551F4D">
        <w:rPr>
          <w:lang w:val="en-AU"/>
        </w:rPr>
        <w:fldChar w:fldCharType="begin"/>
      </w:r>
      <w:r w:rsidR="007C7B08" w:rsidRPr="00720661">
        <w:rPr>
          <w:lang w:val="en-AU"/>
        </w:rPr>
        <w:instrText xml:space="preserve"> REF _Ref488823012 \r \h </w:instrText>
      </w:r>
      <w:r w:rsidR="007C7B08" w:rsidRPr="00551F4D">
        <w:rPr>
          <w:lang w:val="en-AU"/>
        </w:rPr>
      </w:r>
      <w:r w:rsidR="007C7B08" w:rsidRPr="00551F4D">
        <w:rPr>
          <w:lang w:val="en-AU"/>
        </w:rPr>
        <w:fldChar w:fldCharType="separate"/>
      </w:r>
      <w:r w:rsidR="00CA1CA9" w:rsidRPr="00551F4D">
        <w:rPr>
          <w:lang w:val="en-AU"/>
        </w:rPr>
        <w:t>[1]</w:t>
      </w:r>
      <w:r w:rsidR="007C7B08" w:rsidRPr="00551F4D">
        <w:rPr>
          <w:lang w:val="en-AU"/>
        </w:rPr>
        <w:fldChar w:fldCharType="end"/>
      </w:r>
      <w:r w:rsidR="007C7B08" w:rsidRPr="00720661">
        <w:rPr>
          <w:lang w:val="en-AU"/>
        </w:rPr>
        <w:t xml:space="preserve"> </w:t>
      </w:r>
      <w:r w:rsidRPr="00551F4D">
        <w:rPr>
          <w:lang w:val="en-AU"/>
        </w:rPr>
        <w:t>The framework consists of seven steps:</w:t>
      </w:r>
    </w:p>
    <w:p w14:paraId="2409150F" w14:textId="77777777" w:rsidR="003B30E4" w:rsidRPr="00720661" w:rsidRDefault="003B30E4" w:rsidP="00DB15BF">
      <w:pPr>
        <w:pStyle w:val="01squarebullet"/>
        <w:numPr>
          <w:ilvl w:val="0"/>
          <w:numId w:val="13"/>
        </w:numPr>
        <w:rPr>
          <w:lang w:val="en-AU"/>
        </w:rPr>
      </w:pPr>
      <w:r w:rsidRPr="00720661">
        <w:rPr>
          <w:lang w:val="en-AU"/>
        </w:rPr>
        <w:t xml:space="preserve">Develop an initial fact base for all items under consideration, drawing on the relevant data and literature. </w:t>
      </w:r>
    </w:p>
    <w:p w14:paraId="0B79A550" w14:textId="77777777" w:rsidR="003B30E4" w:rsidRPr="00720661" w:rsidRDefault="003B30E4" w:rsidP="00DB15BF">
      <w:pPr>
        <w:pStyle w:val="01squarebullet"/>
        <w:numPr>
          <w:ilvl w:val="0"/>
          <w:numId w:val="13"/>
        </w:numPr>
        <w:rPr>
          <w:lang w:val="en-AU"/>
        </w:rPr>
      </w:pPr>
      <w:r w:rsidRPr="00720661">
        <w:rPr>
          <w:lang w:val="en-AU"/>
        </w:rPr>
        <w:t xml:space="preserve">Identify items that are obsolete, are of questionable clinical </w:t>
      </w:r>
      <w:r w:rsidR="009A53D1" w:rsidRPr="00E36A1A">
        <w:rPr>
          <w:lang w:val="en-GB"/>
        </w:rPr>
        <w:t>value,</w:t>
      </w:r>
      <w:r w:rsidR="009A53D1" w:rsidRPr="00D31FA6">
        <w:rPr>
          <w:rStyle w:val="FootnoteReference"/>
          <w:lang w:val="en-GB"/>
        </w:rPr>
        <w:footnoteReference w:id="2"/>
      </w:r>
      <w:r w:rsidR="009A53D1" w:rsidRPr="00E36A1A">
        <w:rPr>
          <w:lang w:val="en-GB"/>
        </w:rPr>
        <w:t xml:space="preserve"> are misused</w:t>
      </w:r>
      <w:r w:rsidR="009A53D1" w:rsidRPr="00D31FA6">
        <w:rPr>
          <w:rStyle w:val="FootnoteReference"/>
          <w:lang w:val="en-GB"/>
        </w:rPr>
        <w:footnoteReference w:id="3"/>
      </w:r>
      <w:r w:rsidR="009A53D1" w:rsidRPr="00E36A1A">
        <w:rPr>
          <w:lang w:val="en-GB"/>
        </w:rPr>
        <w:t xml:space="preserve"> </w:t>
      </w:r>
      <w:r w:rsidRPr="00720661">
        <w:rPr>
          <w:lang w:val="en-AU"/>
        </w:rPr>
        <w:t xml:space="preserve">and/or pose a risk to patient safety. This step </w:t>
      </w:r>
      <w:r w:rsidR="00E71FC9" w:rsidRPr="00720661">
        <w:rPr>
          <w:lang w:val="en-AU"/>
        </w:rPr>
        <w:t>includes prioritising items as ‘</w:t>
      </w:r>
      <w:r w:rsidRPr="00720661">
        <w:rPr>
          <w:lang w:val="en-AU"/>
        </w:rPr>
        <w:t>priority 1</w:t>
      </w:r>
      <w:r w:rsidR="00784E75" w:rsidRPr="00720661">
        <w:rPr>
          <w:lang w:val="en-AU"/>
        </w:rPr>
        <w:t>,</w:t>
      </w:r>
      <w:r w:rsidR="00E71FC9" w:rsidRPr="00720661">
        <w:rPr>
          <w:lang w:val="en-AU"/>
        </w:rPr>
        <w:t>’ ‘priority 2’ or ‘priority 3,’</w:t>
      </w:r>
      <w:r w:rsidRPr="00720661">
        <w:rPr>
          <w:lang w:val="en-AU"/>
        </w:rPr>
        <w:t xml:space="preserve"> using a prioritisation methodology (described in more detail below).</w:t>
      </w:r>
    </w:p>
    <w:p w14:paraId="54C79EC4" w14:textId="77777777" w:rsidR="003B30E4" w:rsidRPr="00720661" w:rsidRDefault="003B30E4" w:rsidP="00DB15BF">
      <w:pPr>
        <w:pStyle w:val="01squarebullet"/>
        <w:numPr>
          <w:ilvl w:val="0"/>
          <w:numId w:val="13"/>
        </w:numPr>
        <w:rPr>
          <w:lang w:val="en-AU"/>
        </w:rPr>
      </w:pPr>
      <w:r w:rsidRPr="00720661">
        <w:rPr>
          <w:lang w:val="en-AU"/>
        </w:rPr>
        <w:t xml:space="preserve">Identify any issues, develop hypotheses for recommendations and create a work plan (including establishing </w:t>
      </w:r>
      <w:r w:rsidR="00C10257">
        <w:rPr>
          <w:lang w:val="en-AU"/>
        </w:rPr>
        <w:t>w</w:t>
      </w:r>
      <w:r w:rsidR="007D479F" w:rsidRPr="00720661">
        <w:rPr>
          <w:lang w:val="en-AU"/>
        </w:rPr>
        <w:t xml:space="preserve">orking </w:t>
      </w:r>
      <w:r w:rsidR="00C10257">
        <w:rPr>
          <w:lang w:val="en-AU"/>
        </w:rPr>
        <w:t>g</w:t>
      </w:r>
      <w:r w:rsidR="007D479F" w:rsidRPr="00720661">
        <w:rPr>
          <w:lang w:val="en-AU"/>
        </w:rPr>
        <w:t>roup</w:t>
      </w:r>
      <w:r w:rsidRPr="00720661">
        <w:rPr>
          <w:lang w:val="en-AU"/>
        </w:rPr>
        <w:t>s, when required) to arrive at recommendations for each item.</w:t>
      </w:r>
    </w:p>
    <w:p w14:paraId="0922A198" w14:textId="77777777" w:rsidR="003B30E4" w:rsidRPr="00720661" w:rsidRDefault="003B30E4" w:rsidP="00DB15BF">
      <w:pPr>
        <w:pStyle w:val="01squarebullet"/>
        <w:numPr>
          <w:ilvl w:val="0"/>
          <w:numId w:val="13"/>
        </w:numPr>
        <w:rPr>
          <w:lang w:val="en-AU"/>
        </w:rPr>
      </w:pPr>
      <w:r w:rsidRPr="00720661">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w:t>
      </w:r>
      <w:r w:rsidR="00C10257">
        <w:rPr>
          <w:lang w:val="en-AU"/>
        </w:rPr>
        <w:t>c</w:t>
      </w:r>
      <w:r w:rsidRPr="00720661">
        <w:rPr>
          <w:lang w:val="en-AU"/>
        </w:rPr>
        <w:t xml:space="preserve">ommittee, </w:t>
      </w:r>
      <w:r w:rsidR="00C10257">
        <w:rPr>
          <w:lang w:val="en-AU"/>
        </w:rPr>
        <w:t>w</w:t>
      </w:r>
      <w:r w:rsidR="007D479F" w:rsidRPr="00720661">
        <w:rPr>
          <w:lang w:val="en-AU"/>
        </w:rPr>
        <w:t xml:space="preserve">orking </w:t>
      </w:r>
      <w:r w:rsidR="00C10257">
        <w:rPr>
          <w:lang w:val="en-AU"/>
        </w:rPr>
        <w:t>g</w:t>
      </w:r>
      <w:r w:rsidR="007D479F" w:rsidRPr="00720661">
        <w:rPr>
          <w:lang w:val="en-AU"/>
        </w:rPr>
        <w:t>roup</w:t>
      </w:r>
      <w:r w:rsidRPr="00720661">
        <w:rPr>
          <w:lang w:val="en-AU"/>
        </w:rPr>
        <w:t>s, and relevant colleagues or colleges. For complex cases, full appropriate use criteria were developed for the item’s explanatory notes.</w:t>
      </w:r>
    </w:p>
    <w:p w14:paraId="109DF646" w14:textId="77777777" w:rsidR="003B30E4" w:rsidRPr="00720661" w:rsidRDefault="003B30E4" w:rsidP="00DB15BF">
      <w:pPr>
        <w:pStyle w:val="01squarebullet"/>
        <w:numPr>
          <w:ilvl w:val="0"/>
          <w:numId w:val="13"/>
        </w:numPr>
        <w:rPr>
          <w:lang w:val="en-AU"/>
        </w:rPr>
      </w:pPr>
      <w:r w:rsidRPr="00720661">
        <w:rPr>
          <w:lang w:val="en-AU"/>
        </w:rPr>
        <w:t xml:space="preserve">Review </w:t>
      </w:r>
      <w:r w:rsidR="000205C1" w:rsidRPr="00720661">
        <w:rPr>
          <w:lang w:val="en-AU"/>
        </w:rPr>
        <w:t xml:space="preserve">the </w:t>
      </w:r>
      <w:r w:rsidRPr="00720661">
        <w:rPr>
          <w:lang w:val="en-AU"/>
        </w:rPr>
        <w:t>provisional recommendations and the accompanying rationales, and gather further evidence as required.</w:t>
      </w:r>
    </w:p>
    <w:p w14:paraId="16FD9BCC" w14:textId="77777777" w:rsidR="003B30E4" w:rsidRPr="00720661" w:rsidRDefault="003B30E4" w:rsidP="00DB15BF">
      <w:pPr>
        <w:pStyle w:val="01squarebullet"/>
        <w:numPr>
          <w:ilvl w:val="0"/>
          <w:numId w:val="13"/>
        </w:numPr>
        <w:rPr>
          <w:lang w:val="en-AU"/>
        </w:rPr>
      </w:pPr>
      <w:r w:rsidRPr="00720661">
        <w:rPr>
          <w:lang w:val="en-AU"/>
        </w:rPr>
        <w:t xml:space="preserve">Finalise </w:t>
      </w:r>
      <w:r w:rsidR="0060245F" w:rsidRPr="00720661">
        <w:rPr>
          <w:lang w:val="en-AU"/>
        </w:rPr>
        <w:t xml:space="preserve">the </w:t>
      </w:r>
      <w:r w:rsidRPr="00720661">
        <w:rPr>
          <w:lang w:val="en-AU"/>
        </w:rPr>
        <w:t>recommendations in preparation for broader stakeholder consultation.</w:t>
      </w:r>
    </w:p>
    <w:p w14:paraId="1A4E95B6" w14:textId="77777777" w:rsidR="003B30E4" w:rsidRPr="00720661" w:rsidRDefault="003B30E4" w:rsidP="00DB15BF">
      <w:pPr>
        <w:pStyle w:val="01squarebullet"/>
        <w:numPr>
          <w:ilvl w:val="0"/>
          <w:numId w:val="13"/>
        </w:numPr>
        <w:rPr>
          <w:lang w:val="en-AU"/>
        </w:rPr>
      </w:pPr>
      <w:r w:rsidRPr="00720661">
        <w:rPr>
          <w:lang w:val="en-AU"/>
        </w:rPr>
        <w:lastRenderedPageBreak/>
        <w:t xml:space="preserve">Incorporate feedback gathered during stakeholder consultation and finalise the </w:t>
      </w:r>
      <w:r w:rsidR="00E54055" w:rsidRPr="00720661">
        <w:rPr>
          <w:lang w:val="en-AU"/>
        </w:rPr>
        <w:t>Review</w:t>
      </w:r>
      <w:r w:rsidRPr="00720661">
        <w:rPr>
          <w:lang w:val="en-AU"/>
        </w:rPr>
        <w:t xml:space="preserve"> report, which provides recommendations for the Taskforce. </w:t>
      </w:r>
    </w:p>
    <w:p w14:paraId="53D22E39" w14:textId="77777777" w:rsidR="003B30E4" w:rsidRPr="00720661" w:rsidRDefault="003B30E4" w:rsidP="00082595">
      <w:pPr>
        <w:rPr>
          <w:lang w:val="en-AU"/>
        </w:rPr>
      </w:pPr>
      <w:r w:rsidRPr="00720661">
        <w:rPr>
          <w:lang w:val="en-AU"/>
        </w:rPr>
        <w:t xml:space="preserve">All MBS items </w:t>
      </w:r>
      <w:r w:rsidR="005E7CE3" w:rsidRPr="00720661">
        <w:rPr>
          <w:rFonts w:cs="Arial"/>
          <w:lang w:val="en-AU"/>
        </w:rPr>
        <w:t>will be</w:t>
      </w:r>
      <w:r w:rsidRPr="00720661">
        <w:rPr>
          <w:lang w:val="en-AU"/>
        </w:rPr>
        <w:t xml:space="preserve"> reviewed </w:t>
      </w:r>
      <w:proofErr w:type="gramStart"/>
      <w:r w:rsidRPr="00720661">
        <w:rPr>
          <w:lang w:val="en-AU"/>
        </w:rPr>
        <w:t>during the course of</w:t>
      </w:r>
      <w:proofErr w:type="gramEnd"/>
      <w:r w:rsidRPr="00720661">
        <w:rPr>
          <w:lang w:val="en-AU"/>
        </w:rPr>
        <w:t xml:space="preserve"> the MBS Review. However, given the breadth of</w:t>
      </w:r>
      <w:r w:rsidR="00A27916" w:rsidRPr="00720661">
        <w:rPr>
          <w:lang w:val="en-AU"/>
        </w:rPr>
        <w:t>,</w:t>
      </w:r>
      <w:r w:rsidRPr="00720661">
        <w:rPr>
          <w:lang w:val="en-AU"/>
        </w:rPr>
        <w:t xml:space="preserve"> and timeframe for</w:t>
      </w:r>
      <w:r w:rsidR="00A27916" w:rsidRPr="00720661">
        <w:rPr>
          <w:lang w:val="en-AU"/>
        </w:rPr>
        <w:t>,</w:t>
      </w:r>
      <w:r w:rsidRPr="00720661">
        <w:rPr>
          <w:lang w:val="en-AU"/>
        </w:rPr>
        <w:t xml:space="preserve"> the </w:t>
      </w:r>
      <w:r w:rsidR="00E54055" w:rsidRPr="00720661">
        <w:rPr>
          <w:lang w:val="en-AU"/>
        </w:rPr>
        <w:t>Review</w:t>
      </w:r>
      <w:r w:rsidRPr="00720661">
        <w:rPr>
          <w:lang w:val="en-AU"/>
        </w:rPr>
        <w:t xml:space="preserve">, each </w:t>
      </w:r>
      <w:r w:rsidR="00C10257">
        <w:rPr>
          <w:lang w:val="en-AU"/>
        </w:rPr>
        <w:t>c</w:t>
      </w:r>
      <w:r w:rsidR="007D479F" w:rsidRPr="00720661">
        <w:rPr>
          <w:lang w:val="en-AU"/>
        </w:rPr>
        <w:t xml:space="preserve">linical </w:t>
      </w:r>
      <w:r w:rsidR="00C10257">
        <w:rPr>
          <w:lang w:val="en-AU"/>
        </w:rPr>
        <w:t>c</w:t>
      </w:r>
      <w:r w:rsidR="007D479F" w:rsidRPr="00720661">
        <w:rPr>
          <w:lang w:val="en-AU"/>
        </w:rPr>
        <w:t>ommittee</w:t>
      </w:r>
      <w:r w:rsidRPr="00720661">
        <w:rPr>
          <w:lang w:val="en-AU"/>
        </w:rPr>
        <w:t xml:space="preserve"> had to develop a work plan and assign priorities, keeping in mind the objectives of the </w:t>
      </w:r>
      <w:r w:rsidR="00E54055" w:rsidRPr="00720661">
        <w:rPr>
          <w:lang w:val="en-AU"/>
        </w:rPr>
        <w:t>Review</w:t>
      </w:r>
      <w:r w:rsidRPr="00720661">
        <w:rPr>
          <w:lang w:val="en-AU"/>
        </w:rPr>
        <w:t>. Committees used a robust prioritisation methodology to focus their attention and resources on the most important items requiring review. This was determined based on a combination of two standard metrics, derived from the appropriate use criteria:</w:t>
      </w:r>
      <w:r w:rsidR="00CB672A" w:rsidRPr="00720661">
        <w:rPr>
          <w:lang w:val="en-AU"/>
        </w:rPr>
        <w:t xml:space="preserve"> </w:t>
      </w:r>
      <w:r w:rsidR="00CB672A" w:rsidRPr="00551F4D">
        <w:rPr>
          <w:lang w:val="en-AU"/>
        </w:rPr>
        <w:fldChar w:fldCharType="begin"/>
      </w:r>
      <w:r w:rsidR="00CB672A" w:rsidRPr="00720661">
        <w:rPr>
          <w:lang w:val="en-AU"/>
        </w:rPr>
        <w:instrText xml:space="preserve"> REF _Ref488823012 \r \h </w:instrText>
      </w:r>
      <w:r w:rsidR="00CB672A" w:rsidRPr="00551F4D">
        <w:rPr>
          <w:lang w:val="en-AU"/>
        </w:rPr>
      </w:r>
      <w:r w:rsidR="00CB672A" w:rsidRPr="00551F4D">
        <w:rPr>
          <w:lang w:val="en-AU"/>
        </w:rPr>
        <w:fldChar w:fldCharType="separate"/>
      </w:r>
      <w:r w:rsidR="00CA1CA9" w:rsidRPr="00551F4D">
        <w:rPr>
          <w:lang w:val="en-AU"/>
        </w:rPr>
        <w:t>[1]</w:t>
      </w:r>
      <w:r w:rsidR="00CB672A" w:rsidRPr="00551F4D">
        <w:rPr>
          <w:lang w:val="en-AU"/>
        </w:rPr>
        <w:fldChar w:fldCharType="end"/>
      </w:r>
    </w:p>
    <w:p w14:paraId="41442902" w14:textId="77777777" w:rsidR="003B30E4" w:rsidRPr="00720661" w:rsidRDefault="003B30E4" w:rsidP="005076E4">
      <w:pPr>
        <w:pStyle w:val="NormalBulleted"/>
        <w:rPr>
          <w:lang w:val="en-AU"/>
        </w:rPr>
      </w:pPr>
      <w:r w:rsidRPr="00720661">
        <w:rPr>
          <w:lang w:val="en-AU"/>
        </w:rPr>
        <w:t>Service volume</w:t>
      </w:r>
      <w:r w:rsidR="007B5034" w:rsidRPr="00720661">
        <w:rPr>
          <w:lang w:val="en-AU"/>
        </w:rPr>
        <w:t>.</w:t>
      </w:r>
    </w:p>
    <w:p w14:paraId="6EE60592" w14:textId="77777777" w:rsidR="003B30E4" w:rsidRPr="003B31BB" w:rsidRDefault="003B30E4" w:rsidP="00CA1ABF">
      <w:pPr>
        <w:pStyle w:val="01squarebullet"/>
        <w:rPr>
          <w:lang w:val="en-AU"/>
        </w:rPr>
      </w:pPr>
      <w:r w:rsidRPr="003B31BB">
        <w:rPr>
          <w:lang w:val="en-AU"/>
        </w:rPr>
        <w:t>The likelihood that the item need</w:t>
      </w:r>
      <w:r w:rsidR="007D245F" w:rsidRPr="003B31BB">
        <w:rPr>
          <w:lang w:val="en-AU"/>
        </w:rPr>
        <w:t>ed</w:t>
      </w:r>
      <w:r w:rsidRPr="003B31BB">
        <w:rPr>
          <w:lang w:val="en-AU"/>
        </w:rPr>
        <w:t xml:space="preserve"> to be revised, determined by indicators such as identified safety concerns, geographic or temporal variation, delivery irregularity, the potential misuse of indications or other concerns raised by the </w:t>
      </w:r>
      <w:r w:rsidR="00C10257">
        <w:rPr>
          <w:lang w:val="en-AU"/>
        </w:rPr>
        <w:t>c</w:t>
      </w:r>
      <w:r w:rsidRPr="003B31BB">
        <w:rPr>
          <w:lang w:val="en-AU"/>
        </w:rPr>
        <w:t>ommittee (such as inappropriate co-claiming).</w:t>
      </w:r>
    </w:p>
    <w:p w14:paraId="097095B3" w14:textId="77777777" w:rsidR="003B30E4" w:rsidRPr="00720661" w:rsidRDefault="003B30E4" w:rsidP="00082595">
      <w:pPr>
        <w:rPr>
          <w:lang w:val="en-AU"/>
        </w:rPr>
      </w:pPr>
      <w:r w:rsidRPr="00720661">
        <w:rPr>
          <w:lang w:val="en-AU"/>
        </w:rPr>
        <w:t>For each item, these two metrics wer</w:t>
      </w:r>
      <w:r w:rsidRPr="00551F4D">
        <w:rPr>
          <w:lang w:val="en-AU"/>
        </w:rPr>
        <w:t xml:space="preserve">e ranked high, medium or low. These rankings were then combined to generate a priority ranking ranging from </w:t>
      </w:r>
      <w:r w:rsidR="00447B2D" w:rsidRPr="00720661">
        <w:rPr>
          <w:lang w:val="en-AU"/>
        </w:rPr>
        <w:t xml:space="preserve">1 </w:t>
      </w:r>
      <w:r w:rsidRPr="00720661">
        <w:rPr>
          <w:lang w:val="en-AU"/>
        </w:rPr>
        <w:t xml:space="preserve">to </w:t>
      </w:r>
      <w:r w:rsidR="00447B2D" w:rsidRPr="00720661">
        <w:rPr>
          <w:lang w:val="en-AU"/>
        </w:rPr>
        <w:t xml:space="preserve">3 </w:t>
      </w:r>
      <w:r w:rsidRPr="00720661">
        <w:rPr>
          <w:lang w:val="en-AU"/>
        </w:rPr>
        <w:t>(where priority 1 items are the highest priority and priority 3 items are the lowest priority for review)</w:t>
      </w:r>
      <w:r w:rsidR="004F6F19" w:rsidRPr="00720661">
        <w:rPr>
          <w:lang w:val="en-AU"/>
        </w:rPr>
        <w:t xml:space="preserve">, using a prioritisation matrix </w:t>
      </w:r>
      <w:r w:rsidRPr="00720661">
        <w:rPr>
          <w:lang w:val="en-AU"/>
        </w:rPr>
        <w:t>(</w:t>
      </w:r>
      <w:r w:rsidR="004D68DE" w:rsidRPr="00551F4D">
        <w:rPr>
          <w:rFonts w:cs="Arial"/>
          <w:lang w:val="en-AU"/>
        </w:rPr>
        <w:fldChar w:fldCharType="begin"/>
      </w:r>
      <w:r w:rsidR="004D68DE" w:rsidRPr="00720661">
        <w:rPr>
          <w:lang w:val="en-AU"/>
        </w:rPr>
        <w:instrText xml:space="preserve"> REF _Ref459985112 \h </w:instrText>
      </w:r>
      <w:r w:rsidR="004D68DE" w:rsidRPr="00551F4D">
        <w:rPr>
          <w:rFonts w:cs="Arial"/>
          <w:lang w:val="en-AU"/>
        </w:rPr>
      </w:r>
      <w:r w:rsidR="004D68DE" w:rsidRPr="00551F4D">
        <w:rPr>
          <w:rFonts w:cs="Arial"/>
          <w:lang w:val="en-AU"/>
        </w:rPr>
        <w:fldChar w:fldCharType="separate"/>
      </w:r>
      <w:r w:rsidR="00CA1CA9" w:rsidRPr="003B31BB">
        <w:rPr>
          <w:lang w:val="en-AU"/>
        </w:rPr>
        <w:t>Figure 1.</w:t>
      </w:r>
      <w:r w:rsidR="004F6F19" w:rsidRPr="003B31BB">
        <w:rPr>
          <w:lang w:val="en-AU"/>
        </w:rPr>
        <w:t>)</w:t>
      </w:r>
      <w:r w:rsidR="00CA1CA9" w:rsidRPr="003B31BB">
        <w:rPr>
          <w:lang w:val="en-AU"/>
        </w:rPr>
        <w:t xml:space="preserve"> </w:t>
      </w:r>
      <w:r w:rsidR="004D68DE" w:rsidRPr="00551F4D">
        <w:rPr>
          <w:rFonts w:cs="Arial"/>
          <w:lang w:val="en-AU"/>
        </w:rPr>
        <w:fldChar w:fldCharType="end"/>
      </w:r>
      <w:r w:rsidRPr="00720661">
        <w:rPr>
          <w:lang w:val="en-AU"/>
        </w:rPr>
        <w:t xml:space="preserve"> The Committee used this priority ranking to organise its review of item numbers and apportion the amount of time spent on each item. </w:t>
      </w:r>
    </w:p>
    <w:p w14:paraId="3F2B979E" w14:textId="77777777" w:rsidR="003B30E4" w:rsidRPr="003B31BB" w:rsidRDefault="00836B2A">
      <w:pPr>
        <w:pStyle w:val="Caption"/>
      </w:pPr>
      <w:bookmarkStart w:id="42" w:name="_Toc459891304"/>
      <w:bookmarkStart w:id="43" w:name="_Toc458167034"/>
      <w:bookmarkStart w:id="44" w:name="_Ref459985112"/>
      <w:bookmarkStart w:id="45" w:name="_Toc459996843"/>
      <w:bookmarkStart w:id="46" w:name="_Toc459985370"/>
      <w:bookmarkStart w:id="47" w:name="_Toc482007239"/>
      <w:bookmarkStart w:id="48" w:name="_Toc482008894"/>
      <w:r w:rsidRPr="003B31BB">
        <w:t>Figure</w:t>
      </w:r>
      <w:r w:rsidR="009D7E4A" w:rsidRPr="003B31BB">
        <w:t xml:space="preserve"> 1.</w:t>
      </w:r>
      <w:r w:rsidRPr="003B31BB">
        <w:t xml:space="preserve"> </w:t>
      </w:r>
      <w:bookmarkEnd w:id="42"/>
      <w:bookmarkEnd w:id="43"/>
      <w:bookmarkEnd w:id="44"/>
      <w:r w:rsidR="004D68DE" w:rsidRPr="003B31BB">
        <w:t>Prioritisation matrix</w:t>
      </w:r>
      <w:bookmarkEnd w:id="45"/>
      <w:bookmarkEnd w:id="46"/>
      <w:bookmarkEnd w:id="47"/>
      <w:bookmarkEnd w:id="48"/>
      <w:r w:rsidR="00907973" w:rsidRPr="003B31BB">
        <w:t>.</w:t>
      </w:r>
    </w:p>
    <w:p w14:paraId="06646CF5" w14:textId="77777777" w:rsidR="00DA0936" w:rsidRDefault="00D0416D" w:rsidP="005879F8">
      <w:pPr>
        <w:pStyle w:val="Char1"/>
      </w:pPr>
      <w:r w:rsidRPr="00720661">
        <w:rPr>
          <w:b/>
        </w:rPr>
        <w:t xml:space="preserve"> </w:t>
      </w:r>
      <w:bookmarkStart w:id="49" w:name="_Toc482008895"/>
      <w:r w:rsidRPr="00551F4D">
        <w:rPr>
          <w:noProof/>
          <w:lang w:eastAsia="en-AU"/>
        </w:rPr>
        <w:drawing>
          <wp:inline distT="0" distB="0" distL="0" distR="0" wp14:anchorId="3206D550" wp14:editId="4B322505">
            <wp:extent cx="4475480" cy="3368675"/>
            <wp:effectExtent l="0" t="0" r="1270" b="3175"/>
            <wp:docPr id="8" name="Picture 8"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1: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49"/>
    </w:p>
    <w:p w14:paraId="55B49D56" w14:textId="77777777" w:rsidR="00DA0936" w:rsidRDefault="00DA0936">
      <w:pPr>
        <w:spacing w:before="0" w:after="0"/>
        <w:rPr>
          <w:lang w:val="en-AU" w:eastAsia="en-US"/>
        </w:rPr>
      </w:pPr>
      <w:r>
        <w:rPr>
          <w:lang w:val="en-AU" w:eastAsia="en-US"/>
        </w:rPr>
        <w:br w:type="page"/>
      </w:r>
    </w:p>
    <w:p w14:paraId="0D04DE23" w14:textId="77777777" w:rsidR="003B30E4" w:rsidRPr="00720661" w:rsidRDefault="003B30E4" w:rsidP="00BD0D4C">
      <w:pPr>
        <w:pStyle w:val="Heading1"/>
        <w:rPr>
          <w:lang w:val="en-AU"/>
        </w:rPr>
      </w:pPr>
      <w:bookmarkStart w:id="50" w:name="_Toc457463617"/>
      <w:bookmarkStart w:id="51" w:name="_Toc459996808"/>
      <w:bookmarkStart w:id="52" w:name="_Toc458166996"/>
      <w:bookmarkStart w:id="53" w:name="_Toc13735969"/>
      <w:bookmarkStart w:id="54" w:name="_Toc456045429"/>
      <w:bookmarkEnd w:id="41"/>
      <w:r w:rsidRPr="00720661">
        <w:rPr>
          <w:lang w:val="en-AU"/>
        </w:rPr>
        <w:lastRenderedPageBreak/>
        <w:t xml:space="preserve">About the </w:t>
      </w:r>
      <w:r w:rsidR="0099553D" w:rsidRPr="00720661">
        <w:rPr>
          <w:lang w:val="en-AU"/>
        </w:rPr>
        <w:t>Pathology</w:t>
      </w:r>
      <w:r w:rsidR="002301EA" w:rsidRPr="00720661">
        <w:rPr>
          <w:lang w:val="en-AU"/>
        </w:rPr>
        <w:t xml:space="preserve"> Clinical </w:t>
      </w:r>
      <w:r w:rsidRPr="00720661">
        <w:rPr>
          <w:lang w:val="en-AU"/>
        </w:rPr>
        <w:t>Committee</w:t>
      </w:r>
      <w:bookmarkEnd w:id="50"/>
      <w:bookmarkEnd w:id="51"/>
      <w:bookmarkEnd w:id="52"/>
      <w:bookmarkEnd w:id="53"/>
    </w:p>
    <w:p w14:paraId="0ECA9BCA" w14:textId="77777777" w:rsidR="003B30E4" w:rsidRPr="00720661" w:rsidRDefault="003B30E4" w:rsidP="00082595">
      <w:pPr>
        <w:rPr>
          <w:lang w:val="en-AU"/>
        </w:rPr>
      </w:pPr>
      <w:r w:rsidRPr="00720661">
        <w:rPr>
          <w:lang w:val="en-AU"/>
        </w:rPr>
        <w:t xml:space="preserve">The </w:t>
      </w:r>
      <w:r w:rsidR="0099553D" w:rsidRPr="00720661">
        <w:rPr>
          <w:lang w:val="en-AU"/>
        </w:rPr>
        <w:t>Pathology</w:t>
      </w:r>
      <w:r w:rsidRPr="00720661">
        <w:rPr>
          <w:lang w:val="en-AU"/>
        </w:rPr>
        <w:t xml:space="preserve"> Clinical Committee (the Committee) was established in April 2016 to make recommendations to the Taskforce on MBS items within its remit, based on rapid evidence review and clinical expertise. The Taskforce asked the Committee to review </w:t>
      </w:r>
      <w:r w:rsidR="00500BFD" w:rsidRPr="00720661">
        <w:rPr>
          <w:lang w:val="en-AU"/>
        </w:rPr>
        <w:t>genetics</w:t>
      </w:r>
      <w:r w:rsidRPr="00720661">
        <w:rPr>
          <w:lang w:val="en-AU"/>
        </w:rPr>
        <w:t xml:space="preserve">-related MBS items. </w:t>
      </w:r>
    </w:p>
    <w:p w14:paraId="0DC75B45" w14:textId="77777777" w:rsidR="00026792" w:rsidRPr="00720661" w:rsidRDefault="00026792">
      <w:pPr>
        <w:pStyle w:val="Heading2"/>
      </w:pPr>
      <w:bookmarkStart w:id="55" w:name="_Toc459996809"/>
      <w:bookmarkStart w:id="56" w:name="_Toc458166997"/>
      <w:bookmarkStart w:id="57" w:name="_Ref466964262"/>
      <w:bookmarkStart w:id="58" w:name="_Ref466964264"/>
      <w:bookmarkStart w:id="59" w:name="_Toc13735970"/>
      <w:r w:rsidRPr="005E1FCF">
        <w:t>Committee</w:t>
      </w:r>
      <w:r w:rsidRPr="00720661">
        <w:t xml:space="preserve"> </w:t>
      </w:r>
      <w:r w:rsidR="00DC1A87" w:rsidRPr="00720661">
        <w:t>m</w:t>
      </w:r>
      <w:r w:rsidRPr="00720661">
        <w:t>embers</w:t>
      </w:r>
      <w:bookmarkEnd w:id="54"/>
      <w:bookmarkEnd w:id="55"/>
      <w:bookmarkEnd w:id="56"/>
      <w:bookmarkEnd w:id="57"/>
      <w:bookmarkEnd w:id="58"/>
      <w:bookmarkEnd w:id="59"/>
    </w:p>
    <w:p w14:paraId="34051319" w14:textId="77777777" w:rsidR="002E6B61" w:rsidRPr="00720661" w:rsidRDefault="002E6B61" w:rsidP="002E6B61">
      <w:pPr>
        <w:rPr>
          <w:lang w:val="en-AU"/>
        </w:rPr>
      </w:pPr>
      <w:r w:rsidRPr="00720661">
        <w:rPr>
          <w:lang w:val="en-AU"/>
        </w:rPr>
        <w:t xml:space="preserve">The Committee consists of 19 members, whose names, positions/organisations and declared conflicts of interest are listed in Section </w:t>
      </w:r>
      <w:r w:rsidRPr="009A54A7">
        <w:rPr>
          <w:lang w:val="en-AU"/>
        </w:rPr>
        <w:fldChar w:fldCharType="begin"/>
      </w:r>
      <w:r w:rsidRPr="00720661">
        <w:rPr>
          <w:lang w:val="en-AU"/>
        </w:rPr>
        <w:instrText xml:space="preserve"> REF _Ref466964262 \r \h </w:instrText>
      </w:r>
      <w:r w:rsidRPr="009A54A7">
        <w:rPr>
          <w:lang w:val="en-AU"/>
        </w:rPr>
      </w:r>
      <w:r w:rsidRPr="009A54A7">
        <w:rPr>
          <w:lang w:val="en-AU"/>
        </w:rPr>
        <w:fldChar w:fldCharType="separate"/>
      </w:r>
      <w:r w:rsidRPr="00720661">
        <w:rPr>
          <w:lang w:val="en-AU"/>
        </w:rPr>
        <w:t>3.1</w:t>
      </w:r>
      <w:r w:rsidRPr="009A54A7">
        <w:rPr>
          <w:lang w:val="en-AU"/>
        </w:rPr>
        <w:fldChar w:fldCharType="end"/>
      </w:r>
      <w:r w:rsidRPr="00720661">
        <w:rPr>
          <w:lang w:val="en-AU"/>
        </w:rPr>
        <w:t xml:space="preserve">. All members of the Taskforce, clinical committees and </w:t>
      </w:r>
      <w:r w:rsidR="00DA0936">
        <w:rPr>
          <w:lang w:val="en-AU"/>
        </w:rPr>
        <w:t>w</w:t>
      </w:r>
      <w:r w:rsidRPr="00720661">
        <w:rPr>
          <w:lang w:val="en-AU"/>
        </w:rPr>
        <w:t xml:space="preserve">orking </w:t>
      </w:r>
      <w:r w:rsidR="00DA0936">
        <w:rPr>
          <w:lang w:val="en-AU"/>
        </w:rPr>
        <w:t>g</w:t>
      </w:r>
      <w:r w:rsidRPr="00720661">
        <w:rPr>
          <w:lang w:val="en-AU"/>
        </w:rPr>
        <w:t>roups were asked to declare any conflicts of interest at the start of their involvement and are reminded to update their declarations periodically.</w:t>
      </w:r>
    </w:p>
    <w:p w14:paraId="41BA864A" w14:textId="77777777" w:rsidR="006F6F5B" w:rsidRPr="00720661" w:rsidRDefault="006F6F5B">
      <w:pPr>
        <w:pStyle w:val="Caption"/>
      </w:pPr>
      <w:bookmarkStart w:id="60" w:name="_Toc458167025"/>
      <w:bookmarkStart w:id="61" w:name="_Toc459971207"/>
      <w:bookmarkStart w:id="62" w:name="_Toc459996834"/>
      <w:bookmarkStart w:id="63" w:name="_Toc459891295"/>
      <w:bookmarkStart w:id="64" w:name="_Toc482009623"/>
      <w:r w:rsidRPr="00720661">
        <w:t xml:space="preserve">Table </w:t>
      </w:r>
      <w:r w:rsidR="009D7E4A" w:rsidRPr="00860DE7">
        <w:fldChar w:fldCharType="begin"/>
      </w:r>
      <w:r w:rsidR="009D7E4A" w:rsidRPr="00720661">
        <w:instrText xml:space="preserve"> AUTONUM  \* Arabic </w:instrText>
      </w:r>
      <w:r w:rsidR="009D7E4A" w:rsidRPr="00860DE7">
        <w:fldChar w:fldCharType="end"/>
      </w:r>
      <w:r w:rsidR="00447B2D" w:rsidRPr="003B31BB">
        <w:t>Pathology</w:t>
      </w:r>
      <w:r w:rsidR="00447B2D" w:rsidRPr="00720661">
        <w:t xml:space="preserve"> Clinical </w:t>
      </w:r>
      <w:r w:rsidR="0088028F" w:rsidRPr="00720661">
        <w:t>Committee members</w:t>
      </w:r>
      <w:bookmarkEnd w:id="60"/>
      <w:bookmarkEnd w:id="61"/>
      <w:bookmarkEnd w:id="62"/>
      <w:bookmarkEnd w:id="63"/>
      <w:bookmarkEnd w:id="6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 Committee members"/>
        <w:tblDescription w:val="Table 1 lists the committee members for the Pathology Clinical Committee. The table shows that there are no conflicts of interest from all the members."/>
      </w:tblPr>
      <w:tblGrid>
        <w:gridCol w:w="2263"/>
        <w:gridCol w:w="4111"/>
        <w:gridCol w:w="2642"/>
      </w:tblGrid>
      <w:tr w:rsidR="00E71FC9" w:rsidRPr="00720661" w14:paraId="19F634BD" w14:textId="77777777" w:rsidTr="00626805">
        <w:trPr>
          <w:tblHeader/>
        </w:trPr>
        <w:tc>
          <w:tcPr>
            <w:tcW w:w="1255" w:type="pct"/>
            <w:shd w:val="clear" w:color="auto" w:fill="F2F2F2" w:themeFill="background1" w:themeFillShade="F2"/>
            <w:vAlign w:val="bottom"/>
          </w:tcPr>
          <w:p w14:paraId="2BBEA76A" w14:textId="77777777" w:rsidR="00E71FC9" w:rsidRPr="00720661" w:rsidRDefault="00E71FC9" w:rsidP="00626805">
            <w:pPr>
              <w:pStyle w:val="01Tableheaderrow"/>
              <w:rPr>
                <w:lang w:val="en-AU"/>
              </w:rPr>
            </w:pPr>
            <w:bookmarkStart w:id="65" w:name="_Toc457463620"/>
            <w:bookmarkStart w:id="66" w:name="_Toc458166998"/>
            <w:r w:rsidRPr="00720661">
              <w:rPr>
                <w:lang w:val="en-AU"/>
              </w:rPr>
              <w:t>Name</w:t>
            </w:r>
          </w:p>
        </w:tc>
        <w:tc>
          <w:tcPr>
            <w:tcW w:w="2280" w:type="pct"/>
            <w:shd w:val="clear" w:color="auto" w:fill="F2F2F2" w:themeFill="background1" w:themeFillShade="F2"/>
            <w:vAlign w:val="bottom"/>
          </w:tcPr>
          <w:p w14:paraId="4C2961E0" w14:textId="77777777" w:rsidR="00E71FC9" w:rsidRPr="00720661" w:rsidRDefault="00E71FC9" w:rsidP="00626805">
            <w:pPr>
              <w:pStyle w:val="01Tableheaderrow"/>
              <w:rPr>
                <w:lang w:val="en-AU"/>
              </w:rPr>
            </w:pPr>
            <w:r w:rsidRPr="00720661">
              <w:rPr>
                <w:lang w:val="en-AU"/>
              </w:rPr>
              <w:t>Position/organisation</w:t>
            </w:r>
          </w:p>
        </w:tc>
        <w:tc>
          <w:tcPr>
            <w:tcW w:w="1465" w:type="pct"/>
            <w:shd w:val="clear" w:color="auto" w:fill="F2F2F2" w:themeFill="background1" w:themeFillShade="F2"/>
            <w:vAlign w:val="bottom"/>
          </w:tcPr>
          <w:p w14:paraId="6A9CBC71" w14:textId="77777777" w:rsidR="00E71FC9" w:rsidRPr="00720661" w:rsidRDefault="00E71FC9" w:rsidP="00626805">
            <w:pPr>
              <w:pStyle w:val="01Tableheaderrow"/>
              <w:rPr>
                <w:lang w:val="en-AU"/>
              </w:rPr>
            </w:pPr>
            <w:r w:rsidRPr="00720661">
              <w:rPr>
                <w:lang w:val="en-AU"/>
              </w:rPr>
              <w:t>Declared conflict of interest</w:t>
            </w:r>
          </w:p>
        </w:tc>
      </w:tr>
      <w:tr w:rsidR="00E71FC9" w:rsidRPr="00720661" w14:paraId="4428A4AA" w14:textId="77777777" w:rsidTr="00626805">
        <w:tc>
          <w:tcPr>
            <w:tcW w:w="1255" w:type="pct"/>
          </w:tcPr>
          <w:p w14:paraId="1551E98A" w14:textId="77777777" w:rsidR="00E71FC9" w:rsidRPr="00720661" w:rsidRDefault="00E71FC9" w:rsidP="00807710">
            <w:pPr>
              <w:pStyle w:val="02Tabletext"/>
              <w:rPr>
                <w:lang w:val="en-AU"/>
              </w:rPr>
            </w:pPr>
            <w:r w:rsidRPr="003B31BB">
              <w:rPr>
                <w:bCs/>
                <w:color w:val="000000"/>
                <w:lang w:val="en-AU"/>
              </w:rPr>
              <w:t xml:space="preserve">Associate Professor </w:t>
            </w:r>
            <w:r w:rsidR="00500BFD" w:rsidRPr="003B31BB">
              <w:rPr>
                <w:bCs/>
                <w:color w:val="000000"/>
                <w:lang w:val="en-AU"/>
              </w:rPr>
              <w:br/>
            </w:r>
            <w:r w:rsidRPr="003B31BB">
              <w:rPr>
                <w:bCs/>
                <w:color w:val="000000"/>
                <w:lang w:val="en-AU"/>
              </w:rPr>
              <w:t>Peter Stewart</w:t>
            </w:r>
          </w:p>
        </w:tc>
        <w:tc>
          <w:tcPr>
            <w:tcW w:w="2280" w:type="pct"/>
          </w:tcPr>
          <w:p w14:paraId="0279136D" w14:textId="77777777" w:rsidR="00E71FC9" w:rsidRPr="00720661" w:rsidRDefault="00E71FC9" w:rsidP="00626805">
            <w:pPr>
              <w:pStyle w:val="02Tabletext"/>
              <w:rPr>
                <w:lang w:val="en-AU"/>
              </w:rPr>
            </w:pPr>
            <w:r w:rsidRPr="003B31BB">
              <w:rPr>
                <w:lang w:val="en-AU"/>
              </w:rPr>
              <w:t>Royal Prince Alfred Hospital (Public)</w:t>
            </w:r>
          </w:p>
        </w:tc>
        <w:tc>
          <w:tcPr>
            <w:tcW w:w="1465" w:type="pct"/>
            <w:shd w:val="clear" w:color="auto" w:fill="auto"/>
          </w:tcPr>
          <w:p w14:paraId="79EAEA3A" w14:textId="77777777" w:rsidR="00E71FC9" w:rsidRPr="00720661" w:rsidRDefault="00E71FC9" w:rsidP="00626805">
            <w:pPr>
              <w:pStyle w:val="02Tabletext"/>
              <w:rPr>
                <w:lang w:val="en-AU"/>
              </w:rPr>
            </w:pPr>
            <w:r w:rsidRPr="003B31BB">
              <w:rPr>
                <w:lang w:val="en-AU"/>
              </w:rPr>
              <w:t>None</w:t>
            </w:r>
          </w:p>
        </w:tc>
      </w:tr>
      <w:tr w:rsidR="00E71FC9" w:rsidRPr="00720661" w14:paraId="2CBC4658" w14:textId="77777777" w:rsidTr="00626805">
        <w:tc>
          <w:tcPr>
            <w:tcW w:w="1255" w:type="pct"/>
          </w:tcPr>
          <w:p w14:paraId="6641E665" w14:textId="77777777" w:rsidR="00E71FC9" w:rsidRPr="00720661" w:rsidRDefault="00E71FC9" w:rsidP="00626805">
            <w:pPr>
              <w:pStyle w:val="02Tabletext"/>
              <w:rPr>
                <w:lang w:val="en-AU"/>
              </w:rPr>
            </w:pPr>
            <w:r w:rsidRPr="003B31BB">
              <w:rPr>
                <w:bCs/>
                <w:color w:val="000000"/>
                <w:lang w:val="en-AU"/>
              </w:rPr>
              <w:t xml:space="preserve">Professor Rita Horvath </w:t>
            </w:r>
          </w:p>
        </w:tc>
        <w:tc>
          <w:tcPr>
            <w:tcW w:w="2280" w:type="pct"/>
          </w:tcPr>
          <w:p w14:paraId="0930AC54" w14:textId="77777777" w:rsidR="00E71FC9" w:rsidRPr="00720661" w:rsidRDefault="00E71FC9" w:rsidP="00626805">
            <w:pPr>
              <w:pStyle w:val="02Tabletext"/>
              <w:rPr>
                <w:lang w:val="en-AU"/>
              </w:rPr>
            </w:pPr>
            <w:r w:rsidRPr="003B31BB">
              <w:rPr>
                <w:lang w:val="en-AU"/>
              </w:rPr>
              <w:t>South Eastern Area Laboratory Services (Public)</w:t>
            </w:r>
          </w:p>
        </w:tc>
        <w:tc>
          <w:tcPr>
            <w:tcW w:w="1465" w:type="pct"/>
            <w:shd w:val="clear" w:color="auto" w:fill="auto"/>
          </w:tcPr>
          <w:p w14:paraId="2B4FBAC1" w14:textId="77777777" w:rsidR="00E71FC9" w:rsidRPr="00720661" w:rsidRDefault="00E71FC9" w:rsidP="00626805">
            <w:pPr>
              <w:pStyle w:val="02Tabletext"/>
              <w:rPr>
                <w:lang w:val="en-AU"/>
              </w:rPr>
            </w:pPr>
            <w:r w:rsidRPr="003B31BB">
              <w:rPr>
                <w:lang w:val="en-AU"/>
              </w:rPr>
              <w:t>None</w:t>
            </w:r>
          </w:p>
        </w:tc>
      </w:tr>
      <w:tr w:rsidR="00E71FC9" w:rsidRPr="00720661" w14:paraId="30559530" w14:textId="77777777" w:rsidTr="00626805">
        <w:tc>
          <w:tcPr>
            <w:tcW w:w="1255" w:type="pct"/>
          </w:tcPr>
          <w:p w14:paraId="4DE37BB4" w14:textId="77777777" w:rsidR="00E71FC9" w:rsidRPr="003B31BB" w:rsidRDefault="00E71FC9" w:rsidP="00626805">
            <w:pPr>
              <w:pStyle w:val="02Tabletext"/>
              <w:rPr>
                <w:lang w:val="en-AU"/>
              </w:rPr>
            </w:pPr>
            <w:r w:rsidRPr="003B31BB">
              <w:rPr>
                <w:bCs/>
                <w:color w:val="000000"/>
                <w:lang w:val="en-AU"/>
              </w:rPr>
              <w:t xml:space="preserve">Dr Debra Norris </w:t>
            </w:r>
          </w:p>
        </w:tc>
        <w:tc>
          <w:tcPr>
            <w:tcW w:w="2280" w:type="pct"/>
          </w:tcPr>
          <w:p w14:paraId="2B0D8B26" w14:textId="77777777" w:rsidR="00E71FC9" w:rsidRPr="00720661" w:rsidRDefault="00E71FC9" w:rsidP="00626805">
            <w:pPr>
              <w:pStyle w:val="02Tabletext"/>
              <w:rPr>
                <w:lang w:val="en-AU"/>
              </w:rPr>
            </w:pPr>
            <w:r w:rsidRPr="003B31BB">
              <w:rPr>
                <w:lang w:val="en-AU"/>
              </w:rPr>
              <w:t>QML Pathology (Primary)</w:t>
            </w:r>
          </w:p>
        </w:tc>
        <w:tc>
          <w:tcPr>
            <w:tcW w:w="1465" w:type="pct"/>
            <w:shd w:val="clear" w:color="auto" w:fill="auto"/>
          </w:tcPr>
          <w:p w14:paraId="419FF3B7" w14:textId="77777777" w:rsidR="00E71FC9" w:rsidRPr="00720661" w:rsidRDefault="00E71FC9" w:rsidP="00626805">
            <w:pPr>
              <w:pStyle w:val="02Tabletext"/>
              <w:rPr>
                <w:lang w:val="en-AU"/>
              </w:rPr>
            </w:pPr>
            <w:r w:rsidRPr="003B31BB">
              <w:rPr>
                <w:lang w:val="en-AU"/>
              </w:rPr>
              <w:t>None</w:t>
            </w:r>
          </w:p>
        </w:tc>
      </w:tr>
      <w:tr w:rsidR="00E71FC9" w:rsidRPr="00720661" w14:paraId="3D410263" w14:textId="77777777" w:rsidTr="00626805">
        <w:tc>
          <w:tcPr>
            <w:tcW w:w="1255" w:type="pct"/>
          </w:tcPr>
          <w:p w14:paraId="5E4926E1" w14:textId="77777777" w:rsidR="00E71FC9" w:rsidRPr="003B31BB" w:rsidRDefault="00E71FC9" w:rsidP="00626805">
            <w:pPr>
              <w:pStyle w:val="02Tabletext"/>
              <w:rPr>
                <w:bCs/>
                <w:color w:val="000000"/>
                <w:lang w:val="en-AU"/>
              </w:rPr>
            </w:pPr>
            <w:r w:rsidRPr="003B31BB">
              <w:rPr>
                <w:bCs/>
                <w:color w:val="000000"/>
                <w:lang w:val="en-AU"/>
              </w:rPr>
              <w:t xml:space="preserve">Dr Michael Harrison </w:t>
            </w:r>
          </w:p>
        </w:tc>
        <w:tc>
          <w:tcPr>
            <w:tcW w:w="2280" w:type="pct"/>
          </w:tcPr>
          <w:p w14:paraId="37657AC7" w14:textId="77777777" w:rsidR="00E71FC9" w:rsidRPr="003B31BB" w:rsidRDefault="00E71FC9" w:rsidP="00626805">
            <w:pPr>
              <w:pStyle w:val="02Tabletext"/>
              <w:rPr>
                <w:lang w:val="en-AU"/>
              </w:rPr>
            </w:pPr>
            <w:r w:rsidRPr="003B31BB">
              <w:rPr>
                <w:lang w:val="en-AU"/>
              </w:rPr>
              <w:t>Sullivan Nicolaides Pathology (Sonic)</w:t>
            </w:r>
          </w:p>
        </w:tc>
        <w:tc>
          <w:tcPr>
            <w:tcW w:w="1465" w:type="pct"/>
            <w:shd w:val="clear" w:color="auto" w:fill="auto"/>
          </w:tcPr>
          <w:p w14:paraId="4B23F37E" w14:textId="77777777" w:rsidR="00E71FC9" w:rsidRPr="00720661" w:rsidRDefault="00E71FC9" w:rsidP="00626805">
            <w:pPr>
              <w:pStyle w:val="02Tabletext"/>
              <w:rPr>
                <w:lang w:val="en-AU"/>
              </w:rPr>
            </w:pPr>
            <w:r w:rsidRPr="003B31BB">
              <w:rPr>
                <w:lang w:val="en-AU"/>
              </w:rPr>
              <w:t>None</w:t>
            </w:r>
          </w:p>
        </w:tc>
      </w:tr>
      <w:tr w:rsidR="00E71FC9" w:rsidRPr="00720661" w14:paraId="10B22CC6" w14:textId="77777777" w:rsidTr="00626805">
        <w:tc>
          <w:tcPr>
            <w:tcW w:w="1255" w:type="pct"/>
          </w:tcPr>
          <w:p w14:paraId="02057319" w14:textId="77777777" w:rsidR="00E71FC9" w:rsidRPr="003B31BB" w:rsidRDefault="00E71FC9" w:rsidP="00626805">
            <w:pPr>
              <w:pStyle w:val="02Tabletext"/>
              <w:rPr>
                <w:bCs/>
                <w:color w:val="000000"/>
                <w:lang w:val="en-AU"/>
              </w:rPr>
            </w:pPr>
            <w:r w:rsidRPr="003B31BB">
              <w:rPr>
                <w:bCs/>
                <w:color w:val="000000"/>
                <w:lang w:val="en-AU"/>
              </w:rPr>
              <w:t>Associate Professor Ken </w:t>
            </w:r>
            <w:proofErr w:type="spellStart"/>
            <w:r w:rsidRPr="003B31BB">
              <w:rPr>
                <w:bCs/>
                <w:color w:val="000000"/>
                <w:lang w:val="en-AU"/>
              </w:rPr>
              <w:t>Sikaris</w:t>
            </w:r>
            <w:proofErr w:type="spellEnd"/>
            <w:r w:rsidRPr="003B31BB">
              <w:rPr>
                <w:bCs/>
                <w:color w:val="000000"/>
                <w:lang w:val="en-AU"/>
              </w:rPr>
              <w:t xml:space="preserve"> </w:t>
            </w:r>
          </w:p>
        </w:tc>
        <w:tc>
          <w:tcPr>
            <w:tcW w:w="2280" w:type="pct"/>
          </w:tcPr>
          <w:p w14:paraId="261D4579" w14:textId="77777777" w:rsidR="00E71FC9" w:rsidRPr="003B31BB" w:rsidRDefault="00E71FC9" w:rsidP="00626805">
            <w:pPr>
              <w:pStyle w:val="02Tabletext"/>
              <w:rPr>
                <w:lang w:val="en-AU"/>
              </w:rPr>
            </w:pPr>
            <w:r w:rsidRPr="003B31BB">
              <w:rPr>
                <w:lang w:val="en-AU"/>
              </w:rPr>
              <w:t>Melbourne Pathology (Sonic)</w:t>
            </w:r>
          </w:p>
        </w:tc>
        <w:tc>
          <w:tcPr>
            <w:tcW w:w="1465" w:type="pct"/>
            <w:shd w:val="clear" w:color="auto" w:fill="auto"/>
          </w:tcPr>
          <w:p w14:paraId="4BFF000F" w14:textId="77777777" w:rsidR="00E71FC9" w:rsidRPr="00720661" w:rsidRDefault="00E71FC9" w:rsidP="00626805">
            <w:pPr>
              <w:pStyle w:val="02Tabletext"/>
              <w:rPr>
                <w:lang w:val="en-AU"/>
              </w:rPr>
            </w:pPr>
            <w:r w:rsidRPr="003B31BB">
              <w:rPr>
                <w:lang w:val="en-AU"/>
              </w:rPr>
              <w:t>None</w:t>
            </w:r>
          </w:p>
        </w:tc>
      </w:tr>
      <w:tr w:rsidR="00E71FC9" w:rsidRPr="00720661" w14:paraId="6382760D" w14:textId="77777777" w:rsidTr="00626805">
        <w:tc>
          <w:tcPr>
            <w:tcW w:w="1255" w:type="pct"/>
          </w:tcPr>
          <w:p w14:paraId="1E6C5BEF" w14:textId="77777777" w:rsidR="00E71FC9" w:rsidRPr="003B31BB" w:rsidRDefault="00E71FC9" w:rsidP="00626805">
            <w:pPr>
              <w:pStyle w:val="02Tabletext"/>
              <w:rPr>
                <w:bCs/>
                <w:color w:val="000000"/>
                <w:lang w:val="en-AU"/>
              </w:rPr>
            </w:pPr>
            <w:r w:rsidRPr="003B31BB">
              <w:rPr>
                <w:bCs/>
                <w:color w:val="000000"/>
                <w:lang w:val="en-AU"/>
              </w:rPr>
              <w:t xml:space="preserve">Dr Melody </w:t>
            </w:r>
            <w:proofErr w:type="spellStart"/>
            <w:r w:rsidRPr="003B31BB">
              <w:rPr>
                <w:bCs/>
                <w:color w:val="000000"/>
                <w:lang w:val="en-AU"/>
              </w:rPr>
              <w:t>Caramins</w:t>
            </w:r>
            <w:proofErr w:type="spellEnd"/>
            <w:r w:rsidRPr="003B31BB">
              <w:rPr>
                <w:bCs/>
                <w:color w:val="000000"/>
                <w:lang w:val="en-AU"/>
              </w:rPr>
              <w:t xml:space="preserve"> </w:t>
            </w:r>
          </w:p>
        </w:tc>
        <w:tc>
          <w:tcPr>
            <w:tcW w:w="2280" w:type="pct"/>
          </w:tcPr>
          <w:p w14:paraId="3E0F958C" w14:textId="77777777" w:rsidR="00E71FC9" w:rsidRPr="003B31BB" w:rsidRDefault="00E71FC9" w:rsidP="00626805">
            <w:pPr>
              <w:pStyle w:val="02Tabletext"/>
              <w:rPr>
                <w:lang w:val="en-AU"/>
              </w:rPr>
            </w:pPr>
            <w:r w:rsidRPr="003B31BB">
              <w:rPr>
                <w:lang w:val="en-AU"/>
              </w:rPr>
              <w:t>Specialist Diagnostic Services (Primary)</w:t>
            </w:r>
          </w:p>
        </w:tc>
        <w:tc>
          <w:tcPr>
            <w:tcW w:w="1465" w:type="pct"/>
            <w:shd w:val="clear" w:color="auto" w:fill="auto"/>
          </w:tcPr>
          <w:p w14:paraId="76E8FEC3" w14:textId="77777777" w:rsidR="00E71FC9" w:rsidRPr="00720661" w:rsidRDefault="00E71FC9" w:rsidP="00626805">
            <w:pPr>
              <w:pStyle w:val="02Tabletext"/>
              <w:rPr>
                <w:lang w:val="en-AU"/>
              </w:rPr>
            </w:pPr>
            <w:r w:rsidRPr="003B31BB">
              <w:rPr>
                <w:lang w:val="en-AU"/>
              </w:rPr>
              <w:t>None</w:t>
            </w:r>
          </w:p>
        </w:tc>
      </w:tr>
      <w:tr w:rsidR="00E71FC9" w:rsidRPr="00720661" w14:paraId="35C2CF9A" w14:textId="77777777" w:rsidTr="00626805">
        <w:tc>
          <w:tcPr>
            <w:tcW w:w="1255" w:type="pct"/>
          </w:tcPr>
          <w:p w14:paraId="1EF7AA44" w14:textId="77777777" w:rsidR="00E71FC9" w:rsidRPr="003B31BB" w:rsidRDefault="00E71FC9" w:rsidP="00626805">
            <w:pPr>
              <w:pStyle w:val="02Tabletext"/>
              <w:rPr>
                <w:bCs/>
                <w:color w:val="000000"/>
                <w:lang w:val="en-AU"/>
              </w:rPr>
            </w:pPr>
            <w:r w:rsidRPr="003B31BB">
              <w:rPr>
                <w:bCs/>
                <w:color w:val="000000"/>
                <w:lang w:val="en-AU"/>
              </w:rPr>
              <w:t xml:space="preserve">Dr John Rowell </w:t>
            </w:r>
          </w:p>
        </w:tc>
        <w:tc>
          <w:tcPr>
            <w:tcW w:w="2280" w:type="pct"/>
          </w:tcPr>
          <w:p w14:paraId="1E4BA881" w14:textId="77777777" w:rsidR="00E71FC9" w:rsidRPr="003B31BB" w:rsidRDefault="00626805" w:rsidP="00626805">
            <w:pPr>
              <w:pStyle w:val="02Tabletext"/>
              <w:rPr>
                <w:lang w:val="en-AU"/>
              </w:rPr>
            </w:pPr>
            <w:r w:rsidRPr="003B31BB">
              <w:rPr>
                <w:lang w:val="en-AU"/>
              </w:rPr>
              <w:t>Pathology Queensland</w:t>
            </w:r>
          </w:p>
        </w:tc>
        <w:tc>
          <w:tcPr>
            <w:tcW w:w="1465" w:type="pct"/>
            <w:shd w:val="clear" w:color="auto" w:fill="auto"/>
          </w:tcPr>
          <w:p w14:paraId="578C205F" w14:textId="77777777" w:rsidR="00E71FC9" w:rsidRPr="00720661" w:rsidRDefault="00E71FC9" w:rsidP="00626805">
            <w:pPr>
              <w:pStyle w:val="02Tabletext"/>
              <w:rPr>
                <w:lang w:val="en-AU"/>
              </w:rPr>
            </w:pPr>
            <w:r w:rsidRPr="003B31BB">
              <w:rPr>
                <w:lang w:val="en-AU"/>
              </w:rPr>
              <w:t>None</w:t>
            </w:r>
          </w:p>
        </w:tc>
      </w:tr>
      <w:tr w:rsidR="00E71FC9" w:rsidRPr="00720661" w14:paraId="7DA4E786" w14:textId="77777777" w:rsidTr="00626805">
        <w:tc>
          <w:tcPr>
            <w:tcW w:w="1255" w:type="pct"/>
          </w:tcPr>
          <w:p w14:paraId="0DA320CA" w14:textId="77777777" w:rsidR="00E71FC9" w:rsidRPr="003B31BB" w:rsidRDefault="00E71FC9" w:rsidP="00626805">
            <w:pPr>
              <w:pStyle w:val="02Tabletext"/>
              <w:rPr>
                <w:bCs/>
                <w:color w:val="000000"/>
                <w:lang w:val="en-AU"/>
              </w:rPr>
            </w:pPr>
            <w:r w:rsidRPr="003B31BB">
              <w:rPr>
                <w:bCs/>
                <w:color w:val="000000"/>
                <w:lang w:val="en-AU"/>
              </w:rPr>
              <w:t>Professor Dominic Mallon</w:t>
            </w:r>
          </w:p>
        </w:tc>
        <w:tc>
          <w:tcPr>
            <w:tcW w:w="2280" w:type="pct"/>
          </w:tcPr>
          <w:p w14:paraId="462D90B1" w14:textId="77777777" w:rsidR="00E71FC9" w:rsidRPr="003B31BB" w:rsidRDefault="00E71FC9" w:rsidP="00626805">
            <w:pPr>
              <w:pStyle w:val="02Tabletext"/>
              <w:rPr>
                <w:lang w:val="en-AU"/>
              </w:rPr>
            </w:pPr>
            <w:proofErr w:type="spellStart"/>
            <w:r w:rsidRPr="003B31BB">
              <w:rPr>
                <w:lang w:val="en-AU"/>
              </w:rPr>
              <w:t>PathWest</w:t>
            </w:r>
            <w:proofErr w:type="spellEnd"/>
          </w:p>
        </w:tc>
        <w:tc>
          <w:tcPr>
            <w:tcW w:w="1465" w:type="pct"/>
            <w:shd w:val="clear" w:color="auto" w:fill="auto"/>
          </w:tcPr>
          <w:p w14:paraId="5D14AFB0" w14:textId="77777777" w:rsidR="00E71FC9" w:rsidRPr="00720661" w:rsidRDefault="00E71FC9" w:rsidP="00626805">
            <w:pPr>
              <w:pStyle w:val="02Tabletext"/>
              <w:rPr>
                <w:lang w:val="en-AU"/>
              </w:rPr>
            </w:pPr>
            <w:r w:rsidRPr="003B31BB">
              <w:rPr>
                <w:lang w:val="en-AU"/>
              </w:rPr>
              <w:t>None</w:t>
            </w:r>
          </w:p>
        </w:tc>
      </w:tr>
      <w:tr w:rsidR="00E71FC9" w:rsidRPr="00720661" w14:paraId="53364EC9" w14:textId="77777777" w:rsidTr="00626805">
        <w:tc>
          <w:tcPr>
            <w:tcW w:w="1255" w:type="pct"/>
          </w:tcPr>
          <w:p w14:paraId="3A52F1CC" w14:textId="77777777" w:rsidR="00E71FC9" w:rsidRPr="003B31BB" w:rsidRDefault="00E71FC9" w:rsidP="00626805">
            <w:pPr>
              <w:pStyle w:val="02Tabletext"/>
              <w:rPr>
                <w:bCs/>
                <w:color w:val="000000"/>
                <w:lang w:val="en-AU"/>
              </w:rPr>
            </w:pPr>
            <w:r w:rsidRPr="003B31BB">
              <w:rPr>
                <w:bCs/>
                <w:color w:val="000000"/>
                <w:lang w:val="en-AU"/>
              </w:rPr>
              <w:t>Dr Peter Roberts</w:t>
            </w:r>
          </w:p>
        </w:tc>
        <w:tc>
          <w:tcPr>
            <w:tcW w:w="2280" w:type="pct"/>
          </w:tcPr>
          <w:p w14:paraId="1B12EB2A" w14:textId="77777777" w:rsidR="00E71FC9" w:rsidRPr="003B31BB" w:rsidRDefault="00E71FC9" w:rsidP="00626805">
            <w:pPr>
              <w:pStyle w:val="02Tabletext"/>
              <w:rPr>
                <w:lang w:val="en-AU"/>
              </w:rPr>
            </w:pPr>
            <w:r w:rsidRPr="003B31BB">
              <w:rPr>
                <w:lang w:val="en-AU"/>
              </w:rPr>
              <w:t>Ryde Hospital (AESM)</w:t>
            </w:r>
          </w:p>
        </w:tc>
        <w:tc>
          <w:tcPr>
            <w:tcW w:w="1465" w:type="pct"/>
            <w:shd w:val="clear" w:color="auto" w:fill="auto"/>
          </w:tcPr>
          <w:p w14:paraId="3FD46BBF" w14:textId="77777777" w:rsidR="00E71FC9" w:rsidRPr="00720661" w:rsidRDefault="00E71FC9" w:rsidP="00626805">
            <w:pPr>
              <w:pStyle w:val="02Tabletext"/>
              <w:rPr>
                <w:lang w:val="en-AU"/>
              </w:rPr>
            </w:pPr>
            <w:r w:rsidRPr="003B31BB">
              <w:rPr>
                <w:lang w:val="en-AU"/>
              </w:rPr>
              <w:t>None</w:t>
            </w:r>
          </w:p>
        </w:tc>
      </w:tr>
      <w:tr w:rsidR="00E71FC9" w:rsidRPr="00720661" w14:paraId="3E47ABB5" w14:textId="77777777" w:rsidTr="00626805">
        <w:tc>
          <w:tcPr>
            <w:tcW w:w="1255" w:type="pct"/>
          </w:tcPr>
          <w:p w14:paraId="65794B09" w14:textId="77777777" w:rsidR="00E71FC9" w:rsidRPr="003B31BB" w:rsidRDefault="00E71FC9" w:rsidP="00626805">
            <w:pPr>
              <w:pStyle w:val="02Tabletext"/>
              <w:rPr>
                <w:bCs/>
                <w:color w:val="000000"/>
                <w:lang w:val="en-AU"/>
              </w:rPr>
            </w:pPr>
            <w:r w:rsidRPr="003B31BB">
              <w:rPr>
                <w:bCs/>
                <w:color w:val="000000"/>
                <w:lang w:val="en-AU"/>
              </w:rPr>
              <w:t>Associate Professor Anthony Landgren</w:t>
            </w:r>
          </w:p>
        </w:tc>
        <w:tc>
          <w:tcPr>
            <w:tcW w:w="2280" w:type="pct"/>
          </w:tcPr>
          <w:p w14:paraId="79408630" w14:textId="77777777" w:rsidR="00E71FC9" w:rsidRPr="003B31BB" w:rsidRDefault="00E71FC9" w:rsidP="00626805">
            <w:pPr>
              <w:pStyle w:val="02Tabletext"/>
              <w:rPr>
                <w:lang w:val="en-AU"/>
              </w:rPr>
            </w:pPr>
            <w:r w:rsidRPr="003B31BB">
              <w:rPr>
                <w:lang w:val="en-AU"/>
              </w:rPr>
              <w:t>Australian Clinical Labs</w:t>
            </w:r>
          </w:p>
        </w:tc>
        <w:tc>
          <w:tcPr>
            <w:tcW w:w="1465" w:type="pct"/>
            <w:shd w:val="clear" w:color="auto" w:fill="auto"/>
          </w:tcPr>
          <w:p w14:paraId="3B68CB2F" w14:textId="77777777" w:rsidR="00E71FC9" w:rsidRPr="00720661" w:rsidRDefault="00E71FC9" w:rsidP="00626805">
            <w:pPr>
              <w:pStyle w:val="02Tabletext"/>
              <w:rPr>
                <w:lang w:val="en-AU"/>
              </w:rPr>
            </w:pPr>
            <w:r w:rsidRPr="003B31BB">
              <w:rPr>
                <w:lang w:val="en-AU"/>
              </w:rPr>
              <w:t>None</w:t>
            </w:r>
          </w:p>
        </w:tc>
      </w:tr>
      <w:tr w:rsidR="00E71FC9" w:rsidRPr="00720661" w14:paraId="5F5BC51C" w14:textId="77777777" w:rsidTr="00626805">
        <w:tc>
          <w:tcPr>
            <w:tcW w:w="1255" w:type="pct"/>
          </w:tcPr>
          <w:p w14:paraId="5E930C3A" w14:textId="77777777" w:rsidR="00E71FC9" w:rsidRPr="003B31BB" w:rsidRDefault="00E71FC9" w:rsidP="00626805">
            <w:pPr>
              <w:pStyle w:val="02Tabletext"/>
              <w:rPr>
                <w:bCs/>
                <w:color w:val="000000"/>
                <w:lang w:val="en-AU"/>
              </w:rPr>
            </w:pPr>
            <w:r w:rsidRPr="003B31BB">
              <w:rPr>
                <w:bCs/>
                <w:color w:val="000000"/>
                <w:lang w:val="en-AU"/>
              </w:rPr>
              <w:t xml:space="preserve">Associate Professor </w:t>
            </w:r>
            <w:r w:rsidR="005E1FCF">
              <w:rPr>
                <w:bCs/>
                <w:color w:val="000000"/>
                <w:lang w:val="en-AU"/>
              </w:rPr>
              <w:br/>
            </w:r>
            <w:r w:rsidR="00410662">
              <w:rPr>
                <w:bCs/>
                <w:color w:val="000000"/>
                <w:lang w:val="en-AU"/>
              </w:rPr>
              <w:t xml:space="preserve">Mary </w:t>
            </w:r>
            <w:r w:rsidRPr="003B31BB">
              <w:rPr>
                <w:bCs/>
                <w:color w:val="000000"/>
                <w:lang w:val="en-AU"/>
              </w:rPr>
              <w:t xml:space="preserve">Jo Waters </w:t>
            </w:r>
          </w:p>
        </w:tc>
        <w:tc>
          <w:tcPr>
            <w:tcW w:w="2280" w:type="pct"/>
          </w:tcPr>
          <w:p w14:paraId="4A49063B" w14:textId="77777777" w:rsidR="00E71FC9" w:rsidRPr="003B31BB" w:rsidRDefault="00E71FC9" w:rsidP="00626805">
            <w:pPr>
              <w:pStyle w:val="02Tabletext"/>
              <w:rPr>
                <w:lang w:val="en-AU"/>
              </w:rPr>
            </w:pPr>
            <w:r w:rsidRPr="003B31BB">
              <w:rPr>
                <w:lang w:val="en-AU"/>
              </w:rPr>
              <w:t>St Vincent's Pathology (CHA)</w:t>
            </w:r>
          </w:p>
        </w:tc>
        <w:tc>
          <w:tcPr>
            <w:tcW w:w="1465" w:type="pct"/>
            <w:shd w:val="clear" w:color="auto" w:fill="auto"/>
          </w:tcPr>
          <w:p w14:paraId="6E80D441" w14:textId="77777777" w:rsidR="00E71FC9" w:rsidRPr="00720661" w:rsidRDefault="00E71FC9" w:rsidP="00626805">
            <w:pPr>
              <w:pStyle w:val="02Tabletext"/>
              <w:rPr>
                <w:lang w:val="en-AU"/>
              </w:rPr>
            </w:pPr>
            <w:r w:rsidRPr="003B31BB">
              <w:rPr>
                <w:lang w:val="en-AU"/>
              </w:rPr>
              <w:t>None</w:t>
            </w:r>
          </w:p>
        </w:tc>
      </w:tr>
      <w:tr w:rsidR="00E71FC9" w:rsidRPr="00720661" w14:paraId="46C9F5C4" w14:textId="77777777" w:rsidTr="00626805">
        <w:tc>
          <w:tcPr>
            <w:tcW w:w="1255" w:type="pct"/>
          </w:tcPr>
          <w:p w14:paraId="5EA5BAFB" w14:textId="77777777" w:rsidR="00E71FC9" w:rsidRPr="003B31BB" w:rsidRDefault="00E71FC9" w:rsidP="00626805">
            <w:pPr>
              <w:pStyle w:val="02Tabletext"/>
              <w:rPr>
                <w:bCs/>
                <w:color w:val="000000"/>
                <w:lang w:val="en-AU"/>
              </w:rPr>
            </w:pPr>
            <w:r w:rsidRPr="003B31BB">
              <w:rPr>
                <w:bCs/>
                <w:color w:val="000000"/>
                <w:lang w:val="en-AU"/>
              </w:rPr>
              <w:t>Professor Richard </w:t>
            </w:r>
            <w:proofErr w:type="spellStart"/>
            <w:r w:rsidRPr="003B31BB">
              <w:rPr>
                <w:bCs/>
                <w:color w:val="000000"/>
                <w:lang w:val="en-AU"/>
              </w:rPr>
              <w:t>Maclsaac</w:t>
            </w:r>
            <w:proofErr w:type="spellEnd"/>
          </w:p>
        </w:tc>
        <w:tc>
          <w:tcPr>
            <w:tcW w:w="2280" w:type="pct"/>
          </w:tcPr>
          <w:p w14:paraId="17031A09" w14:textId="77777777" w:rsidR="00E71FC9" w:rsidRPr="003B31BB" w:rsidRDefault="00E71FC9" w:rsidP="00626805">
            <w:pPr>
              <w:pStyle w:val="02Tabletext"/>
              <w:rPr>
                <w:lang w:val="en-AU"/>
              </w:rPr>
            </w:pPr>
            <w:r w:rsidRPr="003B31BB">
              <w:rPr>
                <w:lang w:val="en-AU"/>
              </w:rPr>
              <w:t>St Vincent's Hospital</w:t>
            </w:r>
          </w:p>
        </w:tc>
        <w:tc>
          <w:tcPr>
            <w:tcW w:w="1465" w:type="pct"/>
            <w:shd w:val="clear" w:color="auto" w:fill="auto"/>
          </w:tcPr>
          <w:p w14:paraId="6D0A7F7E" w14:textId="77777777" w:rsidR="00E71FC9" w:rsidRPr="00720661" w:rsidRDefault="00E71FC9" w:rsidP="00626805">
            <w:pPr>
              <w:pStyle w:val="02Tabletext"/>
              <w:rPr>
                <w:lang w:val="en-AU"/>
              </w:rPr>
            </w:pPr>
            <w:r w:rsidRPr="003B31BB">
              <w:rPr>
                <w:lang w:val="en-AU"/>
              </w:rPr>
              <w:t>None</w:t>
            </w:r>
          </w:p>
        </w:tc>
      </w:tr>
      <w:tr w:rsidR="00E71FC9" w:rsidRPr="00720661" w14:paraId="7DF82CE4" w14:textId="77777777" w:rsidTr="00626805">
        <w:tc>
          <w:tcPr>
            <w:tcW w:w="1255" w:type="pct"/>
          </w:tcPr>
          <w:p w14:paraId="4CE636BF" w14:textId="77777777" w:rsidR="00E71FC9" w:rsidRPr="003B31BB" w:rsidRDefault="00E71FC9" w:rsidP="00626805">
            <w:pPr>
              <w:pStyle w:val="02Tabletext"/>
              <w:rPr>
                <w:bCs/>
                <w:color w:val="000000"/>
                <w:lang w:val="en-AU"/>
              </w:rPr>
            </w:pPr>
            <w:r w:rsidRPr="003B31BB">
              <w:rPr>
                <w:bCs/>
                <w:color w:val="000000"/>
                <w:lang w:val="en-AU"/>
              </w:rPr>
              <w:t xml:space="preserve">Dr Emil </w:t>
            </w:r>
            <w:proofErr w:type="spellStart"/>
            <w:r w:rsidRPr="003B31BB">
              <w:rPr>
                <w:bCs/>
                <w:color w:val="000000"/>
                <w:lang w:val="en-AU"/>
              </w:rPr>
              <w:t>Djakic</w:t>
            </w:r>
            <w:proofErr w:type="spellEnd"/>
          </w:p>
        </w:tc>
        <w:tc>
          <w:tcPr>
            <w:tcW w:w="2280" w:type="pct"/>
          </w:tcPr>
          <w:p w14:paraId="36CF0F5C" w14:textId="77777777" w:rsidR="00E71FC9" w:rsidRPr="003B31BB" w:rsidRDefault="00E71FC9" w:rsidP="00626805">
            <w:pPr>
              <w:pStyle w:val="02Tabletext"/>
              <w:rPr>
                <w:lang w:val="en-AU"/>
              </w:rPr>
            </w:pPr>
            <w:r w:rsidRPr="003B31BB">
              <w:rPr>
                <w:lang w:val="en-AU"/>
              </w:rPr>
              <w:t>General practitioner</w:t>
            </w:r>
          </w:p>
        </w:tc>
        <w:tc>
          <w:tcPr>
            <w:tcW w:w="1465" w:type="pct"/>
            <w:shd w:val="clear" w:color="auto" w:fill="auto"/>
          </w:tcPr>
          <w:p w14:paraId="408D0B52" w14:textId="77777777" w:rsidR="00E71FC9" w:rsidRPr="00720661" w:rsidRDefault="00E71FC9" w:rsidP="00626805">
            <w:pPr>
              <w:pStyle w:val="02Tabletext"/>
              <w:rPr>
                <w:lang w:val="en-AU"/>
              </w:rPr>
            </w:pPr>
            <w:r w:rsidRPr="003B31BB">
              <w:rPr>
                <w:lang w:val="en-AU"/>
              </w:rPr>
              <w:t>None</w:t>
            </w:r>
          </w:p>
        </w:tc>
      </w:tr>
      <w:tr w:rsidR="00E71FC9" w:rsidRPr="00720661" w14:paraId="04D106BC" w14:textId="77777777" w:rsidTr="00626805">
        <w:tc>
          <w:tcPr>
            <w:tcW w:w="1255" w:type="pct"/>
          </w:tcPr>
          <w:p w14:paraId="34DF1A72" w14:textId="77777777" w:rsidR="00E71FC9" w:rsidRPr="003B31BB" w:rsidRDefault="00E71FC9" w:rsidP="00626805">
            <w:pPr>
              <w:pStyle w:val="02Tabletext"/>
              <w:rPr>
                <w:bCs/>
                <w:color w:val="000000"/>
                <w:lang w:val="en-AU"/>
              </w:rPr>
            </w:pPr>
            <w:r w:rsidRPr="003B31BB">
              <w:rPr>
                <w:bCs/>
                <w:color w:val="000000"/>
                <w:lang w:val="en-AU"/>
              </w:rPr>
              <w:t xml:space="preserve">Dr Bev </w:t>
            </w:r>
            <w:proofErr w:type="spellStart"/>
            <w:r w:rsidRPr="003B31BB">
              <w:rPr>
                <w:bCs/>
                <w:color w:val="000000"/>
                <w:lang w:val="en-AU"/>
              </w:rPr>
              <w:t>Rowbotham</w:t>
            </w:r>
            <w:proofErr w:type="spellEnd"/>
          </w:p>
        </w:tc>
        <w:tc>
          <w:tcPr>
            <w:tcW w:w="2280" w:type="pct"/>
          </w:tcPr>
          <w:p w14:paraId="6E064561" w14:textId="77777777" w:rsidR="00E71FC9" w:rsidRPr="003B31BB" w:rsidRDefault="00E71FC9" w:rsidP="00626805">
            <w:pPr>
              <w:pStyle w:val="02Tabletext"/>
              <w:rPr>
                <w:lang w:val="en-AU"/>
              </w:rPr>
            </w:pPr>
            <w:r w:rsidRPr="003B31BB">
              <w:rPr>
                <w:lang w:val="en-AU"/>
              </w:rPr>
              <w:t>MBS Taskforce</w:t>
            </w:r>
          </w:p>
        </w:tc>
        <w:tc>
          <w:tcPr>
            <w:tcW w:w="1465" w:type="pct"/>
            <w:shd w:val="clear" w:color="auto" w:fill="auto"/>
          </w:tcPr>
          <w:p w14:paraId="01A07C66" w14:textId="77777777" w:rsidR="00E71FC9" w:rsidRPr="00720661" w:rsidRDefault="00E71FC9" w:rsidP="00626805">
            <w:pPr>
              <w:pStyle w:val="02Tabletext"/>
              <w:rPr>
                <w:lang w:val="en-AU"/>
              </w:rPr>
            </w:pPr>
            <w:r w:rsidRPr="003B31BB">
              <w:rPr>
                <w:lang w:val="en-AU"/>
              </w:rPr>
              <w:t>None</w:t>
            </w:r>
          </w:p>
        </w:tc>
      </w:tr>
      <w:tr w:rsidR="00E71FC9" w:rsidRPr="00720661" w14:paraId="37ABCA6F" w14:textId="77777777" w:rsidTr="00626805">
        <w:tc>
          <w:tcPr>
            <w:tcW w:w="1255" w:type="pct"/>
          </w:tcPr>
          <w:p w14:paraId="61FC1E2E" w14:textId="77777777" w:rsidR="00E71FC9" w:rsidRPr="003B31BB" w:rsidRDefault="00E71FC9" w:rsidP="00626805">
            <w:pPr>
              <w:pStyle w:val="02Tabletext"/>
              <w:rPr>
                <w:bCs/>
                <w:color w:val="000000"/>
                <w:lang w:val="en-AU"/>
              </w:rPr>
            </w:pPr>
            <w:r w:rsidRPr="003B31BB">
              <w:rPr>
                <w:bCs/>
                <w:color w:val="000000"/>
                <w:lang w:val="en-AU"/>
              </w:rPr>
              <w:t xml:space="preserve">Dr Jill </w:t>
            </w:r>
            <w:proofErr w:type="spellStart"/>
            <w:r w:rsidRPr="003B31BB">
              <w:rPr>
                <w:bCs/>
                <w:color w:val="000000"/>
                <w:lang w:val="en-AU"/>
              </w:rPr>
              <w:t>Thistlethwaite</w:t>
            </w:r>
            <w:proofErr w:type="spellEnd"/>
          </w:p>
        </w:tc>
        <w:tc>
          <w:tcPr>
            <w:tcW w:w="2280" w:type="pct"/>
          </w:tcPr>
          <w:p w14:paraId="201EC5C7" w14:textId="77777777" w:rsidR="00E71FC9" w:rsidRPr="003B31BB" w:rsidRDefault="00E71FC9" w:rsidP="00626805">
            <w:pPr>
              <w:pStyle w:val="02Tabletext"/>
              <w:rPr>
                <w:lang w:val="en-AU"/>
              </w:rPr>
            </w:pPr>
            <w:r w:rsidRPr="003B31BB">
              <w:rPr>
                <w:lang w:val="en-AU"/>
              </w:rPr>
              <w:t>General practitioner</w:t>
            </w:r>
          </w:p>
        </w:tc>
        <w:tc>
          <w:tcPr>
            <w:tcW w:w="1465" w:type="pct"/>
            <w:shd w:val="clear" w:color="auto" w:fill="auto"/>
          </w:tcPr>
          <w:p w14:paraId="57962F92" w14:textId="77777777" w:rsidR="00E71FC9" w:rsidRPr="00720661" w:rsidRDefault="00E71FC9" w:rsidP="00626805">
            <w:pPr>
              <w:pStyle w:val="02Tabletext"/>
              <w:rPr>
                <w:lang w:val="en-AU"/>
              </w:rPr>
            </w:pPr>
            <w:r w:rsidRPr="003B31BB">
              <w:rPr>
                <w:lang w:val="en-AU"/>
              </w:rPr>
              <w:t>None</w:t>
            </w:r>
          </w:p>
        </w:tc>
      </w:tr>
      <w:tr w:rsidR="00E71FC9" w:rsidRPr="00720661" w14:paraId="4726376A" w14:textId="77777777" w:rsidTr="00626805">
        <w:tc>
          <w:tcPr>
            <w:tcW w:w="1255" w:type="pct"/>
          </w:tcPr>
          <w:p w14:paraId="5481C85C" w14:textId="77777777" w:rsidR="00E71FC9" w:rsidRPr="003B31BB" w:rsidRDefault="00E71FC9" w:rsidP="00626805">
            <w:pPr>
              <w:pStyle w:val="02Tabletext"/>
              <w:rPr>
                <w:bCs/>
                <w:color w:val="000000"/>
                <w:lang w:val="en-AU"/>
              </w:rPr>
            </w:pPr>
            <w:r w:rsidRPr="003B31BB">
              <w:rPr>
                <w:bCs/>
                <w:color w:val="000000"/>
                <w:lang w:val="en-AU"/>
              </w:rPr>
              <w:t>Ms Valerie Hanrahan</w:t>
            </w:r>
          </w:p>
        </w:tc>
        <w:tc>
          <w:tcPr>
            <w:tcW w:w="2280" w:type="pct"/>
          </w:tcPr>
          <w:p w14:paraId="11F04891" w14:textId="77777777" w:rsidR="00E71FC9" w:rsidRPr="003B31BB" w:rsidRDefault="00E71FC9" w:rsidP="00626805">
            <w:pPr>
              <w:pStyle w:val="02Tabletext"/>
              <w:rPr>
                <w:lang w:val="en-AU"/>
              </w:rPr>
            </w:pPr>
            <w:r w:rsidRPr="003B31BB">
              <w:rPr>
                <w:lang w:val="en-AU"/>
              </w:rPr>
              <w:t>Consumers Health Forum</w:t>
            </w:r>
          </w:p>
        </w:tc>
        <w:tc>
          <w:tcPr>
            <w:tcW w:w="1465" w:type="pct"/>
            <w:shd w:val="clear" w:color="auto" w:fill="auto"/>
          </w:tcPr>
          <w:p w14:paraId="4A1C9FAB" w14:textId="77777777" w:rsidR="00E71FC9" w:rsidRPr="00720661" w:rsidRDefault="00E71FC9" w:rsidP="00626805">
            <w:pPr>
              <w:pStyle w:val="02Tabletext"/>
              <w:rPr>
                <w:lang w:val="en-AU"/>
              </w:rPr>
            </w:pPr>
            <w:r w:rsidRPr="003B31BB">
              <w:rPr>
                <w:lang w:val="en-AU"/>
              </w:rPr>
              <w:t>None</w:t>
            </w:r>
          </w:p>
        </w:tc>
      </w:tr>
      <w:tr w:rsidR="00E71FC9" w:rsidRPr="00720661" w14:paraId="5854CC3A" w14:textId="77777777" w:rsidTr="00626805">
        <w:tc>
          <w:tcPr>
            <w:tcW w:w="1255" w:type="pct"/>
          </w:tcPr>
          <w:p w14:paraId="2028C49D" w14:textId="77777777" w:rsidR="00E71FC9" w:rsidRPr="003B31BB" w:rsidRDefault="00E71FC9" w:rsidP="00626805">
            <w:pPr>
              <w:pStyle w:val="02Tabletext"/>
              <w:rPr>
                <w:bCs/>
                <w:color w:val="000000"/>
                <w:lang w:val="en-AU"/>
              </w:rPr>
            </w:pPr>
            <w:r w:rsidRPr="003B31BB">
              <w:rPr>
                <w:bCs/>
                <w:color w:val="000000"/>
                <w:lang w:val="en-AU"/>
              </w:rPr>
              <w:t>Dr Robyn Lindner</w:t>
            </w:r>
          </w:p>
        </w:tc>
        <w:tc>
          <w:tcPr>
            <w:tcW w:w="2280" w:type="pct"/>
          </w:tcPr>
          <w:p w14:paraId="570B6C1D" w14:textId="77777777" w:rsidR="00E71FC9" w:rsidRPr="003B31BB" w:rsidRDefault="00114065" w:rsidP="00626805">
            <w:pPr>
              <w:pStyle w:val="02Tabletext"/>
              <w:rPr>
                <w:lang w:val="en-AU"/>
              </w:rPr>
            </w:pPr>
            <w:r w:rsidRPr="003B31BB">
              <w:rPr>
                <w:lang w:val="en-AU"/>
              </w:rPr>
              <w:t>NPS MedicineWise</w:t>
            </w:r>
          </w:p>
        </w:tc>
        <w:tc>
          <w:tcPr>
            <w:tcW w:w="1465" w:type="pct"/>
            <w:shd w:val="clear" w:color="auto" w:fill="auto"/>
          </w:tcPr>
          <w:p w14:paraId="6C3F6D66" w14:textId="77777777" w:rsidR="00E71FC9" w:rsidRPr="00720661" w:rsidRDefault="00E71FC9" w:rsidP="00626805">
            <w:pPr>
              <w:pStyle w:val="02Tabletext"/>
              <w:rPr>
                <w:lang w:val="en-AU"/>
              </w:rPr>
            </w:pPr>
            <w:r w:rsidRPr="003B31BB">
              <w:rPr>
                <w:lang w:val="en-AU"/>
              </w:rPr>
              <w:t>None</w:t>
            </w:r>
          </w:p>
        </w:tc>
      </w:tr>
      <w:tr w:rsidR="004B58C3" w:rsidRPr="00720661" w14:paraId="647E8E4C" w14:textId="77777777" w:rsidTr="00626805">
        <w:tc>
          <w:tcPr>
            <w:tcW w:w="1255" w:type="pct"/>
          </w:tcPr>
          <w:p w14:paraId="482BB5BF" w14:textId="77777777" w:rsidR="004B58C3" w:rsidRPr="003B31BB" w:rsidRDefault="004B58C3" w:rsidP="004B58C3">
            <w:pPr>
              <w:pStyle w:val="02Tabletext"/>
              <w:rPr>
                <w:bCs/>
                <w:color w:val="000000"/>
                <w:lang w:val="en-AU"/>
              </w:rPr>
            </w:pPr>
            <w:r w:rsidRPr="003B31BB">
              <w:rPr>
                <w:lang w:val="en-AU"/>
              </w:rPr>
              <w:t>Professor Hans Schneider</w:t>
            </w:r>
          </w:p>
        </w:tc>
        <w:tc>
          <w:tcPr>
            <w:tcW w:w="2280" w:type="pct"/>
          </w:tcPr>
          <w:p w14:paraId="4FE830B6" w14:textId="77777777" w:rsidR="004B58C3" w:rsidRPr="003B31BB" w:rsidRDefault="004B58C3" w:rsidP="004B58C3">
            <w:pPr>
              <w:pStyle w:val="02Tabletext"/>
              <w:rPr>
                <w:lang w:val="en-AU"/>
              </w:rPr>
            </w:pPr>
            <w:r w:rsidRPr="003B31BB">
              <w:rPr>
                <w:lang w:val="en-AU"/>
              </w:rPr>
              <w:t>Alfred Pathology Service (Melbourne)</w:t>
            </w:r>
          </w:p>
        </w:tc>
        <w:tc>
          <w:tcPr>
            <w:tcW w:w="1465" w:type="pct"/>
            <w:shd w:val="clear" w:color="auto" w:fill="auto"/>
          </w:tcPr>
          <w:p w14:paraId="19A1852B" w14:textId="77777777" w:rsidR="004B58C3" w:rsidRPr="003B31BB" w:rsidRDefault="004B58C3" w:rsidP="004B58C3">
            <w:pPr>
              <w:pStyle w:val="02Tabletext"/>
              <w:rPr>
                <w:lang w:val="en-AU"/>
              </w:rPr>
            </w:pPr>
            <w:r w:rsidRPr="003B31BB">
              <w:rPr>
                <w:lang w:val="en-AU"/>
              </w:rPr>
              <w:t>None</w:t>
            </w:r>
          </w:p>
        </w:tc>
      </w:tr>
      <w:tr w:rsidR="004B58C3" w:rsidRPr="00720661" w14:paraId="11A6844C" w14:textId="77777777" w:rsidTr="00626805">
        <w:tc>
          <w:tcPr>
            <w:tcW w:w="1255" w:type="pct"/>
          </w:tcPr>
          <w:p w14:paraId="6625E4FB" w14:textId="77777777" w:rsidR="004B58C3" w:rsidRPr="003B31BB" w:rsidRDefault="004B58C3" w:rsidP="004B58C3">
            <w:pPr>
              <w:pStyle w:val="02Tabletext"/>
              <w:rPr>
                <w:bCs/>
                <w:color w:val="000000"/>
                <w:lang w:val="en-AU"/>
              </w:rPr>
            </w:pPr>
            <w:r w:rsidRPr="003B31BB">
              <w:rPr>
                <w:lang w:val="en-AU"/>
              </w:rPr>
              <w:t>Associate Professor Adrienne Morey</w:t>
            </w:r>
          </w:p>
        </w:tc>
        <w:tc>
          <w:tcPr>
            <w:tcW w:w="2280" w:type="pct"/>
          </w:tcPr>
          <w:p w14:paraId="56CE5630" w14:textId="77777777" w:rsidR="004B58C3" w:rsidRPr="003B31BB" w:rsidRDefault="004B58C3" w:rsidP="004B58C3">
            <w:pPr>
              <w:pStyle w:val="02Tabletext"/>
              <w:rPr>
                <w:lang w:val="en-AU"/>
              </w:rPr>
            </w:pPr>
            <w:r w:rsidRPr="003B31BB">
              <w:rPr>
                <w:lang w:val="en-AU"/>
              </w:rPr>
              <w:t>ACT Pathology</w:t>
            </w:r>
          </w:p>
        </w:tc>
        <w:tc>
          <w:tcPr>
            <w:tcW w:w="1465" w:type="pct"/>
            <w:shd w:val="clear" w:color="auto" w:fill="auto"/>
          </w:tcPr>
          <w:p w14:paraId="44CD4395" w14:textId="77777777" w:rsidR="004B58C3" w:rsidRPr="003B31BB" w:rsidRDefault="004B58C3" w:rsidP="004B58C3">
            <w:pPr>
              <w:pStyle w:val="02Tabletext"/>
              <w:rPr>
                <w:lang w:val="en-AU"/>
              </w:rPr>
            </w:pPr>
            <w:r w:rsidRPr="003B31BB">
              <w:rPr>
                <w:lang w:val="en-AU"/>
              </w:rPr>
              <w:t>None</w:t>
            </w:r>
          </w:p>
        </w:tc>
      </w:tr>
    </w:tbl>
    <w:p w14:paraId="3C2E10EE" w14:textId="77777777" w:rsidR="00E43FC0" w:rsidRPr="003B31BB" w:rsidRDefault="00E71FC9" w:rsidP="004B2397">
      <w:pPr>
        <w:rPr>
          <w:lang w:val="en-AU"/>
        </w:rPr>
      </w:pPr>
      <w:r w:rsidRPr="00720661">
        <w:rPr>
          <w:lang w:val="en-AU"/>
        </w:rPr>
        <w:t xml:space="preserve">It is noted that most </w:t>
      </w:r>
      <w:r w:rsidR="00074D44">
        <w:rPr>
          <w:lang w:val="en-AU"/>
        </w:rPr>
        <w:t>c</w:t>
      </w:r>
      <w:r w:rsidRPr="00720661">
        <w:rPr>
          <w:lang w:val="en-AU"/>
        </w:rPr>
        <w:t xml:space="preserve">ommittee and </w:t>
      </w:r>
      <w:r w:rsidR="00074D44">
        <w:rPr>
          <w:lang w:val="en-AU"/>
        </w:rPr>
        <w:t>w</w:t>
      </w:r>
      <w:r w:rsidRPr="00720661">
        <w:rPr>
          <w:lang w:val="en-AU"/>
        </w:rPr>
        <w:t xml:space="preserve">orking </w:t>
      </w:r>
      <w:r w:rsidR="00074D44">
        <w:rPr>
          <w:lang w:val="en-AU"/>
        </w:rPr>
        <w:t>g</w:t>
      </w:r>
      <w:r w:rsidRPr="00720661">
        <w:rPr>
          <w:lang w:val="en-AU"/>
        </w:rPr>
        <w:t xml:space="preserve">roup members share a common conflict of interest in reviewing items that are a source of revenue for them (i.e. </w:t>
      </w:r>
      <w:r w:rsidR="00074D44">
        <w:rPr>
          <w:lang w:val="en-AU"/>
        </w:rPr>
        <w:t>c</w:t>
      </w:r>
      <w:r w:rsidRPr="00720661">
        <w:rPr>
          <w:lang w:val="en-AU"/>
        </w:rPr>
        <w:t xml:space="preserve">ommittee members </w:t>
      </w:r>
      <w:r w:rsidR="0006183A" w:rsidRPr="00720661">
        <w:rPr>
          <w:lang w:val="en-AU"/>
        </w:rPr>
        <w:t>provide the services</w:t>
      </w:r>
      <w:r w:rsidRPr="00720661">
        <w:rPr>
          <w:lang w:val="en-AU"/>
        </w:rPr>
        <w:t xml:space="preserve"> under review). This conflict is inherent in a clinician-led process and</w:t>
      </w:r>
      <w:r w:rsidR="00500BFD" w:rsidRPr="00720661">
        <w:rPr>
          <w:lang w:val="en-AU"/>
        </w:rPr>
        <w:t>,</w:t>
      </w:r>
      <w:r w:rsidRPr="00720661">
        <w:rPr>
          <w:lang w:val="en-AU"/>
        </w:rPr>
        <w:t xml:space="preserve"> having been acknowledged by the Committee and the Taskforce, it was agreed that this should not prevent a clinician from participating in the Review. </w:t>
      </w:r>
    </w:p>
    <w:p w14:paraId="4E4C5293" w14:textId="77777777" w:rsidR="00926C59" w:rsidRPr="003B31BB" w:rsidRDefault="00926C59">
      <w:pPr>
        <w:pStyle w:val="Heading2"/>
      </w:pPr>
      <w:bookmarkStart w:id="67" w:name="_Toc13735971"/>
      <w:r w:rsidRPr="003B31BB">
        <w:lastRenderedPageBreak/>
        <w:t>The Genetics Working Group</w:t>
      </w:r>
      <w:bookmarkEnd w:id="67"/>
    </w:p>
    <w:p w14:paraId="6108C29E" w14:textId="77777777" w:rsidR="00E43FC0" w:rsidRPr="00720661" w:rsidRDefault="00E43FC0" w:rsidP="00E43FC0">
      <w:pPr>
        <w:rPr>
          <w:lang w:val="en-AU"/>
        </w:rPr>
      </w:pPr>
      <w:r w:rsidRPr="003B31BB">
        <w:rPr>
          <w:lang w:val="en-AU"/>
        </w:rPr>
        <w:t xml:space="preserve">The </w:t>
      </w:r>
      <w:r w:rsidR="00F234E5" w:rsidRPr="003B31BB">
        <w:rPr>
          <w:lang w:val="en-AU"/>
        </w:rPr>
        <w:t>Genetics</w:t>
      </w:r>
      <w:r w:rsidRPr="003B31BB">
        <w:rPr>
          <w:lang w:val="en-AU"/>
        </w:rPr>
        <w:t xml:space="preserve"> Working Group is one of six clinical working groups </w:t>
      </w:r>
      <w:r w:rsidR="00074D44">
        <w:rPr>
          <w:lang w:val="en-AU"/>
        </w:rPr>
        <w:t>supporting</w:t>
      </w:r>
      <w:r w:rsidRPr="003B31BB">
        <w:rPr>
          <w:lang w:val="en-AU"/>
        </w:rPr>
        <w:t xml:space="preserve"> the work of the Pathology Clinical Committee. It was established to review </w:t>
      </w:r>
      <w:r w:rsidR="00E71FC9" w:rsidRPr="003B31BB">
        <w:rPr>
          <w:lang w:val="en-AU"/>
        </w:rPr>
        <w:t xml:space="preserve">genetics </w:t>
      </w:r>
      <w:r w:rsidR="009240D1" w:rsidRPr="003B31BB">
        <w:rPr>
          <w:lang w:val="en-AU"/>
        </w:rPr>
        <w:t>pathology items</w:t>
      </w:r>
      <w:r w:rsidRPr="003B31BB">
        <w:rPr>
          <w:lang w:val="en-AU"/>
        </w:rPr>
        <w:t xml:space="preserve"> and make recommendations to the Pathology Clinical Committee based on rapid evidence review and clinical expertise. </w:t>
      </w:r>
    </w:p>
    <w:p w14:paraId="281F12D9" w14:textId="77777777" w:rsidR="00E43FC0" w:rsidRPr="003B31BB" w:rsidRDefault="00E43FC0" w:rsidP="00E43FC0">
      <w:pPr>
        <w:rPr>
          <w:lang w:val="en-AU"/>
        </w:rPr>
      </w:pPr>
      <w:r w:rsidRPr="003B31BB">
        <w:rPr>
          <w:lang w:val="en-AU"/>
        </w:rPr>
        <w:t xml:space="preserve">The </w:t>
      </w:r>
      <w:r w:rsidR="00F234E5" w:rsidRPr="003B31BB">
        <w:rPr>
          <w:lang w:val="en-AU"/>
        </w:rPr>
        <w:t>Genetics</w:t>
      </w:r>
      <w:r w:rsidRPr="003B31BB">
        <w:rPr>
          <w:lang w:val="en-AU"/>
        </w:rPr>
        <w:t xml:space="preserve"> Working Group </w:t>
      </w:r>
      <w:r w:rsidR="009764E6" w:rsidRPr="003B31BB">
        <w:rPr>
          <w:lang w:val="en-AU"/>
        </w:rPr>
        <w:t xml:space="preserve">consists of </w:t>
      </w:r>
      <w:r w:rsidR="004B2397" w:rsidRPr="003B31BB">
        <w:rPr>
          <w:lang w:val="en-AU"/>
        </w:rPr>
        <w:t>seven</w:t>
      </w:r>
      <w:r w:rsidRPr="003B31BB">
        <w:rPr>
          <w:lang w:val="en-AU"/>
        </w:rPr>
        <w:t xml:space="preserve"> members, whose names, positions/organisations and declared conflicts of interest are listed in Table 2 below. </w:t>
      </w:r>
    </w:p>
    <w:p w14:paraId="4B22D471" w14:textId="77777777" w:rsidR="00E43FC0" w:rsidRPr="00720661" w:rsidRDefault="00E43FC0">
      <w:pPr>
        <w:pStyle w:val="Caption"/>
      </w:pPr>
      <w:bookmarkStart w:id="68" w:name="_Toc482009624"/>
      <w:r w:rsidRPr="00720661">
        <w:t xml:space="preserve">Table </w:t>
      </w:r>
      <w:r w:rsidR="000C3E3F" w:rsidRPr="00860DE7">
        <w:fldChar w:fldCharType="begin"/>
      </w:r>
      <w:r w:rsidR="000C3E3F" w:rsidRPr="00720661">
        <w:instrText xml:space="preserve"> AUTONUM  \* Arabic </w:instrText>
      </w:r>
      <w:r w:rsidR="000C3E3F" w:rsidRPr="00860DE7">
        <w:fldChar w:fldCharType="end"/>
      </w:r>
      <w:r w:rsidR="000C3E3F" w:rsidRPr="00720661">
        <w:t xml:space="preserve"> </w:t>
      </w:r>
      <w:r w:rsidR="009402B7" w:rsidRPr="00720661">
        <w:t>Genetics</w:t>
      </w:r>
      <w:r w:rsidRPr="00720661">
        <w:t xml:space="preserve"> Working Group </w:t>
      </w:r>
      <w:r w:rsidR="00DA0936">
        <w:t>m</w:t>
      </w:r>
      <w:r w:rsidRPr="00720661">
        <w:t>embers</w:t>
      </w:r>
      <w:bookmarkEnd w:id="6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 lists the Committee members for the Genetics Working Group. The table shows that there are no conflicts of interest from all the members."/>
      </w:tblPr>
      <w:tblGrid>
        <w:gridCol w:w="2263"/>
        <w:gridCol w:w="4111"/>
        <w:gridCol w:w="2642"/>
      </w:tblGrid>
      <w:tr w:rsidR="00E43FC0" w:rsidRPr="00720661" w14:paraId="114E517E" w14:textId="77777777" w:rsidTr="00980E80">
        <w:trPr>
          <w:tblHeader/>
        </w:trPr>
        <w:tc>
          <w:tcPr>
            <w:tcW w:w="1255" w:type="pct"/>
            <w:shd w:val="clear" w:color="auto" w:fill="F2F2F2" w:themeFill="background1" w:themeFillShade="F2"/>
            <w:vAlign w:val="bottom"/>
          </w:tcPr>
          <w:p w14:paraId="123CC314" w14:textId="77777777" w:rsidR="00E43FC0" w:rsidRPr="00720661" w:rsidRDefault="00E43FC0" w:rsidP="00244799">
            <w:pPr>
              <w:pStyle w:val="01Tableheaderrow"/>
              <w:rPr>
                <w:lang w:val="en-AU"/>
              </w:rPr>
            </w:pPr>
            <w:r w:rsidRPr="00720661">
              <w:rPr>
                <w:lang w:val="en-AU"/>
              </w:rPr>
              <w:t>Name</w:t>
            </w:r>
          </w:p>
        </w:tc>
        <w:tc>
          <w:tcPr>
            <w:tcW w:w="2280" w:type="pct"/>
            <w:shd w:val="clear" w:color="auto" w:fill="F2F2F2" w:themeFill="background1" w:themeFillShade="F2"/>
            <w:vAlign w:val="bottom"/>
          </w:tcPr>
          <w:p w14:paraId="40148971" w14:textId="77777777" w:rsidR="00E43FC0" w:rsidRPr="00720661" w:rsidRDefault="00E43FC0" w:rsidP="00244799">
            <w:pPr>
              <w:pStyle w:val="01Tableheaderrow"/>
              <w:rPr>
                <w:lang w:val="en-AU"/>
              </w:rPr>
            </w:pPr>
            <w:r w:rsidRPr="00720661">
              <w:rPr>
                <w:lang w:val="en-AU"/>
              </w:rPr>
              <w:t>Position/Organisation</w:t>
            </w:r>
          </w:p>
        </w:tc>
        <w:tc>
          <w:tcPr>
            <w:tcW w:w="1465" w:type="pct"/>
            <w:shd w:val="clear" w:color="auto" w:fill="F2F2F2" w:themeFill="background1" w:themeFillShade="F2"/>
            <w:vAlign w:val="bottom"/>
          </w:tcPr>
          <w:p w14:paraId="6EE99036" w14:textId="77777777" w:rsidR="00E43FC0" w:rsidRPr="00720661" w:rsidRDefault="00E43FC0" w:rsidP="00244799">
            <w:pPr>
              <w:pStyle w:val="01Tableheaderrow"/>
              <w:rPr>
                <w:lang w:val="en-AU"/>
              </w:rPr>
            </w:pPr>
            <w:r w:rsidRPr="00720661">
              <w:rPr>
                <w:lang w:val="en-AU"/>
              </w:rPr>
              <w:t>Declared conflict of interest</w:t>
            </w:r>
          </w:p>
        </w:tc>
      </w:tr>
      <w:tr w:rsidR="00E43FC0" w:rsidRPr="00720661" w14:paraId="19834B36" w14:textId="77777777" w:rsidTr="00980E80">
        <w:tc>
          <w:tcPr>
            <w:tcW w:w="1255" w:type="pct"/>
          </w:tcPr>
          <w:p w14:paraId="04991B94" w14:textId="77777777" w:rsidR="00E43FC0" w:rsidRPr="00720661" w:rsidRDefault="004B2397" w:rsidP="00244799">
            <w:pPr>
              <w:pStyle w:val="02Tabletext"/>
              <w:rPr>
                <w:lang w:val="en-AU"/>
              </w:rPr>
            </w:pPr>
            <w:r w:rsidRPr="00720661">
              <w:rPr>
                <w:lang w:val="en-AU"/>
              </w:rPr>
              <w:t xml:space="preserve">Dr Melody </w:t>
            </w:r>
            <w:proofErr w:type="spellStart"/>
            <w:r w:rsidRPr="00720661">
              <w:rPr>
                <w:lang w:val="en-AU"/>
              </w:rPr>
              <w:t>Caramins</w:t>
            </w:r>
            <w:proofErr w:type="spellEnd"/>
          </w:p>
        </w:tc>
        <w:tc>
          <w:tcPr>
            <w:tcW w:w="2280" w:type="pct"/>
          </w:tcPr>
          <w:p w14:paraId="00C3B737" w14:textId="77777777" w:rsidR="00980E80" w:rsidRPr="003B31BB" w:rsidRDefault="00980E80" w:rsidP="00244799">
            <w:pPr>
              <w:pStyle w:val="02Tabletext"/>
              <w:rPr>
                <w:lang w:val="en-AU"/>
              </w:rPr>
            </w:pPr>
            <w:r w:rsidRPr="003B31BB">
              <w:rPr>
                <w:lang w:val="en-AU"/>
              </w:rPr>
              <w:t xml:space="preserve">Specialist Diagnostic Services </w:t>
            </w:r>
          </w:p>
          <w:p w14:paraId="6F58602A" w14:textId="77777777" w:rsidR="00E43FC0" w:rsidRPr="00720661" w:rsidRDefault="00980E80">
            <w:pPr>
              <w:pStyle w:val="02Tabletext"/>
              <w:rPr>
                <w:lang w:val="en-AU"/>
              </w:rPr>
            </w:pPr>
            <w:r w:rsidRPr="003B31BB">
              <w:rPr>
                <w:lang w:val="en-AU"/>
              </w:rPr>
              <w:t>(Primary Healthcare Ltd.)</w:t>
            </w:r>
          </w:p>
        </w:tc>
        <w:tc>
          <w:tcPr>
            <w:tcW w:w="1465" w:type="pct"/>
          </w:tcPr>
          <w:p w14:paraId="2C6E2B63" w14:textId="77777777" w:rsidR="00E43FC0" w:rsidRPr="00720661" w:rsidRDefault="003328F0" w:rsidP="00244799">
            <w:pPr>
              <w:pStyle w:val="02Tabletext"/>
              <w:rPr>
                <w:lang w:val="en-AU"/>
              </w:rPr>
            </w:pPr>
            <w:r w:rsidRPr="00720661">
              <w:rPr>
                <w:lang w:val="en-AU"/>
              </w:rPr>
              <w:t>Noted below</w:t>
            </w:r>
          </w:p>
        </w:tc>
      </w:tr>
      <w:tr w:rsidR="004B2397" w:rsidRPr="00720661" w14:paraId="1BD4252B" w14:textId="77777777" w:rsidTr="00980E80">
        <w:tc>
          <w:tcPr>
            <w:tcW w:w="1255" w:type="pct"/>
          </w:tcPr>
          <w:p w14:paraId="5CE90CB7" w14:textId="77777777" w:rsidR="004B2397" w:rsidRPr="00720661" w:rsidRDefault="00C605CD" w:rsidP="00244799">
            <w:pPr>
              <w:pStyle w:val="02Tabletext"/>
              <w:rPr>
                <w:lang w:val="en-AU"/>
              </w:rPr>
            </w:pPr>
            <w:r w:rsidRPr="003B31BB">
              <w:rPr>
                <w:lang w:val="en-AU"/>
              </w:rPr>
              <w:t xml:space="preserve">Associate Professor </w:t>
            </w:r>
            <w:r w:rsidR="004B2397" w:rsidRPr="00720661">
              <w:rPr>
                <w:lang w:val="en-AU"/>
              </w:rPr>
              <w:t>Michael Buckley *</w:t>
            </w:r>
          </w:p>
        </w:tc>
        <w:tc>
          <w:tcPr>
            <w:tcW w:w="2280" w:type="pct"/>
          </w:tcPr>
          <w:p w14:paraId="7399A7DD" w14:textId="77777777" w:rsidR="004B2397" w:rsidRPr="00720661" w:rsidRDefault="00690104" w:rsidP="00244799">
            <w:pPr>
              <w:pStyle w:val="02Tabletext"/>
              <w:rPr>
                <w:lang w:val="en-AU"/>
              </w:rPr>
            </w:pPr>
            <w:r w:rsidRPr="003B31BB">
              <w:rPr>
                <w:lang w:val="en-AU"/>
              </w:rPr>
              <w:t>NSW Health Pathology</w:t>
            </w:r>
          </w:p>
        </w:tc>
        <w:tc>
          <w:tcPr>
            <w:tcW w:w="1465" w:type="pct"/>
          </w:tcPr>
          <w:p w14:paraId="68C9ABE3" w14:textId="77777777" w:rsidR="004B2397" w:rsidRPr="00720661" w:rsidRDefault="003328F0" w:rsidP="00244799">
            <w:pPr>
              <w:pStyle w:val="02Tabletext"/>
              <w:rPr>
                <w:lang w:val="en-AU"/>
              </w:rPr>
            </w:pPr>
            <w:r w:rsidRPr="00720661">
              <w:rPr>
                <w:lang w:val="en-AU"/>
              </w:rPr>
              <w:t>Noted below</w:t>
            </w:r>
          </w:p>
        </w:tc>
      </w:tr>
      <w:tr w:rsidR="00E43FC0" w:rsidRPr="00720661" w14:paraId="0A500DB0" w14:textId="77777777" w:rsidTr="00980E80">
        <w:tc>
          <w:tcPr>
            <w:tcW w:w="1255" w:type="pct"/>
          </w:tcPr>
          <w:p w14:paraId="34A2A635" w14:textId="77777777" w:rsidR="00E43FC0" w:rsidRPr="00720661" w:rsidRDefault="004B2397" w:rsidP="00244799">
            <w:pPr>
              <w:pStyle w:val="02Tabletext"/>
              <w:rPr>
                <w:lang w:val="en-AU"/>
              </w:rPr>
            </w:pPr>
            <w:r w:rsidRPr="00720661">
              <w:rPr>
                <w:lang w:val="en-AU"/>
              </w:rPr>
              <w:t>Dr Christine Boyce *</w:t>
            </w:r>
          </w:p>
        </w:tc>
        <w:tc>
          <w:tcPr>
            <w:tcW w:w="2280" w:type="pct"/>
          </w:tcPr>
          <w:p w14:paraId="5ECF12F2" w14:textId="77777777" w:rsidR="00E43FC0" w:rsidRPr="00720661" w:rsidRDefault="00EC5EEF" w:rsidP="00244799">
            <w:pPr>
              <w:pStyle w:val="02Tabletext"/>
              <w:rPr>
                <w:lang w:val="en-AU"/>
              </w:rPr>
            </w:pPr>
            <w:r w:rsidRPr="00720661">
              <w:rPr>
                <w:lang w:val="en-AU"/>
              </w:rPr>
              <w:t>General Practitioner</w:t>
            </w:r>
          </w:p>
        </w:tc>
        <w:tc>
          <w:tcPr>
            <w:tcW w:w="1465" w:type="pct"/>
          </w:tcPr>
          <w:p w14:paraId="4916C9FF" w14:textId="77777777" w:rsidR="00E43FC0" w:rsidRPr="00720661" w:rsidRDefault="00114065" w:rsidP="00244799">
            <w:pPr>
              <w:pStyle w:val="02Tabletext"/>
              <w:rPr>
                <w:lang w:val="en-AU"/>
              </w:rPr>
            </w:pPr>
            <w:r w:rsidRPr="00720661">
              <w:rPr>
                <w:lang w:val="en-AU"/>
              </w:rPr>
              <w:t>None</w:t>
            </w:r>
          </w:p>
        </w:tc>
      </w:tr>
      <w:tr w:rsidR="00E43FC0" w:rsidRPr="00720661" w14:paraId="6F426EEC" w14:textId="77777777" w:rsidTr="00980E80">
        <w:tc>
          <w:tcPr>
            <w:tcW w:w="1255" w:type="pct"/>
          </w:tcPr>
          <w:p w14:paraId="3C29C871" w14:textId="77777777" w:rsidR="00E43FC0" w:rsidRPr="00720661" w:rsidRDefault="004B2397" w:rsidP="00244799">
            <w:pPr>
              <w:pStyle w:val="02Tabletext"/>
              <w:rPr>
                <w:lang w:val="en-AU"/>
              </w:rPr>
            </w:pPr>
            <w:r w:rsidRPr="00720661">
              <w:rPr>
                <w:lang w:val="en-AU"/>
              </w:rPr>
              <w:t xml:space="preserve">Dr Janice Fletcher </w:t>
            </w:r>
          </w:p>
        </w:tc>
        <w:tc>
          <w:tcPr>
            <w:tcW w:w="2280" w:type="pct"/>
          </w:tcPr>
          <w:p w14:paraId="29FB7709" w14:textId="77777777" w:rsidR="00E43FC0" w:rsidRPr="00720661" w:rsidRDefault="00E46641" w:rsidP="00244799">
            <w:pPr>
              <w:pStyle w:val="02Tabletext"/>
              <w:rPr>
                <w:lang w:val="en-AU"/>
              </w:rPr>
            </w:pPr>
            <w:r w:rsidRPr="00720661">
              <w:rPr>
                <w:lang w:val="en-AU"/>
              </w:rPr>
              <w:t>SA Pathology</w:t>
            </w:r>
          </w:p>
        </w:tc>
        <w:tc>
          <w:tcPr>
            <w:tcW w:w="1465" w:type="pct"/>
          </w:tcPr>
          <w:p w14:paraId="2F1261E6" w14:textId="77777777" w:rsidR="00E43FC0" w:rsidRPr="00720661" w:rsidRDefault="00114065" w:rsidP="00244799">
            <w:pPr>
              <w:pStyle w:val="02Tabletext"/>
              <w:rPr>
                <w:lang w:val="en-AU"/>
              </w:rPr>
            </w:pPr>
            <w:r w:rsidRPr="00720661">
              <w:rPr>
                <w:lang w:val="en-AU"/>
              </w:rPr>
              <w:t>None</w:t>
            </w:r>
          </w:p>
        </w:tc>
      </w:tr>
      <w:tr w:rsidR="00E43FC0" w:rsidRPr="00720661" w14:paraId="30C0AEF6" w14:textId="77777777" w:rsidTr="00980E80">
        <w:tc>
          <w:tcPr>
            <w:tcW w:w="1255" w:type="pct"/>
          </w:tcPr>
          <w:p w14:paraId="62A640AE" w14:textId="77777777" w:rsidR="00E43FC0" w:rsidRPr="00720661" w:rsidRDefault="004B2397" w:rsidP="00244799">
            <w:pPr>
              <w:pStyle w:val="02Tabletext"/>
              <w:rPr>
                <w:lang w:val="en-AU"/>
              </w:rPr>
            </w:pPr>
            <w:r w:rsidRPr="00720661">
              <w:rPr>
                <w:lang w:val="en-AU"/>
              </w:rPr>
              <w:t>Ms Eileen Jerga</w:t>
            </w:r>
            <w:r w:rsidR="003328F0" w:rsidRPr="00720661">
              <w:rPr>
                <w:lang w:val="en-AU"/>
              </w:rPr>
              <w:t xml:space="preserve"> AM</w:t>
            </w:r>
          </w:p>
        </w:tc>
        <w:tc>
          <w:tcPr>
            <w:tcW w:w="2280" w:type="pct"/>
          </w:tcPr>
          <w:p w14:paraId="1F0C3140" w14:textId="77777777" w:rsidR="00E43FC0" w:rsidRPr="00720661" w:rsidRDefault="00114065" w:rsidP="00244799">
            <w:pPr>
              <w:pStyle w:val="02Tabletext"/>
              <w:rPr>
                <w:lang w:val="en-AU"/>
              </w:rPr>
            </w:pPr>
            <w:r w:rsidRPr="00720661">
              <w:rPr>
                <w:lang w:val="en-AU"/>
              </w:rPr>
              <w:t>Consumer</w:t>
            </w:r>
          </w:p>
        </w:tc>
        <w:tc>
          <w:tcPr>
            <w:tcW w:w="1465" w:type="pct"/>
          </w:tcPr>
          <w:p w14:paraId="31CA1627" w14:textId="77777777" w:rsidR="00E43FC0" w:rsidRPr="00720661" w:rsidRDefault="00114065" w:rsidP="00244799">
            <w:pPr>
              <w:pStyle w:val="02Tabletext"/>
              <w:rPr>
                <w:lang w:val="en-AU"/>
              </w:rPr>
            </w:pPr>
            <w:r w:rsidRPr="00720661">
              <w:rPr>
                <w:lang w:val="en-AU"/>
              </w:rPr>
              <w:t>None</w:t>
            </w:r>
          </w:p>
        </w:tc>
      </w:tr>
      <w:tr w:rsidR="00E43FC0" w:rsidRPr="00720661" w14:paraId="48EBE709" w14:textId="77777777" w:rsidTr="00980E80">
        <w:tc>
          <w:tcPr>
            <w:tcW w:w="1255" w:type="pct"/>
          </w:tcPr>
          <w:p w14:paraId="6B04D035" w14:textId="77777777" w:rsidR="00E43FC0" w:rsidRPr="00720661" w:rsidRDefault="00C605CD" w:rsidP="00244799">
            <w:pPr>
              <w:pStyle w:val="02Tabletext"/>
              <w:rPr>
                <w:lang w:val="en-AU"/>
              </w:rPr>
            </w:pPr>
            <w:r w:rsidRPr="003B31BB">
              <w:rPr>
                <w:lang w:val="en-AU"/>
              </w:rPr>
              <w:t xml:space="preserve">Associate Professor </w:t>
            </w:r>
            <w:r w:rsidR="004B2397" w:rsidRPr="00720661">
              <w:rPr>
                <w:lang w:val="en-AU"/>
              </w:rPr>
              <w:t>Julie McGaughran</w:t>
            </w:r>
          </w:p>
        </w:tc>
        <w:tc>
          <w:tcPr>
            <w:tcW w:w="2280" w:type="pct"/>
          </w:tcPr>
          <w:p w14:paraId="32B46DFA" w14:textId="77777777" w:rsidR="00E43FC0" w:rsidRPr="00720661" w:rsidRDefault="00EC5EEF" w:rsidP="00244799">
            <w:pPr>
              <w:pStyle w:val="02Tabletext"/>
              <w:rPr>
                <w:lang w:val="en-AU"/>
              </w:rPr>
            </w:pPr>
            <w:r w:rsidRPr="00720661">
              <w:rPr>
                <w:lang w:val="en-AU"/>
              </w:rPr>
              <w:t>Genetic Health Queensland</w:t>
            </w:r>
          </w:p>
        </w:tc>
        <w:tc>
          <w:tcPr>
            <w:tcW w:w="1465" w:type="pct"/>
          </w:tcPr>
          <w:p w14:paraId="4EEBD8E0" w14:textId="77777777" w:rsidR="00E43FC0" w:rsidRPr="00720661" w:rsidRDefault="00114065" w:rsidP="00244799">
            <w:pPr>
              <w:pStyle w:val="02Tabletext"/>
              <w:rPr>
                <w:lang w:val="en-AU"/>
              </w:rPr>
            </w:pPr>
            <w:r w:rsidRPr="00720661">
              <w:rPr>
                <w:lang w:val="en-AU"/>
              </w:rPr>
              <w:t>None</w:t>
            </w:r>
          </w:p>
        </w:tc>
      </w:tr>
      <w:tr w:rsidR="00E43FC0" w:rsidRPr="00720661" w14:paraId="0DBED76C" w14:textId="77777777" w:rsidTr="00980E80">
        <w:tc>
          <w:tcPr>
            <w:tcW w:w="1255" w:type="pct"/>
          </w:tcPr>
          <w:p w14:paraId="1D0B200F" w14:textId="77777777" w:rsidR="00E43FC0" w:rsidRPr="00720661" w:rsidRDefault="00C605CD" w:rsidP="004B2397">
            <w:pPr>
              <w:pStyle w:val="02Tabletext"/>
              <w:rPr>
                <w:lang w:val="en-AU"/>
              </w:rPr>
            </w:pPr>
            <w:r w:rsidRPr="003B31BB">
              <w:rPr>
                <w:bCs/>
                <w:color w:val="000000"/>
                <w:lang w:val="en-AU"/>
              </w:rPr>
              <w:t xml:space="preserve">Professor </w:t>
            </w:r>
            <w:r w:rsidR="004B2397" w:rsidRPr="00720661">
              <w:rPr>
                <w:lang w:val="en-AU"/>
              </w:rPr>
              <w:t>Graeme Suthers</w:t>
            </w:r>
          </w:p>
        </w:tc>
        <w:tc>
          <w:tcPr>
            <w:tcW w:w="2280" w:type="pct"/>
          </w:tcPr>
          <w:p w14:paraId="4ED9A67B" w14:textId="77777777" w:rsidR="00E43FC0" w:rsidRPr="00720661" w:rsidRDefault="00656087" w:rsidP="00244799">
            <w:pPr>
              <w:pStyle w:val="02Tabletext"/>
              <w:rPr>
                <w:lang w:val="en-AU"/>
              </w:rPr>
            </w:pPr>
            <w:r w:rsidRPr="00720661">
              <w:rPr>
                <w:lang w:val="en-AU"/>
              </w:rPr>
              <w:t>Sonic Health</w:t>
            </w:r>
            <w:r w:rsidR="00773C84" w:rsidRPr="00720661">
              <w:rPr>
                <w:lang w:val="en-AU"/>
              </w:rPr>
              <w:t>care</w:t>
            </w:r>
          </w:p>
        </w:tc>
        <w:tc>
          <w:tcPr>
            <w:tcW w:w="1465" w:type="pct"/>
          </w:tcPr>
          <w:p w14:paraId="0ED49E05" w14:textId="77777777" w:rsidR="00E43FC0" w:rsidRPr="00720661" w:rsidRDefault="003328F0" w:rsidP="00244799">
            <w:pPr>
              <w:pStyle w:val="02Tabletext"/>
              <w:rPr>
                <w:lang w:val="en-AU"/>
              </w:rPr>
            </w:pPr>
            <w:r w:rsidRPr="00720661">
              <w:rPr>
                <w:lang w:val="en-AU"/>
              </w:rPr>
              <w:t>Noted below</w:t>
            </w:r>
          </w:p>
        </w:tc>
      </w:tr>
    </w:tbl>
    <w:p w14:paraId="6D5B0726" w14:textId="77777777" w:rsidR="004B2397" w:rsidRPr="00720661" w:rsidRDefault="004B2397" w:rsidP="004B2397">
      <w:pPr>
        <w:pStyle w:val="Normalpara"/>
        <w:rPr>
          <w:sz w:val="18"/>
          <w:szCs w:val="18"/>
        </w:rPr>
      </w:pPr>
      <w:bookmarkStart w:id="69" w:name="_Toc459996810"/>
      <w:r w:rsidRPr="00720661">
        <w:t xml:space="preserve">* </w:t>
      </w:r>
      <w:r w:rsidRPr="00720661">
        <w:rPr>
          <w:sz w:val="18"/>
          <w:szCs w:val="18"/>
        </w:rPr>
        <w:t>Attended one meeting</w:t>
      </w:r>
    </w:p>
    <w:p w14:paraId="582E307E" w14:textId="77777777" w:rsidR="00177AF8" w:rsidRPr="00720661" w:rsidRDefault="00656087" w:rsidP="004B2397">
      <w:pPr>
        <w:pStyle w:val="Normalpara"/>
        <w:rPr>
          <w:szCs w:val="22"/>
        </w:rPr>
      </w:pPr>
      <w:r w:rsidRPr="00720661">
        <w:rPr>
          <w:szCs w:val="22"/>
        </w:rPr>
        <w:t xml:space="preserve">The following </w:t>
      </w:r>
      <w:r w:rsidR="00074D44">
        <w:rPr>
          <w:szCs w:val="22"/>
        </w:rPr>
        <w:t xml:space="preserve">Genetics </w:t>
      </w:r>
      <w:r w:rsidR="003328F0" w:rsidRPr="00720661">
        <w:rPr>
          <w:szCs w:val="22"/>
        </w:rPr>
        <w:t xml:space="preserve">Working Group </w:t>
      </w:r>
      <w:r w:rsidRPr="00720661">
        <w:rPr>
          <w:szCs w:val="22"/>
        </w:rPr>
        <w:t xml:space="preserve">members </w:t>
      </w:r>
      <w:r w:rsidR="004714E8" w:rsidRPr="00720661">
        <w:rPr>
          <w:szCs w:val="22"/>
        </w:rPr>
        <w:t>declared these affiliations:</w:t>
      </w:r>
    </w:p>
    <w:p w14:paraId="7F073CFE" w14:textId="77777777" w:rsidR="004714E8" w:rsidRPr="00720661" w:rsidRDefault="00C605CD" w:rsidP="003B31BB">
      <w:pPr>
        <w:pStyle w:val="NormalBulleted"/>
        <w:rPr>
          <w:rFonts w:eastAsia="Calibri"/>
          <w:lang w:val="en-AU" w:eastAsia="en-US"/>
        </w:rPr>
      </w:pPr>
      <w:r w:rsidRPr="003B31BB">
        <w:rPr>
          <w:bCs/>
          <w:color w:val="000000"/>
          <w:lang w:val="en-AU"/>
        </w:rPr>
        <w:t xml:space="preserve">Professor </w:t>
      </w:r>
      <w:r w:rsidR="004714E8" w:rsidRPr="00720661">
        <w:rPr>
          <w:rFonts w:eastAsia="Calibri"/>
          <w:lang w:val="en-AU" w:eastAsia="en-US"/>
        </w:rPr>
        <w:t>Suthers is employed by Sonic</w:t>
      </w:r>
      <w:r w:rsidR="00980E80" w:rsidRPr="00720661">
        <w:rPr>
          <w:rFonts w:eastAsia="Calibri"/>
          <w:lang w:val="en-AU" w:eastAsia="en-US"/>
        </w:rPr>
        <w:t xml:space="preserve"> Healthcare</w:t>
      </w:r>
      <w:r w:rsidR="004714E8" w:rsidRPr="00720661">
        <w:rPr>
          <w:rFonts w:eastAsia="Calibri"/>
          <w:lang w:val="en-AU" w:eastAsia="en-US"/>
        </w:rPr>
        <w:t>, a private provider of MBS items under discussion.</w:t>
      </w:r>
    </w:p>
    <w:p w14:paraId="53BBD9B4" w14:textId="77777777" w:rsidR="004714E8" w:rsidRPr="00720661" w:rsidRDefault="004714E8" w:rsidP="003B31BB">
      <w:pPr>
        <w:pStyle w:val="NormalBulleted"/>
        <w:rPr>
          <w:rFonts w:eastAsia="Calibri"/>
          <w:lang w:val="en-AU" w:eastAsia="en-US"/>
        </w:rPr>
      </w:pPr>
      <w:r w:rsidRPr="00720661">
        <w:rPr>
          <w:rFonts w:eastAsia="Calibri"/>
          <w:lang w:val="en-AU" w:eastAsia="en-US"/>
        </w:rPr>
        <w:t xml:space="preserve">Dr </w:t>
      </w:r>
      <w:proofErr w:type="spellStart"/>
      <w:r w:rsidRPr="00720661">
        <w:rPr>
          <w:rFonts w:eastAsia="Calibri"/>
          <w:lang w:val="en-AU" w:eastAsia="en-US"/>
        </w:rPr>
        <w:t>Caramins</w:t>
      </w:r>
      <w:proofErr w:type="spellEnd"/>
      <w:r w:rsidRPr="00720661">
        <w:rPr>
          <w:rFonts w:eastAsia="Calibri"/>
          <w:lang w:val="en-AU" w:eastAsia="en-US"/>
        </w:rPr>
        <w:t xml:space="preserve"> is employed by </w:t>
      </w:r>
      <w:r w:rsidR="00980E80" w:rsidRPr="003B31BB">
        <w:rPr>
          <w:rFonts w:eastAsia="Calibri"/>
          <w:lang w:val="en-AU" w:eastAsia="en-US"/>
        </w:rPr>
        <w:t>Specialist Diagnostic Services (Primary Healthcare Ltd.)</w:t>
      </w:r>
      <w:r w:rsidRPr="00720661">
        <w:rPr>
          <w:rFonts w:eastAsia="Calibri"/>
          <w:lang w:val="en-AU" w:eastAsia="en-US"/>
        </w:rPr>
        <w:t>, a private provider of MBS items under discussion.</w:t>
      </w:r>
    </w:p>
    <w:p w14:paraId="689BAAED" w14:textId="77777777" w:rsidR="004714E8" w:rsidRPr="003B31BB" w:rsidRDefault="004714E8" w:rsidP="003B31BB">
      <w:pPr>
        <w:pStyle w:val="NormalBulleted"/>
        <w:rPr>
          <w:lang w:val="en-AU"/>
        </w:rPr>
      </w:pPr>
      <w:r w:rsidRPr="00720661">
        <w:rPr>
          <w:rFonts w:eastAsia="Calibri"/>
          <w:lang w:val="en-AU" w:eastAsia="en-US"/>
        </w:rPr>
        <w:t xml:space="preserve">A/Prof Buckley is employed </w:t>
      </w:r>
      <w:r w:rsidR="00690104" w:rsidRPr="00720661">
        <w:rPr>
          <w:rFonts w:eastAsia="Calibri"/>
          <w:lang w:val="en-AU" w:eastAsia="en-US"/>
        </w:rPr>
        <w:t>by NSW Health Pathology</w:t>
      </w:r>
      <w:r w:rsidRPr="00720661">
        <w:rPr>
          <w:rFonts w:eastAsia="Calibri"/>
          <w:lang w:val="en-AU" w:eastAsia="en-US"/>
        </w:rPr>
        <w:t xml:space="preserve">, </w:t>
      </w:r>
      <w:r w:rsidR="00690104" w:rsidRPr="00720661">
        <w:rPr>
          <w:rFonts w:eastAsia="Calibri"/>
          <w:lang w:val="en-AU" w:eastAsia="en-US"/>
        </w:rPr>
        <w:t xml:space="preserve">and under private practice </w:t>
      </w:r>
      <w:r w:rsidR="00A54135" w:rsidRPr="00720661">
        <w:rPr>
          <w:rFonts w:eastAsia="Calibri"/>
          <w:lang w:val="en-AU" w:eastAsia="en-US"/>
        </w:rPr>
        <w:t xml:space="preserve">arrangements is a </w:t>
      </w:r>
      <w:r w:rsidRPr="00720661">
        <w:rPr>
          <w:rFonts w:eastAsia="Calibri"/>
          <w:lang w:val="en-AU" w:eastAsia="en-US"/>
        </w:rPr>
        <w:t>private provider of MBS items under discussion.</w:t>
      </w:r>
    </w:p>
    <w:p w14:paraId="36F92C73" w14:textId="77777777" w:rsidR="00347C4F" w:rsidRPr="00720661" w:rsidRDefault="00347C4F">
      <w:pPr>
        <w:pStyle w:val="Heading2"/>
      </w:pPr>
      <w:bookmarkStart w:id="70" w:name="_Toc13735972"/>
      <w:r w:rsidRPr="00720661">
        <w:t>Areas of responsibility of the Committee</w:t>
      </w:r>
      <w:bookmarkEnd w:id="65"/>
      <w:bookmarkEnd w:id="66"/>
      <w:bookmarkEnd w:id="69"/>
      <w:bookmarkEnd w:id="70"/>
    </w:p>
    <w:p w14:paraId="102B1644" w14:textId="77777777" w:rsidR="00D0416D" w:rsidRPr="00720661" w:rsidRDefault="0077348D" w:rsidP="00FB024B">
      <w:pPr>
        <w:rPr>
          <w:lang w:val="en-AU"/>
        </w:rPr>
      </w:pPr>
      <w:r w:rsidRPr="00720661">
        <w:rPr>
          <w:lang w:val="en-AU"/>
        </w:rPr>
        <w:t xml:space="preserve">The Committee was assigned </w:t>
      </w:r>
      <w:r w:rsidR="00CB1449" w:rsidRPr="00720661">
        <w:rPr>
          <w:lang w:val="en-AU"/>
        </w:rPr>
        <w:t>35</w:t>
      </w:r>
      <w:r w:rsidRPr="00720661">
        <w:rPr>
          <w:lang w:val="en-AU"/>
        </w:rPr>
        <w:t xml:space="preserve"> MBS </w:t>
      </w:r>
      <w:r w:rsidR="001C37DA" w:rsidRPr="00720661">
        <w:rPr>
          <w:lang w:val="en-AU"/>
        </w:rPr>
        <w:t>genetic test</w:t>
      </w:r>
      <w:r w:rsidR="00FB024B" w:rsidRPr="00720661">
        <w:rPr>
          <w:lang w:val="en-AU"/>
        </w:rPr>
        <w:t xml:space="preserve"> </w:t>
      </w:r>
      <w:r w:rsidRPr="00720661">
        <w:rPr>
          <w:lang w:val="en-AU"/>
        </w:rPr>
        <w:t>items</w:t>
      </w:r>
      <w:r w:rsidR="00EF6435" w:rsidRPr="004750A6">
        <w:rPr>
          <w:lang w:val="en-AU"/>
        </w:rPr>
        <w:t xml:space="preserve"> </w:t>
      </w:r>
      <w:r w:rsidRPr="004750A6">
        <w:rPr>
          <w:lang w:val="en-AU"/>
        </w:rPr>
        <w:t>to review</w:t>
      </w:r>
      <w:r w:rsidR="00432EEE" w:rsidRPr="004750A6">
        <w:rPr>
          <w:lang w:val="en-AU"/>
        </w:rPr>
        <w:t xml:space="preserve">. </w:t>
      </w:r>
      <w:r w:rsidR="00A66A86" w:rsidRPr="00720661">
        <w:rPr>
          <w:lang w:val="en-AU"/>
        </w:rPr>
        <w:t>A complete list of thes</w:t>
      </w:r>
      <w:r w:rsidR="001D5A0B" w:rsidRPr="00720661">
        <w:rPr>
          <w:lang w:val="en-AU"/>
        </w:rPr>
        <w:t xml:space="preserve">e </w:t>
      </w:r>
      <w:r w:rsidR="00541D72" w:rsidRPr="00720661">
        <w:rPr>
          <w:lang w:val="en-AU"/>
        </w:rPr>
        <w:t xml:space="preserve">items can be found in </w:t>
      </w:r>
      <w:hyperlink w:anchor="_Appendix_A:_Assigned" w:history="1">
        <w:r w:rsidR="00541D72" w:rsidRPr="00720661">
          <w:rPr>
            <w:rStyle w:val="Hyperlink"/>
            <w:lang w:val="en-AU"/>
          </w:rPr>
          <w:t xml:space="preserve">Appendix </w:t>
        </w:r>
        <w:r w:rsidR="001D5A0B" w:rsidRPr="00720661">
          <w:rPr>
            <w:rStyle w:val="Hyperlink"/>
            <w:lang w:val="en-AU"/>
          </w:rPr>
          <w:t>A</w:t>
        </w:r>
      </w:hyperlink>
      <w:r w:rsidR="00A66A86" w:rsidRPr="00720661">
        <w:rPr>
          <w:lang w:val="en-AU"/>
        </w:rPr>
        <w:t xml:space="preserve">. </w:t>
      </w:r>
    </w:p>
    <w:p w14:paraId="6001E40D" w14:textId="77777777" w:rsidR="00752830" w:rsidRPr="00720661" w:rsidRDefault="00752830">
      <w:pPr>
        <w:pStyle w:val="Heading2"/>
      </w:pPr>
      <w:bookmarkStart w:id="71" w:name="_Toc457463621"/>
      <w:bookmarkStart w:id="72" w:name="_Toc459996811"/>
      <w:bookmarkStart w:id="73" w:name="_Toc458166999"/>
      <w:bookmarkStart w:id="74" w:name="_Toc13735973"/>
      <w:bookmarkStart w:id="75" w:name="_Toc456045432"/>
      <w:r w:rsidRPr="00720661">
        <w:t>S</w:t>
      </w:r>
      <w:r w:rsidR="0099553D" w:rsidRPr="00720661">
        <w:t>ummary of the Com</w:t>
      </w:r>
      <w:r w:rsidRPr="00720661">
        <w:t>mittee’s review approach</w:t>
      </w:r>
      <w:bookmarkEnd w:id="71"/>
      <w:bookmarkEnd w:id="72"/>
      <w:bookmarkEnd w:id="73"/>
      <w:bookmarkEnd w:id="74"/>
    </w:p>
    <w:p w14:paraId="4396AD26" w14:textId="77777777" w:rsidR="00752830" w:rsidRPr="00720661" w:rsidRDefault="00752830" w:rsidP="00082595">
      <w:pPr>
        <w:rPr>
          <w:lang w:val="en-AU"/>
        </w:rPr>
      </w:pPr>
      <w:r w:rsidRPr="00720661">
        <w:rPr>
          <w:lang w:val="en-AU"/>
        </w:rPr>
        <w:t>The Com</w:t>
      </w:r>
      <w:r w:rsidR="009764E6" w:rsidRPr="00720661">
        <w:rPr>
          <w:lang w:val="en-AU"/>
        </w:rPr>
        <w:t>mittee completed a review of</w:t>
      </w:r>
      <w:r w:rsidRPr="00720661">
        <w:rPr>
          <w:lang w:val="en-AU"/>
        </w:rPr>
        <w:t xml:space="preserve"> </w:t>
      </w:r>
      <w:r w:rsidR="00CB1449" w:rsidRPr="00720661">
        <w:rPr>
          <w:lang w:val="en-AU"/>
        </w:rPr>
        <w:t>35</w:t>
      </w:r>
      <w:r w:rsidR="001C37DA" w:rsidRPr="00720661">
        <w:rPr>
          <w:lang w:val="en-AU"/>
        </w:rPr>
        <w:t xml:space="preserve"> genetic </w:t>
      </w:r>
      <w:r w:rsidRPr="00720661">
        <w:rPr>
          <w:lang w:val="en-AU"/>
        </w:rPr>
        <w:t>items</w:t>
      </w:r>
      <w:r w:rsidR="00946D63" w:rsidRPr="00720661">
        <w:rPr>
          <w:lang w:val="en-AU"/>
        </w:rPr>
        <w:t xml:space="preserve"> </w:t>
      </w:r>
      <w:r w:rsidRPr="00720661">
        <w:rPr>
          <w:lang w:val="en-AU"/>
        </w:rPr>
        <w:t xml:space="preserve">across </w:t>
      </w:r>
      <w:r w:rsidR="00E71FC9" w:rsidRPr="00720661">
        <w:rPr>
          <w:lang w:val="en-AU"/>
        </w:rPr>
        <w:t>five</w:t>
      </w:r>
      <w:r w:rsidRPr="00720661">
        <w:rPr>
          <w:lang w:val="en-AU"/>
        </w:rPr>
        <w:t xml:space="preserve"> meetings, during which it developed the recommendations and rationales outlined in </w:t>
      </w:r>
      <w:hyperlink w:anchor="_Recommendations_for_consultation" w:history="1">
        <w:r w:rsidRPr="00720661">
          <w:rPr>
            <w:rStyle w:val="Hyperlink"/>
            <w:lang w:val="en-AU"/>
          </w:rPr>
          <w:t xml:space="preserve">Section </w:t>
        </w:r>
        <w:r w:rsidR="007E4981" w:rsidRPr="00720661">
          <w:rPr>
            <w:rStyle w:val="Hyperlink"/>
            <w:lang w:val="en-AU"/>
          </w:rPr>
          <w:t>4</w:t>
        </w:r>
      </w:hyperlink>
      <w:r w:rsidRPr="00720661">
        <w:rPr>
          <w:lang w:val="en-AU"/>
        </w:rPr>
        <w:t>. Recommendations were also developed for referral to other committees.</w:t>
      </w:r>
      <w:r w:rsidR="00E74A90" w:rsidRPr="00720661">
        <w:rPr>
          <w:lang w:val="en-AU"/>
        </w:rPr>
        <w:t xml:space="preserve"> These are outlined in </w:t>
      </w:r>
      <w:hyperlink w:anchor="_Recommendations_to_other" w:history="1">
        <w:r w:rsidR="00E74A90" w:rsidRPr="00720661">
          <w:rPr>
            <w:rStyle w:val="Hyperlink"/>
            <w:lang w:val="en-AU"/>
          </w:rPr>
          <w:t xml:space="preserve">Section </w:t>
        </w:r>
        <w:r w:rsidR="007E4981" w:rsidRPr="00720661">
          <w:rPr>
            <w:rStyle w:val="Hyperlink"/>
            <w:lang w:val="en-AU"/>
          </w:rPr>
          <w:t>5</w:t>
        </w:r>
      </w:hyperlink>
      <w:r w:rsidR="00E74A90" w:rsidRPr="00720661">
        <w:rPr>
          <w:lang w:val="en-AU"/>
        </w:rPr>
        <w:t>.</w:t>
      </w:r>
      <w:r w:rsidRPr="00720661">
        <w:rPr>
          <w:lang w:val="en-AU"/>
        </w:rPr>
        <w:t xml:space="preserve"> </w:t>
      </w:r>
    </w:p>
    <w:p w14:paraId="067D7043" w14:textId="77777777" w:rsidR="00E71FC9" w:rsidRPr="00720661" w:rsidRDefault="00E71FC9" w:rsidP="00E71FC9">
      <w:pPr>
        <w:rPr>
          <w:lang w:val="en-AU"/>
        </w:rPr>
      </w:pPr>
      <w:bookmarkStart w:id="76" w:name="_Toc456045433"/>
      <w:bookmarkEnd w:id="75"/>
      <w:r w:rsidRPr="00720661">
        <w:rPr>
          <w:lang w:val="en-AU"/>
        </w:rPr>
        <w:t xml:space="preserve">The </w:t>
      </w:r>
      <w:r w:rsidR="002B2457">
        <w:rPr>
          <w:lang w:val="en-AU"/>
        </w:rPr>
        <w:t>r</w:t>
      </w:r>
      <w:r w:rsidRPr="00720661">
        <w:rPr>
          <w:lang w:val="en-AU"/>
        </w:rPr>
        <w:t xml:space="preserve">eview drew on various types of MBS data, including data on: </w:t>
      </w:r>
    </w:p>
    <w:p w14:paraId="15486B92" w14:textId="77777777" w:rsidR="00E71FC9" w:rsidRPr="00720661" w:rsidRDefault="00E71FC9" w:rsidP="00E71FC9">
      <w:pPr>
        <w:pStyle w:val="NormalBulleted"/>
        <w:spacing w:line="240" w:lineRule="auto"/>
        <w:rPr>
          <w:lang w:val="en-AU"/>
        </w:rPr>
      </w:pPr>
      <w:r w:rsidRPr="00720661">
        <w:rPr>
          <w:lang w:val="en-AU"/>
        </w:rPr>
        <w:t>utilisation of items (services, benefits, patients, providers and growth rates)</w:t>
      </w:r>
    </w:p>
    <w:p w14:paraId="1653807B" w14:textId="77777777" w:rsidR="00E71FC9" w:rsidRPr="00720661" w:rsidRDefault="00E71FC9" w:rsidP="00E71FC9">
      <w:pPr>
        <w:pStyle w:val="NormalBulleted"/>
        <w:spacing w:line="240" w:lineRule="auto"/>
        <w:rPr>
          <w:lang w:val="en-AU"/>
        </w:rPr>
      </w:pPr>
      <w:r w:rsidRPr="00720661">
        <w:rPr>
          <w:lang w:val="en-AU"/>
        </w:rPr>
        <w:t>service provision (type of provider, geography of service provision)</w:t>
      </w:r>
    </w:p>
    <w:p w14:paraId="1C74AA41" w14:textId="77777777" w:rsidR="00E71FC9" w:rsidRPr="00720661" w:rsidRDefault="00E71FC9" w:rsidP="00E71FC9">
      <w:pPr>
        <w:pStyle w:val="NormalBulleted"/>
        <w:spacing w:line="240" w:lineRule="auto"/>
        <w:rPr>
          <w:lang w:val="en-AU"/>
        </w:rPr>
      </w:pPr>
      <w:r w:rsidRPr="00720661">
        <w:rPr>
          <w:lang w:val="en-AU"/>
        </w:rPr>
        <w:t>patients (demographics and services per patient)</w:t>
      </w:r>
    </w:p>
    <w:p w14:paraId="42B44299" w14:textId="77777777" w:rsidR="00E71FC9" w:rsidRPr="00720661" w:rsidRDefault="00E71FC9" w:rsidP="00E71FC9">
      <w:pPr>
        <w:pStyle w:val="NormalBulleted"/>
        <w:spacing w:line="240" w:lineRule="auto"/>
        <w:rPr>
          <w:lang w:val="en-AU"/>
        </w:rPr>
      </w:pPr>
      <w:r w:rsidRPr="00720661">
        <w:rPr>
          <w:lang w:val="en-AU"/>
        </w:rPr>
        <w:lastRenderedPageBreak/>
        <w:t>co-claiming or episodes of services (same-day claiming and claiming with specific items over time)</w:t>
      </w:r>
    </w:p>
    <w:p w14:paraId="186BD042" w14:textId="77777777" w:rsidR="00E71FC9" w:rsidRPr="00720661" w:rsidRDefault="00E71FC9" w:rsidP="00E71FC9">
      <w:pPr>
        <w:pStyle w:val="NormalBulleted"/>
        <w:spacing w:line="240" w:lineRule="auto"/>
        <w:rPr>
          <w:lang w:val="en-AU"/>
        </w:rPr>
      </w:pPr>
      <w:r w:rsidRPr="00720661">
        <w:rPr>
          <w:lang w:val="en-AU"/>
        </w:rPr>
        <w:t>additional provider and patient-level data, when required.</w:t>
      </w:r>
    </w:p>
    <w:p w14:paraId="7B21444C" w14:textId="77777777" w:rsidR="00E71FC9" w:rsidRPr="00720661" w:rsidRDefault="00E71FC9" w:rsidP="00E71FC9">
      <w:pPr>
        <w:rPr>
          <w:lang w:val="en-AU"/>
        </w:rPr>
      </w:pPr>
      <w:r w:rsidRPr="00720661">
        <w:rPr>
          <w:lang w:val="en-AU"/>
        </w:rPr>
        <w:t xml:space="preserve">The review also drew on data presented in the relevant literature and clinical guidelines, all of which are referenced in the report. </w:t>
      </w:r>
    </w:p>
    <w:p w14:paraId="46460D06" w14:textId="77777777" w:rsidR="00E71FC9" w:rsidRPr="00720661" w:rsidRDefault="002B2457" w:rsidP="00E71FC9">
      <w:pPr>
        <w:rPr>
          <w:lang w:val="en-AU"/>
        </w:rPr>
      </w:pPr>
      <w:r>
        <w:rPr>
          <w:lang w:val="en-AU"/>
        </w:rPr>
        <w:t xml:space="preserve">The report will be released for public consultation, giving all Australians, including health professionals, an opportunity to have their say on the draft recommendations. </w:t>
      </w:r>
      <w:r w:rsidR="00E71FC9" w:rsidRPr="00720661">
        <w:rPr>
          <w:lang w:val="en-AU"/>
        </w:rPr>
        <w:t xml:space="preserve">Following this period of consultation, the Committee will consider stakeholder feedback before finalising the recommendations and presenting them to the Taskforce. The Taskforce will consider the report and stakeholder feedback before making recommendations to the Minister for Health for consideration by the Government. </w:t>
      </w:r>
      <w:r w:rsidR="00C605CD">
        <w:rPr>
          <w:lang w:val="en-AU"/>
        </w:rPr>
        <w:t xml:space="preserve"> </w:t>
      </w:r>
    </w:p>
    <w:p w14:paraId="086E6AF0" w14:textId="77777777" w:rsidR="00632263" w:rsidRPr="00720661" w:rsidRDefault="00632263" w:rsidP="00082595">
      <w:pPr>
        <w:rPr>
          <w:rFonts w:eastAsiaTheme="minorHAnsi" w:cs="Arial"/>
          <w:kern w:val="32"/>
          <w:sz w:val="32"/>
          <w:szCs w:val="28"/>
          <w:lang w:val="en-AU" w:eastAsia="en-US"/>
        </w:rPr>
      </w:pPr>
      <w:r w:rsidRPr="00720661">
        <w:rPr>
          <w:lang w:val="en-AU"/>
        </w:rPr>
        <w:br w:type="page"/>
      </w:r>
    </w:p>
    <w:p w14:paraId="0F091ECE" w14:textId="77777777" w:rsidR="00C172DC" w:rsidRPr="00720661" w:rsidRDefault="00E93610" w:rsidP="008855E4">
      <w:pPr>
        <w:pStyle w:val="Heading1"/>
        <w:rPr>
          <w:lang w:val="en-AU"/>
        </w:rPr>
      </w:pPr>
      <w:bookmarkStart w:id="77" w:name="_Recommendations_for_consultation"/>
      <w:bookmarkStart w:id="78" w:name="_Toc459996812"/>
      <w:bookmarkStart w:id="79" w:name="_Toc458167000"/>
      <w:bookmarkStart w:id="80" w:name="_Toc13735974"/>
      <w:bookmarkEnd w:id="77"/>
      <w:r w:rsidRPr="00720661">
        <w:rPr>
          <w:lang w:val="en-AU"/>
        </w:rPr>
        <w:lastRenderedPageBreak/>
        <w:t xml:space="preserve">Recommendations </w:t>
      </w:r>
      <w:bookmarkEnd w:id="76"/>
      <w:r w:rsidR="00752830" w:rsidRPr="00720661">
        <w:rPr>
          <w:lang w:val="en-AU"/>
        </w:rPr>
        <w:t>for c</w:t>
      </w:r>
      <w:r w:rsidR="006D1E01" w:rsidRPr="00720661">
        <w:rPr>
          <w:lang w:val="en-AU"/>
        </w:rPr>
        <w:t>onsultation</w:t>
      </w:r>
      <w:bookmarkEnd w:id="78"/>
      <w:bookmarkEnd w:id="79"/>
      <w:bookmarkEnd w:id="80"/>
    </w:p>
    <w:p w14:paraId="6BEF7F5A" w14:textId="77777777" w:rsidR="00512F2C" w:rsidRPr="00720661" w:rsidRDefault="002F43B8" w:rsidP="00082595">
      <w:pPr>
        <w:pStyle w:val="Boldhdg"/>
        <w:rPr>
          <w:lang w:val="en-AU"/>
        </w:rPr>
      </w:pPr>
      <w:r w:rsidRPr="00720661">
        <w:rPr>
          <w:lang w:val="en-AU"/>
        </w:rPr>
        <w:t>Introduction</w:t>
      </w:r>
    </w:p>
    <w:p w14:paraId="5DF59A94" w14:textId="77777777" w:rsidR="00CB1449" w:rsidRPr="00720661" w:rsidRDefault="00CB1449" w:rsidP="00CB1449">
      <w:pPr>
        <w:rPr>
          <w:lang w:val="en-AU"/>
        </w:rPr>
      </w:pPr>
      <w:r w:rsidRPr="00720661">
        <w:rPr>
          <w:lang w:val="en-AU" w:eastAsia="en-US"/>
        </w:rPr>
        <w:t>The Committee reviewed 35 genetic</w:t>
      </w:r>
      <w:r w:rsidR="007E0690">
        <w:rPr>
          <w:lang w:val="en-AU" w:eastAsia="en-US"/>
        </w:rPr>
        <w:t>s</w:t>
      </w:r>
      <w:r w:rsidRPr="00720661">
        <w:rPr>
          <w:lang w:val="en-AU" w:eastAsia="en-US"/>
        </w:rPr>
        <w:t xml:space="preserve"> items and made recommendations based on evidence and clinical expertise, in consultation with relevant stakeholders. </w:t>
      </w:r>
      <w:r w:rsidRPr="00720661">
        <w:rPr>
          <w:lang w:val="en-AU"/>
        </w:rPr>
        <w:t xml:space="preserve">The item-level recommendations are described below. A summary list of recommendations can be found in Appendices </w:t>
      </w:r>
      <w:hyperlink w:anchor="_Appendix_A:_Assigned" w:history="1">
        <w:r w:rsidRPr="00720661">
          <w:rPr>
            <w:rStyle w:val="Hyperlink"/>
            <w:lang w:val="en-AU"/>
          </w:rPr>
          <w:t>A</w:t>
        </w:r>
      </w:hyperlink>
      <w:r w:rsidRPr="00720661">
        <w:rPr>
          <w:lang w:val="en-AU"/>
        </w:rPr>
        <w:t xml:space="preserve"> and </w:t>
      </w:r>
      <w:hyperlink w:anchor="_Appendix_B:_Additional" w:history="1">
        <w:r w:rsidRPr="00720661">
          <w:rPr>
            <w:rStyle w:val="Hyperlink"/>
            <w:lang w:val="en-AU"/>
          </w:rPr>
          <w:t>B</w:t>
        </w:r>
      </w:hyperlink>
      <w:r w:rsidRPr="00720661">
        <w:rPr>
          <w:lang w:val="en-AU"/>
        </w:rPr>
        <w:t xml:space="preserve">, and in the consumer summary table in </w:t>
      </w:r>
      <w:hyperlink w:anchor="_Appendix_C:_Summary" w:history="1">
        <w:r w:rsidRPr="00720661">
          <w:rPr>
            <w:rStyle w:val="Hyperlink"/>
            <w:lang w:val="en-AU"/>
          </w:rPr>
          <w:t>Appendix C</w:t>
        </w:r>
      </w:hyperlink>
      <w:r w:rsidRPr="00720661">
        <w:rPr>
          <w:lang w:val="en-AU"/>
        </w:rPr>
        <w:t>.</w:t>
      </w:r>
    </w:p>
    <w:p w14:paraId="3237F569" w14:textId="77777777" w:rsidR="00CB1449" w:rsidRPr="00720661" w:rsidRDefault="00CB1449" w:rsidP="00CB1449">
      <w:pPr>
        <w:rPr>
          <w:lang w:val="en-AU"/>
        </w:rPr>
      </w:pPr>
      <w:r w:rsidRPr="00720661">
        <w:rPr>
          <w:lang w:val="en-AU"/>
        </w:rPr>
        <w:t xml:space="preserve">The Committee’s recommendations for public consultation are that </w:t>
      </w:r>
      <w:r w:rsidR="0042645B" w:rsidRPr="00720661">
        <w:rPr>
          <w:lang w:val="en-AU"/>
        </w:rPr>
        <w:t>three</w:t>
      </w:r>
      <w:r w:rsidRPr="00720661">
        <w:rPr>
          <w:lang w:val="en-AU"/>
        </w:rPr>
        <w:t xml:space="preserve"> items should be deleted (and their services no longer </w:t>
      </w:r>
      <w:r w:rsidR="00447B2D" w:rsidRPr="00720661">
        <w:rPr>
          <w:lang w:val="en-AU"/>
        </w:rPr>
        <w:t xml:space="preserve">be </w:t>
      </w:r>
      <w:r w:rsidRPr="00720661">
        <w:rPr>
          <w:lang w:val="en-AU"/>
        </w:rPr>
        <w:t xml:space="preserve">provided under the MBS), </w:t>
      </w:r>
      <w:r w:rsidR="0042645B" w:rsidRPr="00720661">
        <w:rPr>
          <w:lang w:val="en-AU"/>
        </w:rPr>
        <w:t>15</w:t>
      </w:r>
      <w:r w:rsidRPr="00720661">
        <w:rPr>
          <w:lang w:val="en-AU"/>
        </w:rPr>
        <w:t xml:space="preserve"> items should be changed and </w:t>
      </w:r>
      <w:r w:rsidR="0042645B" w:rsidRPr="00720661">
        <w:rPr>
          <w:lang w:val="en-AU"/>
        </w:rPr>
        <w:t>17</w:t>
      </w:r>
      <w:r w:rsidRPr="00720661">
        <w:rPr>
          <w:lang w:val="en-AU"/>
        </w:rPr>
        <w:t xml:space="preserve"> items should remain unchanged. The Committee has</w:t>
      </w:r>
      <w:r w:rsidR="0042645B" w:rsidRPr="00720661">
        <w:rPr>
          <w:lang w:val="en-AU"/>
        </w:rPr>
        <w:t xml:space="preserve"> </w:t>
      </w:r>
      <w:r w:rsidR="00CA066A" w:rsidRPr="00720661">
        <w:rPr>
          <w:lang w:val="en-AU"/>
        </w:rPr>
        <w:t xml:space="preserve">also </w:t>
      </w:r>
      <w:r w:rsidR="0042645B" w:rsidRPr="00720661">
        <w:rPr>
          <w:lang w:val="en-AU"/>
        </w:rPr>
        <w:t>made general recommendations and</w:t>
      </w:r>
      <w:r w:rsidRPr="00720661">
        <w:rPr>
          <w:lang w:val="en-AU"/>
        </w:rPr>
        <w:t xml:space="preserve"> </w:t>
      </w:r>
      <w:r w:rsidR="0042645B" w:rsidRPr="00720661">
        <w:rPr>
          <w:lang w:val="en-AU"/>
        </w:rPr>
        <w:t>referred two</w:t>
      </w:r>
      <w:r w:rsidRPr="00720661">
        <w:rPr>
          <w:lang w:val="en-AU"/>
        </w:rPr>
        <w:t xml:space="preserve"> items to other </w:t>
      </w:r>
      <w:r w:rsidR="002B2457">
        <w:rPr>
          <w:lang w:val="en-AU"/>
        </w:rPr>
        <w:t>c</w:t>
      </w:r>
      <w:r w:rsidRPr="00720661">
        <w:rPr>
          <w:lang w:val="en-AU"/>
        </w:rPr>
        <w:t xml:space="preserve">ommittees. </w:t>
      </w:r>
    </w:p>
    <w:p w14:paraId="27CE8839" w14:textId="77777777" w:rsidR="00CB1449" w:rsidRPr="00720661" w:rsidRDefault="00CB1449" w:rsidP="00CB1449">
      <w:pPr>
        <w:rPr>
          <w:lang w:val="en-AU"/>
        </w:rPr>
      </w:pPr>
      <w:r w:rsidRPr="00720661">
        <w:rPr>
          <w:lang w:val="en-AU"/>
        </w:rPr>
        <w:t>The changes focus on encouraging best practice, modernising the MBS to reflect contemporary practice, and ensuring that MBS services provide value for the patient and the healthcare system. Some of this can be achieved by:</w:t>
      </w:r>
    </w:p>
    <w:p w14:paraId="394CCCB2" w14:textId="77777777" w:rsidR="00CB1449" w:rsidRDefault="0042645B" w:rsidP="00CB1449">
      <w:pPr>
        <w:pStyle w:val="NormalBulleted"/>
        <w:rPr>
          <w:lang w:val="en-AU"/>
        </w:rPr>
      </w:pPr>
      <w:r w:rsidRPr="00720661">
        <w:rPr>
          <w:lang w:val="en-AU"/>
        </w:rPr>
        <w:t>deleting items that are not supported by evidence or are obsolete</w:t>
      </w:r>
    </w:p>
    <w:p w14:paraId="5255A846" w14:textId="77777777" w:rsidR="00611FC2" w:rsidRPr="00720661" w:rsidRDefault="00611FC2" w:rsidP="00CB1449">
      <w:pPr>
        <w:pStyle w:val="NormalBulleted"/>
        <w:rPr>
          <w:lang w:val="en-AU"/>
        </w:rPr>
      </w:pPr>
      <w:r>
        <w:t>c</w:t>
      </w:r>
      <w:r w:rsidRPr="00193F70">
        <w:t>onsolidating or splitting items to reflect contemporary practice</w:t>
      </w:r>
    </w:p>
    <w:p w14:paraId="3B255694" w14:textId="77777777" w:rsidR="00CB1449" w:rsidRPr="00720661" w:rsidRDefault="00CB1449" w:rsidP="00CB1449">
      <w:pPr>
        <w:pStyle w:val="NormalBulleted"/>
        <w:rPr>
          <w:lang w:val="en-AU"/>
        </w:rPr>
      </w:pPr>
      <w:r w:rsidRPr="00720661">
        <w:rPr>
          <w:lang w:val="en-AU"/>
        </w:rPr>
        <w:t>modernising item descriptors to reflect best practice</w:t>
      </w:r>
    </w:p>
    <w:p w14:paraId="22773ABE" w14:textId="77777777" w:rsidR="00CB1449" w:rsidRPr="00720661" w:rsidRDefault="00CB1449" w:rsidP="00CB1449">
      <w:pPr>
        <w:pStyle w:val="NormalBulleted"/>
        <w:rPr>
          <w:lang w:val="en-AU"/>
        </w:rPr>
      </w:pPr>
      <w:r w:rsidRPr="00720661">
        <w:rPr>
          <w:lang w:val="en-AU"/>
        </w:rPr>
        <w:t>providing clinical guidance for appropriate use through explanatory notes.</w:t>
      </w:r>
    </w:p>
    <w:p w14:paraId="53154FBB" w14:textId="77777777" w:rsidR="0033420E" w:rsidRPr="00DD30D9" w:rsidRDefault="003F4241">
      <w:pPr>
        <w:pStyle w:val="Heading2"/>
      </w:pPr>
      <w:bookmarkStart w:id="81" w:name="_Toc13735975"/>
      <w:r w:rsidRPr="00DD30D9">
        <w:t xml:space="preserve">Chromosome </w:t>
      </w:r>
      <w:r w:rsidR="00294091">
        <w:t>testing</w:t>
      </w:r>
      <w:r w:rsidRPr="00DD30D9">
        <w:t xml:space="preserve"> </w:t>
      </w:r>
      <w:r w:rsidR="00E77A23" w:rsidRPr="00DD30D9">
        <w:t xml:space="preserve">(any tissue or fluid, except blood): </w:t>
      </w:r>
      <w:r w:rsidR="00447B2D" w:rsidRPr="00DD30D9">
        <w:t>i</w:t>
      </w:r>
      <w:r w:rsidR="00E77A23" w:rsidRPr="00DD30D9">
        <w:t>tem 73287</w:t>
      </w:r>
      <w:bookmarkEnd w:id="81"/>
    </w:p>
    <w:p w14:paraId="73A0A86D" w14:textId="77777777" w:rsidR="0033420E" w:rsidRPr="00DD30D9" w:rsidRDefault="005D73A8">
      <w:pPr>
        <w:pStyle w:val="Caption"/>
      </w:pPr>
      <w:bookmarkStart w:id="82" w:name="_Toc482009625"/>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33420E" w:rsidRPr="00DD30D9">
        <w:t xml:space="preserve">Item introduction table for item </w:t>
      </w:r>
      <w:r w:rsidR="003F4241" w:rsidRPr="00DD30D9">
        <w:t>73287</w:t>
      </w:r>
      <w:bookmarkEnd w:id="82"/>
    </w:p>
    <w:tbl>
      <w:tblPr>
        <w:tblStyle w:val="TableGrid1"/>
        <w:tblW w:w="0" w:type="auto"/>
        <w:tblLayout w:type="fixed"/>
        <w:tblLook w:val="04A0" w:firstRow="1" w:lastRow="0" w:firstColumn="1" w:lastColumn="0" w:noHBand="0" w:noVBand="1"/>
        <w:tblCaption w:val="Item introduction table for item 73287"/>
        <w:tblDescription w:val="This table contains Medicare Benefits Schedule data for item 73287 for the finanical year 2014–2015. The data include item numbers, long item descriptors, schedule fee, total volume of services, benefits paid, patient count and services annual average growth."/>
      </w:tblPr>
      <w:tblGrid>
        <w:gridCol w:w="776"/>
        <w:gridCol w:w="2292"/>
        <w:gridCol w:w="1141"/>
        <w:gridCol w:w="1238"/>
        <w:gridCol w:w="1253"/>
        <w:gridCol w:w="1126"/>
        <w:gridCol w:w="1190"/>
      </w:tblGrid>
      <w:tr w:rsidR="0033420E" w:rsidRPr="00720661" w14:paraId="670E91A7" w14:textId="77777777" w:rsidTr="00146542">
        <w:trPr>
          <w:trHeight w:val="729"/>
          <w:tblHeader/>
        </w:trPr>
        <w:tc>
          <w:tcPr>
            <w:tcW w:w="776" w:type="dxa"/>
            <w:shd w:val="clear" w:color="auto" w:fill="EEECE1" w:themeFill="background2"/>
            <w:vAlign w:val="bottom"/>
            <w:hideMark/>
          </w:tcPr>
          <w:p w14:paraId="756A4239" w14:textId="77777777" w:rsidR="0033420E" w:rsidRPr="00DD30D9" w:rsidRDefault="0033420E" w:rsidP="005D73A8">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292" w:type="dxa"/>
            <w:shd w:val="clear" w:color="auto" w:fill="EEECE1" w:themeFill="background2"/>
            <w:vAlign w:val="bottom"/>
            <w:hideMark/>
          </w:tcPr>
          <w:p w14:paraId="087B82D1" w14:textId="77777777" w:rsidR="0033420E" w:rsidRPr="00DD30D9" w:rsidRDefault="0033420E" w:rsidP="005D73A8">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141" w:type="dxa"/>
            <w:shd w:val="clear" w:color="auto" w:fill="EEECE1" w:themeFill="background2"/>
            <w:vAlign w:val="bottom"/>
            <w:hideMark/>
          </w:tcPr>
          <w:p w14:paraId="05563404" w14:textId="77777777" w:rsidR="0033420E" w:rsidRPr="00DD30D9" w:rsidRDefault="0033420E" w:rsidP="005D73A8">
            <w:pPr>
              <w:rPr>
                <w:rFonts w:ascii="Arial" w:hAnsi="Arial" w:cs="Arial"/>
                <w:b/>
                <w:color w:val="000000"/>
                <w:sz w:val="18"/>
                <w:szCs w:val="18"/>
                <w:lang w:val="en-AU"/>
              </w:rPr>
            </w:pPr>
            <w:r w:rsidRPr="00DD30D9">
              <w:rPr>
                <w:rFonts w:ascii="Arial" w:hAnsi="Arial" w:cs="Arial"/>
                <w:b/>
                <w:color w:val="000000"/>
                <w:sz w:val="18"/>
                <w:szCs w:val="18"/>
                <w:lang w:val="en-AU"/>
              </w:rPr>
              <w:t>Schedule</w:t>
            </w:r>
            <w:r w:rsidR="005D73A8"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fee</w:t>
            </w:r>
          </w:p>
        </w:tc>
        <w:tc>
          <w:tcPr>
            <w:tcW w:w="1238" w:type="dxa"/>
            <w:shd w:val="clear" w:color="auto" w:fill="EEECE1" w:themeFill="background2"/>
            <w:vAlign w:val="bottom"/>
            <w:hideMark/>
          </w:tcPr>
          <w:p w14:paraId="571637BF" w14:textId="77777777" w:rsidR="0033420E" w:rsidRPr="00DD30D9" w:rsidRDefault="0033420E" w:rsidP="00807710">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4A3661"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CB36F1"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53" w:type="dxa"/>
            <w:shd w:val="clear" w:color="auto" w:fill="EEECE1" w:themeFill="background2"/>
            <w:vAlign w:val="bottom"/>
          </w:tcPr>
          <w:p w14:paraId="0A65805E" w14:textId="77777777" w:rsidR="0033420E" w:rsidRPr="00DD30D9" w:rsidRDefault="0033420E" w:rsidP="00675DC9">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4A3661"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CB36F1"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126" w:type="dxa"/>
            <w:shd w:val="clear" w:color="auto" w:fill="EEECE1" w:themeFill="background2"/>
            <w:vAlign w:val="bottom"/>
            <w:hideMark/>
          </w:tcPr>
          <w:p w14:paraId="72FA51CA" w14:textId="77777777" w:rsidR="0033420E" w:rsidRPr="00DD30D9" w:rsidRDefault="0033420E" w:rsidP="005D73A8">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CB36F1"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190" w:type="dxa"/>
            <w:shd w:val="clear" w:color="auto" w:fill="EEECE1" w:themeFill="background2"/>
            <w:vAlign w:val="bottom"/>
            <w:hideMark/>
          </w:tcPr>
          <w:p w14:paraId="0820A2B4" w14:textId="77777777" w:rsidR="0033420E" w:rsidRPr="00DD30D9" w:rsidRDefault="00CB36F1" w:rsidP="00807710">
            <w:pPr>
              <w:rPr>
                <w:rFonts w:ascii="Arial" w:hAnsi="Arial" w:cs="Arial"/>
                <w:b/>
                <w:color w:val="000000"/>
                <w:sz w:val="18"/>
                <w:szCs w:val="18"/>
                <w:lang w:val="en-AU"/>
              </w:rPr>
            </w:pPr>
            <w:r w:rsidRPr="00DD30D9">
              <w:rPr>
                <w:rFonts w:ascii="Arial" w:hAnsi="Arial" w:cs="Arial"/>
                <w:b/>
                <w:color w:val="000000"/>
                <w:sz w:val="18"/>
                <w:szCs w:val="18"/>
                <w:lang w:val="en-AU"/>
              </w:rPr>
              <w:t>5-</w:t>
            </w:r>
            <w:r w:rsidR="005D73A8" w:rsidRPr="00DD30D9">
              <w:rPr>
                <w:rFonts w:ascii="Arial" w:hAnsi="Arial" w:cs="Arial"/>
                <w:b/>
                <w:color w:val="000000"/>
                <w:sz w:val="18"/>
                <w:szCs w:val="18"/>
                <w:lang w:val="en-AU"/>
              </w:rPr>
              <w:t xml:space="preserve">year service change </w:t>
            </w:r>
            <w:r w:rsidR="0033420E" w:rsidRPr="00DD30D9">
              <w:rPr>
                <w:rFonts w:ascii="Arial" w:hAnsi="Arial" w:cs="Arial"/>
                <w:b/>
                <w:color w:val="000000"/>
                <w:sz w:val="18"/>
                <w:szCs w:val="18"/>
                <w:lang w:val="en-AU"/>
              </w:rPr>
              <w:t>(CAGR)</w:t>
            </w:r>
          </w:p>
        </w:tc>
      </w:tr>
      <w:tr w:rsidR="003F4241" w:rsidRPr="00720661" w14:paraId="55F4FCB6" w14:textId="77777777" w:rsidTr="00146542">
        <w:trPr>
          <w:trHeight w:val="300"/>
        </w:trPr>
        <w:tc>
          <w:tcPr>
            <w:tcW w:w="776" w:type="dxa"/>
            <w:noWrap/>
            <w:hideMark/>
          </w:tcPr>
          <w:p w14:paraId="34F6B1B3" w14:textId="77777777" w:rsidR="003F4241" w:rsidRPr="00DD30D9" w:rsidRDefault="003F4241" w:rsidP="003F4241">
            <w:pPr>
              <w:rPr>
                <w:rFonts w:ascii="Arial" w:hAnsi="Arial" w:cs="Arial"/>
                <w:color w:val="000000"/>
                <w:sz w:val="18"/>
                <w:szCs w:val="18"/>
                <w:lang w:val="en-AU"/>
              </w:rPr>
            </w:pPr>
            <w:r w:rsidRPr="00DD30D9">
              <w:rPr>
                <w:rFonts w:ascii="Arial" w:hAnsi="Arial" w:cs="Arial"/>
                <w:color w:val="000000"/>
                <w:sz w:val="18"/>
                <w:szCs w:val="18"/>
                <w:lang w:val="en-AU"/>
              </w:rPr>
              <w:t>73287</w:t>
            </w:r>
          </w:p>
        </w:tc>
        <w:tc>
          <w:tcPr>
            <w:tcW w:w="2292" w:type="dxa"/>
            <w:noWrap/>
            <w:hideMark/>
          </w:tcPr>
          <w:p w14:paraId="770BE76E" w14:textId="77777777" w:rsidR="003F4241" w:rsidRPr="00DD30D9" w:rsidRDefault="00B24641" w:rsidP="003F4241">
            <w:pPr>
              <w:rPr>
                <w:rFonts w:ascii="Arial" w:hAnsi="Arial" w:cs="Arial"/>
                <w:color w:val="000000"/>
                <w:sz w:val="18"/>
                <w:szCs w:val="18"/>
                <w:lang w:val="en-AU"/>
              </w:rPr>
            </w:pPr>
            <w:r w:rsidRPr="00DD30D9">
              <w:rPr>
                <w:rFonts w:ascii="Arial" w:hAnsi="Arial" w:cs="Arial"/>
                <w:sz w:val="18"/>
                <w:szCs w:val="18"/>
                <w:lang w:val="en-AU"/>
              </w:rPr>
              <w:t>T</w:t>
            </w:r>
            <w:r w:rsidR="003F4241" w:rsidRPr="00DD30D9">
              <w:rPr>
                <w:rFonts w:ascii="Arial" w:hAnsi="Arial" w:cs="Arial"/>
                <w:sz w:val="18"/>
                <w:szCs w:val="18"/>
                <w:lang w:val="en-AU"/>
              </w:rPr>
              <w:t xml:space="preserve">he study of the whole of every chromosome by cytogenetic or other techniques, performed on 1 or more of any tissue or fluid except blood (including a service mentioned in item 73293, if performed) – 1 or more tests </w:t>
            </w:r>
          </w:p>
        </w:tc>
        <w:tc>
          <w:tcPr>
            <w:tcW w:w="1141" w:type="dxa"/>
            <w:noWrap/>
            <w:hideMark/>
          </w:tcPr>
          <w:p w14:paraId="1EBA6B23" w14:textId="77777777" w:rsidR="003F4241" w:rsidRPr="00DD30D9" w:rsidRDefault="003F4241" w:rsidP="00410662">
            <w:pPr>
              <w:jc w:val="right"/>
              <w:rPr>
                <w:rFonts w:ascii="Arial" w:hAnsi="Arial" w:cs="Arial"/>
                <w:color w:val="000000"/>
                <w:sz w:val="18"/>
                <w:szCs w:val="18"/>
                <w:lang w:val="en-AU"/>
              </w:rPr>
            </w:pPr>
            <w:r w:rsidRPr="00DD30D9">
              <w:rPr>
                <w:rFonts w:ascii="Arial" w:hAnsi="Arial" w:cs="Arial"/>
                <w:sz w:val="18"/>
                <w:szCs w:val="18"/>
                <w:lang w:val="en-AU"/>
              </w:rPr>
              <w:t>$394.55</w:t>
            </w:r>
          </w:p>
        </w:tc>
        <w:tc>
          <w:tcPr>
            <w:tcW w:w="1238" w:type="dxa"/>
            <w:noWrap/>
            <w:hideMark/>
          </w:tcPr>
          <w:p w14:paraId="70ACE113" w14:textId="77777777" w:rsidR="003F4241" w:rsidRPr="00DD30D9" w:rsidRDefault="001B7F03" w:rsidP="00410662">
            <w:pPr>
              <w:jc w:val="right"/>
              <w:rPr>
                <w:rFonts w:ascii="Arial" w:hAnsi="Arial" w:cs="Arial"/>
                <w:color w:val="000000"/>
                <w:sz w:val="18"/>
                <w:szCs w:val="18"/>
                <w:lang w:val="en-AU"/>
              </w:rPr>
            </w:pPr>
            <w:r w:rsidRPr="00DD30D9">
              <w:rPr>
                <w:rFonts w:ascii="Arial" w:hAnsi="Arial" w:cs="Arial"/>
                <w:sz w:val="18"/>
                <w:szCs w:val="18"/>
                <w:lang w:val="en-AU"/>
              </w:rPr>
              <w:t>13,292</w:t>
            </w:r>
          </w:p>
        </w:tc>
        <w:tc>
          <w:tcPr>
            <w:tcW w:w="1253" w:type="dxa"/>
          </w:tcPr>
          <w:p w14:paraId="33437B0F" w14:textId="77777777" w:rsidR="001B7F03" w:rsidRPr="00DD30D9" w:rsidRDefault="001B7F03" w:rsidP="00410662">
            <w:pPr>
              <w:jc w:val="right"/>
              <w:rPr>
                <w:rFonts w:ascii="Arial" w:hAnsi="Arial" w:cs="Arial"/>
                <w:color w:val="000000"/>
                <w:sz w:val="18"/>
                <w:szCs w:val="18"/>
                <w:lang w:val="en-AU"/>
              </w:rPr>
            </w:pPr>
            <w:r w:rsidRPr="00DD30D9">
              <w:rPr>
                <w:rFonts w:ascii="Arial" w:hAnsi="Arial" w:cs="Arial"/>
                <w:sz w:val="18"/>
                <w:szCs w:val="18"/>
                <w:lang w:val="en-AU"/>
              </w:rPr>
              <w:t>$4,392,700</w:t>
            </w:r>
          </w:p>
        </w:tc>
        <w:tc>
          <w:tcPr>
            <w:tcW w:w="1126" w:type="dxa"/>
            <w:noWrap/>
            <w:hideMark/>
          </w:tcPr>
          <w:p w14:paraId="3ED4AA51" w14:textId="77777777" w:rsidR="003F4241" w:rsidRPr="00DD30D9" w:rsidRDefault="003F4241" w:rsidP="00410662">
            <w:pPr>
              <w:jc w:val="right"/>
              <w:rPr>
                <w:rFonts w:ascii="Arial" w:hAnsi="Arial" w:cs="Arial"/>
                <w:color w:val="000000"/>
                <w:sz w:val="18"/>
                <w:szCs w:val="18"/>
                <w:lang w:val="en-AU"/>
              </w:rPr>
            </w:pPr>
            <w:r w:rsidRPr="00DD30D9">
              <w:rPr>
                <w:rFonts w:ascii="Arial" w:hAnsi="Arial" w:cs="Arial"/>
                <w:sz w:val="18"/>
                <w:szCs w:val="18"/>
                <w:lang w:val="en-AU"/>
              </w:rPr>
              <w:t xml:space="preserve">12,336 </w:t>
            </w:r>
          </w:p>
        </w:tc>
        <w:tc>
          <w:tcPr>
            <w:tcW w:w="1190" w:type="dxa"/>
            <w:noWrap/>
            <w:hideMark/>
          </w:tcPr>
          <w:p w14:paraId="7F96C448" w14:textId="77777777" w:rsidR="003F4241" w:rsidRPr="00DD30D9" w:rsidRDefault="00B361C6" w:rsidP="00410662">
            <w:pPr>
              <w:jc w:val="right"/>
              <w:rPr>
                <w:rFonts w:ascii="Arial" w:hAnsi="Arial" w:cs="Arial"/>
                <w:color w:val="000000"/>
                <w:sz w:val="18"/>
                <w:szCs w:val="18"/>
                <w:lang w:val="en-AU"/>
              </w:rPr>
            </w:pPr>
            <w:r w:rsidRPr="00DD30D9">
              <w:rPr>
                <w:rFonts w:ascii="Arial" w:hAnsi="Arial" w:cs="Arial"/>
                <w:sz w:val="18"/>
                <w:szCs w:val="18"/>
                <w:lang w:val="en-AU"/>
              </w:rPr>
              <w:t>–</w:t>
            </w:r>
            <w:r w:rsidR="003F4241" w:rsidRPr="00DD30D9">
              <w:rPr>
                <w:rFonts w:ascii="Arial" w:hAnsi="Arial" w:cs="Arial"/>
                <w:sz w:val="18"/>
                <w:szCs w:val="18"/>
                <w:lang w:val="en-AU"/>
              </w:rPr>
              <w:t>12.6%</w:t>
            </w:r>
          </w:p>
        </w:tc>
      </w:tr>
    </w:tbl>
    <w:p w14:paraId="328FA404" w14:textId="77777777" w:rsidR="0033420E" w:rsidRPr="00DD30D9" w:rsidRDefault="0033420E" w:rsidP="00677AEE">
      <w:pPr>
        <w:pStyle w:val="Heading3"/>
        <w:numPr>
          <w:ilvl w:val="0"/>
          <w:numId w:val="0"/>
        </w:numPr>
        <w:ind w:left="720" w:hanging="720"/>
        <w:rPr>
          <w:lang w:val="en-AU"/>
        </w:rPr>
      </w:pPr>
      <w:bookmarkStart w:id="83" w:name="_Toc13735976"/>
      <w:r w:rsidRPr="00DD30D9">
        <w:rPr>
          <w:lang w:val="en-AU"/>
        </w:rPr>
        <w:t>Recommendation</w:t>
      </w:r>
      <w:r w:rsidR="0061030F" w:rsidRPr="00DD30D9">
        <w:rPr>
          <w:lang w:val="en-AU"/>
        </w:rPr>
        <w:t xml:space="preserve"> 1</w:t>
      </w:r>
      <w:bookmarkEnd w:id="83"/>
    </w:p>
    <w:p w14:paraId="4B93F562" w14:textId="77777777" w:rsidR="00335051" w:rsidRPr="00DD30D9" w:rsidRDefault="009C7256" w:rsidP="00130EAF">
      <w:pPr>
        <w:pStyle w:val="01squarebullet"/>
        <w:rPr>
          <w:lang w:val="en-AU"/>
        </w:rPr>
      </w:pPr>
      <w:r w:rsidRPr="00DD30D9">
        <w:rPr>
          <w:lang w:val="en-AU"/>
        </w:rPr>
        <w:t>Amend</w:t>
      </w:r>
      <w:r w:rsidR="003F4241" w:rsidRPr="00DD30D9">
        <w:rPr>
          <w:lang w:val="en-AU"/>
        </w:rPr>
        <w:t xml:space="preserve"> the descriptor </w:t>
      </w:r>
      <w:r w:rsidR="00F379E1">
        <w:rPr>
          <w:lang w:val="en-AU"/>
        </w:rPr>
        <w:t xml:space="preserve">of item 73287 </w:t>
      </w:r>
      <w:r w:rsidR="003F4241" w:rsidRPr="00DD30D9">
        <w:rPr>
          <w:lang w:val="en-AU"/>
        </w:rPr>
        <w:t>to</w:t>
      </w:r>
      <w:r w:rsidR="00B24641" w:rsidRPr="00DD30D9">
        <w:rPr>
          <w:lang w:val="en-AU"/>
        </w:rPr>
        <w:t xml:space="preserve"> exclude</w:t>
      </w:r>
      <w:r w:rsidR="008F3DCB" w:rsidRPr="00DD30D9">
        <w:rPr>
          <w:lang w:val="en-AU"/>
        </w:rPr>
        <w:t xml:space="preserve"> </w:t>
      </w:r>
      <w:r w:rsidR="00F371B3">
        <w:rPr>
          <w:lang w:val="en-AU"/>
        </w:rPr>
        <w:t xml:space="preserve">high resolution techniques and patients without a specific </w:t>
      </w:r>
      <w:proofErr w:type="spellStart"/>
      <w:proofErr w:type="gramStart"/>
      <w:r w:rsidR="00F371B3">
        <w:rPr>
          <w:lang w:val="en-AU"/>
        </w:rPr>
        <w:t>risk.</w:t>
      </w:r>
      <w:r w:rsidR="00335051" w:rsidRPr="00DD30D9">
        <w:rPr>
          <w:lang w:val="en-AU"/>
        </w:rPr>
        <w:t>Include</w:t>
      </w:r>
      <w:proofErr w:type="spellEnd"/>
      <w:proofErr w:type="gramEnd"/>
      <w:r w:rsidR="00335051" w:rsidRPr="00DD30D9">
        <w:rPr>
          <w:lang w:val="en-AU"/>
        </w:rPr>
        <w:t xml:space="preserve"> an explanatory note indicating that the use of this item is not for screening purposes.</w:t>
      </w:r>
    </w:p>
    <w:p w14:paraId="063998D5" w14:textId="77777777" w:rsidR="00743359" w:rsidRDefault="0041025D" w:rsidP="00410662">
      <w:pPr>
        <w:pStyle w:val="01squarebullet"/>
        <w:rPr>
          <w:lang w:val="en-AU"/>
        </w:rPr>
      </w:pPr>
      <w:r w:rsidRPr="00743359">
        <w:rPr>
          <w:lang w:val="en-AU"/>
        </w:rPr>
        <w:t xml:space="preserve">Review </w:t>
      </w:r>
      <w:r w:rsidR="00EC5EEF" w:rsidRPr="00743359">
        <w:rPr>
          <w:lang w:val="en-AU"/>
        </w:rPr>
        <w:t>again</w:t>
      </w:r>
      <w:r w:rsidRPr="00743359">
        <w:rPr>
          <w:lang w:val="en-AU"/>
        </w:rPr>
        <w:t xml:space="preserve"> in three years (in 2020).</w:t>
      </w:r>
      <w:r w:rsidR="00743359">
        <w:rPr>
          <w:lang w:val="en-AU"/>
        </w:rPr>
        <w:br w:type="page"/>
      </w:r>
    </w:p>
    <w:p w14:paraId="6AA8C9E4" w14:textId="77777777" w:rsidR="00B24641" w:rsidRPr="00DD30D9" w:rsidRDefault="00B24641">
      <w:pPr>
        <w:pStyle w:val="Caption"/>
      </w:pPr>
      <w:bookmarkStart w:id="84" w:name="_Toc472940498"/>
      <w:bookmarkStart w:id="85" w:name="_Toc482009626"/>
      <w:r w:rsidRPr="00DD30D9">
        <w:lastRenderedPageBreak/>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E70D3A" w:rsidRPr="00DD30D9">
        <w:t>Proposed change</w:t>
      </w:r>
      <w:r w:rsidR="005D73A8" w:rsidRPr="00DD30D9">
        <w:t xml:space="preserve"> to</w:t>
      </w:r>
      <w:r w:rsidRPr="00DD30D9">
        <w:t xml:space="preserve"> item </w:t>
      </w:r>
      <w:bookmarkEnd w:id="84"/>
      <w:r w:rsidRPr="00DD30D9">
        <w:t>73287</w:t>
      </w:r>
      <w:bookmarkEnd w:id="85"/>
      <w:r w:rsidR="00E77A23" w:rsidRPr="00DD30D9">
        <w:t xml:space="preserve"> </w:t>
      </w:r>
    </w:p>
    <w:tbl>
      <w:tblPr>
        <w:tblStyle w:val="TableGrid"/>
        <w:tblW w:w="9011" w:type="dxa"/>
        <w:tblInd w:w="-5" w:type="dxa"/>
        <w:tblLook w:val="04A0" w:firstRow="1" w:lastRow="0" w:firstColumn="1" w:lastColumn="0" w:noHBand="0" w:noVBand="1"/>
        <w:tblCaption w:val="Proposed change to item 73287"/>
        <w:tblDescription w:val="This table shows the current item descriptors and proposed new item descriptors for item 73287. "/>
      </w:tblPr>
      <w:tblGrid>
        <w:gridCol w:w="846"/>
        <w:gridCol w:w="3827"/>
        <w:gridCol w:w="4338"/>
      </w:tblGrid>
      <w:tr w:rsidR="00F234E5" w:rsidRPr="00720661" w14:paraId="78CC49A7" w14:textId="77777777" w:rsidTr="005A054A">
        <w:trPr>
          <w:tblHeader/>
        </w:trPr>
        <w:tc>
          <w:tcPr>
            <w:tcW w:w="846" w:type="dxa"/>
            <w:tcBorders>
              <w:top w:val="single" w:sz="4" w:space="0" w:color="auto"/>
              <w:left w:val="single" w:sz="8" w:space="0" w:color="auto"/>
              <w:bottom w:val="single" w:sz="4" w:space="0" w:color="auto"/>
              <w:right w:val="single" w:sz="8" w:space="0" w:color="auto"/>
            </w:tcBorders>
            <w:shd w:val="clear" w:color="auto" w:fill="EEECE1" w:themeFill="background2"/>
            <w:vAlign w:val="bottom"/>
          </w:tcPr>
          <w:p w14:paraId="6856179A" w14:textId="77777777" w:rsidR="00F234E5" w:rsidRPr="00DD30D9" w:rsidRDefault="00F234E5" w:rsidP="005D73A8">
            <w:pPr>
              <w:rPr>
                <w:rFonts w:ascii="Arial" w:hAnsi="Arial" w:cs="Arial"/>
                <w:b/>
                <w:bCs/>
                <w:sz w:val="18"/>
                <w:lang w:val="en-AU"/>
              </w:rPr>
            </w:pPr>
            <w:r w:rsidRPr="00DD30D9">
              <w:rPr>
                <w:rFonts w:ascii="Arial" w:hAnsi="Arial" w:cs="Arial"/>
                <w:b/>
                <w:bCs/>
                <w:sz w:val="18"/>
                <w:lang w:val="en-AU"/>
              </w:rPr>
              <w:t xml:space="preserve">Item </w:t>
            </w:r>
          </w:p>
        </w:tc>
        <w:tc>
          <w:tcPr>
            <w:tcW w:w="3827" w:type="dxa"/>
            <w:tcBorders>
              <w:top w:val="single" w:sz="4" w:space="0" w:color="auto"/>
              <w:left w:val="single" w:sz="8" w:space="0" w:color="auto"/>
              <w:bottom w:val="single" w:sz="4" w:space="0" w:color="auto"/>
              <w:right w:val="single" w:sz="8" w:space="0" w:color="auto"/>
            </w:tcBorders>
            <w:shd w:val="clear" w:color="auto" w:fill="EEECE1" w:themeFill="background2"/>
            <w:vAlign w:val="bottom"/>
          </w:tcPr>
          <w:p w14:paraId="49D45EBD" w14:textId="77777777" w:rsidR="00F234E5" w:rsidRPr="00DD30D9" w:rsidRDefault="00F234E5" w:rsidP="005D73A8">
            <w:pPr>
              <w:rPr>
                <w:rFonts w:ascii="Arial" w:hAnsi="Arial" w:cs="Arial"/>
                <w:b/>
                <w:sz w:val="18"/>
                <w:lang w:val="en-AU"/>
              </w:rPr>
            </w:pPr>
            <w:r w:rsidRPr="00DD30D9">
              <w:rPr>
                <w:rFonts w:ascii="Arial" w:hAnsi="Arial" w:cs="Arial"/>
                <w:b/>
                <w:bCs/>
                <w:sz w:val="18"/>
                <w:lang w:val="en-AU"/>
              </w:rPr>
              <w:t>Current item descriptor</w:t>
            </w:r>
          </w:p>
        </w:tc>
        <w:tc>
          <w:tcPr>
            <w:tcW w:w="4338" w:type="dxa"/>
            <w:tcBorders>
              <w:top w:val="single" w:sz="4" w:space="0" w:color="auto"/>
              <w:left w:val="nil"/>
              <w:bottom w:val="single" w:sz="4" w:space="0" w:color="auto"/>
              <w:right w:val="single" w:sz="8" w:space="0" w:color="auto"/>
            </w:tcBorders>
            <w:shd w:val="clear" w:color="auto" w:fill="EEECE1" w:themeFill="background2"/>
            <w:vAlign w:val="bottom"/>
          </w:tcPr>
          <w:p w14:paraId="734352CC" w14:textId="77777777" w:rsidR="00F234E5" w:rsidRPr="00DD30D9" w:rsidRDefault="00F234E5" w:rsidP="005D73A8">
            <w:pPr>
              <w:rPr>
                <w:rFonts w:ascii="Arial" w:hAnsi="Arial" w:cs="Arial"/>
                <w:b/>
                <w:sz w:val="18"/>
                <w:lang w:val="en-AU"/>
              </w:rPr>
            </w:pPr>
            <w:r w:rsidRPr="00DD30D9">
              <w:rPr>
                <w:rFonts w:ascii="Arial" w:hAnsi="Arial" w:cs="Arial"/>
                <w:b/>
                <w:bCs/>
                <w:sz w:val="18"/>
                <w:lang w:val="en-AU"/>
              </w:rPr>
              <w:t>Proposed new item descriptor</w:t>
            </w:r>
          </w:p>
        </w:tc>
      </w:tr>
      <w:tr w:rsidR="00F234E5" w:rsidRPr="00720661" w14:paraId="79CF164D" w14:textId="77777777" w:rsidTr="00410662">
        <w:tc>
          <w:tcPr>
            <w:tcW w:w="846" w:type="dxa"/>
            <w:tcBorders>
              <w:top w:val="single" w:sz="4" w:space="0" w:color="auto"/>
              <w:left w:val="single" w:sz="8" w:space="0" w:color="auto"/>
              <w:bottom w:val="single" w:sz="8" w:space="0" w:color="auto"/>
              <w:right w:val="single" w:sz="8" w:space="0" w:color="auto"/>
            </w:tcBorders>
          </w:tcPr>
          <w:p w14:paraId="50327B16" w14:textId="77777777" w:rsidR="00F234E5" w:rsidRPr="00DD30D9" w:rsidRDefault="00F234E5" w:rsidP="005D73A8">
            <w:pPr>
              <w:rPr>
                <w:rFonts w:ascii="Arial" w:hAnsi="Arial" w:cs="Arial"/>
                <w:b/>
                <w:bCs/>
                <w:sz w:val="18"/>
                <w:lang w:val="en-AU"/>
              </w:rPr>
            </w:pPr>
            <w:r w:rsidRPr="00DD30D9">
              <w:rPr>
                <w:rFonts w:ascii="Arial" w:hAnsi="Arial" w:cs="Arial"/>
                <w:sz w:val="18"/>
                <w:szCs w:val="18"/>
                <w:lang w:val="en-AU"/>
              </w:rPr>
              <w:t>73287</w:t>
            </w:r>
          </w:p>
        </w:tc>
        <w:tc>
          <w:tcPr>
            <w:tcW w:w="3827" w:type="dxa"/>
            <w:tcBorders>
              <w:top w:val="single" w:sz="4" w:space="0" w:color="auto"/>
              <w:left w:val="single" w:sz="8" w:space="0" w:color="auto"/>
              <w:bottom w:val="single" w:sz="8" w:space="0" w:color="auto"/>
              <w:right w:val="single" w:sz="8" w:space="0" w:color="auto"/>
            </w:tcBorders>
          </w:tcPr>
          <w:p w14:paraId="3BA8D8BA" w14:textId="77777777" w:rsidR="00F234E5" w:rsidRPr="00DD30D9" w:rsidRDefault="00F234E5" w:rsidP="005D73A8">
            <w:pPr>
              <w:rPr>
                <w:rFonts w:ascii="Arial" w:hAnsi="Arial" w:cs="Arial"/>
                <w:b/>
                <w:bCs/>
                <w:sz w:val="18"/>
                <w:lang w:val="en-AU"/>
              </w:rPr>
            </w:pPr>
            <w:r w:rsidRPr="00DD30D9">
              <w:rPr>
                <w:rFonts w:ascii="Arial" w:hAnsi="Arial" w:cs="Arial"/>
                <w:sz w:val="18"/>
                <w:szCs w:val="18"/>
                <w:lang w:val="en-AU"/>
              </w:rPr>
              <w:t>The study of the whole of every chromosome by cytogenetic or other techniques, performed on 1 or more of any tissue or fluid except blo</w:t>
            </w:r>
            <w:r w:rsidR="005D73A8" w:rsidRPr="00DD30D9">
              <w:rPr>
                <w:rFonts w:ascii="Arial" w:hAnsi="Arial" w:cs="Arial"/>
                <w:sz w:val="18"/>
                <w:szCs w:val="18"/>
                <w:lang w:val="en-AU"/>
              </w:rPr>
              <w:t>od (including a service mentio</w:t>
            </w:r>
            <w:r w:rsidRPr="00DD30D9">
              <w:rPr>
                <w:rFonts w:ascii="Arial" w:hAnsi="Arial" w:cs="Arial"/>
                <w:sz w:val="18"/>
                <w:szCs w:val="18"/>
                <w:lang w:val="en-AU"/>
              </w:rPr>
              <w:t xml:space="preserve">ned in item 73293, if performed) – 1 or more tests </w:t>
            </w:r>
          </w:p>
        </w:tc>
        <w:tc>
          <w:tcPr>
            <w:tcW w:w="4338" w:type="dxa"/>
            <w:tcBorders>
              <w:top w:val="single" w:sz="4" w:space="0" w:color="auto"/>
              <w:left w:val="nil"/>
              <w:bottom w:val="single" w:sz="8" w:space="0" w:color="auto"/>
              <w:right w:val="single" w:sz="8" w:space="0" w:color="auto"/>
            </w:tcBorders>
          </w:tcPr>
          <w:p w14:paraId="578F3A53" w14:textId="77777777" w:rsidR="00335051" w:rsidRPr="00DD30D9" w:rsidRDefault="008A7DD2" w:rsidP="005D73A8">
            <w:pPr>
              <w:rPr>
                <w:rFonts w:ascii="Arial" w:hAnsi="Arial" w:cs="Arial"/>
                <w:sz w:val="18"/>
                <w:lang w:val="en-AU"/>
              </w:rPr>
            </w:pPr>
            <w:r>
              <w:rPr>
                <w:rFonts w:ascii="Arial" w:hAnsi="Arial" w:cs="Arial"/>
                <w:sz w:val="18"/>
                <w:lang w:val="en-AU"/>
              </w:rPr>
              <w:t xml:space="preserve">The study of the whole of </w:t>
            </w:r>
            <w:r w:rsidR="004670B5">
              <w:rPr>
                <w:rFonts w:ascii="Arial" w:hAnsi="Arial" w:cs="Arial"/>
                <w:sz w:val="18"/>
                <w:lang w:val="en-AU"/>
              </w:rPr>
              <w:t>e</w:t>
            </w:r>
            <w:r>
              <w:rPr>
                <w:rFonts w:ascii="Arial" w:hAnsi="Arial" w:cs="Arial"/>
                <w:sz w:val="18"/>
                <w:lang w:val="en-AU"/>
              </w:rPr>
              <w:t xml:space="preserve">very chromosome to detect constitutional genetic abnormalities that are at least 5 MB in size, performed on one or more of any tissue or fluid except blood (including a service mentioned in item 73293, if performed) – 1 or more tests. </w:t>
            </w:r>
          </w:p>
          <w:p w14:paraId="2CBD6B6E" w14:textId="77777777" w:rsidR="00335051" w:rsidRPr="00DD30D9" w:rsidRDefault="00335051" w:rsidP="005D73A8">
            <w:pPr>
              <w:rPr>
                <w:rFonts w:ascii="Arial" w:hAnsi="Arial" w:cs="Arial"/>
                <w:i/>
                <w:sz w:val="18"/>
                <w:szCs w:val="18"/>
                <w:u w:val="single"/>
                <w:lang w:val="en-AU"/>
              </w:rPr>
            </w:pPr>
            <w:r w:rsidRPr="00DD30D9">
              <w:rPr>
                <w:rFonts w:ascii="Arial" w:hAnsi="Arial" w:cs="Arial"/>
                <w:i/>
                <w:sz w:val="18"/>
                <w:szCs w:val="18"/>
                <w:u w:val="single"/>
                <w:lang w:val="en-AU"/>
              </w:rPr>
              <w:t>Explanatory note: this item is only indicated in a person with specific risk indicated by personal or family history.</w:t>
            </w:r>
          </w:p>
        </w:tc>
      </w:tr>
    </w:tbl>
    <w:p w14:paraId="189782C8" w14:textId="77777777" w:rsidR="0033420E" w:rsidRPr="00DD30D9" w:rsidRDefault="0033420E" w:rsidP="00677AEE">
      <w:pPr>
        <w:pStyle w:val="Heading3"/>
        <w:numPr>
          <w:ilvl w:val="0"/>
          <w:numId w:val="0"/>
        </w:numPr>
        <w:ind w:left="720" w:hanging="720"/>
        <w:rPr>
          <w:lang w:val="en-AU"/>
        </w:rPr>
      </w:pPr>
      <w:bookmarkStart w:id="86" w:name="_Toc13735977"/>
      <w:r w:rsidRPr="00DD30D9">
        <w:rPr>
          <w:lang w:val="en-AU"/>
        </w:rPr>
        <w:t>Rationale</w:t>
      </w:r>
      <w:r w:rsidR="0061030F" w:rsidRPr="00DD30D9">
        <w:rPr>
          <w:lang w:val="en-AU"/>
        </w:rPr>
        <w:t xml:space="preserve"> 1</w:t>
      </w:r>
      <w:bookmarkEnd w:id="86"/>
    </w:p>
    <w:p w14:paraId="07810169" w14:textId="77777777" w:rsidR="0033420E" w:rsidRPr="00DD30D9" w:rsidRDefault="0033420E" w:rsidP="0033420E">
      <w:pPr>
        <w:rPr>
          <w:lang w:val="en-AU"/>
        </w:rPr>
      </w:pPr>
      <w:r w:rsidRPr="00DD30D9">
        <w:rPr>
          <w:lang w:val="en-AU"/>
        </w:rPr>
        <w:t>The recommendation focuses on</w:t>
      </w:r>
      <w:r w:rsidR="001C37DA" w:rsidRPr="00DD30D9">
        <w:rPr>
          <w:lang w:val="en-AU"/>
        </w:rPr>
        <w:t xml:space="preserve"> modernising the MBS and</w:t>
      </w:r>
      <w:r w:rsidRPr="00DD30D9">
        <w:rPr>
          <w:lang w:val="en-AU"/>
        </w:rPr>
        <w:t xml:space="preserve"> </w:t>
      </w:r>
      <w:r w:rsidR="00F61107" w:rsidRPr="00DD30D9">
        <w:rPr>
          <w:lang w:val="en-AU"/>
        </w:rPr>
        <w:t>ensuring best practice</w:t>
      </w:r>
      <w:r w:rsidRPr="00DD30D9">
        <w:rPr>
          <w:lang w:val="en-AU"/>
        </w:rPr>
        <w:t xml:space="preserve"> and is based on the following observations</w:t>
      </w:r>
      <w:r w:rsidR="00F53281" w:rsidRPr="00DD30D9">
        <w:rPr>
          <w:lang w:val="en-AU"/>
        </w:rPr>
        <w:t>:</w:t>
      </w:r>
    </w:p>
    <w:p w14:paraId="7B1FC8F2" w14:textId="77777777" w:rsidR="00F61107" w:rsidRPr="00DD30D9" w:rsidRDefault="00611E5D" w:rsidP="0033420E">
      <w:pPr>
        <w:pStyle w:val="01squarebullet"/>
        <w:rPr>
          <w:lang w:val="en-AU"/>
        </w:rPr>
      </w:pPr>
      <w:r w:rsidRPr="00DD30D9">
        <w:rPr>
          <w:szCs w:val="22"/>
          <w:lang w:val="en-AU"/>
        </w:rPr>
        <w:t xml:space="preserve">The indications for </w:t>
      </w:r>
      <w:r w:rsidR="008F3DCB" w:rsidRPr="00DD30D9">
        <w:rPr>
          <w:szCs w:val="22"/>
          <w:lang w:val="en-AU"/>
        </w:rPr>
        <w:t>this</w:t>
      </w:r>
      <w:r w:rsidRPr="00DD30D9">
        <w:rPr>
          <w:szCs w:val="22"/>
          <w:lang w:val="en-AU"/>
        </w:rPr>
        <w:t xml:space="preserve"> test </w:t>
      </w:r>
      <w:r w:rsidR="00F61107" w:rsidRPr="00DD30D9">
        <w:rPr>
          <w:szCs w:val="22"/>
          <w:lang w:val="en-AU"/>
        </w:rPr>
        <w:t xml:space="preserve">commonly </w:t>
      </w:r>
      <w:r w:rsidRPr="00DD30D9">
        <w:rPr>
          <w:szCs w:val="22"/>
          <w:lang w:val="en-AU"/>
        </w:rPr>
        <w:t xml:space="preserve">include, but are not limited to, diagnostic testing of cultured cells from amniotic fluid or chorionic villi during pregnancy for the detection of large </w:t>
      </w:r>
      <w:proofErr w:type="spellStart"/>
      <w:r w:rsidRPr="00DD30D9">
        <w:rPr>
          <w:szCs w:val="22"/>
          <w:lang w:val="en-AU"/>
        </w:rPr>
        <w:t>fetal</w:t>
      </w:r>
      <w:proofErr w:type="spellEnd"/>
      <w:r w:rsidRPr="00DD30D9">
        <w:rPr>
          <w:szCs w:val="22"/>
          <w:lang w:val="en-AU"/>
        </w:rPr>
        <w:t xml:space="preserve"> gene alterations</w:t>
      </w:r>
      <w:r w:rsidR="003124A4" w:rsidRPr="00DD30D9">
        <w:rPr>
          <w:szCs w:val="22"/>
          <w:lang w:val="en-AU"/>
        </w:rPr>
        <w:t>,</w:t>
      </w:r>
      <w:r w:rsidR="00F61107" w:rsidRPr="00DD30D9">
        <w:rPr>
          <w:szCs w:val="22"/>
          <w:lang w:val="en-AU"/>
        </w:rPr>
        <w:t xml:space="preserve"> and the</w:t>
      </w:r>
      <w:r w:rsidRPr="00DD30D9">
        <w:rPr>
          <w:szCs w:val="22"/>
          <w:lang w:val="en-AU"/>
        </w:rPr>
        <w:t xml:space="preserve"> detect</w:t>
      </w:r>
      <w:r w:rsidR="00F61107" w:rsidRPr="00DD30D9">
        <w:rPr>
          <w:szCs w:val="22"/>
          <w:lang w:val="en-AU"/>
        </w:rPr>
        <w:t>ion</w:t>
      </w:r>
      <w:r w:rsidRPr="00DD30D9">
        <w:rPr>
          <w:szCs w:val="22"/>
          <w:lang w:val="en-AU"/>
        </w:rPr>
        <w:t xml:space="preserve"> </w:t>
      </w:r>
      <w:r w:rsidR="003124A4" w:rsidRPr="00DD30D9">
        <w:rPr>
          <w:szCs w:val="22"/>
          <w:lang w:val="en-AU"/>
        </w:rPr>
        <w:t xml:space="preserve">of </w:t>
      </w:r>
      <w:r w:rsidRPr="00DD30D9">
        <w:rPr>
          <w:szCs w:val="22"/>
          <w:lang w:val="en-AU"/>
        </w:rPr>
        <w:t xml:space="preserve">large gene alterations in lymph nodes or other tissues </w:t>
      </w:r>
      <w:r w:rsidR="00F61107" w:rsidRPr="00DD30D9">
        <w:rPr>
          <w:szCs w:val="22"/>
          <w:lang w:val="en-AU"/>
        </w:rPr>
        <w:t xml:space="preserve">in haematological malignancies. </w:t>
      </w:r>
    </w:p>
    <w:p w14:paraId="0D6CE7C6" w14:textId="77777777" w:rsidR="00B24641" w:rsidRPr="00DD30D9" w:rsidRDefault="00F61107" w:rsidP="0033420E">
      <w:pPr>
        <w:pStyle w:val="01squarebullet"/>
        <w:rPr>
          <w:lang w:val="en-AU"/>
        </w:rPr>
      </w:pPr>
      <w:r w:rsidRPr="00DD30D9">
        <w:rPr>
          <w:szCs w:val="22"/>
          <w:lang w:val="en-AU"/>
        </w:rPr>
        <w:t>The Committee noted that t</w:t>
      </w:r>
      <w:r w:rsidR="00611E5D" w:rsidRPr="00DD30D9">
        <w:rPr>
          <w:szCs w:val="22"/>
          <w:lang w:val="en-AU"/>
        </w:rPr>
        <w:t>here</w:t>
      </w:r>
      <w:r w:rsidR="00B24641" w:rsidRPr="00DD30D9">
        <w:rPr>
          <w:szCs w:val="22"/>
          <w:lang w:val="en-AU"/>
        </w:rPr>
        <w:t xml:space="preserve"> has been a predictable decrease in the use of </w:t>
      </w:r>
      <w:r w:rsidR="00611E5D" w:rsidRPr="00DD30D9">
        <w:rPr>
          <w:szCs w:val="22"/>
          <w:lang w:val="en-AU"/>
        </w:rPr>
        <w:t>item 73287</w:t>
      </w:r>
      <w:r w:rsidR="00B24641" w:rsidRPr="00DD30D9">
        <w:rPr>
          <w:szCs w:val="22"/>
          <w:lang w:val="en-AU"/>
        </w:rPr>
        <w:t xml:space="preserve"> over the past few years </w:t>
      </w:r>
      <w:r w:rsidR="00611E5D" w:rsidRPr="00DD30D9">
        <w:rPr>
          <w:szCs w:val="22"/>
          <w:lang w:val="en-AU"/>
        </w:rPr>
        <w:t xml:space="preserve">due to </w:t>
      </w:r>
      <w:r w:rsidR="00B24641" w:rsidRPr="00DD30D9">
        <w:rPr>
          <w:szCs w:val="22"/>
          <w:lang w:val="en-AU"/>
        </w:rPr>
        <w:t xml:space="preserve">the use of alternative non-invasive techniques for prenatal testing. It is anticipated that this decrease will continue for this </w:t>
      </w:r>
      <w:proofErr w:type="gramStart"/>
      <w:r w:rsidR="00B24641" w:rsidRPr="00DD30D9">
        <w:rPr>
          <w:szCs w:val="22"/>
          <w:lang w:val="en-AU"/>
        </w:rPr>
        <w:t>indication</w:t>
      </w:r>
      <w:proofErr w:type="gramEnd"/>
      <w:r w:rsidR="00B24641" w:rsidRPr="00DD30D9">
        <w:rPr>
          <w:szCs w:val="22"/>
          <w:lang w:val="en-AU"/>
        </w:rPr>
        <w:t xml:space="preserve"> but the test is still valuable for diagnostic confirmation in </w:t>
      </w:r>
      <w:r w:rsidRPr="00DD30D9">
        <w:rPr>
          <w:szCs w:val="22"/>
          <w:lang w:val="en-AU"/>
        </w:rPr>
        <w:t>the prenatal setting</w:t>
      </w:r>
      <w:r w:rsidR="00B24641" w:rsidRPr="00DD30D9">
        <w:rPr>
          <w:szCs w:val="22"/>
          <w:lang w:val="en-AU"/>
        </w:rPr>
        <w:t>, and for other indications.</w:t>
      </w:r>
    </w:p>
    <w:p w14:paraId="26045426" w14:textId="77777777" w:rsidR="00335051" w:rsidRPr="00DD30D9" w:rsidRDefault="00335051" w:rsidP="003124A4">
      <w:pPr>
        <w:pStyle w:val="01squarebullet"/>
        <w:rPr>
          <w:lang w:val="en-AU"/>
        </w:rPr>
      </w:pPr>
      <w:r w:rsidRPr="00DD30D9">
        <w:rPr>
          <w:lang w:val="en-AU"/>
        </w:rPr>
        <w:t xml:space="preserve">The Committee recommended </w:t>
      </w:r>
      <w:r w:rsidR="00130EAF" w:rsidRPr="00DD30D9">
        <w:rPr>
          <w:lang w:val="en-AU"/>
        </w:rPr>
        <w:t>including</w:t>
      </w:r>
      <w:r w:rsidRPr="00DD30D9">
        <w:rPr>
          <w:lang w:val="en-AU"/>
        </w:rPr>
        <w:t xml:space="preserve"> the words </w:t>
      </w:r>
      <w:r w:rsidRPr="00DD30D9">
        <w:rPr>
          <w:i/>
          <w:lang w:val="en-AU"/>
        </w:rPr>
        <w:t xml:space="preserve">’in a person with specific risk indicated by personal or family history’ </w:t>
      </w:r>
      <w:r w:rsidRPr="00DD30D9">
        <w:rPr>
          <w:lang w:val="en-AU"/>
        </w:rPr>
        <w:t xml:space="preserve">to prevent </w:t>
      </w:r>
      <w:r w:rsidR="00130EAF" w:rsidRPr="00DD30D9">
        <w:rPr>
          <w:lang w:val="en-AU"/>
        </w:rPr>
        <w:t>this item</w:t>
      </w:r>
      <w:r w:rsidRPr="00DD30D9">
        <w:rPr>
          <w:lang w:val="en-AU"/>
        </w:rPr>
        <w:t xml:space="preserve"> being used for screening purposes</w:t>
      </w:r>
      <w:r w:rsidR="00130EAF" w:rsidRPr="00DD30D9">
        <w:rPr>
          <w:lang w:val="en-AU"/>
        </w:rPr>
        <w:t>.</w:t>
      </w:r>
    </w:p>
    <w:p w14:paraId="0F1CF8A5" w14:textId="77777777" w:rsidR="000C56FD" w:rsidRPr="00DD30D9" w:rsidRDefault="000C56FD" w:rsidP="003124A4">
      <w:pPr>
        <w:pStyle w:val="01squarebullet"/>
        <w:rPr>
          <w:rFonts w:cstheme="minorHAnsi"/>
          <w:szCs w:val="22"/>
          <w:lang w:val="en-AU"/>
        </w:rPr>
      </w:pPr>
      <w:r w:rsidRPr="00DD30D9">
        <w:rPr>
          <w:rFonts w:cstheme="minorHAnsi"/>
          <w:szCs w:val="22"/>
          <w:lang w:val="en-AU"/>
        </w:rPr>
        <w:t xml:space="preserve">For patients, excluding whole genome </w:t>
      </w:r>
      <w:r w:rsidRPr="00DD30D9">
        <w:rPr>
          <w:rFonts w:eastAsiaTheme="minorHAnsi" w:cstheme="minorHAnsi"/>
          <w:szCs w:val="22"/>
          <w:lang w:val="en-AU"/>
        </w:rPr>
        <w:t>sequencing</w:t>
      </w:r>
      <w:r w:rsidRPr="00DD30D9">
        <w:rPr>
          <w:rFonts w:cstheme="minorHAnsi"/>
          <w:szCs w:val="22"/>
          <w:lang w:val="en-AU"/>
        </w:rPr>
        <w:t xml:space="preserve"> (a test with high resolution) will ensure the most appropriate techniques (those with low to medium resolution) are used to provide the relevant amount of information for diagnosis.</w:t>
      </w:r>
    </w:p>
    <w:p w14:paraId="657B8650" w14:textId="77777777" w:rsidR="0041025D" w:rsidRPr="00DD30D9" w:rsidRDefault="0041025D" w:rsidP="003124A4">
      <w:pPr>
        <w:pStyle w:val="01squarebullet"/>
        <w:rPr>
          <w:lang w:val="en-AU"/>
        </w:rPr>
      </w:pPr>
      <w:r w:rsidRPr="00DD30D9">
        <w:rPr>
          <w:lang w:val="en-AU"/>
        </w:rPr>
        <w:t>The Committee agreed that testing in this area is rapidly evolving and it would be appropriate to review the chromosome and microarray tests (i.e</w:t>
      </w:r>
      <w:r w:rsidR="00CA2D71">
        <w:rPr>
          <w:lang w:val="en-AU"/>
        </w:rPr>
        <w:t>.</w:t>
      </w:r>
      <w:r w:rsidRPr="00DD30D9">
        <w:rPr>
          <w:lang w:val="en-AU"/>
        </w:rPr>
        <w:t xml:space="preserve"> items 73287, 73289, 73290</w:t>
      </w:r>
      <w:r w:rsidR="00212D41" w:rsidRPr="00DD30D9">
        <w:rPr>
          <w:lang w:val="en-AU"/>
        </w:rPr>
        <w:t xml:space="preserve">, </w:t>
      </w:r>
      <w:r w:rsidRPr="00DD30D9">
        <w:rPr>
          <w:lang w:val="en-AU"/>
        </w:rPr>
        <w:t>73</w:t>
      </w:r>
      <w:r w:rsidR="00212D41" w:rsidRPr="00DD30D9">
        <w:rPr>
          <w:lang w:val="en-AU"/>
        </w:rPr>
        <w:t>291 and 73292) again in three years</w:t>
      </w:r>
      <w:r w:rsidR="00B4306D" w:rsidRPr="00DD30D9">
        <w:rPr>
          <w:lang w:val="en-AU"/>
        </w:rPr>
        <w:t xml:space="preserve"> </w:t>
      </w:r>
      <w:r w:rsidR="00212D41" w:rsidRPr="00DD30D9">
        <w:rPr>
          <w:lang w:val="en-AU"/>
        </w:rPr>
        <w:t>(2020) in light of expected developments.</w:t>
      </w:r>
    </w:p>
    <w:p w14:paraId="4EDCA9FE" w14:textId="77777777" w:rsidR="00E77A23" w:rsidRPr="00DD30D9" w:rsidRDefault="00E77A23">
      <w:pPr>
        <w:pStyle w:val="Heading2"/>
      </w:pPr>
      <w:bookmarkStart w:id="87" w:name="_Toc13735978"/>
      <w:r w:rsidRPr="00DD30D9">
        <w:t xml:space="preserve">Chromosome </w:t>
      </w:r>
      <w:r w:rsidR="00294091">
        <w:t>testing</w:t>
      </w:r>
      <w:r w:rsidR="00677AEE" w:rsidRPr="00DD30D9">
        <w:t xml:space="preserve"> (blood): i</w:t>
      </w:r>
      <w:r w:rsidRPr="00DD30D9">
        <w:t>tem 73289</w:t>
      </w:r>
      <w:bookmarkEnd w:id="87"/>
    </w:p>
    <w:p w14:paraId="02724394" w14:textId="77777777" w:rsidR="00E77A23" w:rsidRPr="00DD30D9" w:rsidRDefault="00E77A23">
      <w:pPr>
        <w:pStyle w:val="Caption"/>
      </w:pPr>
      <w:bookmarkStart w:id="88" w:name="_Toc482009627"/>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Item introduction table for item 73289</w:t>
      </w:r>
      <w:bookmarkEnd w:id="88"/>
    </w:p>
    <w:tbl>
      <w:tblPr>
        <w:tblStyle w:val="TableGrid1"/>
        <w:tblW w:w="0" w:type="auto"/>
        <w:tblLayout w:type="fixed"/>
        <w:tblLook w:val="04A0" w:firstRow="1" w:lastRow="0" w:firstColumn="1" w:lastColumn="0" w:noHBand="0" w:noVBand="1"/>
        <w:tblCaption w:val="Item introduction table for item 73289"/>
        <w:tblDescription w:val="This table contains Medicare Benefits Schedule data for item 73289 for the finanical year 2014–2015. The data include item numbers, long item descriptors, schedule fee, total volume of services, benefits paid, patient count and services annual average growth."/>
      </w:tblPr>
      <w:tblGrid>
        <w:gridCol w:w="776"/>
        <w:gridCol w:w="2292"/>
        <w:gridCol w:w="1180"/>
        <w:gridCol w:w="1199"/>
        <w:gridCol w:w="1225"/>
        <w:gridCol w:w="1176"/>
        <w:gridCol w:w="1168"/>
      </w:tblGrid>
      <w:tr w:rsidR="00E77A23" w:rsidRPr="00720661" w14:paraId="1983FD14" w14:textId="77777777" w:rsidTr="00146542">
        <w:trPr>
          <w:trHeight w:val="729"/>
          <w:tblHeader/>
        </w:trPr>
        <w:tc>
          <w:tcPr>
            <w:tcW w:w="776" w:type="dxa"/>
            <w:shd w:val="clear" w:color="auto" w:fill="EEECE1" w:themeFill="background2"/>
            <w:vAlign w:val="bottom"/>
            <w:hideMark/>
          </w:tcPr>
          <w:p w14:paraId="7497311F" w14:textId="77777777" w:rsidR="00E77A23" w:rsidRPr="00DD30D9" w:rsidRDefault="00E77A23" w:rsidP="001C37DA">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292" w:type="dxa"/>
            <w:shd w:val="clear" w:color="auto" w:fill="EEECE1" w:themeFill="background2"/>
            <w:vAlign w:val="bottom"/>
            <w:hideMark/>
          </w:tcPr>
          <w:p w14:paraId="6744607B" w14:textId="77777777" w:rsidR="00E77A23" w:rsidRPr="00DD30D9" w:rsidRDefault="00E77A23" w:rsidP="001C37DA">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180" w:type="dxa"/>
            <w:shd w:val="clear" w:color="auto" w:fill="EEECE1" w:themeFill="background2"/>
            <w:vAlign w:val="bottom"/>
            <w:hideMark/>
          </w:tcPr>
          <w:p w14:paraId="453646F2" w14:textId="77777777" w:rsidR="00E77A23" w:rsidRPr="00DD30D9" w:rsidRDefault="00E77A23" w:rsidP="001C37DA">
            <w:pPr>
              <w:rPr>
                <w:rFonts w:ascii="Arial" w:hAnsi="Arial" w:cs="Arial"/>
                <w:b/>
                <w:color w:val="000000"/>
                <w:sz w:val="18"/>
                <w:szCs w:val="18"/>
                <w:lang w:val="en-AU"/>
              </w:rPr>
            </w:pPr>
            <w:r w:rsidRPr="00DD30D9">
              <w:rPr>
                <w:rFonts w:ascii="Arial" w:hAnsi="Arial" w:cs="Arial"/>
                <w:b/>
                <w:color w:val="000000"/>
                <w:sz w:val="18"/>
                <w:szCs w:val="18"/>
                <w:lang w:val="en-AU"/>
              </w:rPr>
              <w:t>Schedule fee</w:t>
            </w:r>
          </w:p>
        </w:tc>
        <w:tc>
          <w:tcPr>
            <w:tcW w:w="1199" w:type="dxa"/>
            <w:shd w:val="clear" w:color="auto" w:fill="EEECE1" w:themeFill="background2"/>
            <w:vAlign w:val="bottom"/>
            <w:hideMark/>
          </w:tcPr>
          <w:p w14:paraId="4E4C79D8" w14:textId="77777777" w:rsidR="00E77A23" w:rsidRPr="00DD30D9" w:rsidRDefault="00E77A23" w:rsidP="00807710">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B361C6"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871067"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25" w:type="dxa"/>
            <w:shd w:val="clear" w:color="auto" w:fill="EEECE1" w:themeFill="background2"/>
            <w:vAlign w:val="bottom"/>
          </w:tcPr>
          <w:p w14:paraId="66EB3BB1" w14:textId="77777777" w:rsidR="00E77A23" w:rsidRPr="00DD30D9" w:rsidRDefault="00E77A23" w:rsidP="00675DC9">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B361C6"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871067"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176" w:type="dxa"/>
            <w:shd w:val="clear" w:color="auto" w:fill="EEECE1" w:themeFill="background2"/>
            <w:vAlign w:val="bottom"/>
            <w:hideMark/>
          </w:tcPr>
          <w:p w14:paraId="695DE88A" w14:textId="77777777" w:rsidR="00E77A23" w:rsidRPr="00DD30D9" w:rsidRDefault="00E77A23">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871067"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168" w:type="dxa"/>
            <w:shd w:val="clear" w:color="auto" w:fill="EEECE1" w:themeFill="background2"/>
            <w:vAlign w:val="bottom"/>
            <w:hideMark/>
          </w:tcPr>
          <w:p w14:paraId="52AEDDE8" w14:textId="77777777" w:rsidR="00E77A23" w:rsidRPr="00DD30D9" w:rsidRDefault="00E77A23" w:rsidP="001C37DA">
            <w:pPr>
              <w:rPr>
                <w:rFonts w:ascii="Arial" w:hAnsi="Arial" w:cs="Arial"/>
                <w:b/>
                <w:color w:val="000000"/>
                <w:sz w:val="18"/>
                <w:szCs w:val="18"/>
                <w:lang w:val="en-AU"/>
              </w:rPr>
            </w:pPr>
            <w:r w:rsidRPr="00DD30D9">
              <w:rPr>
                <w:rFonts w:ascii="Arial" w:hAnsi="Arial" w:cs="Arial"/>
                <w:b/>
                <w:color w:val="000000"/>
                <w:sz w:val="18"/>
                <w:szCs w:val="18"/>
                <w:lang w:val="en-AU"/>
              </w:rPr>
              <w:t>5</w:t>
            </w:r>
            <w:r w:rsidR="00871067" w:rsidRPr="00DD30D9">
              <w:rPr>
                <w:rFonts w:ascii="Arial" w:hAnsi="Arial" w:cs="Arial"/>
                <w:b/>
                <w:color w:val="000000"/>
                <w:sz w:val="18"/>
                <w:szCs w:val="18"/>
                <w:lang w:val="en-AU"/>
              </w:rPr>
              <w:t>-</w:t>
            </w:r>
            <w:r w:rsidRPr="00DD30D9">
              <w:rPr>
                <w:rFonts w:ascii="Arial" w:hAnsi="Arial" w:cs="Arial"/>
                <w:b/>
                <w:color w:val="000000"/>
                <w:sz w:val="18"/>
                <w:szCs w:val="18"/>
                <w:lang w:val="en-AU"/>
              </w:rPr>
              <w:t>year service change (CAGR)</w:t>
            </w:r>
          </w:p>
        </w:tc>
      </w:tr>
      <w:tr w:rsidR="00E77A23" w:rsidRPr="00720661" w14:paraId="476BFDBF" w14:textId="77777777" w:rsidTr="00146542">
        <w:trPr>
          <w:trHeight w:val="300"/>
        </w:trPr>
        <w:tc>
          <w:tcPr>
            <w:tcW w:w="776" w:type="dxa"/>
            <w:noWrap/>
          </w:tcPr>
          <w:p w14:paraId="77909C0A" w14:textId="77777777" w:rsidR="00E77A23" w:rsidRPr="00DD30D9" w:rsidRDefault="00E77A23" w:rsidP="001C37DA">
            <w:pPr>
              <w:rPr>
                <w:rFonts w:ascii="Arial" w:hAnsi="Arial" w:cs="Arial"/>
                <w:color w:val="000000"/>
                <w:sz w:val="18"/>
                <w:szCs w:val="18"/>
                <w:lang w:val="en-AU"/>
              </w:rPr>
            </w:pPr>
            <w:r w:rsidRPr="00DD30D9">
              <w:rPr>
                <w:rFonts w:ascii="Arial" w:hAnsi="Arial" w:cs="Arial"/>
                <w:color w:val="000000"/>
                <w:sz w:val="18"/>
                <w:szCs w:val="18"/>
                <w:lang w:val="en-AU"/>
              </w:rPr>
              <w:t>73289</w:t>
            </w:r>
          </w:p>
        </w:tc>
        <w:tc>
          <w:tcPr>
            <w:tcW w:w="2292" w:type="dxa"/>
            <w:noWrap/>
          </w:tcPr>
          <w:p w14:paraId="01BF192F" w14:textId="77777777" w:rsidR="00E77A23" w:rsidRPr="00DD30D9" w:rsidRDefault="00E77A23" w:rsidP="001C37DA">
            <w:pPr>
              <w:rPr>
                <w:rFonts w:ascii="Arial" w:hAnsi="Arial" w:cs="Arial"/>
                <w:sz w:val="18"/>
                <w:szCs w:val="18"/>
                <w:lang w:val="en-AU"/>
              </w:rPr>
            </w:pPr>
            <w:r w:rsidRPr="00DD30D9">
              <w:rPr>
                <w:rFonts w:ascii="Arial" w:hAnsi="Arial" w:cs="Arial"/>
                <w:sz w:val="18"/>
                <w:szCs w:val="18"/>
                <w:lang w:val="en-AU"/>
              </w:rPr>
              <w:t xml:space="preserve">The study of the whole of every chromosome by cytogenetic or other techniques, performed on blood (including a service mentioned in item 73293, if performed) – 1 or more tests </w:t>
            </w:r>
          </w:p>
        </w:tc>
        <w:tc>
          <w:tcPr>
            <w:tcW w:w="1180" w:type="dxa"/>
            <w:noWrap/>
          </w:tcPr>
          <w:p w14:paraId="1B35C2C5" w14:textId="77777777" w:rsidR="00E77A23" w:rsidRPr="00DD30D9" w:rsidRDefault="00E77A23" w:rsidP="003E497F">
            <w:pPr>
              <w:jc w:val="right"/>
              <w:rPr>
                <w:rFonts w:ascii="Arial" w:hAnsi="Arial" w:cs="Arial"/>
                <w:sz w:val="18"/>
                <w:szCs w:val="18"/>
                <w:lang w:val="en-AU"/>
              </w:rPr>
            </w:pPr>
            <w:r w:rsidRPr="00DD30D9">
              <w:rPr>
                <w:rFonts w:ascii="Arial" w:hAnsi="Arial" w:cs="Arial"/>
                <w:sz w:val="18"/>
                <w:szCs w:val="18"/>
                <w:lang w:val="en-AU"/>
              </w:rPr>
              <w:t>$358.95</w:t>
            </w:r>
          </w:p>
        </w:tc>
        <w:tc>
          <w:tcPr>
            <w:tcW w:w="1199" w:type="dxa"/>
            <w:noWrap/>
          </w:tcPr>
          <w:p w14:paraId="787DB6DD" w14:textId="77777777" w:rsidR="00E77A23" w:rsidRPr="00DD30D9" w:rsidRDefault="007B4A68" w:rsidP="003E497F">
            <w:pPr>
              <w:jc w:val="right"/>
              <w:rPr>
                <w:rFonts w:ascii="Arial" w:hAnsi="Arial" w:cs="Arial"/>
                <w:sz w:val="18"/>
                <w:szCs w:val="18"/>
                <w:lang w:val="en-AU"/>
              </w:rPr>
            </w:pPr>
            <w:r w:rsidRPr="00DD30D9">
              <w:rPr>
                <w:rFonts w:ascii="Arial" w:hAnsi="Arial" w:cs="Arial"/>
                <w:sz w:val="18"/>
                <w:szCs w:val="18"/>
                <w:lang w:val="en-AU"/>
              </w:rPr>
              <w:t>42,651</w:t>
            </w:r>
          </w:p>
        </w:tc>
        <w:tc>
          <w:tcPr>
            <w:tcW w:w="1225" w:type="dxa"/>
          </w:tcPr>
          <w:p w14:paraId="09DD2F14" w14:textId="77777777" w:rsidR="007B4A68" w:rsidRPr="00DD30D9" w:rsidRDefault="007B4A68" w:rsidP="003E497F">
            <w:pPr>
              <w:jc w:val="right"/>
              <w:rPr>
                <w:rFonts w:ascii="Arial" w:hAnsi="Arial" w:cs="Arial"/>
                <w:sz w:val="18"/>
                <w:szCs w:val="18"/>
                <w:lang w:val="en-AU"/>
              </w:rPr>
            </w:pPr>
            <w:r w:rsidRPr="00DD30D9">
              <w:rPr>
                <w:rFonts w:ascii="Arial" w:hAnsi="Arial" w:cs="Arial"/>
                <w:sz w:val="18"/>
                <w:szCs w:val="18"/>
                <w:lang w:val="en-AU"/>
              </w:rPr>
              <w:t>$13,108,280</w:t>
            </w:r>
          </w:p>
        </w:tc>
        <w:tc>
          <w:tcPr>
            <w:tcW w:w="1176" w:type="dxa"/>
            <w:noWrap/>
          </w:tcPr>
          <w:p w14:paraId="0563D03C" w14:textId="77777777" w:rsidR="00E77A23" w:rsidRPr="00DD30D9" w:rsidRDefault="00E77A23" w:rsidP="003E497F">
            <w:pPr>
              <w:jc w:val="right"/>
              <w:rPr>
                <w:rFonts w:ascii="Arial" w:hAnsi="Arial" w:cs="Arial"/>
                <w:sz w:val="18"/>
                <w:szCs w:val="18"/>
                <w:lang w:val="en-AU"/>
              </w:rPr>
            </w:pPr>
            <w:r w:rsidRPr="00DD30D9">
              <w:rPr>
                <w:rFonts w:ascii="Arial" w:hAnsi="Arial" w:cs="Arial"/>
                <w:sz w:val="18"/>
                <w:szCs w:val="18"/>
                <w:lang w:val="en-AU"/>
              </w:rPr>
              <w:t>42,013</w:t>
            </w:r>
          </w:p>
        </w:tc>
        <w:tc>
          <w:tcPr>
            <w:tcW w:w="1168" w:type="dxa"/>
            <w:noWrap/>
          </w:tcPr>
          <w:p w14:paraId="61384997" w14:textId="77777777" w:rsidR="00E77A23" w:rsidRPr="00DD30D9" w:rsidRDefault="00E77A23" w:rsidP="003E497F">
            <w:pPr>
              <w:jc w:val="right"/>
              <w:rPr>
                <w:rFonts w:ascii="Arial" w:hAnsi="Arial" w:cs="Arial"/>
                <w:sz w:val="18"/>
                <w:szCs w:val="18"/>
                <w:lang w:val="en-AU"/>
              </w:rPr>
            </w:pPr>
            <w:r w:rsidRPr="00DD30D9">
              <w:rPr>
                <w:rFonts w:ascii="Arial" w:hAnsi="Arial" w:cs="Arial"/>
                <w:sz w:val="18"/>
                <w:szCs w:val="18"/>
                <w:lang w:val="en-AU"/>
              </w:rPr>
              <w:t>6.2%</w:t>
            </w:r>
          </w:p>
        </w:tc>
      </w:tr>
    </w:tbl>
    <w:p w14:paraId="14F264B4" w14:textId="77777777" w:rsidR="00611E5D" w:rsidRPr="00DD30D9" w:rsidRDefault="00611E5D" w:rsidP="00677AEE">
      <w:pPr>
        <w:pStyle w:val="Heading3"/>
        <w:numPr>
          <w:ilvl w:val="0"/>
          <w:numId w:val="0"/>
        </w:numPr>
        <w:ind w:left="720" w:hanging="720"/>
        <w:rPr>
          <w:lang w:val="en-AU"/>
        </w:rPr>
      </w:pPr>
      <w:bookmarkStart w:id="89" w:name="_Toc13735979"/>
      <w:r w:rsidRPr="00DD30D9">
        <w:rPr>
          <w:lang w:val="en-AU"/>
        </w:rPr>
        <w:lastRenderedPageBreak/>
        <w:t>Recommendation</w:t>
      </w:r>
      <w:r w:rsidR="0061030F" w:rsidRPr="00DD30D9">
        <w:rPr>
          <w:lang w:val="en-AU"/>
        </w:rPr>
        <w:t xml:space="preserve"> 2</w:t>
      </w:r>
      <w:bookmarkEnd w:id="89"/>
    </w:p>
    <w:p w14:paraId="320DF87A" w14:textId="77777777" w:rsidR="00E77A23" w:rsidRPr="00DD30D9" w:rsidRDefault="009C7256" w:rsidP="00E77A23">
      <w:pPr>
        <w:pStyle w:val="01squarebullet"/>
        <w:rPr>
          <w:lang w:val="en-AU"/>
        </w:rPr>
      </w:pPr>
      <w:r w:rsidRPr="00720661">
        <w:rPr>
          <w:lang w:val="en-AU"/>
        </w:rPr>
        <w:t>Amend</w:t>
      </w:r>
      <w:r w:rsidR="00611E5D" w:rsidRPr="00720661">
        <w:rPr>
          <w:lang w:val="en-AU"/>
        </w:rPr>
        <w:t xml:space="preserve"> the descriptor of item 73289 to exclude</w:t>
      </w:r>
      <w:r w:rsidR="003124A4" w:rsidRPr="00720661">
        <w:rPr>
          <w:lang w:val="en-AU"/>
        </w:rPr>
        <w:t xml:space="preserve"> </w:t>
      </w:r>
      <w:r w:rsidR="00F371B3">
        <w:rPr>
          <w:lang w:val="en-AU"/>
        </w:rPr>
        <w:t>high resolution techniques and patients without a specific risk.</w:t>
      </w:r>
    </w:p>
    <w:p w14:paraId="5D0224CE" w14:textId="77777777" w:rsidR="00335051" w:rsidRPr="00DD30D9" w:rsidRDefault="00335051" w:rsidP="00335051">
      <w:pPr>
        <w:pStyle w:val="01squarebullet"/>
        <w:rPr>
          <w:lang w:val="en-AU"/>
        </w:rPr>
      </w:pPr>
      <w:r w:rsidRPr="00720661">
        <w:rPr>
          <w:lang w:val="en-AU"/>
        </w:rPr>
        <w:t>Include an explanatory note indicating that the use of this item is not for screening purposes.</w:t>
      </w:r>
    </w:p>
    <w:p w14:paraId="364ACD6D" w14:textId="77777777" w:rsidR="009D73C7" w:rsidRPr="00DD30D9" w:rsidRDefault="00F1287E" w:rsidP="00F1287E">
      <w:pPr>
        <w:pStyle w:val="01squarebullet"/>
        <w:rPr>
          <w:lang w:val="en-AU"/>
        </w:rPr>
      </w:pPr>
      <w:r w:rsidRPr="00DD30D9">
        <w:rPr>
          <w:lang w:val="en-AU"/>
        </w:rPr>
        <w:t xml:space="preserve">Review </w:t>
      </w:r>
      <w:r w:rsidR="00EC5EEF" w:rsidRPr="00DD30D9">
        <w:rPr>
          <w:lang w:val="en-AU"/>
        </w:rPr>
        <w:t>aga</w:t>
      </w:r>
      <w:r w:rsidRPr="00DD30D9">
        <w:rPr>
          <w:lang w:val="en-AU"/>
        </w:rPr>
        <w:t xml:space="preserve">in </w:t>
      </w:r>
      <w:r w:rsidR="00EC5EEF" w:rsidRPr="00DD30D9">
        <w:rPr>
          <w:lang w:val="en-AU"/>
        </w:rPr>
        <w:t xml:space="preserve">in </w:t>
      </w:r>
      <w:r w:rsidRPr="00DD30D9">
        <w:rPr>
          <w:lang w:val="en-AU"/>
        </w:rPr>
        <w:t>three years (in 2020).</w:t>
      </w:r>
    </w:p>
    <w:p w14:paraId="6EB79939" w14:textId="77777777" w:rsidR="00E77A23" w:rsidRPr="00DD30D9" w:rsidRDefault="00611E5D">
      <w:pPr>
        <w:pStyle w:val="Caption"/>
      </w:pPr>
      <w:bookmarkStart w:id="90" w:name="_Toc482009628"/>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E70D3A" w:rsidRPr="00DD30D9">
        <w:t>Proposed change</w:t>
      </w:r>
      <w:r w:rsidRPr="00DD30D9">
        <w:t xml:space="preserve"> to item 73289</w:t>
      </w:r>
      <w:bookmarkEnd w:id="90"/>
    </w:p>
    <w:tbl>
      <w:tblPr>
        <w:tblStyle w:val="TableGrid"/>
        <w:tblW w:w="9011" w:type="dxa"/>
        <w:tblInd w:w="-5" w:type="dxa"/>
        <w:tblLook w:val="04A0" w:firstRow="1" w:lastRow="0" w:firstColumn="1" w:lastColumn="0" w:noHBand="0" w:noVBand="1"/>
        <w:tblCaption w:val="Proposed change to item 73289"/>
        <w:tblDescription w:val="This table shows the current item descriptor and proposed new item descriptor for item 73289. "/>
      </w:tblPr>
      <w:tblGrid>
        <w:gridCol w:w="846"/>
        <w:gridCol w:w="3827"/>
        <w:gridCol w:w="4338"/>
      </w:tblGrid>
      <w:tr w:rsidR="00E77A23" w:rsidRPr="00720661" w14:paraId="5BC5841E" w14:textId="77777777" w:rsidTr="005A054A">
        <w:trPr>
          <w:tblHeader/>
        </w:trPr>
        <w:tc>
          <w:tcPr>
            <w:tcW w:w="846" w:type="dxa"/>
            <w:tcBorders>
              <w:top w:val="single" w:sz="4" w:space="0" w:color="auto"/>
              <w:left w:val="single" w:sz="8" w:space="0" w:color="auto"/>
              <w:bottom w:val="single" w:sz="4" w:space="0" w:color="auto"/>
              <w:right w:val="single" w:sz="8" w:space="0" w:color="auto"/>
            </w:tcBorders>
            <w:shd w:val="clear" w:color="auto" w:fill="EEECE1" w:themeFill="background2"/>
            <w:vAlign w:val="bottom"/>
          </w:tcPr>
          <w:p w14:paraId="147E1C9E" w14:textId="77777777" w:rsidR="00E77A23" w:rsidRPr="00DD30D9" w:rsidRDefault="00E77A23" w:rsidP="001C37DA">
            <w:pPr>
              <w:rPr>
                <w:rFonts w:ascii="Arial" w:hAnsi="Arial" w:cs="Arial"/>
                <w:b/>
                <w:bCs/>
                <w:sz w:val="18"/>
                <w:lang w:val="en-AU"/>
              </w:rPr>
            </w:pPr>
            <w:r w:rsidRPr="00DD30D9">
              <w:rPr>
                <w:rFonts w:ascii="Arial" w:hAnsi="Arial" w:cs="Arial"/>
                <w:b/>
                <w:bCs/>
                <w:sz w:val="18"/>
                <w:lang w:val="en-AU"/>
              </w:rPr>
              <w:t xml:space="preserve">Item </w:t>
            </w:r>
          </w:p>
        </w:tc>
        <w:tc>
          <w:tcPr>
            <w:tcW w:w="3827" w:type="dxa"/>
            <w:tcBorders>
              <w:top w:val="single" w:sz="4" w:space="0" w:color="auto"/>
              <w:left w:val="single" w:sz="8" w:space="0" w:color="auto"/>
              <w:bottom w:val="single" w:sz="4" w:space="0" w:color="auto"/>
              <w:right w:val="single" w:sz="8" w:space="0" w:color="auto"/>
            </w:tcBorders>
            <w:shd w:val="clear" w:color="auto" w:fill="EEECE1" w:themeFill="background2"/>
            <w:vAlign w:val="bottom"/>
          </w:tcPr>
          <w:p w14:paraId="451C8515" w14:textId="77777777" w:rsidR="00E77A23" w:rsidRPr="00DD30D9" w:rsidRDefault="00E77A23" w:rsidP="001C37DA">
            <w:pPr>
              <w:rPr>
                <w:rFonts w:ascii="Arial" w:hAnsi="Arial" w:cs="Arial"/>
                <w:b/>
                <w:sz w:val="18"/>
                <w:lang w:val="en-AU"/>
              </w:rPr>
            </w:pPr>
            <w:r w:rsidRPr="00DD30D9">
              <w:rPr>
                <w:rFonts w:ascii="Arial" w:hAnsi="Arial" w:cs="Arial"/>
                <w:b/>
                <w:bCs/>
                <w:sz w:val="18"/>
                <w:lang w:val="en-AU"/>
              </w:rPr>
              <w:t>Current item descriptor</w:t>
            </w:r>
          </w:p>
        </w:tc>
        <w:tc>
          <w:tcPr>
            <w:tcW w:w="4338" w:type="dxa"/>
            <w:tcBorders>
              <w:top w:val="single" w:sz="4" w:space="0" w:color="auto"/>
              <w:left w:val="nil"/>
              <w:bottom w:val="single" w:sz="4" w:space="0" w:color="auto"/>
              <w:right w:val="single" w:sz="8" w:space="0" w:color="auto"/>
            </w:tcBorders>
            <w:shd w:val="clear" w:color="auto" w:fill="EEECE1" w:themeFill="background2"/>
            <w:vAlign w:val="bottom"/>
          </w:tcPr>
          <w:p w14:paraId="722A4C7E" w14:textId="77777777" w:rsidR="00E77A23" w:rsidRPr="00DD30D9" w:rsidRDefault="00E77A23" w:rsidP="001C37DA">
            <w:pPr>
              <w:rPr>
                <w:rFonts w:ascii="Arial" w:hAnsi="Arial" w:cs="Arial"/>
                <w:b/>
                <w:sz w:val="18"/>
                <w:lang w:val="en-AU"/>
              </w:rPr>
            </w:pPr>
            <w:r w:rsidRPr="00DD30D9">
              <w:rPr>
                <w:rFonts w:ascii="Arial" w:hAnsi="Arial" w:cs="Arial"/>
                <w:b/>
                <w:bCs/>
                <w:sz w:val="18"/>
                <w:lang w:val="en-AU"/>
              </w:rPr>
              <w:t>Proposed new item descriptor</w:t>
            </w:r>
          </w:p>
        </w:tc>
      </w:tr>
      <w:tr w:rsidR="00E77A23" w:rsidRPr="00720661" w14:paraId="2D03734C" w14:textId="77777777" w:rsidTr="003C5409">
        <w:tc>
          <w:tcPr>
            <w:tcW w:w="846" w:type="dxa"/>
            <w:tcBorders>
              <w:top w:val="single" w:sz="4" w:space="0" w:color="auto"/>
              <w:left w:val="single" w:sz="8" w:space="0" w:color="auto"/>
              <w:bottom w:val="single" w:sz="8" w:space="0" w:color="auto"/>
              <w:right w:val="single" w:sz="8" w:space="0" w:color="auto"/>
            </w:tcBorders>
          </w:tcPr>
          <w:p w14:paraId="436A66F6" w14:textId="77777777" w:rsidR="00E77A23" w:rsidRPr="00DD30D9" w:rsidRDefault="00E77A23" w:rsidP="001C37DA">
            <w:pPr>
              <w:rPr>
                <w:rFonts w:ascii="Arial" w:hAnsi="Arial" w:cs="Arial"/>
                <w:sz w:val="18"/>
                <w:szCs w:val="18"/>
                <w:lang w:val="en-AU"/>
              </w:rPr>
            </w:pPr>
            <w:r w:rsidRPr="00DD30D9">
              <w:rPr>
                <w:rFonts w:ascii="Arial" w:hAnsi="Arial" w:cs="Arial"/>
                <w:sz w:val="18"/>
                <w:szCs w:val="18"/>
                <w:lang w:val="en-AU"/>
              </w:rPr>
              <w:t>73289</w:t>
            </w:r>
          </w:p>
        </w:tc>
        <w:tc>
          <w:tcPr>
            <w:tcW w:w="3827" w:type="dxa"/>
            <w:tcBorders>
              <w:top w:val="single" w:sz="4" w:space="0" w:color="auto"/>
              <w:left w:val="single" w:sz="8" w:space="0" w:color="auto"/>
              <w:bottom w:val="single" w:sz="8" w:space="0" w:color="auto"/>
              <w:right w:val="single" w:sz="8" w:space="0" w:color="auto"/>
            </w:tcBorders>
          </w:tcPr>
          <w:p w14:paraId="63FCD311" w14:textId="77777777" w:rsidR="00E77A23" w:rsidRPr="00DD30D9" w:rsidRDefault="00E77A23" w:rsidP="001C37DA">
            <w:pPr>
              <w:rPr>
                <w:rFonts w:ascii="Arial" w:hAnsi="Arial" w:cs="Arial"/>
                <w:sz w:val="18"/>
                <w:szCs w:val="18"/>
                <w:lang w:val="en-AU"/>
              </w:rPr>
            </w:pPr>
            <w:r w:rsidRPr="00DD30D9">
              <w:rPr>
                <w:rFonts w:ascii="Arial" w:hAnsi="Arial" w:cs="Arial"/>
                <w:sz w:val="18"/>
                <w:szCs w:val="18"/>
                <w:lang w:val="en-AU"/>
              </w:rPr>
              <w:t>The study of the whole of every chromosome by cytogenetic or other techniques, performed on blood (including a service mentioned in item 73293, if performed) – 1 or more tests</w:t>
            </w:r>
          </w:p>
        </w:tc>
        <w:tc>
          <w:tcPr>
            <w:tcW w:w="4338" w:type="dxa"/>
            <w:tcBorders>
              <w:top w:val="single" w:sz="4" w:space="0" w:color="auto"/>
              <w:left w:val="nil"/>
              <w:bottom w:val="single" w:sz="8" w:space="0" w:color="auto"/>
              <w:right w:val="single" w:sz="8" w:space="0" w:color="auto"/>
            </w:tcBorders>
          </w:tcPr>
          <w:p w14:paraId="753A1BFF" w14:textId="77777777" w:rsidR="00E77A23" w:rsidRPr="00DD30D9" w:rsidRDefault="00F81C34" w:rsidP="001C37DA">
            <w:pPr>
              <w:rPr>
                <w:rFonts w:ascii="Arial" w:hAnsi="Arial" w:cs="Arial"/>
                <w:sz w:val="18"/>
                <w:lang w:val="en-AU"/>
              </w:rPr>
            </w:pPr>
            <w:r>
              <w:rPr>
                <w:rFonts w:ascii="Arial" w:hAnsi="Arial" w:cs="Arial"/>
                <w:sz w:val="18"/>
                <w:lang w:val="en-AU"/>
              </w:rPr>
              <w:t>The study of the whole of every chromosome to detect constitutional genetic abnormalities that are at least 5 MB in size, performed on blood</w:t>
            </w:r>
            <w:r w:rsidR="00E77A23" w:rsidRPr="00DD30D9">
              <w:rPr>
                <w:rFonts w:ascii="Arial" w:hAnsi="Arial" w:cs="Arial"/>
                <w:sz w:val="18"/>
                <w:lang w:val="en-AU"/>
              </w:rPr>
              <w:t xml:space="preserve"> (including a service mentioned in item 73293, if performed) – 1 or more tests.</w:t>
            </w:r>
          </w:p>
          <w:p w14:paraId="51510A42" w14:textId="77777777" w:rsidR="00335051" w:rsidRPr="00DD30D9" w:rsidRDefault="00335051" w:rsidP="001C37DA">
            <w:pPr>
              <w:rPr>
                <w:rFonts w:ascii="Arial" w:hAnsi="Arial" w:cs="Arial"/>
                <w:sz w:val="18"/>
                <w:u w:val="single"/>
                <w:lang w:val="en-AU"/>
              </w:rPr>
            </w:pPr>
            <w:r w:rsidRPr="00DD30D9">
              <w:rPr>
                <w:rFonts w:ascii="Arial" w:hAnsi="Arial" w:cs="Arial"/>
                <w:i/>
                <w:sz w:val="18"/>
                <w:szCs w:val="18"/>
                <w:u w:val="single"/>
                <w:lang w:val="en-AU"/>
              </w:rPr>
              <w:t>Explanatory note: this item is only indicated in a person with specific risk indicated by personal or family history.</w:t>
            </w:r>
          </w:p>
        </w:tc>
      </w:tr>
    </w:tbl>
    <w:p w14:paraId="786B04F8" w14:textId="77777777" w:rsidR="00611E5D" w:rsidRPr="00DD30D9" w:rsidRDefault="00611E5D" w:rsidP="00677AEE">
      <w:pPr>
        <w:pStyle w:val="Heading3"/>
        <w:numPr>
          <w:ilvl w:val="0"/>
          <w:numId w:val="0"/>
        </w:numPr>
        <w:ind w:left="720" w:hanging="720"/>
        <w:rPr>
          <w:lang w:val="en-AU"/>
        </w:rPr>
      </w:pPr>
      <w:bookmarkStart w:id="91" w:name="_Toc13735980"/>
      <w:r w:rsidRPr="00DD30D9">
        <w:rPr>
          <w:lang w:val="en-AU"/>
        </w:rPr>
        <w:t>Rationale</w:t>
      </w:r>
      <w:r w:rsidR="0061030F" w:rsidRPr="00DD30D9">
        <w:rPr>
          <w:lang w:val="en-AU"/>
        </w:rPr>
        <w:t xml:space="preserve"> 2</w:t>
      </w:r>
      <w:bookmarkEnd w:id="91"/>
    </w:p>
    <w:p w14:paraId="3CAAA08B" w14:textId="77777777" w:rsidR="00611E5D" w:rsidRPr="00DD30D9" w:rsidRDefault="00611E5D" w:rsidP="00611E5D">
      <w:pPr>
        <w:rPr>
          <w:lang w:val="en-AU"/>
        </w:rPr>
      </w:pPr>
      <w:r w:rsidRPr="00DD30D9">
        <w:rPr>
          <w:lang w:val="en-AU"/>
        </w:rPr>
        <w:t xml:space="preserve">The recommendation focuses on </w:t>
      </w:r>
      <w:r w:rsidR="008310F6" w:rsidRPr="00DD30D9">
        <w:rPr>
          <w:lang w:val="en-AU"/>
        </w:rPr>
        <w:t xml:space="preserve">modernising the MBS and </w:t>
      </w:r>
      <w:r w:rsidR="00461BF4" w:rsidRPr="00DD30D9">
        <w:rPr>
          <w:lang w:val="en-AU"/>
        </w:rPr>
        <w:t>ensuring best practice</w:t>
      </w:r>
      <w:r w:rsidRPr="00DD30D9">
        <w:rPr>
          <w:lang w:val="en-AU"/>
        </w:rPr>
        <w:t xml:space="preserve"> and is based on the following observations</w:t>
      </w:r>
      <w:r w:rsidR="00720661" w:rsidRPr="00DD30D9">
        <w:rPr>
          <w:lang w:val="en-AU"/>
        </w:rPr>
        <w:t>:</w:t>
      </w:r>
    </w:p>
    <w:p w14:paraId="78DDD779" w14:textId="77777777" w:rsidR="00461BF4" w:rsidRPr="00DD30D9" w:rsidRDefault="00461BF4" w:rsidP="00461BF4">
      <w:pPr>
        <w:pStyle w:val="01squarebullet"/>
        <w:rPr>
          <w:lang w:val="en-AU"/>
        </w:rPr>
      </w:pPr>
      <w:r w:rsidRPr="00DD30D9">
        <w:rPr>
          <w:lang w:val="en-AU"/>
        </w:rPr>
        <w:t>The potential indications for this test include, but are not limited to, the diagnosis of congenital or syndromic abnormalities</w:t>
      </w:r>
      <w:r w:rsidR="00C604D0" w:rsidRPr="00DD30D9">
        <w:rPr>
          <w:bCs/>
          <w:lang w:val="en-AU"/>
        </w:rPr>
        <w:t xml:space="preserve"> or </w:t>
      </w:r>
      <w:r w:rsidRPr="00DD30D9">
        <w:rPr>
          <w:bCs/>
          <w:lang w:val="en-AU"/>
        </w:rPr>
        <w:t xml:space="preserve">developmental delay, or in the investigation of infertility and/or pregnancy loss secondary to structural or numerical chromosome abnormalities. </w:t>
      </w:r>
      <w:r w:rsidRPr="00DD30D9">
        <w:rPr>
          <w:lang w:val="en-AU"/>
        </w:rPr>
        <w:t>This test is the same as that described above (</w:t>
      </w:r>
      <w:r w:rsidR="00C604D0" w:rsidRPr="00DD30D9">
        <w:rPr>
          <w:lang w:val="en-AU"/>
        </w:rPr>
        <w:t xml:space="preserve">item </w:t>
      </w:r>
      <w:r w:rsidRPr="00DD30D9">
        <w:rPr>
          <w:lang w:val="en-AU"/>
        </w:rPr>
        <w:t xml:space="preserve">73287) but performed on blood rather than tissue or fluid. </w:t>
      </w:r>
      <w:r w:rsidR="00955688" w:rsidRPr="00DD30D9">
        <w:rPr>
          <w:lang w:val="en-AU"/>
        </w:rPr>
        <w:t>Traditional karyotyping is still the most appropriate test for patients with recurrent miscarriages, infertility, premature menopause, delayed puberty or other sexual development disorders.</w:t>
      </w:r>
    </w:p>
    <w:p w14:paraId="71A03B22" w14:textId="77777777" w:rsidR="00DC5BEF" w:rsidRPr="00DC5BEF" w:rsidRDefault="00461BF4">
      <w:pPr>
        <w:pStyle w:val="01squarebullet"/>
        <w:rPr>
          <w:lang w:val="en-AU"/>
        </w:rPr>
      </w:pPr>
      <w:r w:rsidRPr="00DD30D9">
        <w:rPr>
          <w:bCs/>
          <w:lang w:val="en-AU"/>
        </w:rPr>
        <w:t xml:space="preserve">The Committee noted that there has been growth in the use </w:t>
      </w:r>
      <w:r w:rsidR="008310F6" w:rsidRPr="00DD30D9">
        <w:rPr>
          <w:bCs/>
          <w:lang w:val="en-AU"/>
        </w:rPr>
        <w:t xml:space="preserve">of </w:t>
      </w:r>
      <w:r w:rsidRPr="00DD30D9">
        <w:rPr>
          <w:bCs/>
          <w:lang w:val="en-AU"/>
        </w:rPr>
        <w:t>this item</w:t>
      </w:r>
      <w:r w:rsidR="001B22F5" w:rsidRPr="00DD30D9">
        <w:rPr>
          <w:bCs/>
          <w:lang w:val="en-AU"/>
        </w:rPr>
        <w:t xml:space="preserve"> over the past </w:t>
      </w:r>
      <w:r w:rsidR="00C604D0" w:rsidRPr="00DD30D9">
        <w:rPr>
          <w:bCs/>
          <w:lang w:val="en-AU"/>
        </w:rPr>
        <w:t>5 </w:t>
      </w:r>
      <w:r w:rsidR="001B22F5" w:rsidRPr="00DD30D9">
        <w:rPr>
          <w:bCs/>
          <w:lang w:val="en-AU"/>
        </w:rPr>
        <w:t>years</w:t>
      </w:r>
      <w:r w:rsidRPr="00DD30D9">
        <w:rPr>
          <w:lang w:val="en-AU"/>
        </w:rPr>
        <w:t xml:space="preserve">. Obstetrics and gynaecology specialists are the primary requesters </w:t>
      </w:r>
      <w:r w:rsidRPr="00DD30D9">
        <w:rPr>
          <w:bCs/>
          <w:lang w:val="en-AU"/>
        </w:rPr>
        <w:t>and data confirm that IVF clinics are a driver of this growth</w:t>
      </w:r>
      <w:r w:rsidRPr="00DD30D9">
        <w:rPr>
          <w:lang w:val="en-AU"/>
        </w:rPr>
        <w:t xml:space="preserve">. Requests from paediatricians have </w:t>
      </w:r>
      <w:r w:rsidR="001B22F5" w:rsidRPr="00DD30D9">
        <w:rPr>
          <w:lang w:val="en-AU"/>
        </w:rPr>
        <w:t xml:space="preserve">significantly </w:t>
      </w:r>
      <w:r w:rsidRPr="00DD30D9">
        <w:rPr>
          <w:lang w:val="en-AU"/>
        </w:rPr>
        <w:t>decreased over the past few years, in line with best practice guidelines</w:t>
      </w:r>
      <w:r w:rsidR="00C604D0" w:rsidRPr="00DD30D9">
        <w:rPr>
          <w:lang w:val="en-AU"/>
        </w:rPr>
        <w:t>,</w:t>
      </w:r>
      <w:r w:rsidRPr="00DD30D9">
        <w:rPr>
          <w:lang w:val="en-AU"/>
        </w:rPr>
        <w:t xml:space="preserve"> which now recommend the use of alternative microarray technology (</w:t>
      </w:r>
      <w:r w:rsidR="00C604D0" w:rsidRPr="00DD30D9">
        <w:rPr>
          <w:lang w:val="en-AU"/>
        </w:rPr>
        <w:t xml:space="preserve">item </w:t>
      </w:r>
      <w:r w:rsidRPr="00DD30D9">
        <w:rPr>
          <w:lang w:val="en-AU"/>
        </w:rPr>
        <w:t>73292) as the preferred method of testing for developmental delay</w:t>
      </w:r>
      <w:r w:rsidR="00DC5BEF">
        <w:rPr>
          <w:lang w:val="en-AU"/>
        </w:rPr>
        <w:t>.</w:t>
      </w:r>
      <w:r w:rsidR="006713A7" w:rsidRPr="00DD30D9">
        <w:rPr>
          <w:lang w:val="en-AU"/>
        </w:rPr>
        <w:t xml:space="preserve"> </w:t>
      </w:r>
      <w:r w:rsidR="006713A7" w:rsidRPr="00DD30D9">
        <w:rPr>
          <w:lang w:val="en-AU"/>
        </w:rPr>
        <w:fldChar w:fldCharType="begin"/>
      </w:r>
      <w:r w:rsidR="006713A7" w:rsidRPr="00DD30D9">
        <w:rPr>
          <w:lang w:val="en-AU"/>
        </w:rPr>
        <w:instrText xml:space="preserve"> REF _Ref488823254 \r \h </w:instrText>
      </w:r>
      <w:r w:rsidR="006713A7" w:rsidRPr="00DD30D9">
        <w:rPr>
          <w:lang w:val="en-AU"/>
        </w:rPr>
      </w:r>
      <w:r w:rsidR="006713A7" w:rsidRPr="00DD30D9">
        <w:rPr>
          <w:lang w:val="en-AU"/>
        </w:rPr>
        <w:fldChar w:fldCharType="separate"/>
      </w:r>
      <w:r w:rsidR="00CA1CA9" w:rsidRPr="00DD30D9">
        <w:rPr>
          <w:lang w:val="en-AU"/>
        </w:rPr>
        <w:t>[3]</w:t>
      </w:r>
      <w:r w:rsidR="006713A7" w:rsidRPr="00DD30D9">
        <w:rPr>
          <w:lang w:val="en-AU"/>
        </w:rPr>
        <w:fldChar w:fldCharType="end"/>
      </w:r>
    </w:p>
    <w:p w14:paraId="2B09830F" w14:textId="77777777" w:rsidR="00E77A23" w:rsidRPr="00DD30D9" w:rsidRDefault="00611E5D" w:rsidP="00E77A23">
      <w:pPr>
        <w:pStyle w:val="01squarebullet"/>
        <w:rPr>
          <w:lang w:val="en-AU"/>
        </w:rPr>
      </w:pPr>
      <w:r w:rsidRPr="00DD30D9">
        <w:rPr>
          <w:szCs w:val="22"/>
          <w:lang w:val="en-AU"/>
        </w:rPr>
        <w:t>.</w:t>
      </w:r>
    </w:p>
    <w:p w14:paraId="26F5AC18" w14:textId="77777777" w:rsidR="00130EAF" w:rsidRPr="00DD30D9" w:rsidRDefault="00130EAF" w:rsidP="00130EAF">
      <w:pPr>
        <w:pStyle w:val="01squarebullet"/>
        <w:rPr>
          <w:lang w:val="en-AU"/>
        </w:rPr>
      </w:pPr>
      <w:r w:rsidRPr="00DD30D9">
        <w:rPr>
          <w:lang w:val="en-AU"/>
        </w:rPr>
        <w:t xml:space="preserve">The Committee recommended including the words </w:t>
      </w:r>
      <w:r w:rsidRPr="00DD30D9">
        <w:rPr>
          <w:i/>
          <w:lang w:val="en-AU"/>
        </w:rPr>
        <w:t xml:space="preserve">’in a person with specific risk indicated by personal or family history’ </w:t>
      </w:r>
      <w:r w:rsidRPr="00DD30D9">
        <w:rPr>
          <w:lang w:val="en-AU"/>
        </w:rPr>
        <w:t>to prevent this item being used for screening purposes.</w:t>
      </w:r>
    </w:p>
    <w:p w14:paraId="39D7DFCC" w14:textId="77777777" w:rsidR="00130EAF" w:rsidRPr="00DD30D9" w:rsidRDefault="000C56FD" w:rsidP="000C56FD">
      <w:pPr>
        <w:pStyle w:val="01squarebullet"/>
        <w:rPr>
          <w:rFonts w:cstheme="minorHAnsi"/>
          <w:szCs w:val="22"/>
          <w:lang w:val="en-AU"/>
        </w:rPr>
      </w:pPr>
      <w:r w:rsidRPr="00DD30D9">
        <w:rPr>
          <w:rFonts w:cstheme="minorHAnsi"/>
          <w:szCs w:val="22"/>
          <w:lang w:val="en-AU"/>
        </w:rPr>
        <w:t>For patients, excluding whole genome sequencing (a test with high resolution) will ensure the most appropriate techniques (those with low to medium resolution) are used to provide the relevant amount of information for diagnosis.</w:t>
      </w:r>
    </w:p>
    <w:p w14:paraId="29B16F1A" w14:textId="77777777" w:rsidR="0033420E" w:rsidRPr="00720661" w:rsidRDefault="00150A04">
      <w:pPr>
        <w:pStyle w:val="Heading2"/>
      </w:pPr>
      <w:bookmarkStart w:id="92" w:name="_Toc13735981"/>
      <w:r w:rsidRPr="00720661">
        <w:lastRenderedPageBreak/>
        <w:t xml:space="preserve">Chromosome </w:t>
      </w:r>
      <w:r w:rsidR="00294091">
        <w:t>testing</w:t>
      </w:r>
      <w:r w:rsidRPr="00720661">
        <w:t xml:space="preserve"> on blood or bone marrow</w:t>
      </w:r>
      <w:r w:rsidR="00E70D3A" w:rsidRPr="00720661">
        <w:t>,</w:t>
      </w:r>
      <w:r w:rsidRPr="00720661">
        <w:t xml:space="preserve"> for diagnosis and monitoring of haematological malignancy</w:t>
      </w:r>
      <w:r w:rsidR="00677AEE" w:rsidRPr="00720661">
        <w:t>: i</w:t>
      </w:r>
      <w:r w:rsidR="001B22F5" w:rsidRPr="00720661">
        <w:t>tem 73290</w:t>
      </w:r>
      <w:bookmarkEnd w:id="92"/>
    </w:p>
    <w:p w14:paraId="16FFF1B2" w14:textId="77777777" w:rsidR="00E70D3A" w:rsidRPr="00DD30D9" w:rsidRDefault="00E70D3A">
      <w:pPr>
        <w:pStyle w:val="Caption"/>
      </w:pPr>
      <w:bookmarkStart w:id="93" w:name="_Toc482009629"/>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Item introduction table for item 732</w:t>
      </w:r>
      <w:bookmarkEnd w:id="93"/>
      <w:r w:rsidR="00E161F5" w:rsidRPr="00DD30D9">
        <w:t>90</w:t>
      </w:r>
    </w:p>
    <w:tbl>
      <w:tblPr>
        <w:tblStyle w:val="TableGrid1"/>
        <w:tblW w:w="8993" w:type="dxa"/>
        <w:tblLayout w:type="fixed"/>
        <w:tblLook w:val="04A0" w:firstRow="1" w:lastRow="0" w:firstColumn="1" w:lastColumn="0" w:noHBand="0" w:noVBand="1"/>
        <w:tblCaption w:val="Item introduction table for item 73290"/>
        <w:tblDescription w:val="This table contains Medicare Benefits Schedule data for item 73290 for the finanical year 2014–2015. The data include item numbers, long item descriptors, schedule fee, total volume of services, benefits paid, patient count and services annual average growth."/>
      </w:tblPr>
      <w:tblGrid>
        <w:gridCol w:w="773"/>
        <w:gridCol w:w="2766"/>
        <w:gridCol w:w="1062"/>
        <w:gridCol w:w="1206"/>
        <w:gridCol w:w="1201"/>
        <w:gridCol w:w="994"/>
        <w:gridCol w:w="991"/>
      </w:tblGrid>
      <w:tr w:rsidR="0033420E" w:rsidRPr="00720661" w14:paraId="401D68FA" w14:textId="77777777" w:rsidTr="00146542">
        <w:trPr>
          <w:trHeight w:val="729"/>
          <w:tblHeader/>
        </w:trPr>
        <w:tc>
          <w:tcPr>
            <w:tcW w:w="773" w:type="dxa"/>
            <w:shd w:val="clear" w:color="auto" w:fill="EEECE1" w:themeFill="background2"/>
            <w:vAlign w:val="bottom"/>
            <w:hideMark/>
          </w:tcPr>
          <w:p w14:paraId="73E7E472"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766" w:type="dxa"/>
            <w:shd w:val="clear" w:color="auto" w:fill="EEECE1" w:themeFill="background2"/>
            <w:vAlign w:val="bottom"/>
            <w:hideMark/>
          </w:tcPr>
          <w:p w14:paraId="2233DEC1"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62" w:type="dxa"/>
            <w:shd w:val="clear" w:color="auto" w:fill="EEECE1" w:themeFill="background2"/>
            <w:vAlign w:val="bottom"/>
            <w:hideMark/>
          </w:tcPr>
          <w:p w14:paraId="3AF556F9" w14:textId="77777777" w:rsidR="0033420E" w:rsidRPr="00DD30D9" w:rsidRDefault="0033420E" w:rsidP="00675DC9">
            <w:pPr>
              <w:rPr>
                <w:rFonts w:ascii="Arial" w:hAnsi="Arial" w:cs="Arial"/>
                <w:b/>
                <w:color w:val="000000"/>
                <w:sz w:val="18"/>
                <w:szCs w:val="18"/>
                <w:lang w:val="en-AU"/>
              </w:rPr>
            </w:pPr>
            <w:r w:rsidRPr="00DD30D9">
              <w:rPr>
                <w:rFonts w:ascii="Arial" w:hAnsi="Arial" w:cs="Arial"/>
                <w:b/>
                <w:color w:val="000000"/>
                <w:sz w:val="18"/>
                <w:szCs w:val="18"/>
                <w:lang w:val="en-AU"/>
              </w:rPr>
              <w:t>Schedule</w:t>
            </w:r>
            <w:r w:rsidR="00C604D0"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fee</w:t>
            </w:r>
          </w:p>
        </w:tc>
        <w:tc>
          <w:tcPr>
            <w:tcW w:w="1206" w:type="dxa"/>
            <w:shd w:val="clear" w:color="auto" w:fill="EEECE1" w:themeFill="background2"/>
            <w:vAlign w:val="bottom"/>
          </w:tcPr>
          <w:p w14:paraId="71166585"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C604D0"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2014</w:t>
            </w:r>
            <w:r w:rsidR="00C604D0"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01" w:type="dxa"/>
            <w:shd w:val="clear" w:color="auto" w:fill="EEECE1" w:themeFill="background2"/>
            <w:vAlign w:val="bottom"/>
          </w:tcPr>
          <w:p w14:paraId="0341A212"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C604D0"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C604D0"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94" w:type="dxa"/>
            <w:shd w:val="clear" w:color="auto" w:fill="EEECE1" w:themeFill="background2"/>
            <w:vAlign w:val="bottom"/>
            <w:hideMark/>
          </w:tcPr>
          <w:p w14:paraId="07F33EAB"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C604D0"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91" w:type="dxa"/>
            <w:shd w:val="clear" w:color="auto" w:fill="EEECE1" w:themeFill="background2"/>
            <w:vAlign w:val="bottom"/>
            <w:hideMark/>
          </w:tcPr>
          <w:p w14:paraId="19B7ED75" w14:textId="77777777" w:rsidR="0033420E" w:rsidRPr="00DD30D9" w:rsidRDefault="001B7F03" w:rsidP="00795693">
            <w:pPr>
              <w:rPr>
                <w:rFonts w:ascii="Arial" w:hAnsi="Arial" w:cs="Arial"/>
                <w:b/>
                <w:color w:val="000000"/>
                <w:sz w:val="18"/>
                <w:szCs w:val="18"/>
                <w:lang w:val="en-AU"/>
              </w:rPr>
            </w:pPr>
            <w:r w:rsidRPr="00DD30D9">
              <w:rPr>
                <w:rFonts w:ascii="Arial" w:hAnsi="Arial" w:cs="Arial"/>
                <w:b/>
                <w:color w:val="000000"/>
                <w:sz w:val="18"/>
                <w:szCs w:val="18"/>
                <w:lang w:val="en-AU"/>
              </w:rPr>
              <w:t>5</w:t>
            </w:r>
            <w:r w:rsidR="00C604D0" w:rsidRPr="00DD30D9">
              <w:rPr>
                <w:rFonts w:ascii="Arial" w:hAnsi="Arial" w:cs="Arial"/>
                <w:b/>
                <w:color w:val="000000"/>
                <w:sz w:val="18"/>
                <w:szCs w:val="18"/>
                <w:lang w:val="en-AU"/>
              </w:rPr>
              <w:t>-</w:t>
            </w:r>
            <w:r w:rsidRPr="00DD30D9">
              <w:rPr>
                <w:rFonts w:ascii="Arial" w:hAnsi="Arial" w:cs="Arial"/>
                <w:b/>
                <w:color w:val="000000"/>
                <w:sz w:val="18"/>
                <w:szCs w:val="18"/>
                <w:lang w:val="en-AU"/>
              </w:rPr>
              <w:t xml:space="preserve">year service change </w:t>
            </w:r>
            <w:r w:rsidR="0033420E" w:rsidRPr="00DD30D9">
              <w:rPr>
                <w:rFonts w:ascii="Arial" w:hAnsi="Arial" w:cs="Arial"/>
                <w:b/>
                <w:color w:val="000000"/>
                <w:sz w:val="18"/>
                <w:szCs w:val="18"/>
                <w:lang w:val="en-AU"/>
              </w:rPr>
              <w:t>(CAGR)</w:t>
            </w:r>
          </w:p>
        </w:tc>
      </w:tr>
      <w:tr w:rsidR="00150A04" w:rsidRPr="00720661" w14:paraId="7223A31C" w14:textId="77777777" w:rsidTr="00146542">
        <w:trPr>
          <w:trHeight w:val="300"/>
        </w:trPr>
        <w:tc>
          <w:tcPr>
            <w:tcW w:w="773" w:type="dxa"/>
            <w:noWrap/>
          </w:tcPr>
          <w:p w14:paraId="4351145A" w14:textId="77777777" w:rsidR="00150A04" w:rsidRPr="00DD30D9" w:rsidRDefault="00150A04" w:rsidP="00150A04">
            <w:pPr>
              <w:rPr>
                <w:rFonts w:ascii="Arial" w:hAnsi="Arial" w:cs="Arial"/>
                <w:color w:val="000000"/>
                <w:sz w:val="18"/>
                <w:szCs w:val="18"/>
                <w:lang w:val="en-AU"/>
              </w:rPr>
            </w:pPr>
            <w:r w:rsidRPr="00DD30D9">
              <w:rPr>
                <w:rFonts w:ascii="Arial" w:hAnsi="Arial" w:cs="Arial"/>
                <w:color w:val="000000"/>
                <w:sz w:val="18"/>
                <w:szCs w:val="18"/>
                <w:lang w:val="en-AU"/>
              </w:rPr>
              <w:t>73290</w:t>
            </w:r>
          </w:p>
        </w:tc>
        <w:tc>
          <w:tcPr>
            <w:tcW w:w="2766" w:type="dxa"/>
            <w:noWrap/>
          </w:tcPr>
          <w:p w14:paraId="18869478" w14:textId="77777777" w:rsidR="00150A04" w:rsidRPr="00DD30D9" w:rsidRDefault="00150A04" w:rsidP="00150A04">
            <w:pPr>
              <w:rPr>
                <w:rFonts w:ascii="Arial" w:hAnsi="Arial" w:cs="Arial"/>
                <w:color w:val="000000"/>
                <w:sz w:val="18"/>
                <w:szCs w:val="18"/>
                <w:lang w:val="en-AU"/>
              </w:rPr>
            </w:pPr>
            <w:r w:rsidRPr="00DD30D9">
              <w:rPr>
                <w:rFonts w:ascii="Arial" w:hAnsi="Arial" w:cs="Arial"/>
                <w:sz w:val="18"/>
                <w:szCs w:val="18"/>
                <w:lang w:val="en-AU"/>
              </w:rPr>
              <w:t xml:space="preserve">The study of the whole of each chromosome by cytogenetic or other techniques, performed on blood or bone marrow, in the diagnosis and monitoring of haematological malignancy (including a service in items 73287 or 73289, if performed). – 1 or more tests. </w:t>
            </w:r>
          </w:p>
        </w:tc>
        <w:tc>
          <w:tcPr>
            <w:tcW w:w="1062" w:type="dxa"/>
            <w:noWrap/>
          </w:tcPr>
          <w:p w14:paraId="7DFA75EA" w14:textId="77777777" w:rsidR="00150A04" w:rsidRPr="00DD30D9" w:rsidRDefault="00150A04" w:rsidP="003C5409">
            <w:pPr>
              <w:jc w:val="right"/>
              <w:rPr>
                <w:rFonts w:ascii="Arial" w:hAnsi="Arial" w:cs="Arial"/>
                <w:color w:val="000000"/>
                <w:sz w:val="18"/>
                <w:szCs w:val="18"/>
                <w:lang w:val="en-AU"/>
              </w:rPr>
            </w:pPr>
            <w:r w:rsidRPr="00DD30D9">
              <w:rPr>
                <w:rFonts w:ascii="Arial" w:hAnsi="Arial" w:cs="Arial"/>
                <w:sz w:val="18"/>
                <w:szCs w:val="18"/>
                <w:lang w:val="en-AU"/>
              </w:rPr>
              <w:t>$394.55</w:t>
            </w:r>
          </w:p>
        </w:tc>
        <w:tc>
          <w:tcPr>
            <w:tcW w:w="1206" w:type="dxa"/>
            <w:noWrap/>
          </w:tcPr>
          <w:p w14:paraId="0C8A864D" w14:textId="77777777" w:rsidR="00150A04" w:rsidRPr="00DD30D9" w:rsidRDefault="007B4A68" w:rsidP="003C5409">
            <w:pPr>
              <w:jc w:val="right"/>
              <w:rPr>
                <w:rFonts w:ascii="Arial" w:hAnsi="Arial" w:cs="Arial"/>
                <w:color w:val="000000"/>
                <w:sz w:val="18"/>
                <w:szCs w:val="18"/>
                <w:lang w:val="en-AU"/>
              </w:rPr>
            </w:pPr>
            <w:r w:rsidRPr="00DD30D9">
              <w:rPr>
                <w:rFonts w:ascii="Arial" w:hAnsi="Arial" w:cs="Arial"/>
                <w:sz w:val="18"/>
                <w:szCs w:val="18"/>
                <w:lang w:val="en-AU"/>
              </w:rPr>
              <w:t>8290</w:t>
            </w:r>
          </w:p>
        </w:tc>
        <w:tc>
          <w:tcPr>
            <w:tcW w:w="1201" w:type="dxa"/>
          </w:tcPr>
          <w:p w14:paraId="394EE7DA" w14:textId="77777777" w:rsidR="007B4A68" w:rsidRPr="00DD30D9" w:rsidRDefault="007B4A68" w:rsidP="003C5409">
            <w:pPr>
              <w:jc w:val="right"/>
              <w:rPr>
                <w:rFonts w:ascii="Arial" w:hAnsi="Arial" w:cs="Arial"/>
                <w:color w:val="000000"/>
                <w:sz w:val="18"/>
                <w:szCs w:val="18"/>
                <w:lang w:val="en-AU"/>
              </w:rPr>
            </w:pPr>
            <w:r w:rsidRPr="00DD30D9">
              <w:rPr>
                <w:rFonts w:ascii="Arial" w:hAnsi="Arial" w:cs="Arial"/>
                <w:sz w:val="18"/>
                <w:szCs w:val="18"/>
                <w:lang w:val="en-AU"/>
              </w:rPr>
              <w:t>$2,649,095</w:t>
            </w:r>
          </w:p>
        </w:tc>
        <w:tc>
          <w:tcPr>
            <w:tcW w:w="994" w:type="dxa"/>
            <w:noWrap/>
          </w:tcPr>
          <w:p w14:paraId="232172A9" w14:textId="77777777" w:rsidR="00150A04" w:rsidRPr="00DD30D9" w:rsidRDefault="00150A04" w:rsidP="003C5409">
            <w:pPr>
              <w:jc w:val="right"/>
              <w:rPr>
                <w:rFonts w:ascii="Arial" w:hAnsi="Arial" w:cs="Arial"/>
                <w:color w:val="000000"/>
                <w:sz w:val="18"/>
                <w:szCs w:val="18"/>
                <w:lang w:val="en-AU"/>
              </w:rPr>
            </w:pPr>
            <w:r w:rsidRPr="00DD30D9">
              <w:rPr>
                <w:rFonts w:ascii="Arial" w:hAnsi="Arial" w:cs="Arial"/>
                <w:sz w:val="18"/>
                <w:szCs w:val="18"/>
                <w:lang w:val="en-AU"/>
              </w:rPr>
              <w:t>7000</w:t>
            </w:r>
          </w:p>
        </w:tc>
        <w:tc>
          <w:tcPr>
            <w:tcW w:w="991" w:type="dxa"/>
            <w:noWrap/>
          </w:tcPr>
          <w:p w14:paraId="5538766A" w14:textId="77777777" w:rsidR="00150A04" w:rsidRPr="00DD30D9" w:rsidRDefault="00150A04" w:rsidP="003C5409">
            <w:pPr>
              <w:jc w:val="right"/>
              <w:rPr>
                <w:rFonts w:ascii="Arial" w:hAnsi="Arial" w:cs="Arial"/>
                <w:color w:val="000000"/>
                <w:sz w:val="18"/>
                <w:szCs w:val="18"/>
                <w:lang w:val="en-AU"/>
              </w:rPr>
            </w:pPr>
            <w:r w:rsidRPr="00DD30D9">
              <w:rPr>
                <w:rFonts w:ascii="Arial" w:hAnsi="Arial" w:cs="Arial"/>
                <w:sz w:val="18"/>
                <w:szCs w:val="18"/>
                <w:lang w:val="en-AU"/>
              </w:rPr>
              <w:t xml:space="preserve">103.9% </w:t>
            </w:r>
          </w:p>
        </w:tc>
      </w:tr>
    </w:tbl>
    <w:p w14:paraId="5C356ADF" w14:textId="77777777" w:rsidR="0033420E" w:rsidRPr="00DD30D9" w:rsidRDefault="00677AEE" w:rsidP="00677AEE">
      <w:pPr>
        <w:pStyle w:val="Heading3"/>
        <w:numPr>
          <w:ilvl w:val="0"/>
          <w:numId w:val="0"/>
        </w:numPr>
        <w:ind w:left="720" w:hanging="720"/>
        <w:rPr>
          <w:lang w:val="en-AU"/>
        </w:rPr>
      </w:pPr>
      <w:bookmarkStart w:id="94" w:name="_Toc13735982"/>
      <w:r w:rsidRPr="00DD30D9">
        <w:rPr>
          <w:lang w:val="en-AU"/>
        </w:rPr>
        <w:t>Recommendation</w:t>
      </w:r>
      <w:r w:rsidR="0061030F" w:rsidRPr="00DD30D9">
        <w:rPr>
          <w:lang w:val="en-AU"/>
        </w:rPr>
        <w:t xml:space="preserve"> 3</w:t>
      </w:r>
      <w:bookmarkEnd w:id="94"/>
    </w:p>
    <w:p w14:paraId="0851D70A" w14:textId="77777777" w:rsidR="001B22F5" w:rsidRPr="00DD30D9" w:rsidRDefault="009C7256" w:rsidP="001B22F5">
      <w:pPr>
        <w:pStyle w:val="01squarebullet"/>
        <w:rPr>
          <w:lang w:val="en-AU"/>
        </w:rPr>
      </w:pPr>
      <w:r w:rsidRPr="00720661">
        <w:rPr>
          <w:lang w:val="en-AU"/>
        </w:rPr>
        <w:t>Amend</w:t>
      </w:r>
      <w:r w:rsidR="001B22F5" w:rsidRPr="00720661">
        <w:rPr>
          <w:lang w:val="en-AU"/>
        </w:rPr>
        <w:t xml:space="preserve"> the descriptor of item 73290 to exclude</w:t>
      </w:r>
      <w:r w:rsidR="00F379E1">
        <w:rPr>
          <w:lang w:val="en-AU"/>
        </w:rPr>
        <w:t xml:space="preserve"> high resolution techniques.</w:t>
      </w:r>
    </w:p>
    <w:p w14:paraId="46B34EEF" w14:textId="77777777" w:rsidR="00F1287E" w:rsidRPr="00DD30D9" w:rsidRDefault="00F1287E" w:rsidP="00F1287E">
      <w:pPr>
        <w:pStyle w:val="01squarebullet"/>
        <w:rPr>
          <w:lang w:val="en-AU"/>
        </w:rPr>
      </w:pPr>
      <w:r w:rsidRPr="00DD30D9">
        <w:rPr>
          <w:lang w:val="en-AU"/>
        </w:rPr>
        <w:t xml:space="preserve">Review </w:t>
      </w:r>
      <w:r w:rsidR="00EC5EEF" w:rsidRPr="00DD30D9">
        <w:rPr>
          <w:lang w:val="en-AU"/>
        </w:rPr>
        <w:t>again</w:t>
      </w:r>
      <w:r w:rsidRPr="00DD30D9">
        <w:rPr>
          <w:lang w:val="en-AU"/>
        </w:rPr>
        <w:t xml:space="preserve"> in three years (in 2020).</w:t>
      </w:r>
    </w:p>
    <w:p w14:paraId="67E7F86B" w14:textId="77777777" w:rsidR="0021642A" w:rsidRDefault="0021642A">
      <w:pPr>
        <w:spacing w:before="0" w:after="0"/>
        <w:rPr>
          <w:rFonts w:eastAsiaTheme="minorHAnsi" w:cs="Arial"/>
          <w:b/>
          <w:sz w:val="18"/>
          <w:szCs w:val="22"/>
          <w:lang w:val="en-AU" w:eastAsia="en-US"/>
        </w:rPr>
      </w:pPr>
      <w:bookmarkStart w:id="95" w:name="_Toc482009630"/>
      <w:r>
        <w:rPr>
          <w:lang w:val="en-AU"/>
        </w:rPr>
        <w:br w:type="page"/>
      </w:r>
    </w:p>
    <w:p w14:paraId="493219A8" w14:textId="77777777" w:rsidR="00150A04" w:rsidRPr="00DD30D9" w:rsidRDefault="00150A04">
      <w:pPr>
        <w:pStyle w:val="Caption"/>
      </w:pPr>
      <w:r w:rsidRPr="00DD30D9">
        <w:lastRenderedPageBreak/>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F66BF9" w:rsidRPr="00DD30D9">
        <w:t>P</w:t>
      </w:r>
      <w:r w:rsidRPr="00DD30D9">
        <w:t xml:space="preserve">roposed </w:t>
      </w:r>
      <w:r w:rsidR="00E70D3A" w:rsidRPr="00DD30D9">
        <w:t>change to</w:t>
      </w:r>
      <w:r w:rsidRPr="00DD30D9">
        <w:t xml:space="preserve"> item </w:t>
      </w:r>
      <w:r w:rsidR="000B3741" w:rsidRPr="00DD30D9">
        <w:t>73290</w:t>
      </w:r>
      <w:bookmarkEnd w:id="95"/>
    </w:p>
    <w:tbl>
      <w:tblPr>
        <w:tblStyle w:val="TableGrid"/>
        <w:tblW w:w="9108" w:type="dxa"/>
        <w:tblInd w:w="-5" w:type="dxa"/>
        <w:tblLook w:val="04A0" w:firstRow="1" w:lastRow="0" w:firstColumn="1" w:lastColumn="0" w:noHBand="0" w:noVBand="1"/>
        <w:tblCaption w:val="Proposed change to item 73290"/>
        <w:tblDescription w:val="This table shows the current item descriptor and proposed new item descriptor for item 73290. "/>
      </w:tblPr>
      <w:tblGrid>
        <w:gridCol w:w="4527"/>
        <w:gridCol w:w="4581"/>
      </w:tblGrid>
      <w:tr w:rsidR="006D2143" w:rsidRPr="00720661" w14:paraId="4E24B4E6" w14:textId="77777777" w:rsidTr="005A054A">
        <w:trPr>
          <w:trHeight w:val="154"/>
          <w:tblHeader/>
        </w:trPr>
        <w:tc>
          <w:tcPr>
            <w:tcW w:w="4527" w:type="dxa"/>
            <w:tcBorders>
              <w:top w:val="single" w:sz="4" w:space="0" w:color="auto"/>
              <w:left w:val="single" w:sz="8" w:space="0" w:color="auto"/>
              <w:bottom w:val="single" w:sz="4" w:space="0" w:color="auto"/>
              <w:right w:val="single" w:sz="8" w:space="0" w:color="auto"/>
            </w:tcBorders>
            <w:shd w:val="clear" w:color="auto" w:fill="EEECE1" w:themeFill="background2"/>
          </w:tcPr>
          <w:p w14:paraId="220F1461" w14:textId="77777777" w:rsidR="006D2143" w:rsidRPr="00DD30D9" w:rsidRDefault="006D2143" w:rsidP="003215DF">
            <w:pPr>
              <w:rPr>
                <w:rFonts w:ascii="Arial" w:hAnsi="Arial" w:cs="Arial"/>
                <w:b/>
                <w:sz w:val="18"/>
                <w:lang w:val="en-AU"/>
              </w:rPr>
            </w:pPr>
            <w:r w:rsidRPr="00DD30D9">
              <w:rPr>
                <w:rFonts w:ascii="Arial" w:hAnsi="Arial" w:cs="Arial"/>
                <w:b/>
                <w:bCs/>
                <w:sz w:val="18"/>
                <w:lang w:val="en-AU"/>
              </w:rPr>
              <w:t>Current item descriptor</w:t>
            </w:r>
          </w:p>
        </w:tc>
        <w:tc>
          <w:tcPr>
            <w:tcW w:w="4581" w:type="dxa"/>
            <w:tcBorders>
              <w:top w:val="single" w:sz="4" w:space="0" w:color="auto"/>
              <w:left w:val="nil"/>
              <w:bottom w:val="single" w:sz="4" w:space="0" w:color="auto"/>
              <w:right w:val="single" w:sz="8" w:space="0" w:color="auto"/>
            </w:tcBorders>
            <w:shd w:val="clear" w:color="auto" w:fill="EEECE1" w:themeFill="background2"/>
          </w:tcPr>
          <w:p w14:paraId="378D989E" w14:textId="77777777" w:rsidR="006D2143" w:rsidRPr="00DD30D9" w:rsidRDefault="006D2143" w:rsidP="003215DF">
            <w:pPr>
              <w:rPr>
                <w:rFonts w:ascii="Arial" w:hAnsi="Arial" w:cs="Arial"/>
                <w:b/>
                <w:sz w:val="18"/>
                <w:lang w:val="en-AU"/>
              </w:rPr>
            </w:pPr>
            <w:r w:rsidRPr="00DD30D9">
              <w:rPr>
                <w:rFonts w:ascii="Arial" w:hAnsi="Arial" w:cs="Arial"/>
                <w:b/>
                <w:bCs/>
                <w:sz w:val="18"/>
                <w:lang w:val="en-AU"/>
              </w:rPr>
              <w:t>Proposed new item descriptor</w:t>
            </w:r>
          </w:p>
        </w:tc>
      </w:tr>
      <w:tr w:rsidR="006D2143" w:rsidRPr="00720661" w14:paraId="467063E2" w14:textId="77777777" w:rsidTr="003C5409">
        <w:trPr>
          <w:trHeight w:val="2089"/>
        </w:trPr>
        <w:tc>
          <w:tcPr>
            <w:tcW w:w="4527" w:type="dxa"/>
            <w:tcBorders>
              <w:top w:val="single" w:sz="4" w:space="0" w:color="auto"/>
              <w:left w:val="single" w:sz="8" w:space="0" w:color="auto"/>
              <w:bottom w:val="single" w:sz="8" w:space="0" w:color="auto"/>
              <w:right w:val="single" w:sz="8" w:space="0" w:color="auto"/>
            </w:tcBorders>
          </w:tcPr>
          <w:p w14:paraId="713CAAAD" w14:textId="77777777" w:rsidR="006D2143" w:rsidRPr="00DD30D9" w:rsidRDefault="006D2143" w:rsidP="00150A04">
            <w:pPr>
              <w:rPr>
                <w:rFonts w:ascii="Arial" w:hAnsi="Arial" w:cs="Arial"/>
                <w:b/>
                <w:bCs/>
                <w:sz w:val="18"/>
                <w:lang w:val="en-AU"/>
              </w:rPr>
            </w:pPr>
            <w:r w:rsidRPr="00DD30D9">
              <w:rPr>
                <w:rFonts w:ascii="Arial" w:hAnsi="Arial" w:cs="Arial"/>
                <w:sz w:val="18"/>
                <w:szCs w:val="18"/>
                <w:lang w:val="en-AU"/>
              </w:rPr>
              <w:t>The study of the whole of each chromosome by cytogenetic or other techniques, performed on blood or bone marrow, in the diagnosis and monitoring of haematological malignancy (including a service in items 73287 or 73289, if</w:t>
            </w:r>
            <w:r w:rsidR="005D6FC7" w:rsidRPr="00DD30D9">
              <w:rPr>
                <w:rFonts w:ascii="Arial" w:hAnsi="Arial" w:cs="Arial"/>
                <w:sz w:val="18"/>
                <w:szCs w:val="18"/>
                <w:lang w:val="en-AU"/>
              </w:rPr>
              <w:t xml:space="preserve"> performed). – 1 or more tests</w:t>
            </w:r>
          </w:p>
        </w:tc>
        <w:tc>
          <w:tcPr>
            <w:tcW w:w="4581" w:type="dxa"/>
            <w:tcBorders>
              <w:top w:val="single" w:sz="4" w:space="0" w:color="auto"/>
              <w:left w:val="nil"/>
              <w:bottom w:val="single" w:sz="8" w:space="0" w:color="auto"/>
              <w:right w:val="single" w:sz="8" w:space="0" w:color="auto"/>
            </w:tcBorders>
          </w:tcPr>
          <w:p w14:paraId="3F6CA7DB" w14:textId="77777777" w:rsidR="005D6FC7" w:rsidRPr="00DD30D9" w:rsidRDefault="00F81C34" w:rsidP="003215DF">
            <w:pPr>
              <w:rPr>
                <w:rFonts w:ascii="Arial" w:hAnsi="Arial" w:cs="Arial"/>
                <w:sz w:val="18"/>
                <w:szCs w:val="18"/>
                <w:lang w:val="en-AU"/>
              </w:rPr>
            </w:pPr>
            <w:r>
              <w:rPr>
                <w:rFonts w:ascii="Arial" w:hAnsi="Arial" w:cs="Arial"/>
                <w:sz w:val="18"/>
                <w:szCs w:val="18"/>
                <w:lang w:val="en-AU"/>
              </w:rPr>
              <w:t xml:space="preserve">The study of the whole of every chromosome to detect constitutional abnormalities that are at least 5 MB in size, performed on blood or bone marrow, in the diagnosis and monitoring of haematological malignancy </w:t>
            </w:r>
            <w:r w:rsidR="006D2143" w:rsidRPr="00DD30D9">
              <w:rPr>
                <w:rFonts w:ascii="Arial" w:hAnsi="Arial" w:cs="Arial"/>
                <w:sz w:val="18"/>
                <w:szCs w:val="18"/>
                <w:lang w:val="en-AU"/>
              </w:rPr>
              <w:t>(including a service in items 73287 or 73289, if</w:t>
            </w:r>
            <w:r w:rsidR="005D6FC7" w:rsidRPr="00DD30D9">
              <w:rPr>
                <w:rFonts w:ascii="Arial" w:hAnsi="Arial" w:cs="Arial"/>
                <w:sz w:val="18"/>
                <w:szCs w:val="18"/>
                <w:lang w:val="en-AU"/>
              </w:rPr>
              <w:t xml:space="preserve"> performed). – 1 or more tests</w:t>
            </w:r>
            <w:r>
              <w:rPr>
                <w:rFonts w:ascii="Arial" w:hAnsi="Arial" w:cs="Arial"/>
                <w:sz w:val="18"/>
                <w:szCs w:val="18"/>
                <w:lang w:val="en-AU"/>
              </w:rPr>
              <w:t xml:space="preserve">. </w:t>
            </w:r>
          </w:p>
        </w:tc>
      </w:tr>
    </w:tbl>
    <w:p w14:paraId="60B4C172" w14:textId="77777777" w:rsidR="0033420E" w:rsidRPr="00DD30D9" w:rsidRDefault="0033420E" w:rsidP="00677AEE">
      <w:pPr>
        <w:pStyle w:val="Heading3"/>
        <w:numPr>
          <w:ilvl w:val="0"/>
          <w:numId w:val="0"/>
        </w:numPr>
        <w:ind w:left="720" w:hanging="720"/>
        <w:rPr>
          <w:lang w:val="en-AU"/>
        </w:rPr>
      </w:pPr>
      <w:bookmarkStart w:id="96" w:name="_Toc13735983"/>
      <w:r w:rsidRPr="00DD30D9">
        <w:rPr>
          <w:lang w:val="en-AU"/>
        </w:rPr>
        <w:t>Rationale</w:t>
      </w:r>
      <w:r w:rsidR="0061030F" w:rsidRPr="00DD30D9">
        <w:rPr>
          <w:lang w:val="en-AU"/>
        </w:rPr>
        <w:t xml:space="preserve"> 3</w:t>
      </w:r>
      <w:bookmarkEnd w:id="96"/>
    </w:p>
    <w:p w14:paraId="116E2548" w14:textId="77777777" w:rsidR="0033420E" w:rsidRPr="00DD30D9" w:rsidRDefault="005D6FC7" w:rsidP="0033420E">
      <w:pPr>
        <w:rPr>
          <w:lang w:val="en-AU"/>
        </w:rPr>
      </w:pPr>
      <w:r w:rsidRPr="00DD30D9">
        <w:rPr>
          <w:lang w:val="en-AU"/>
        </w:rPr>
        <w:t>The recommendation</w:t>
      </w:r>
      <w:r w:rsidR="0033420E" w:rsidRPr="00DD30D9">
        <w:rPr>
          <w:lang w:val="en-AU"/>
        </w:rPr>
        <w:t xml:space="preserve"> focus</w:t>
      </w:r>
      <w:r w:rsidRPr="00DD30D9">
        <w:rPr>
          <w:lang w:val="en-AU"/>
        </w:rPr>
        <w:t>es</w:t>
      </w:r>
      <w:r w:rsidR="0033420E" w:rsidRPr="00DD30D9">
        <w:rPr>
          <w:lang w:val="en-AU"/>
        </w:rPr>
        <w:t xml:space="preserve"> on modernising the MBS and </w:t>
      </w:r>
      <w:r w:rsidRPr="00DD30D9">
        <w:rPr>
          <w:lang w:val="en-AU"/>
        </w:rPr>
        <w:t>ensuring best practice and is</w:t>
      </w:r>
      <w:r w:rsidR="0033420E" w:rsidRPr="00DD30D9">
        <w:rPr>
          <w:lang w:val="en-AU"/>
        </w:rPr>
        <w:t xml:space="preserve"> based on the following observations</w:t>
      </w:r>
      <w:r w:rsidR="00C26B81">
        <w:rPr>
          <w:lang w:val="en-AU"/>
        </w:rPr>
        <w:t>:</w:t>
      </w:r>
    </w:p>
    <w:p w14:paraId="49990017" w14:textId="77777777" w:rsidR="0092143E" w:rsidRPr="00DD30D9" w:rsidRDefault="0092143E" w:rsidP="0033420E">
      <w:pPr>
        <w:pStyle w:val="01squarebullet"/>
        <w:rPr>
          <w:lang w:val="en-AU"/>
        </w:rPr>
      </w:pPr>
      <w:r w:rsidRPr="00DD30D9">
        <w:rPr>
          <w:szCs w:val="22"/>
          <w:lang w:val="en-AU"/>
        </w:rPr>
        <w:t xml:space="preserve">This item </w:t>
      </w:r>
      <w:r w:rsidR="009A3EAA" w:rsidRPr="00DD30D9">
        <w:rPr>
          <w:szCs w:val="22"/>
          <w:lang w:val="en-AU"/>
        </w:rPr>
        <w:t>was</w:t>
      </w:r>
      <w:r w:rsidRPr="00DD30D9">
        <w:rPr>
          <w:szCs w:val="22"/>
          <w:lang w:val="en-AU"/>
        </w:rPr>
        <w:t xml:space="preserve"> introduced</w:t>
      </w:r>
      <w:r w:rsidR="005D6FC7" w:rsidRPr="00DD30D9">
        <w:rPr>
          <w:szCs w:val="22"/>
          <w:lang w:val="en-AU"/>
        </w:rPr>
        <w:t xml:space="preserve"> onto the MBS</w:t>
      </w:r>
      <w:r w:rsidR="009A3EAA" w:rsidRPr="00DD30D9">
        <w:rPr>
          <w:szCs w:val="22"/>
          <w:lang w:val="en-AU"/>
        </w:rPr>
        <w:t xml:space="preserve"> in 2010</w:t>
      </w:r>
      <w:r w:rsidRPr="00DD30D9">
        <w:rPr>
          <w:szCs w:val="22"/>
          <w:lang w:val="en-AU"/>
        </w:rPr>
        <w:t xml:space="preserve"> and</w:t>
      </w:r>
      <w:r w:rsidR="00B361C6" w:rsidRPr="00DD30D9">
        <w:rPr>
          <w:szCs w:val="22"/>
          <w:lang w:val="en-AU"/>
        </w:rPr>
        <w:t>,</w:t>
      </w:r>
      <w:r w:rsidRPr="00DD30D9">
        <w:rPr>
          <w:szCs w:val="22"/>
          <w:lang w:val="en-AU"/>
        </w:rPr>
        <w:t xml:space="preserve"> although the growth in services appears significant, it has slowed </w:t>
      </w:r>
      <w:r w:rsidR="009A3EAA" w:rsidRPr="00DD30D9">
        <w:rPr>
          <w:szCs w:val="22"/>
          <w:lang w:val="en-AU"/>
        </w:rPr>
        <w:t>after the initial uptake to 6.1</w:t>
      </w:r>
      <w:r w:rsidR="00C26B81">
        <w:rPr>
          <w:szCs w:val="22"/>
          <w:lang w:val="en-AU"/>
        </w:rPr>
        <w:t xml:space="preserve"> per cent</w:t>
      </w:r>
      <w:r w:rsidR="009A3EAA" w:rsidRPr="00DD30D9">
        <w:rPr>
          <w:szCs w:val="22"/>
          <w:lang w:val="en-AU"/>
        </w:rPr>
        <w:t xml:space="preserve"> over the past </w:t>
      </w:r>
      <w:r w:rsidR="00C26B81">
        <w:rPr>
          <w:szCs w:val="22"/>
          <w:lang w:val="en-AU"/>
        </w:rPr>
        <w:t>three</w:t>
      </w:r>
      <w:r w:rsidR="009A3EAA" w:rsidRPr="00DD30D9">
        <w:rPr>
          <w:szCs w:val="22"/>
          <w:lang w:val="en-AU"/>
        </w:rPr>
        <w:t xml:space="preserve"> years</w:t>
      </w:r>
      <w:r w:rsidRPr="00DD30D9">
        <w:rPr>
          <w:szCs w:val="22"/>
          <w:lang w:val="en-AU"/>
        </w:rPr>
        <w:t xml:space="preserve">. </w:t>
      </w:r>
      <w:r w:rsidR="005D6FC7" w:rsidRPr="00DD30D9">
        <w:rPr>
          <w:szCs w:val="22"/>
          <w:lang w:val="en-AU"/>
        </w:rPr>
        <w:t>It has a defined indication for use in the diagnosis and monitoring of haematological malignancies</w:t>
      </w:r>
      <w:r w:rsidR="009A3EAA" w:rsidRPr="00DD30D9">
        <w:rPr>
          <w:szCs w:val="22"/>
          <w:lang w:val="en-AU"/>
        </w:rPr>
        <w:t xml:space="preserve"> and </w:t>
      </w:r>
      <w:r w:rsidR="00B361C6" w:rsidRPr="00DD30D9">
        <w:rPr>
          <w:szCs w:val="22"/>
          <w:lang w:val="en-AU"/>
        </w:rPr>
        <w:t xml:space="preserve">utilisation </w:t>
      </w:r>
      <w:r w:rsidR="009A3EAA" w:rsidRPr="00DD30D9">
        <w:rPr>
          <w:szCs w:val="22"/>
          <w:lang w:val="en-AU"/>
        </w:rPr>
        <w:t>appears to be appropriate</w:t>
      </w:r>
      <w:r w:rsidR="005D6FC7" w:rsidRPr="00DD30D9">
        <w:rPr>
          <w:szCs w:val="22"/>
          <w:lang w:val="en-AU"/>
        </w:rPr>
        <w:t>.</w:t>
      </w:r>
    </w:p>
    <w:p w14:paraId="0DA55065" w14:textId="77777777" w:rsidR="0033420E" w:rsidRPr="00DD30D9" w:rsidRDefault="0033420E">
      <w:pPr>
        <w:pStyle w:val="Heading2"/>
      </w:pPr>
      <w:bookmarkStart w:id="97" w:name="_Toc13735984"/>
      <w:r w:rsidRPr="00DD30D9">
        <w:t>C</w:t>
      </w:r>
      <w:r w:rsidR="005B1124" w:rsidRPr="00DD30D9">
        <w:t>hromosome specific constitutional abnormalities</w:t>
      </w:r>
      <w:r w:rsidR="00677AEE" w:rsidRPr="00DD30D9">
        <w:t>: i</w:t>
      </w:r>
      <w:r w:rsidR="00A01914" w:rsidRPr="00DD30D9">
        <w:t>tem 73291</w:t>
      </w:r>
      <w:bookmarkEnd w:id="97"/>
    </w:p>
    <w:p w14:paraId="1A09E499" w14:textId="77777777" w:rsidR="0033420E" w:rsidRPr="00720661" w:rsidRDefault="00F66BF9">
      <w:pPr>
        <w:pStyle w:val="Caption"/>
      </w:pPr>
      <w:bookmarkStart w:id="98" w:name="_Toc482009631"/>
      <w:r w:rsidRPr="00720661">
        <w:t xml:space="preserve">Table </w:t>
      </w:r>
      <w:r w:rsidR="000C3E3F" w:rsidRPr="00860DE7">
        <w:fldChar w:fldCharType="begin"/>
      </w:r>
      <w:r w:rsidR="000C3E3F" w:rsidRPr="00720661">
        <w:instrText xml:space="preserve"> AUTONUM  \* Arabic </w:instrText>
      </w:r>
      <w:r w:rsidR="000C3E3F" w:rsidRPr="00860DE7">
        <w:fldChar w:fldCharType="end"/>
      </w:r>
      <w:r w:rsidR="00A43E66" w:rsidRPr="00720661">
        <w:t xml:space="preserve"> </w:t>
      </w:r>
      <w:r w:rsidR="0033420E" w:rsidRPr="00720661">
        <w:t>I</w:t>
      </w:r>
      <w:r w:rsidR="009A3EAA" w:rsidRPr="00720661">
        <w:t>tem introduction table for item 73291</w:t>
      </w:r>
      <w:bookmarkEnd w:id="98"/>
      <w:r w:rsidR="0033420E" w:rsidRPr="00720661">
        <w:t xml:space="preserve"> </w:t>
      </w:r>
    </w:p>
    <w:tbl>
      <w:tblPr>
        <w:tblStyle w:val="TableGrid1"/>
        <w:tblW w:w="8780" w:type="dxa"/>
        <w:tblLayout w:type="fixed"/>
        <w:tblLook w:val="04A0" w:firstRow="1" w:lastRow="0" w:firstColumn="1" w:lastColumn="0" w:noHBand="0" w:noVBand="1"/>
        <w:tblCaption w:val="Item introduction table for item 73291"/>
        <w:tblDescription w:val="This table contains Medicare Benefits Schedule data for item 73291 for the finanical year 2014–2015. The data include item numbers, long item descriptors, schedule fee, total volume of services, benefits paid, patient count and services annual average growth."/>
      </w:tblPr>
      <w:tblGrid>
        <w:gridCol w:w="745"/>
        <w:gridCol w:w="2666"/>
        <w:gridCol w:w="1036"/>
        <w:gridCol w:w="1204"/>
        <w:gridCol w:w="1203"/>
        <w:gridCol w:w="938"/>
        <w:gridCol w:w="988"/>
      </w:tblGrid>
      <w:tr w:rsidR="0033420E" w:rsidRPr="00720661" w14:paraId="62CCF3B6" w14:textId="77777777" w:rsidTr="003C5409">
        <w:trPr>
          <w:trHeight w:val="594"/>
          <w:tblHeader/>
        </w:trPr>
        <w:tc>
          <w:tcPr>
            <w:tcW w:w="745" w:type="dxa"/>
            <w:shd w:val="clear" w:color="auto" w:fill="EEECE1" w:themeFill="background2"/>
            <w:vAlign w:val="bottom"/>
            <w:hideMark/>
          </w:tcPr>
          <w:p w14:paraId="08937403" w14:textId="77777777" w:rsidR="0033420E" w:rsidRPr="00DD30D9" w:rsidRDefault="00A43E66" w:rsidP="00795693">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666" w:type="dxa"/>
            <w:shd w:val="clear" w:color="auto" w:fill="EEECE1" w:themeFill="background2"/>
            <w:vAlign w:val="bottom"/>
            <w:hideMark/>
          </w:tcPr>
          <w:p w14:paraId="1BD653EF"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36" w:type="dxa"/>
            <w:shd w:val="clear" w:color="auto" w:fill="EEECE1" w:themeFill="background2"/>
            <w:vAlign w:val="bottom"/>
            <w:hideMark/>
          </w:tcPr>
          <w:p w14:paraId="085EBE30"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Schedule</w:t>
            </w:r>
            <w:r w:rsidR="007B4A68"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fee</w:t>
            </w:r>
          </w:p>
        </w:tc>
        <w:tc>
          <w:tcPr>
            <w:tcW w:w="1204" w:type="dxa"/>
            <w:shd w:val="clear" w:color="auto" w:fill="EEECE1" w:themeFill="background2"/>
            <w:vAlign w:val="bottom"/>
          </w:tcPr>
          <w:p w14:paraId="35B2DA0E" w14:textId="77777777" w:rsidR="0033420E" w:rsidRPr="00DD30D9" w:rsidRDefault="0033420E" w:rsidP="00807710">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A85DE2"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2014</w:t>
            </w:r>
            <w:r w:rsidR="00A85DE2"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03" w:type="dxa"/>
            <w:shd w:val="clear" w:color="auto" w:fill="EEECE1" w:themeFill="background2"/>
            <w:vAlign w:val="bottom"/>
          </w:tcPr>
          <w:p w14:paraId="296421C8" w14:textId="77777777" w:rsidR="0033420E" w:rsidRPr="00DD30D9" w:rsidRDefault="0033420E" w:rsidP="00675DC9">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A85DE2"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A85DE2"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38" w:type="dxa"/>
            <w:shd w:val="clear" w:color="auto" w:fill="EEECE1" w:themeFill="background2"/>
            <w:vAlign w:val="bottom"/>
            <w:hideMark/>
          </w:tcPr>
          <w:p w14:paraId="0170AF35"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A85DE2"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88" w:type="dxa"/>
            <w:shd w:val="clear" w:color="auto" w:fill="EEECE1" w:themeFill="background2"/>
            <w:vAlign w:val="bottom"/>
            <w:hideMark/>
          </w:tcPr>
          <w:p w14:paraId="5AFE248C" w14:textId="77777777" w:rsidR="0033420E" w:rsidRPr="00DD30D9" w:rsidRDefault="001B7F03" w:rsidP="00795693">
            <w:pPr>
              <w:rPr>
                <w:rFonts w:ascii="Arial" w:hAnsi="Arial" w:cs="Arial"/>
                <w:b/>
                <w:color w:val="000000"/>
                <w:sz w:val="18"/>
                <w:szCs w:val="18"/>
                <w:lang w:val="en-AU"/>
              </w:rPr>
            </w:pPr>
            <w:r w:rsidRPr="00DD30D9">
              <w:rPr>
                <w:rFonts w:ascii="Arial" w:hAnsi="Arial" w:cs="Arial"/>
                <w:b/>
                <w:color w:val="000000"/>
                <w:sz w:val="18"/>
                <w:szCs w:val="18"/>
                <w:lang w:val="en-AU"/>
              </w:rPr>
              <w:t>5</w:t>
            </w:r>
            <w:r w:rsidR="00A85DE2" w:rsidRPr="00DD30D9">
              <w:rPr>
                <w:rFonts w:ascii="Arial" w:hAnsi="Arial" w:cs="Arial"/>
                <w:b/>
                <w:color w:val="000000"/>
                <w:sz w:val="18"/>
                <w:szCs w:val="18"/>
                <w:lang w:val="en-AU"/>
              </w:rPr>
              <w:t>-</w:t>
            </w:r>
            <w:r w:rsidRPr="00DD30D9">
              <w:rPr>
                <w:rFonts w:ascii="Arial" w:hAnsi="Arial" w:cs="Arial"/>
                <w:b/>
                <w:color w:val="000000"/>
                <w:sz w:val="18"/>
                <w:szCs w:val="18"/>
                <w:lang w:val="en-AU"/>
              </w:rPr>
              <w:t xml:space="preserve">year service change </w:t>
            </w:r>
            <w:r w:rsidR="0033420E" w:rsidRPr="00DD30D9">
              <w:rPr>
                <w:rFonts w:ascii="Arial" w:hAnsi="Arial" w:cs="Arial"/>
                <w:b/>
                <w:color w:val="000000"/>
                <w:sz w:val="18"/>
                <w:szCs w:val="18"/>
                <w:lang w:val="en-AU"/>
              </w:rPr>
              <w:t>(CAGR)</w:t>
            </w:r>
          </w:p>
        </w:tc>
      </w:tr>
      <w:tr w:rsidR="0033420E" w:rsidRPr="00720661" w14:paraId="2590179A" w14:textId="77777777" w:rsidTr="003C5409">
        <w:trPr>
          <w:trHeight w:val="300"/>
        </w:trPr>
        <w:tc>
          <w:tcPr>
            <w:tcW w:w="745" w:type="dxa"/>
            <w:noWrap/>
            <w:hideMark/>
          </w:tcPr>
          <w:p w14:paraId="6BAE8526" w14:textId="77777777" w:rsidR="0033420E" w:rsidRPr="00DD30D9" w:rsidRDefault="00BF4D8C" w:rsidP="00795693">
            <w:pPr>
              <w:rPr>
                <w:rFonts w:ascii="Arial" w:hAnsi="Arial" w:cs="Arial"/>
                <w:color w:val="000000"/>
                <w:sz w:val="18"/>
                <w:szCs w:val="18"/>
                <w:lang w:val="en-AU"/>
              </w:rPr>
            </w:pPr>
            <w:r w:rsidRPr="00DD30D9">
              <w:rPr>
                <w:rFonts w:ascii="Arial" w:hAnsi="Arial" w:cs="Arial"/>
                <w:color w:val="000000"/>
                <w:sz w:val="18"/>
                <w:szCs w:val="18"/>
                <w:lang w:val="en-AU"/>
              </w:rPr>
              <w:t>73291</w:t>
            </w:r>
          </w:p>
        </w:tc>
        <w:tc>
          <w:tcPr>
            <w:tcW w:w="2666" w:type="dxa"/>
            <w:noWrap/>
            <w:hideMark/>
          </w:tcPr>
          <w:p w14:paraId="2137028F" w14:textId="77777777" w:rsidR="007B4A68" w:rsidRPr="00DD30D9" w:rsidRDefault="001B7F03" w:rsidP="003C5409">
            <w:pPr>
              <w:spacing w:after="40"/>
              <w:rPr>
                <w:rFonts w:ascii="Arial" w:hAnsi="Arial" w:cs="Arial"/>
                <w:color w:val="000000"/>
                <w:sz w:val="18"/>
                <w:szCs w:val="18"/>
                <w:lang w:val="en-AU"/>
              </w:rPr>
            </w:pPr>
            <w:r w:rsidRPr="00DD30D9">
              <w:rPr>
                <w:rFonts w:ascii="Arial" w:hAnsi="Arial" w:cs="Arial"/>
                <w:color w:val="000000"/>
                <w:sz w:val="18"/>
                <w:szCs w:val="18"/>
                <w:lang w:val="en-AU"/>
              </w:rPr>
              <w:t>Analysis of one or more chromosome regions for specific constitutional genetic abnormalities of blood or fresh tissue in</w:t>
            </w:r>
            <w:r w:rsidR="007B4A68" w:rsidRPr="00DD30D9">
              <w:rPr>
                <w:rFonts w:ascii="Arial" w:hAnsi="Arial" w:cs="Arial"/>
                <w:color w:val="000000"/>
                <w:sz w:val="18"/>
                <w:szCs w:val="18"/>
                <w:lang w:val="en-AU"/>
              </w:rPr>
              <w:t>:</w:t>
            </w:r>
          </w:p>
          <w:p w14:paraId="5669F640" w14:textId="77777777" w:rsidR="001B7F03" w:rsidRPr="00DD30D9" w:rsidRDefault="001B7F03" w:rsidP="003C5409">
            <w:pPr>
              <w:spacing w:before="60"/>
              <w:rPr>
                <w:rFonts w:ascii="Arial" w:hAnsi="Arial" w:cs="Arial"/>
                <w:color w:val="000000"/>
                <w:sz w:val="18"/>
                <w:szCs w:val="18"/>
                <w:lang w:val="en-AU"/>
              </w:rPr>
            </w:pPr>
            <w:r w:rsidRPr="00DD30D9">
              <w:rPr>
                <w:rFonts w:ascii="Arial" w:hAnsi="Arial" w:cs="Arial"/>
                <w:color w:val="000000"/>
                <w:sz w:val="18"/>
                <w:szCs w:val="18"/>
                <w:lang w:val="en-AU"/>
              </w:rPr>
              <w:t>(a) diagnostic studies of a person with developmental delay, intellectual disability, autism, or at least two congenital abnormalities, in whom cytogenetic studies (item 73287 or 73289) are either normal or have not been performed; or</w:t>
            </w:r>
          </w:p>
          <w:p w14:paraId="3A18C7F9" w14:textId="77777777" w:rsidR="001B7F03" w:rsidRPr="00DD30D9" w:rsidRDefault="001B7F03" w:rsidP="003C5409">
            <w:pPr>
              <w:spacing w:before="60"/>
              <w:rPr>
                <w:rFonts w:ascii="Arial" w:hAnsi="Arial" w:cs="Arial"/>
                <w:color w:val="000000"/>
                <w:sz w:val="18"/>
                <w:szCs w:val="18"/>
                <w:lang w:val="en-AU"/>
              </w:rPr>
            </w:pPr>
            <w:r w:rsidRPr="00DD30D9">
              <w:rPr>
                <w:rFonts w:ascii="Arial" w:hAnsi="Arial" w:cs="Arial"/>
                <w:color w:val="000000"/>
                <w:sz w:val="18"/>
                <w:szCs w:val="18"/>
                <w:lang w:val="en-AU"/>
              </w:rPr>
              <w:t>(b) studies of a relative for an abnormality previously identified in such an affected person.</w:t>
            </w:r>
          </w:p>
          <w:p w14:paraId="63BC6350" w14:textId="77777777" w:rsidR="0033420E" w:rsidRPr="00DD30D9" w:rsidRDefault="001B7F03" w:rsidP="003C5409">
            <w:pPr>
              <w:spacing w:before="60"/>
              <w:rPr>
                <w:rFonts w:ascii="Arial" w:hAnsi="Arial" w:cs="Arial"/>
                <w:sz w:val="18"/>
                <w:szCs w:val="18"/>
                <w:lang w:val="en-AU"/>
              </w:rPr>
            </w:pPr>
            <w:r w:rsidRPr="00DD30D9">
              <w:rPr>
                <w:rFonts w:ascii="Arial" w:hAnsi="Arial" w:cs="Arial"/>
                <w:color w:val="000000"/>
                <w:sz w:val="18"/>
                <w:szCs w:val="18"/>
                <w:lang w:val="en-AU"/>
              </w:rPr>
              <w:t>– 1 or more tests.</w:t>
            </w:r>
          </w:p>
        </w:tc>
        <w:tc>
          <w:tcPr>
            <w:tcW w:w="1036" w:type="dxa"/>
            <w:noWrap/>
            <w:hideMark/>
          </w:tcPr>
          <w:p w14:paraId="4D3AD552" w14:textId="77777777" w:rsidR="0033420E" w:rsidRPr="00DD30D9" w:rsidRDefault="0033420E" w:rsidP="003C5409">
            <w:pPr>
              <w:jc w:val="right"/>
              <w:rPr>
                <w:rFonts w:ascii="Arial" w:hAnsi="Arial" w:cs="Arial"/>
                <w:color w:val="000000"/>
                <w:sz w:val="18"/>
                <w:szCs w:val="18"/>
                <w:lang w:val="en-AU"/>
              </w:rPr>
            </w:pPr>
            <w:r w:rsidRPr="00DD30D9">
              <w:rPr>
                <w:rFonts w:ascii="Arial" w:hAnsi="Arial" w:cs="Arial"/>
                <w:color w:val="000000"/>
                <w:sz w:val="18"/>
                <w:szCs w:val="18"/>
                <w:lang w:val="en-AU"/>
              </w:rPr>
              <w:t>$</w:t>
            </w:r>
            <w:r w:rsidR="006D2143" w:rsidRPr="00DD30D9">
              <w:rPr>
                <w:rFonts w:ascii="Arial" w:hAnsi="Arial" w:cs="Arial"/>
                <w:color w:val="000000"/>
                <w:sz w:val="18"/>
                <w:szCs w:val="18"/>
                <w:lang w:val="en-AU"/>
              </w:rPr>
              <w:t>230.95</w:t>
            </w:r>
          </w:p>
        </w:tc>
        <w:tc>
          <w:tcPr>
            <w:tcW w:w="1204" w:type="dxa"/>
            <w:noWrap/>
            <w:hideMark/>
          </w:tcPr>
          <w:p w14:paraId="65167BC9" w14:textId="77777777" w:rsidR="0033420E" w:rsidRPr="00DD30D9" w:rsidRDefault="006D2143" w:rsidP="003C5409">
            <w:pPr>
              <w:jc w:val="right"/>
              <w:rPr>
                <w:rFonts w:ascii="Arial" w:hAnsi="Arial" w:cs="Arial"/>
                <w:color w:val="000000"/>
                <w:sz w:val="18"/>
                <w:szCs w:val="18"/>
                <w:lang w:val="en-AU"/>
              </w:rPr>
            </w:pPr>
            <w:r w:rsidRPr="00DD30D9">
              <w:rPr>
                <w:rFonts w:ascii="Arial" w:hAnsi="Arial" w:cs="Arial"/>
                <w:color w:val="000000"/>
                <w:sz w:val="18"/>
                <w:szCs w:val="18"/>
                <w:lang w:val="en-AU"/>
              </w:rPr>
              <w:t>1551</w:t>
            </w:r>
          </w:p>
        </w:tc>
        <w:tc>
          <w:tcPr>
            <w:tcW w:w="1203" w:type="dxa"/>
          </w:tcPr>
          <w:p w14:paraId="2A97B56C" w14:textId="77777777" w:rsidR="0033420E" w:rsidRPr="00DD30D9" w:rsidRDefault="006D2143" w:rsidP="003C5409">
            <w:pPr>
              <w:jc w:val="right"/>
              <w:rPr>
                <w:rFonts w:ascii="Arial" w:hAnsi="Arial" w:cs="Arial"/>
                <w:color w:val="000000"/>
                <w:sz w:val="18"/>
                <w:szCs w:val="18"/>
                <w:lang w:val="en-AU"/>
              </w:rPr>
            </w:pPr>
            <w:r w:rsidRPr="00DD30D9">
              <w:rPr>
                <w:rFonts w:ascii="Arial" w:hAnsi="Arial" w:cs="Arial"/>
                <w:color w:val="000000"/>
                <w:sz w:val="18"/>
                <w:szCs w:val="18"/>
                <w:lang w:val="en-AU"/>
              </w:rPr>
              <w:t>$304,082</w:t>
            </w:r>
          </w:p>
        </w:tc>
        <w:tc>
          <w:tcPr>
            <w:tcW w:w="938" w:type="dxa"/>
            <w:noWrap/>
          </w:tcPr>
          <w:p w14:paraId="1917BD30" w14:textId="77777777" w:rsidR="0033420E" w:rsidRPr="00DD30D9" w:rsidRDefault="001B7F03" w:rsidP="003C5409">
            <w:pPr>
              <w:jc w:val="right"/>
              <w:rPr>
                <w:rFonts w:ascii="Arial" w:hAnsi="Arial" w:cs="Arial"/>
                <w:color w:val="000000"/>
                <w:sz w:val="18"/>
                <w:szCs w:val="18"/>
                <w:lang w:val="en-AU"/>
              </w:rPr>
            </w:pPr>
            <w:r w:rsidRPr="00DD30D9">
              <w:rPr>
                <w:rFonts w:ascii="Arial" w:hAnsi="Arial" w:cs="Arial"/>
                <w:color w:val="000000"/>
                <w:sz w:val="18"/>
                <w:szCs w:val="18"/>
                <w:lang w:val="en-AU"/>
              </w:rPr>
              <w:t>1534</w:t>
            </w:r>
          </w:p>
        </w:tc>
        <w:tc>
          <w:tcPr>
            <w:tcW w:w="988" w:type="dxa"/>
            <w:noWrap/>
            <w:hideMark/>
          </w:tcPr>
          <w:p w14:paraId="3EC1A2D2" w14:textId="77777777" w:rsidR="0033420E" w:rsidRPr="00DD30D9" w:rsidRDefault="000B3741" w:rsidP="003C5409">
            <w:pPr>
              <w:jc w:val="right"/>
              <w:rPr>
                <w:rFonts w:ascii="Arial" w:hAnsi="Arial" w:cs="Arial"/>
                <w:color w:val="000000"/>
                <w:sz w:val="18"/>
                <w:szCs w:val="18"/>
                <w:lang w:val="en-AU"/>
              </w:rPr>
            </w:pPr>
            <w:r w:rsidRPr="00DD30D9">
              <w:rPr>
                <w:rFonts w:ascii="Arial" w:hAnsi="Arial" w:cs="Arial"/>
                <w:color w:val="000000"/>
                <w:sz w:val="18"/>
                <w:szCs w:val="18"/>
                <w:lang w:val="en-AU"/>
              </w:rPr>
              <w:t>121.6</w:t>
            </w:r>
            <w:r w:rsidR="0033420E" w:rsidRPr="00DD30D9">
              <w:rPr>
                <w:rFonts w:ascii="Arial" w:hAnsi="Arial" w:cs="Arial"/>
                <w:color w:val="000000"/>
                <w:sz w:val="18"/>
                <w:szCs w:val="18"/>
                <w:lang w:val="en-AU"/>
              </w:rPr>
              <w:t>%</w:t>
            </w:r>
          </w:p>
        </w:tc>
      </w:tr>
    </w:tbl>
    <w:p w14:paraId="23E62319" w14:textId="77777777" w:rsidR="0033420E" w:rsidRPr="00DD30D9" w:rsidRDefault="0033420E" w:rsidP="00677AEE">
      <w:pPr>
        <w:pStyle w:val="Heading3"/>
        <w:numPr>
          <w:ilvl w:val="0"/>
          <w:numId w:val="0"/>
        </w:numPr>
        <w:ind w:left="720" w:hanging="720"/>
        <w:rPr>
          <w:lang w:val="en-AU"/>
        </w:rPr>
      </w:pPr>
      <w:bookmarkStart w:id="99" w:name="_Toc13735985"/>
      <w:r w:rsidRPr="00DD30D9">
        <w:rPr>
          <w:lang w:val="en-AU"/>
        </w:rPr>
        <w:t xml:space="preserve">Recommendation </w:t>
      </w:r>
      <w:r w:rsidR="0061030F" w:rsidRPr="00DD30D9">
        <w:rPr>
          <w:lang w:val="en-AU"/>
        </w:rPr>
        <w:t>4</w:t>
      </w:r>
      <w:bookmarkEnd w:id="99"/>
    </w:p>
    <w:p w14:paraId="4EDD39BE" w14:textId="77777777" w:rsidR="00BF4D8C" w:rsidRPr="00BD03C1" w:rsidRDefault="009C7256" w:rsidP="00A85DE2">
      <w:pPr>
        <w:pStyle w:val="01squarebullet"/>
        <w:tabs>
          <w:tab w:val="num" w:pos="567"/>
        </w:tabs>
        <w:rPr>
          <w:lang w:val="en-AU"/>
        </w:rPr>
      </w:pPr>
      <w:r w:rsidRPr="00BD03C1">
        <w:rPr>
          <w:lang w:val="en-AU"/>
        </w:rPr>
        <w:t>Amend</w:t>
      </w:r>
      <w:r w:rsidR="00BF4D8C" w:rsidRPr="00BD03C1">
        <w:rPr>
          <w:lang w:val="en-AU"/>
        </w:rPr>
        <w:t xml:space="preserve"> the item descriptor to remove the </w:t>
      </w:r>
      <w:r w:rsidR="0017008C" w:rsidRPr="00BD03C1">
        <w:rPr>
          <w:lang w:val="en-AU"/>
        </w:rPr>
        <w:t>patient test</w:t>
      </w:r>
      <w:r w:rsidR="00BF4D8C" w:rsidRPr="00BD03C1">
        <w:rPr>
          <w:lang w:val="en-AU"/>
        </w:rPr>
        <w:t xml:space="preserve"> component of the item and only allow it in relatives</w:t>
      </w:r>
      <w:r w:rsidR="007B4A68" w:rsidRPr="00BD03C1">
        <w:rPr>
          <w:lang w:val="en-AU"/>
        </w:rPr>
        <w:t xml:space="preserve"> of an affected person</w:t>
      </w:r>
      <w:r w:rsidR="00BF4D8C" w:rsidRPr="00BD03C1">
        <w:rPr>
          <w:lang w:val="en-AU"/>
        </w:rPr>
        <w:t xml:space="preserve">. </w:t>
      </w:r>
    </w:p>
    <w:p w14:paraId="17FD08B0" w14:textId="3B1D630E" w:rsidR="00A01914" w:rsidRPr="00BD03C1" w:rsidRDefault="009C7256" w:rsidP="00A85DE2">
      <w:pPr>
        <w:pStyle w:val="01squarebullet"/>
        <w:tabs>
          <w:tab w:val="num" w:pos="567"/>
        </w:tabs>
        <w:rPr>
          <w:lang w:val="en-AU"/>
        </w:rPr>
      </w:pPr>
      <w:r w:rsidRPr="00BD03C1">
        <w:rPr>
          <w:lang w:val="en-AU"/>
        </w:rPr>
        <w:t>Amend</w:t>
      </w:r>
      <w:r w:rsidR="00A01914" w:rsidRPr="00BD03C1">
        <w:rPr>
          <w:lang w:val="en-AU"/>
        </w:rPr>
        <w:t xml:space="preserve"> the descriptor to</w:t>
      </w:r>
      <w:r w:rsidR="004720AC" w:rsidRPr="00BD03C1">
        <w:rPr>
          <w:lang w:val="en-AU"/>
        </w:rPr>
        <w:t xml:space="preserve"> include</w:t>
      </w:r>
      <w:r w:rsidR="00A01914" w:rsidRPr="00BD03C1">
        <w:rPr>
          <w:lang w:val="en-AU"/>
        </w:rPr>
        <w:t xml:space="preserve"> an ‘intermediate’</w:t>
      </w:r>
      <w:r w:rsidR="00A85DE2" w:rsidRPr="00BD03C1">
        <w:rPr>
          <w:lang w:val="en-AU"/>
        </w:rPr>
        <w:t>-</w:t>
      </w:r>
      <w:r w:rsidR="00A01914" w:rsidRPr="00BD03C1">
        <w:rPr>
          <w:lang w:val="en-AU"/>
        </w:rPr>
        <w:t>resolution threshold restriction</w:t>
      </w:r>
      <w:r w:rsidR="009A3EAA" w:rsidRPr="00BD03C1">
        <w:rPr>
          <w:lang w:val="en-AU"/>
        </w:rPr>
        <w:t xml:space="preserve"> of at least </w:t>
      </w:r>
      <w:r w:rsidR="00A85DE2" w:rsidRPr="00BD03C1">
        <w:rPr>
          <w:lang w:val="en-AU"/>
        </w:rPr>
        <w:t>10</w:t>
      </w:r>
      <w:r w:rsidR="00146542" w:rsidRPr="00BD03C1">
        <w:rPr>
          <w:lang w:val="en-AU"/>
        </w:rPr>
        <w:t xml:space="preserve"> kilobases (</w:t>
      </w:r>
      <w:r w:rsidR="00A85DE2" w:rsidRPr="00BD03C1">
        <w:rPr>
          <w:lang w:val="en-AU"/>
        </w:rPr>
        <w:t>kb</w:t>
      </w:r>
      <w:r w:rsidR="00146542" w:rsidRPr="00BD03C1">
        <w:rPr>
          <w:lang w:val="en-AU"/>
        </w:rPr>
        <w:t>)</w:t>
      </w:r>
      <w:r w:rsidR="00A01914" w:rsidRPr="00BD03C1">
        <w:rPr>
          <w:lang w:val="en-AU"/>
        </w:rPr>
        <w:t>.</w:t>
      </w:r>
    </w:p>
    <w:p w14:paraId="61431988" w14:textId="77777777" w:rsidR="00D643B4" w:rsidRPr="00720661" w:rsidRDefault="009C7256" w:rsidP="0061030F">
      <w:pPr>
        <w:pStyle w:val="01squarebullet"/>
        <w:tabs>
          <w:tab w:val="num" w:pos="567"/>
        </w:tabs>
        <w:rPr>
          <w:lang w:val="en-AU"/>
        </w:rPr>
      </w:pPr>
      <w:r w:rsidRPr="00720661">
        <w:rPr>
          <w:lang w:val="en-AU"/>
        </w:rPr>
        <w:lastRenderedPageBreak/>
        <w:t xml:space="preserve">Provide education and </w:t>
      </w:r>
      <w:r w:rsidR="00BF4D8C" w:rsidRPr="00720661">
        <w:rPr>
          <w:lang w:val="en-AU"/>
        </w:rPr>
        <w:t>information for paediatricians about appropriate tests for investigating relevant childhood syndromes.</w:t>
      </w:r>
    </w:p>
    <w:p w14:paraId="66376F30" w14:textId="77777777" w:rsidR="000B3741" w:rsidRPr="00DD30D9" w:rsidRDefault="000B3741">
      <w:pPr>
        <w:pStyle w:val="Caption"/>
      </w:pPr>
      <w:bookmarkStart w:id="100" w:name="_Toc482009632"/>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9A3EAA" w:rsidRPr="00DD30D9">
        <w:t>Proposed changes to</w:t>
      </w:r>
      <w:r w:rsidRPr="00DD30D9">
        <w:t xml:space="preserve"> item 73291</w:t>
      </w:r>
      <w:bookmarkEnd w:id="100"/>
    </w:p>
    <w:tbl>
      <w:tblPr>
        <w:tblStyle w:val="TableGrid"/>
        <w:tblW w:w="8833" w:type="dxa"/>
        <w:tblInd w:w="-5" w:type="dxa"/>
        <w:tblLook w:val="04A0" w:firstRow="1" w:lastRow="0" w:firstColumn="1" w:lastColumn="0" w:noHBand="0" w:noVBand="1"/>
        <w:tblCaption w:val="Proposed changes to item 73291"/>
        <w:tblDescription w:val="This table shows the current item descriptor and proposed new item descriptor for item 73291. "/>
      </w:tblPr>
      <w:tblGrid>
        <w:gridCol w:w="3986"/>
        <w:gridCol w:w="4847"/>
      </w:tblGrid>
      <w:tr w:rsidR="000B3741" w:rsidRPr="00720661" w14:paraId="75FD68B8" w14:textId="77777777" w:rsidTr="005A054A">
        <w:trPr>
          <w:trHeight w:val="277"/>
          <w:tblHeader/>
        </w:trPr>
        <w:tc>
          <w:tcPr>
            <w:tcW w:w="3986" w:type="dxa"/>
            <w:tcBorders>
              <w:top w:val="single" w:sz="4" w:space="0" w:color="auto"/>
              <w:left w:val="single" w:sz="8" w:space="0" w:color="auto"/>
              <w:bottom w:val="single" w:sz="4" w:space="0" w:color="auto"/>
              <w:right w:val="single" w:sz="8" w:space="0" w:color="auto"/>
            </w:tcBorders>
            <w:shd w:val="clear" w:color="auto" w:fill="EEECE1" w:themeFill="background2"/>
          </w:tcPr>
          <w:p w14:paraId="77B17D25" w14:textId="77777777" w:rsidR="000B3741" w:rsidRPr="00DD30D9" w:rsidRDefault="000B3741" w:rsidP="003215DF">
            <w:pPr>
              <w:rPr>
                <w:rFonts w:ascii="Arial" w:hAnsi="Arial" w:cs="Arial"/>
                <w:b/>
                <w:sz w:val="18"/>
                <w:lang w:val="en-AU"/>
              </w:rPr>
            </w:pPr>
            <w:r w:rsidRPr="00DD30D9">
              <w:rPr>
                <w:rFonts w:ascii="Arial" w:hAnsi="Arial" w:cs="Arial"/>
                <w:b/>
                <w:bCs/>
                <w:sz w:val="18"/>
                <w:lang w:val="en-AU"/>
              </w:rPr>
              <w:t>Current item descriptor</w:t>
            </w:r>
          </w:p>
        </w:tc>
        <w:tc>
          <w:tcPr>
            <w:tcW w:w="4847" w:type="dxa"/>
            <w:tcBorders>
              <w:top w:val="single" w:sz="4" w:space="0" w:color="auto"/>
              <w:left w:val="nil"/>
              <w:bottom w:val="single" w:sz="4" w:space="0" w:color="auto"/>
              <w:right w:val="single" w:sz="8" w:space="0" w:color="auto"/>
            </w:tcBorders>
            <w:shd w:val="clear" w:color="auto" w:fill="EEECE1" w:themeFill="background2"/>
          </w:tcPr>
          <w:p w14:paraId="6F1AE62E" w14:textId="77777777" w:rsidR="000B3741" w:rsidRPr="00DD30D9" w:rsidRDefault="000B3741" w:rsidP="003215DF">
            <w:pPr>
              <w:rPr>
                <w:rFonts w:ascii="Arial" w:hAnsi="Arial" w:cs="Arial"/>
                <w:b/>
                <w:sz w:val="18"/>
                <w:lang w:val="en-AU"/>
              </w:rPr>
            </w:pPr>
            <w:r w:rsidRPr="00DD30D9">
              <w:rPr>
                <w:rFonts w:ascii="Arial" w:hAnsi="Arial" w:cs="Arial"/>
                <w:b/>
                <w:bCs/>
                <w:sz w:val="18"/>
                <w:lang w:val="en-AU"/>
              </w:rPr>
              <w:t>Proposed new item descriptor</w:t>
            </w:r>
          </w:p>
        </w:tc>
      </w:tr>
      <w:tr w:rsidR="000B3741" w:rsidRPr="00720661" w14:paraId="36847D5F" w14:textId="77777777" w:rsidTr="003C5409">
        <w:trPr>
          <w:trHeight w:val="3288"/>
        </w:trPr>
        <w:tc>
          <w:tcPr>
            <w:tcW w:w="3986" w:type="dxa"/>
            <w:tcBorders>
              <w:top w:val="single" w:sz="4" w:space="0" w:color="auto"/>
              <w:left w:val="single" w:sz="8" w:space="0" w:color="auto"/>
              <w:bottom w:val="single" w:sz="8" w:space="0" w:color="auto"/>
              <w:right w:val="single" w:sz="8" w:space="0" w:color="auto"/>
            </w:tcBorders>
          </w:tcPr>
          <w:p w14:paraId="15A75E59" w14:textId="77777777" w:rsidR="000B3741" w:rsidRPr="00DD30D9" w:rsidRDefault="000B3741" w:rsidP="000B3741">
            <w:pPr>
              <w:rPr>
                <w:rFonts w:ascii="Arial" w:hAnsi="Arial" w:cs="Arial"/>
                <w:color w:val="000000"/>
                <w:sz w:val="18"/>
                <w:szCs w:val="18"/>
                <w:lang w:val="en-AU"/>
              </w:rPr>
            </w:pPr>
            <w:r w:rsidRPr="00DD30D9">
              <w:rPr>
                <w:rFonts w:ascii="Arial" w:hAnsi="Arial" w:cs="Arial"/>
                <w:color w:val="000000"/>
                <w:sz w:val="18"/>
                <w:szCs w:val="18"/>
                <w:lang w:val="en-AU"/>
              </w:rPr>
              <w:t>Analysis of one or more chromosome regions for specific constitutional genetic abnormalities of blood or fresh tissue in</w:t>
            </w:r>
          </w:p>
          <w:p w14:paraId="50DB276A" w14:textId="77777777" w:rsidR="000B3741" w:rsidRPr="00DD30D9" w:rsidRDefault="000B3741" w:rsidP="000B3741">
            <w:pPr>
              <w:rPr>
                <w:rFonts w:ascii="Arial" w:hAnsi="Arial" w:cs="Arial"/>
                <w:color w:val="000000"/>
                <w:sz w:val="18"/>
                <w:szCs w:val="18"/>
                <w:lang w:val="en-AU"/>
              </w:rPr>
            </w:pPr>
            <w:r w:rsidRPr="00DD30D9">
              <w:rPr>
                <w:rFonts w:ascii="Arial" w:hAnsi="Arial" w:cs="Arial"/>
                <w:color w:val="000000"/>
                <w:sz w:val="18"/>
                <w:szCs w:val="18"/>
                <w:lang w:val="en-AU"/>
              </w:rPr>
              <w:t>(a) diagnostic studies of a person with developmental delay, intellectual disability, autism, or at least two congenital abnormalities, in whom cytogenetic studies (item 73287 or 73289) are either normal or have not been performed; or</w:t>
            </w:r>
          </w:p>
          <w:p w14:paraId="0283F85C" w14:textId="77777777" w:rsidR="000B3741" w:rsidRPr="00DD30D9" w:rsidRDefault="000B3741" w:rsidP="000B3741">
            <w:pPr>
              <w:rPr>
                <w:rFonts w:ascii="Arial" w:hAnsi="Arial" w:cs="Arial"/>
                <w:color w:val="000000"/>
                <w:sz w:val="18"/>
                <w:szCs w:val="18"/>
                <w:lang w:val="en-AU"/>
              </w:rPr>
            </w:pPr>
            <w:r w:rsidRPr="00DD30D9">
              <w:rPr>
                <w:rFonts w:ascii="Arial" w:hAnsi="Arial" w:cs="Arial"/>
                <w:color w:val="000000"/>
                <w:sz w:val="18"/>
                <w:szCs w:val="18"/>
                <w:lang w:val="en-AU"/>
              </w:rPr>
              <w:t>(b) studies of a relative for an abnormality previously identified in such an affected person.</w:t>
            </w:r>
          </w:p>
          <w:p w14:paraId="1BDB95A6" w14:textId="77777777" w:rsidR="000B3741" w:rsidRPr="00DD30D9" w:rsidRDefault="000B3741" w:rsidP="000B3741">
            <w:pPr>
              <w:rPr>
                <w:rFonts w:ascii="Arial" w:hAnsi="Arial" w:cs="Arial"/>
                <w:b/>
                <w:bCs/>
                <w:sz w:val="18"/>
                <w:lang w:val="en-AU"/>
              </w:rPr>
            </w:pPr>
            <w:r w:rsidRPr="00DD30D9">
              <w:rPr>
                <w:rFonts w:ascii="Arial" w:hAnsi="Arial" w:cs="Arial"/>
                <w:color w:val="000000"/>
                <w:sz w:val="18"/>
                <w:szCs w:val="18"/>
                <w:lang w:val="en-AU"/>
              </w:rPr>
              <w:t>– 1 or more tests.</w:t>
            </w:r>
          </w:p>
        </w:tc>
        <w:tc>
          <w:tcPr>
            <w:tcW w:w="4847" w:type="dxa"/>
            <w:tcBorders>
              <w:top w:val="single" w:sz="4" w:space="0" w:color="auto"/>
              <w:left w:val="nil"/>
              <w:bottom w:val="single" w:sz="8" w:space="0" w:color="auto"/>
              <w:right w:val="single" w:sz="8" w:space="0" w:color="auto"/>
            </w:tcBorders>
          </w:tcPr>
          <w:p w14:paraId="5208CBEF" w14:textId="62B8BEA5" w:rsidR="000B3741" w:rsidRPr="00730A3E" w:rsidRDefault="00F4546F" w:rsidP="00730A3E">
            <w:pPr>
              <w:rPr>
                <w:rFonts w:ascii="Arial" w:hAnsi="Arial" w:cs="Arial"/>
                <w:bCs/>
                <w:sz w:val="18"/>
                <w:szCs w:val="18"/>
                <w:u w:val="single"/>
                <w:lang w:val="en-AU"/>
              </w:rPr>
            </w:pPr>
            <w:r w:rsidRPr="00730A3E">
              <w:rPr>
                <w:rFonts w:ascii="Arial" w:hAnsi="Arial" w:cs="Arial"/>
                <w:sz w:val="18"/>
                <w:szCs w:val="18"/>
                <w:u w:val="single"/>
              </w:rPr>
              <w:t>Analysis of one or more chromosome regions for specific</w:t>
            </w:r>
            <w:r w:rsidRPr="00730A3E">
              <w:rPr>
                <w:rFonts w:ascii="Arial" w:hAnsi="Arial" w:cs="Arial"/>
                <w:sz w:val="18"/>
                <w:szCs w:val="18"/>
              </w:rPr>
              <w:t xml:space="preserve"> constitutional genetic abnormalities </w:t>
            </w:r>
            <w:r w:rsidRPr="00730A3E">
              <w:rPr>
                <w:rFonts w:ascii="Arial" w:hAnsi="Arial" w:cs="Arial"/>
                <w:sz w:val="18"/>
                <w:szCs w:val="18"/>
                <w:u w:val="single"/>
              </w:rPr>
              <w:t>of blood or fresh tissue, in a relative, for an abnormality previously identified in an affected person</w:t>
            </w:r>
            <w:r w:rsidR="004C55B1" w:rsidRPr="00730A3E">
              <w:rPr>
                <w:rFonts w:ascii="Arial" w:hAnsi="Arial" w:cs="Arial"/>
                <w:sz w:val="18"/>
                <w:szCs w:val="18"/>
                <w:lang w:val="en-AU"/>
              </w:rPr>
              <w:t xml:space="preserve"> – 1 or more tests.</w:t>
            </w:r>
          </w:p>
        </w:tc>
      </w:tr>
    </w:tbl>
    <w:p w14:paraId="13CA6E6C" w14:textId="77777777" w:rsidR="0033420E" w:rsidRPr="00DD30D9" w:rsidRDefault="0033420E" w:rsidP="00677AEE">
      <w:pPr>
        <w:pStyle w:val="Heading3"/>
        <w:numPr>
          <w:ilvl w:val="0"/>
          <w:numId w:val="0"/>
        </w:numPr>
        <w:ind w:left="720" w:hanging="720"/>
        <w:rPr>
          <w:lang w:val="en-AU"/>
        </w:rPr>
      </w:pPr>
      <w:bookmarkStart w:id="101" w:name="_Toc13735986"/>
      <w:r w:rsidRPr="00DD30D9">
        <w:rPr>
          <w:lang w:val="en-AU"/>
        </w:rPr>
        <w:t>Rationale</w:t>
      </w:r>
      <w:r w:rsidR="0061030F" w:rsidRPr="00DD30D9">
        <w:rPr>
          <w:lang w:val="en-AU"/>
        </w:rPr>
        <w:t xml:space="preserve"> 4</w:t>
      </w:r>
      <w:bookmarkEnd w:id="101"/>
    </w:p>
    <w:p w14:paraId="57FACE98" w14:textId="77777777" w:rsidR="0033420E" w:rsidRPr="00DD30D9" w:rsidRDefault="0033420E" w:rsidP="0033420E">
      <w:pPr>
        <w:rPr>
          <w:lang w:val="en-AU"/>
        </w:rPr>
      </w:pPr>
      <w:r w:rsidRPr="00DD30D9">
        <w:rPr>
          <w:lang w:val="en-AU"/>
        </w:rPr>
        <w:t xml:space="preserve">The recommendations focus on modernising the MBS and </w:t>
      </w:r>
      <w:r w:rsidR="00E32BEA" w:rsidRPr="00DD30D9">
        <w:rPr>
          <w:lang w:val="en-AU"/>
        </w:rPr>
        <w:t xml:space="preserve">ensuring best practice and </w:t>
      </w:r>
      <w:r w:rsidRPr="00DD30D9">
        <w:rPr>
          <w:lang w:val="en-AU"/>
        </w:rPr>
        <w:t>are based on the following observations.</w:t>
      </w:r>
    </w:p>
    <w:p w14:paraId="4BD4813F" w14:textId="77777777" w:rsidR="00E32BEA" w:rsidRPr="00DD30D9" w:rsidRDefault="000B3741" w:rsidP="007B4A68">
      <w:pPr>
        <w:pStyle w:val="01squarebullet"/>
        <w:rPr>
          <w:lang w:val="en-AU"/>
        </w:rPr>
      </w:pPr>
      <w:r w:rsidRPr="00DD30D9">
        <w:rPr>
          <w:szCs w:val="22"/>
          <w:lang w:val="en-AU"/>
        </w:rPr>
        <w:t xml:space="preserve">The indications for this test include investigations of childhood syndromes contributing to intellectual and developmental delay, autism and congenital abnormalities such as Williams </w:t>
      </w:r>
      <w:r w:rsidR="00BA13D3" w:rsidRPr="00DD30D9">
        <w:rPr>
          <w:szCs w:val="22"/>
          <w:lang w:val="en-AU"/>
        </w:rPr>
        <w:t xml:space="preserve">syndrome </w:t>
      </w:r>
      <w:r w:rsidRPr="00DD30D9">
        <w:rPr>
          <w:szCs w:val="22"/>
          <w:lang w:val="en-AU"/>
        </w:rPr>
        <w:t xml:space="preserve">or </w:t>
      </w:r>
      <w:proofErr w:type="spellStart"/>
      <w:r w:rsidR="00BA13D3" w:rsidRPr="00DD30D9">
        <w:rPr>
          <w:szCs w:val="22"/>
          <w:lang w:val="en-AU"/>
        </w:rPr>
        <w:t>velocardiofacial</w:t>
      </w:r>
      <w:proofErr w:type="spellEnd"/>
      <w:r w:rsidR="00BA13D3" w:rsidRPr="00DD30D9">
        <w:rPr>
          <w:szCs w:val="22"/>
          <w:lang w:val="en-AU"/>
        </w:rPr>
        <w:t xml:space="preserve"> syndrome</w:t>
      </w:r>
      <w:r w:rsidRPr="00DD30D9">
        <w:rPr>
          <w:szCs w:val="22"/>
          <w:lang w:val="en-AU"/>
        </w:rPr>
        <w:t xml:space="preserve">. </w:t>
      </w:r>
    </w:p>
    <w:p w14:paraId="326F3A89" w14:textId="77777777" w:rsidR="000B3741" w:rsidRPr="00DD30D9" w:rsidRDefault="000B3741" w:rsidP="007B4A68">
      <w:pPr>
        <w:pStyle w:val="01squarebullet"/>
        <w:rPr>
          <w:lang w:val="en-AU"/>
        </w:rPr>
      </w:pPr>
      <w:r w:rsidRPr="00DD30D9">
        <w:rPr>
          <w:szCs w:val="22"/>
          <w:lang w:val="en-AU"/>
        </w:rPr>
        <w:t>The current descriptor enables the use of this test in both child and parent, but higher</w:t>
      </w:r>
      <w:r w:rsidR="00D17339" w:rsidRPr="00DD30D9">
        <w:rPr>
          <w:szCs w:val="22"/>
          <w:lang w:val="en-AU"/>
        </w:rPr>
        <w:t>-</w:t>
      </w:r>
      <w:r w:rsidRPr="00DD30D9">
        <w:rPr>
          <w:szCs w:val="22"/>
          <w:lang w:val="en-AU"/>
        </w:rPr>
        <w:t>resolution techniques such as microarray are now recommended as first line for testing the child</w:t>
      </w:r>
      <w:r w:rsidR="00DC5BEF">
        <w:rPr>
          <w:szCs w:val="22"/>
          <w:lang w:val="en-AU"/>
        </w:rPr>
        <w:t>.</w:t>
      </w:r>
      <w:r w:rsidR="007B4A68" w:rsidRPr="00DD30D9">
        <w:rPr>
          <w:lang w:val="en-AU"/>
        </w:rPr>
        <w:t xml:space="preserve"> </w:t>
      </w:r>
      <w:r w:rsidR="00CB672A" w:rsidRPr="00DD30D9">
        <w:rPr>
          <w:lang w:val="en-AU"/>
        </w:rPr>
        <w:fldChar w:fldCharType="begin"/>
      </w:r>
      <w:r w:rsidR="00CB672A" w:rsidRPr="00DD30D9">
        <w:rPr>
          <w:lang w:val="en-AU"/>
        </w:rPr>
        <w:instrText xml:space="preserve"> REF _Ref488823254 \r \h </w:instrText>
      </w:r>
      <w:r w:rsidR="00CB672A" w:rsidRPr="00DD30D9">
        <w:rPr>
          <w:lang w:val="en-AU"/>
        </w:rPr>
      </w:r>
      <w:r w:rsidR="00CB672A" w:rsidRPr="00DD30D9">
        <w:rPr>
          <w:lang w:val="en-AU"/>
        </w:rPr>
        <w:fldChar w:fldCharType="separate"/>
      </w:r>
      <w:r w:rsidR="00CA1CA9" w:rsidRPr="00DD30D9">
        <w:rPr>
          <w:lang w:val="en-AU"/>
        </w:rPr>
        <w:t>[3]</w:t>
      </w:r>
      <w:r w:rsidR="00CB672A" w:rsidRPr="00DD30D9">
        <w:rPr>
          <w:lang w:val="en-AU"/>
        </w:rPr>
        <w:fldChar w:fldCharType="end"/>
      </w:r>
      <w:r w:rsidR="00CB672A" w:rsidRPr="00DD30D9">
        <w:rPr>
          <w:lang w:val="en-AU"/>
        </w:rPr>
        <w:t xml:space="preserve"> </w:t>
      </w:r>
      <w:r w:rsidRPr="00DD30D9">
        <w:rPr>
          <w:szCs w:val="22"/>
          <w:lang w:val="en-AU"/>
        </w:rPr>
        <w:t>The age distribution of services processed</w:t>
      </w:r>
      <w:r w:rsidR="00E32BEA" w:rsidRPr="00DD30D9">
        <w:rPr>
          <w:szCs w:val="22"/>
          <w:lang w:val="en-AU"/>
        </w:rPr>
        <w:t xml:space="preserve"> in 2014</w:t>
      </w:r>
      <w:r w:rsidR="00D17339" w:rsidRPr="00DD30D9">
        <w:rPr>
          <w:szCs w:val="22"/>
          <w:lang w:val="en-AU"/>
        </w:rPr>
        <w:t>–</w:t>
      </w:r>
      <w:r w:rsidR="00E32BEA" w:rsidRPr="00DD30D9">
        <w:rPr>
          <w:szCs w:val="22"/>
          <w:lang w:val="en-AU"/>
        </w:rPr>
        <w:t>15</w:t>
      </w:r>
      <w:r w:rsidRPr="00DD30D9">
        <w:rPr>
          <w:szCs w:val="22"/>
          <w:lang w:val="en-AU"/>
        </w:rPr>
        <w:t xml:space="preserve"> </w:t>
      </w:r>
      <w:r w:rsidR="00B4748C" w:rsidRPr="00DD30D9">
        <w:rPr>
          <w:szCs w:val="22"/>
          <w:lang w:val="en-AU"/>
        </w:rPr>
        <w:t xml:space="preserve">indicated </w:t>
      </w:r>
      <w:r w:rsidR="00B0285C">
        <w:rPr>
          <w:szCs w:val="22"/>
          <w:lang w:val="en-AU"/>
        </w:rPr>
        <w:t>the greatest</w:t>
      </w:r>
      <w:r w:rsidRPr="00DD30D9">
        <w:rPr>
          <w:szCs w:val="22"/>
          <w:lang w:val="en-AU"/>
        </w:rPr>
        <w:t xml:space="preserve"> use</w:t>
      </w:r>
      <w:r w:rsidR="001B7F03" w:rsidRPr="00DD30D9">
        <w:rPr>
          <w:szCs w:val="22"/>
          <w:lang w:val="en-AU"/>
        </w:rPr>
        <w:t xml:space="preserve"> of this item</w:t>
      </w:r>
      <w:r w:rsidRPr="00DD30D9">
        <w:rPr>
          <w:szCs w:val="22"/>
          <w:lang w:val="en-AU"/>
        </w:rPr>
        <w:t xml:space="preserve"> is in adults rather than</w:t>
      </w:r>
      <w:r w:rsidR="00B0285C">
        <w:rPr>
          <w:szCs w:val="22"/>
          <w:lang w:val="en-AU"/>
        </w:rPr>
        <w:t xml:space="preserve"> in</w:t>
      </w:r>
      <w:r w:rsidRPr="00DD30D9">
        <w:rPr>
          <w:szCs w:val="22"/>
          <w:lang w:val="en-AU"/>
        </w:rPr>
        <w:t xml:space="preserve"> children, indicating that the shift to microarray</w:t>
      </w:r>
      <w:r w:rsidR="001B7F03" w:rsidRPr="00DD30D9">
        <w:rPr>
          <w:szCs w:val="22"/>
          <w:lang w:val="en-AU"/>
        </w:rPr>
        <w:t xml:space="preserve"> for children</w:t>
      </w:r>
      <w:r w:rsidRPr="00DD30D9">
        <w:rPr>
          <w:szCs w:val="22"/>
          <w:lang w:val="en-AU"/>
        </w:rPr>
        <w:t xml:space="preserve"> is </w:t>
      </w:r>
      <w:r w:rsidR="00E32BEA" w:rsidRPr="00DD30D9">
        <w:rPr>
          <w:szCs w:val="22"/>
          <w:lang w:val="en-AU"/>
        </w:rPr>
        <w:t>occurring</w:t>
      </w:r>
      <w:r w:rsidRPr="00DD30D9">
        <w:rPr>
          <w:szCs w:val="22"/>
          <w:lang w:val="en-AU"/>
        </w:rPr>
        <w:t xml:space="preserve">. </w:t>
      </w:r>
      <w:r w:rsidR="007B4A68" w:rsidRPr="00DD30D9">
        <w:rPr>
          <w:szCs w:val="22"/>
          <w:lang w:val="en-AU"/>
        </w:rPr>
        <w:t>The Committee considered that this</w:t>
      </w:r>
      <w:r w:rsidRPr="00DD30D9">
        <w:rPr>
          <w:szCs w:val="22"/>
          <w:lang w:val="en-AU"/>
        </w:rPr>
        <w:t xml:space="preserve"> item is still relevant in the </w:t>
      </w:r>
      <w:r w:rsidR="00101880" w:rsidRPr="00DD30D9">
        <w:rPr>
          <w:szCs w:val="22"/>
          <w:lang w:val="en-AU"/>
        </w:rPr>
        <w:t xml:space="preserve">relative </w:t>
      </w:r>
      <w:r w:rsidRPr="00DD30D9">
        <w:rPr>
          <w:szCs w:val="22"/>
          <w:lang w:val="en-AU"/>
        </w:rPr>
        <w:t>population</w:t>
      </w:r>
      <w:r w:rsidR="00D17339" w:rsidRPr="00DD30D9">
        <w:rPr>
          <w:szCs w:val="22"/>
          <w:lang w:val="en-AU"/>
        </w:rPr>
        <w:t>,</w:t>
      </w:r>
      <w:r w:rsidRPr="00DD30D9">
        <w:rPr>
          <w:szCs w:val="22"/>
          <w:lang w:val="en-AU"/>
        </w:rPr>
        <w:t xml:space="preserve"> as it is more targeted and therefore </w:t>
      </w:r>
      <w:r w:rsidR="00E32BEA" w:rsidRPr="00DD30D9">
        <w:rPr>
          <w:szCs w:val="22"/>
          <w:lang w:val="en-AU"/>
        </w:rPr>
        <w:t>less expensive than microarray.</w:t>
      </w:r>
    </w:p>
    <w:p w14:paraId="70255BC7" w14:textId="77777777" w:rsidR="000C56FD" w:rsidRPr="00DD30D9" w:rsidRDefault="000C56FD" w:rsidP="007B4A68">
      <w:pPr>
        <w:pStyle w:val="01squarebullet"/>
        <w:rPr>
          <w:rFonts w:cstheme="minorHAnsi"/>
          <w:szCs w:val="22"/>
          <w:lang w:val="en-AU"/>
        </w:rPr>
      </w:pPr>
      <w:r w:rsidRPr="00720661">
        <w:rPr>
          <w:rFonts w:eastAsiaTheme="minorHAnsi" w:cstheme="minorHAnsi"/>
          <w:szCs w:val="22"/>
          <w:lang w:val="en-AU"/>
        </w:rPr>
        <w:t>From a patient perspective, microarray is the appropriate test for investigating the child, but this test is still appropriate for more targeted testing of relatives.</w:t>
      </w:r>
    </w:p>
    <w:p w14:paraId="643EE278" w14:textId="77777777" w:rsidR="0047697D" w:rsidRPr="00DD30D9" w:rsidRDefault="000B3741" w:rsidP="0047697D">
      <w:pPr>
        <w:pStyle w:val="01squarebullet"/>
        <w:rPr>
          <w:lang w:val="en-AU"/>
        </w:rPr>
      </w:pPr>
      <w:r w:rsidRPr="00DD30D9">
        <w:rPr>
          <w:szCs w:val="22"/>
          <w:lang w:val="en-AU"/>
        </w:rPr>
        <w:t xml:space="preserve">This item </w:t>
      </w:r>
      <w:r w:rsidR="00E32BEA" w:rsidRPr="00DD30D9">
        <w:rPr>
          <w:szCs w:val="22"/>
          <w:lang w:val="en-AU"/>
        </w:rPr>
        <w:t>was introduced in 2010</w:t>
      </w:r>
      <w:r w:rsidRPr="00DD30D9">
        <w:rPr>
          <w:szCs w:val="22"/>
          <w:lang w:val="en-AU"/>
        </w:rPr>
        <w:t xml:space="preserve"> and there has been significant growth due to the initial uptake. However, this has slowed over the past 3 years </w:t>
      </w:r>
      <w:r w:rsidR="00E32BEA" w:rsidRPr="00DD30D9">
        <w:rPr>
          <w:szCs w:val="22"/>
          <w:lang w:val="en-AU"/>
        </w:rPr>
        <w:t>to 5.6</w:t>
      </w:r>
      <w:r w:rsidR="00B0285C">
        <w:rPr>
          <w:szCs w:val="22"/>
          <w:lang w:val="en-AU"/>
        </w:rPr>
        <w:t xml:space="preserve"> per cent</w:t>
      </w:r>
      <w:r w:rsidR="00447AE6" w:rsidRPr="00DD30D9">
        <w:rPr>
          <w:szCs w:val="22"/>
          <w:lang w:val="en-AU"/>
        </w:rPr>
        <w:t>.</w:t>
      </w:r>
    </w:p>
    <w:p w14:paraId="5B82F520" w14:textId="77777777" w:rsidR="0033420E" w:rsidRPr="00DD30D9" w:rsidRDefault="006512B3">
      <w:pPr>
        <w:pStyle w:val="Heading2"/>
      </w:pPr>
      <w:bookmarkStart w:id="102" w:name="_Toc13735987"/>
      <w:r w:rsidRPr="00DD30D9">
        <w:t>Chromosome by genome-wide</w:t>
      </w:r>
      <w:r w:rsidR="00246B0E" w:rsidRPr="00DD30D9">
        <w:t xml:space="preserve"> micro</w:t>
      </w:r>
      <w:r w:rsidRPr="00DD30D9">
        <w:t>array</w:t>
      </w:r>
      <w:r w:rsidR="00677AEE" w:rsidRPr="00DD30D9">
        <w:t>: i</w:t>
      </w:r>
      <w:r w:rsidR="00A01914" w:rsidRPr="00DD30D9">
        <w:t>tem 73292</w:t>
      </w:r>
      <w:bookmarkEnd w:id="102"/>
    </w:p>
    <w:p w14:paraId="4A02BD2B" w14:textId="77777777" w:rsidR="0033420E" w:rsidRPr="00720661" w:rsidRDefault="00A01914">
      <w:pPr>
        <w:pStyle w:val="Caption"/>
      </w:pPr>
      <w:bookmarkStart w:id="103" w:name="_Toc482009633"/>
      <w:bookmarkStart w:id="104" w:name="_Hlk481931762"/>
      <w:r w:rsidRPr="00720661">
        <w:t xml:space="preserve">Table </w:t>
      </w:r>
      <w:r w:rsidR="000C3E3F" w:rsidRPr="00860DE7">
        <w:fldChar w:fldCharType="begin"/>
      </w:r>
      <w:r w:rsidR="000C3E3F" w:rsidRPr="00720661">
        <w:instrText xml:space="preserve"> AUTONUM  \* Arabic </w:instrText>
      </w:r>
      <w:r w:rsidR="000C3E3F" w:rsidRPr="00860DE7">
        <w:fldChar w:fldCharType="end"/>
      </w:r>
      <w:r w:rsidRPr="00720661">
        <w:t xml:space="preserve"> </w:t>
      </w:r>
      <w:r w:rsidR="0033420E" w:rsidRPr="00720661">
        <w:t>It</w:t>
      </w:r>
      <w:r w:rsidR="006512B3" w:rsidRPr="00720661">
        <w:t>em introduction table for item 73292</w:t>
      </w:r>
      <w:bookmarkEnd w:id="103"/>
    </w:p>
    <w:tbl>
      <w:tblPr>
        <w:tblStyle w:val="TableGrid1"/>
        <w:tblW w:w="8802" w:type="dxa"/>
        <w:tblLayout w:type="fixed"/>
        <w:tblLook w:val="04A0" w:firstRow="1" w:lastRow="0" w:firstColumn="1" w:lastColumn="0" w:noHBand="0" w:noVBand="1"/>
        <w:tblCaption w:val="Item introduction table for item 73292"/>
        <w:tblDescription w:val="This table contains Medicare Benefits Schedule data for item 73292 for the finanical year 2014–2015. The data include item numbers, long item descriptors, schedule fee, total volume of services, benefits paid, patient count and services annual average growth."/>
      </w:tblPr>
      <w:tblGrid>
        <w:gridCol w:w="738"/>
        <w:gridCol w:w="2659"/>
        <w:gridCol w:w="1106"/>
        <w:gridCol w:w="1231"/>
        <w:gridCol w:w="1232"/>
        <w:gridCol w:w="924"/>
        <w:gridCol w:w="912"/>
      </w:tblGrid>
      <w:tr w:rsidR="0033420E" w:rsidRPr="00720661" w14:paraId="5B1DB160" w14:textId="77777777" w:rsidTr="003C5409">
        <w:trPr>
          <w:trHeight w:val="729"/>
          <w:tblHeader/>
        </w:trPr>
        <w:tc>
          <w:tcPr>
            <w:tcW w:w="738" w:type="dxa"/>
            <w:shd w:val="clear" w:color="auto" w:fill="EEECE1" w:themeFill="background2"/>
            <w:vAlign w:val="bottom"/>
            <w:hideMark/>
          </w:tcPr>
          <w:bookmarkEnd w:id="104"/>
          <w:p w14:paraId="661FEDB7"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659" w:type="dxa"/>
            <w:shd w:val="clear" w:color="auto" w:fill="EEECE1" w:themeFill="background2"/>
            <w:vAlign w:val="bottom"/>
            <w:hideMark/>
          </w:tcPr>
          <w:p w14:paraId="71EF702D"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106" w:type="dxa"/>
            <w:shd w:val="clear" w:color="auto" w:fill="EEECE1" w:themeFill="background2"/>
            <w:vAlign w:val="bottom"/>
            <w:hideMark/>
          </w:tcPr>
          <w:p w14:paraId="09AF615E" w14:textId="77777777" w:rsidR="0033420E" w:rsidRPr="00DD30D9" w:rsidRDefault="0033420E" w:rsidP="0047697D">
            <w:pPr>
              <w:rPr>
                <w:rFonts w:ascii="Arial" w:hAnsi="Arial" w:cs="Arial"/>
                <w:b/>
                <w:color w:val="000000"/>
                <w:sz w:val="18"/>
                <w:szCs w:val="18"/>
                <w:lang w:val="en-AU"/>
              </w:rPr>
            </w:pPr>
            <w:r w:rsidRPr="00DD30D9">
              <w:rPr>
                <w:rFonts w:ascii="Arial" w:hAnsi="Arial" w:cs="Arial"/>
                <w:b/>
                <w:color w:val="000000"/>
                <w:sz w:val="18"/>
                <w:szCs w:val="18"/>
                <w:lang w:val="en-AU"/>
              </w:rPr>
              <w:t>Schedule</w:t>
            </w:r>
            <w:r w:rsidR="0047697D"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fee</w:t>
            </w:r>
          </w:p>
        </w:tc>
        <w:tc>
          <w:tcPr>
            <w:tcW w:w="1231" w:type="dxa"/>
            <w:shd w:val="clear" w:color="auto" w:fill="EEECE1" w:themeFill="background2"/>
            <w:vAlign w:val="bottom"/>
          </w:tcPr>
          <w:p w14:paraId="2836FFBC" w14:textId="77777777" w:rsidR="0033420E" w:rsidRPr="00DD30D9" w:rsidRDefault="0033420E" w:rsidP="00807710">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B50B74"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123CD3"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32" w:type="dxa"/>
            <w:shd w:val="clear" w:color="auto" w:fill="EEECE1" w:themeFill="background2"/>
            <w:vAlign w:val="bottom"/>
          </w:tcPr>
          <w:p w14:paraId="60FD85B1" w14:textId="77777777" w:rsidR="0033420E" w:rsidRPr="00DD30D9" w:rsidRDefault="0033420E" w:rsidP="00675DC9">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B50B74"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123CD3"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24" w:type="dxa"/>
            <w:shd w:val="clear" w:color="auto" w:fill="EEECE1" w:themeFill="background2"/>
            <w:vAlign w:val="bottom"/>
            <w:hideMark/>
          </w:tcPr>
          <w:p w14:paraId="78FED28E"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123CD3"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12" w:type="dxa"/>
            <w:shd w:val="clear" w:color="auto" w:fill="EEECE1" w:themeFill="background2"/>
            <w:vAlign w:val="bottom"/>
            <w:hideMark/>
          </w:tcPr>
          <w:p w14:paraId="62E08A12" w14:textId="77777777" w:rsidR="0033420E" w:rsidRPr="00DD30D9" w:rsidRDefault="00A01914" w:rsidP="00795693">
            <w:pPr>
              <w:rPr>
                <w:rFonts w:ascii="Arial" w:hAnsi="Arial" w:cs="Arial"/>
                <w:b/>
                <w:color w:val="000000"/>
                <w:sz w:val="18"/>
                <w:szCs w:val="18"/>
                <w:lang w:val="en-AU"/>
              </w:rPr>
            </w:pPr>
            <w:r w:rsidRPr="00DD30D9">
              <w:rPr>
                <w:rFonts w:ascii="Arial" w:hAnsi="Arial" w:cs="Arial"/>
                <w:b/>
                <w:color w:val="000000"/>
                <w:sz w:val="18"/>
                <w:szCs w:val="18"/>
                <w:lang w:val="en-AU"/>
              </w:rPr>
              <w:t>5</w:t>
            </w:r>
            <w:r w:rsidR="00123CD3" w:rsidRPr="00DD30D9">
              <w:rPr>
                <w:rFonts w:ascii="Arial" w:hAnsi="Arial" w:cs="Arial"/>
                <w:b/>
                <w:color w:val="000000"/>
                <w:sz w:val="18"/>
                <w:szCs w:val="18"/>
                <w:lang w:val="en-AU"/>
              </w:rPr>
              <w:t>-</w:t>
            </w:r>
            <w:r w:rsidRPr="00DD30D9">
              <w:rPr>
                <w:rFonts w:ascii="Arial" w:hAnsi="Arial" w:cs="Arial"/>
                <w:b/>
                <w:color w:val="000000"/>
                <w:sz w:val="18"/>
                <w:szCs w:val="18"/>
                <w:lang w:val="en-AU"/>
              </w:rPr>
              <w:t xml:space="preserve">year service change </w:t>
            </w:r>
            <w:r w:rsidR="0033420E" w:rsidRPr="00DD30D9">
              <w:rPr>
                <w:rFonts w:ascii="Arial" w:hAnsi="Arial" w:cs="Arial"/>
                <w:b/>
                <w:color w:val="000000"/>
                <w:sz w:val="18"/>
                <w:szCs w:val="18"/>
                <w:lang w:val="en-AU"/>
              </w:rPr>
              <w:t>(CAGR)</w:t>
            </w:r>
          </w:p>
        </w:tc>
      </w:tr>
      <w:tr w:rsidR="006512B3" w:rsidRPr="00720661" w14:paraId="74170F36" w14:textId="77777777" w:rsidTr="003C5409">
        <w:trPr>
          <w:trHeight w:val="300"/>
        </w:trPr>
        <w:tc>
          <w:tcPr>
            <w:tcW w:w="738" w:type="dxa"/>
            <w:noWrap/>
            <w:hideMark/>
          </w:tcPr>
          <w:p w14:paraId="1D2A8BBD" w14:textId="77777777" w:rsidR="006512B3" w:rsidRPr="00DD30D9" w:rsidRDefault="006512B3" w:rsidP="00D643B4">
            <w:pPr>
              <w:rPr>
                <w:rFonts w:ascii="Arial" w:hAnsi="Arial" w:cs="Arial"/>
                <w:color w:val="000000"/>
                <w:sz w:val="18"/>
                <w:szCs w:val="18"/>
                <w:lang w:val="en-AU"/>
              </w:rPr>
            </w:pPr>
            <w:r w:rsidRPr="00DD30D9">
              <w:rPr>
                <w:rFonts w:ascii="Arial" w:hAnsi="Arial" w:cs="Arial"/>
                <w:sz w:val="18"/>
                <w:szCs w:val="18"/>
                <w:lang w:val="en-AU"/>
              </w:rPr>
              <w:t xml:space="preserve">73292 </w:t>
            </w:r>
          </w:p>
        </w:tc>
        <w:tc>
          <w:tcPr>
            <w:tcW w:w="2659" w:type="dxa"/>
            <w:noWrap/>
            <w:hideMark/>
          </w:tcPr>
          <w:p w14:paraId="043F9FAA" w14:textId="77777777" w:rsidR="006512B3" w:rsidRPr="00DD30D9" w:rsidRDefault="006512B3" w:rsidP="00D643B4">
            <w:pPr>
              <w:rPr>
                <w:rFonts w:ascii="Arial" w:hAnsi="Arial" w:cs="Arial"/>
                <w:color w:val="000000"/>
                <w:sz w:val="18"/>
                <w:szCs w:val="18"/>
                <w:lang w:val="en-AU"/>
              </w:rPr>
            </w:pPr>
            <w:r w:rsidRPr="00DD30D9">
              <w:rPr>
                <w:rFonts w:ascii="Arial" w:hAnsi="Arial" w:cs="Arial"/>
                <w:sz w:val="18"/>
                <w:szCs w:val="18"/>
                <w:lang w:val="en-AU"/>
              </w:rPr>
              <w:t xml:space="preserve">Analysis of chromosomes by genome-wide micro-array including targeted assessment of specific regions for constitutional genetic abnormalities in diagnostic </w:t>
            </w:r>
            <w:r w:rsidRPr="00DD30D9">
              <w:rPr>
                <w:rFonts w:ascii="Arial" w:hAnsi="Arial" w:cs="Arial"/>
                <w:sz w:val="18"/>
                <w:szCs w:val="18"/>
                <w:lang w:val="en-AU"/>
              </w:rPr>
              <w:lastRenderedPageBreak/>
              <w:t xml:space="preserve">studies of a person with developmental delay, intellectual disability, autism, or at least two congenital abnormalities (including a service in items 73287, 73289 or 73291, if performed) – 1 or more tests. </w:t>
            </w:r>
          </w:p>
        </w:tc>
        <w:tc>
          <w:tcPr>
            <w:tcW w:w="1106" w:type="dxa"/>
            <w:noWrap/>
            <w:hideMark/>
          </w:tcPr>
          <w:p w14:paraId="17DCF39C" w14:textId="77777777" w:rsidR="006512B3" w:rsidRPr="00DD30D9" w:rsidRDefault="006512B3" w:rsidP="003C5409">
            <w:pPr>
              <w:jc w:val="right"/>
              <w:rPr>
                <w:rFonts w:ascii="Arial" w:hAnsi="Arial" w:cs="Arial"/>
                <w:color w:val="000000"/>
                <w:sz w:val="18"/>
                <w:szCs w:val="18"/>
                <w:lang w:val="en-AU"/>
              </w:rPr>
            </w:pPr>
            <w:r w:rsidRPr="00DD30D9">
              <w:rPr>
                <w:rFonts w:ascii="Arial" w:hAnsi="Arial" w:cs="Arial"/>
                <w:sz w:val="18"/>
                <w:szCs w:val="18"/>
                <w:lang w:val="en-AU"/>
              </w:rPr>
              <w:lastRenderedPageBreak/>
              <w:t xml:space="preserve">$589.90 </w:t>
            </w:r>
          </w:p>
        </w:tc>
        <w:tc>
          <w:tcPr>
            <w:tcW w:w="1231" w:type="dxa"/>
            <w:noWrap/>
            <w:hideMark/>
          </w:tcPr>
          <w:p w14:paraId="127A59A7" w14:textId="77777777" w:rsidR="006512B3" w:rsidRPr="00DD30D9" w:rsidRDefault="0047697D" w:rsidP="003C5409">
            <w:pPr>
              <w:jc w:val="right"/>
              <w:rPr>
                <w:rFonts w:ascii="Arial" w:hAnsi="Arial" w:cs="Arial"/>
                <w:color w:val="000000"/>
                <w:sz w:val="18"/>
                <w:szCs w:val="18"/>
                <w:lang w:val="en-AU"/>
              </w:rPr>
            </w:pPr>
            <w:r w:rsidRPr="00DD30D9">
              <w:rPr>
                <w:rFonts w:ascii="Arial" w:hAnsi="Arial" w:cs="Arial"/>
                <w:sz w:val="18"/>
                <w:szCs w:val="18"/>
                <w:lang w:val="en-AU"/>
              </w:rPr>
              <w:t>14,189</w:t>
            </w:r>
          </w:p>
        </w:tc>
        <w:tc>
          <w:tcPr>
            <w:tcW w:w="1232" w:type="dxa"/>
          </w:tcPr>
          <w:p w14:paraId="7ACE150F" w14:textId="77777777" w:rsidR="006512B3" w:rsidRPr="00DD30D9" w:rsidRDefault="0047697D" w:rsidP="003C5409">
            <w:pPr>
              <w:jc w:val="right"/>
              <w:rPr>
                <w:rFonts w:ascii="Arial" w:hAnsi="Arial" w:cs="Arial"/>
                <w:color w:val="000000"/>
                <w:sz w:val="18"/>
                <w:szCs w:val="18"/>
                <w:lang w:val="en-AU"/>
              </w:rPr>
            </w:pPr>
            <w:r w:rsidRPr="00DD30D9">
              <w:rPr>
                <w:rFonts w:ascii="Arial" w:hAnsi="Arial" w:cs="Arial"/>
                <w:sz w:val="18"/>
                <w:szCs w:val="18"/>
                <w:lang w:val="en-AU"/>
              </w:rPr>
              <w:t>$7,378,284</w:t>
            </w:r>
          </w:p>
        </w:tc>
        <w:tc>
          <w:tcPr>
            <w:tcW w:w="924" w:type="dxa"/>
            <w:noWrap/>
            <w:hideMark/>
          </w:tcPr>
          <w:p w14:paraId="4F0AE5E5" w14:textId="77777777" w:rsidR="006512B3" w:rsidRPr="00DD30D9" w:rsidRDefault="006512B3" w:rsidP="003C5409">
            <w:pPr>
              <w:jc w:val="right"/>
              <w:rPr>
                <w:rFonts w:ascii="Arial" w:hAnsi="Arial" w:cs="Arial"/>
                <w:color w:val="000000"/>
                <w:sz w:val="18"/>
                <w:szCs w:val="18"/>
                <w:lang w:val="en-AU"/>
              </w:rPr>
            </w:pPr>
            <w:r w:rsidRPr="00DD30D9">
              <w:rPr>
                <w:rFonts w:ascii="Arial" w:hAnsi="Arial" w:cs="Arial"/>
                <w:sz w:val="18"/>
                <w:szCs w:val="18"/>
                <w:lang w:val="en-AU"/>
              </w:rPr>
              <w:t xml:space="preserve">14,058 </w:t>
            </w:r>
          </w:p>
        </w:tc>
        <w:tc>
          <w:tcPr>
            <w:tcW w:w="912" w:type="dxa"/>
            <w:noWrap/>
            <w:hideMark/>
          </w:tcPr>
          <w:p w14:paraId="70226F5C" w14:textId="77777777" w:rsidR="006512B3" w:rsidRPr="00DD30D9" w:rsidRDefault="006512B3" w:rsidP="003C5409">
            <w:pPr>
              <w:jc w:val="right"/>
              <w:rPr>
                <w:rFonts w:ascii="Arial" w:hAnsi="Arial" w:cs="Arial"/>
                <w:color w:val="000000"/>
                <w:sz w:val="18"/>
                <w:szCs w:val="18"/>
                <w:lang w:val="en-AU"/>
              </w:rPr>
            </w:pPr>
            <w:r w:rsidRPr="00DD30D9">
              <w:rPr>
                <w:rFonts w:ascii="Arial" w:hAnsi="Arial" w:cs="Arial"/>
                <w:sz w:val="18"/>
                <w:szCs w:val="18"/>
                <w:lang w:val="en-AU"/>
              </w:rPr>
              <w:t xml:space="preserve">184.6% </w:t>
            </w:r>
          </w:p>
        </w:tc>
      </w:tr>
    </w:tbl>
    <w:p w14:paraId="33AF6EF2" w14:textId="77777777" w:rsidR="0033420E" w:rsidRPr="00DD30D9" w:rsidRDefault="00677AEE" w:rsidP="00677AEE">
      <w:pPr>
        <w:pStyle w:val="Heading3"/>
        <w:numPr>
          <w:ilvl w:val="0"/>
          <w:numId w:val="0"/>
        </w:numPr>
        <w:ind w:left="720" w:hanging="720"/>
        <w:rPr>
          <w:lang w:val="en-AU"/>
        </w:rPr>
      </w:pPr>
      <w:bookmarkStart w:id="105" w:name="_Toc13735988"/>
      <w:r w:rsidRPr="00DD30D9">
        <w:rPr>
          <w:lang w:val="en-AU"/>
        </w:rPr>
        <w:t>Recommendation</w:t>
      </w:r>
      <w:r w:rsidR="0061030F" w:rsidRPr="00DD30D9">
        <w:rPr>
          <w:lang w:val="en-AU"/>
        </w:rPr>
        <w:t xml:space="preserve"> 5</w:t>
      </w:r>
      <w:bookmarkEnd w:id="105"/>
    </w:p>
    <w:p w14:paraId="6C401C25" w14:textId="77777777" w:rsidR="00304974" w:rsidRPr="00DD30D9" w:rsidRDefault="009C7256" w:rsidP="00304974">
      <w:pPr>
        <w:pStyle w:val="01squarebullet"/>
        <w:rPr>
          <w:lang w:val="en-AU"/>
        </w:rPr>
      </w:pPr>
      <w:r w:rsidRPr="00720661">
        <w:rPr>
          <w:lang w:val="en-AU"/>
        </w:rPr>
        <w:t>Amend</w:t>
      </w:r>
      <w:r w:rsidR="0033420E" w:rsidRPr="00720661">
        <w:rPr>
          <w:lang w:val="en-AU"/>
        </w:rPr>
        <w:t xml:space="preserve"> the descriptor </w:t>
      </w:r>
      <w:r w:rsidR="00A01914" w:rsidRPr="00720661">
        <w:rPr>
          <w:lang w:val="en-AU"/>
        </w:rPr>
        <w:t>to</w:t>
      </w:r>
      <w:r w:rsidR="004720AC" w:rsidRPr="00720661">
        <w:rPr>
          <w:lang w:val="en-AU"/>
        </w:rPr>
        <w:t xml:space="preserve"> remove the method and include</w:t>
      </w:r>
      <w:r w:rsidR="00304974" w:rsidRPr="00720661">
        <w:rPr>
          <w:lang w:val="en-AU"/>
        </w:rPr>
        <w:t xml:space="preserve"> an ‘intermediate’</w:t>
      </w:r>
      <w:r w:rsidR="00B50B74" w:rsidRPr="00720661">
        <w:rPr>
          <w:lang w:val="en-AU"/>
        </w:rPr>
        <w:t>-</w:t>
      </w:r>
      <w:r w:rsidR="00304974" w:rsidRPr="00720661">
        <w:rPr>
          <w:lang w:val="en-AU"/>
        </w:rPr>
        <w:t>resolution thresho</w:t>
      </w:r>
      <w:r w:rsidR="00A01914" w:rsidRPr="00720661">
        <w:rPr>
          <w:lang w:val="en-AU"/>
        </w:rPr>
        <w:t>ld restriction</w:t>
      </w:r>
      <w:r w:rsidR="004720AC" w:rsidRPr="00720661">
        <w:rPr>
          <w:lang w:val="en-AU"/>
        </w:rPr>
        <w:t xml:space="preserve"> instead</w:t>
      </w:r>
      <w:r w:rsidR="00A01914" w:rsidRPr="00720661">
        <w:rPr>
          <w:lang w:val="en-AU"/>
        </w:rPr>
        <w:t>.</w:t>
      </w:r>
    </w:p>
    <w:p w14:paraId="7284964C" w14:textId="77777777" w:rsidR="00B95B3A" w:rsidRPr="00DD30D9" w:rsidRDefault="00B95B3A">
      <w:pPr>
        <w:pStyle w:val="Caption"/>
      </w:pPr>
      <w:bookmarkStart w:id="106" w:name="_Toc482009634"/>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F66BF9" w:rsidRPr="00DD30D9">
        <w:t>Proposed change to</w:t>
      </w:r>
      <w:r w:rsidRPr="00DD30D9">
        <w:t xml:space="preserve"> item 73292</w:t>
      </w:r>
      <w:bookmarkEnd w:id="106"/>
    </w:p>
    <w:tbl>
      <w:tblPr>
        <w:tblStyle w:val="TableGrid"/>
        <w:tblW w:w="8833" w:type="dxa"/>
        <w:tblInd w:w="-5" w:type="dxa"/>
        <w:tblLook w:val="04A0" w:firstRow="1" w:lastRow="0" w:firstColumn="1" w:lastColumn="0" w:noHBand="0" w:noVBand="1"/>
        <w:tblCaption w:val="Proposed change to item 73292"/>
        <w:tblDescription w:val="This table shows the current item descriptor and proposed new item descriptor for item 73292. "/>
      </w:tblPr>
      <w:tblGrid>
        <w:gridCol w:w="4248"/>
        <w:gridCol w:w="4585"/>
      </w:tblGrid>
      <w:tr w:rsidR="00B95B3A" w:rsidRPr="00720661" w14:paraId="7C25033E" w14:textId="77777777" w:rsidTr="005A054A">
        <w:trPr>
          <w:trHeight w:val="277"/>
          <w:tblHeader/>
        </w:trPr>
        <w:tc>
          <w:tcPr>
            <w:tcW w:w="4248" w:type="dxa"/>
            <w:tcBorders>
              <w:top w:val="single" w:sz="4" w:space="0" w:color="auto"/>
              <w:left w:val="single" w:sz="8" w:space="0" w:color="auto"/>
              <w:bottom w:val="single" w:sz="4" w:space="0" w:color="auto"/>
              <w:right w:val="single" w:sz="8" w:space="0" w:color="auto"/>
            </w:tcBorders>
            <w:shd w:val="clear" w:color="auto" w:fill="EEECE1" w:themeFill="background2"/>
          </w:tcPr>
          <w:p w14:paraId="6386E050" w14:textId="77777777" w:rsidR="00B95B3A" w:rsidRPr="00DD30D9" w:rsidRDefault="00B95B3A" w:rsidP="003215DF">
            <w:pPr>
              <w:rPr>
                <w:rFonts w:ascii="Arial" w:hAnsi="Arial" w:cs="Arial"/>
                <w:b/>
                <w:sz w:val="18"/>
                <w:lang w:val="en-AU"/>
              </w:rPr>
            </w:pPr>
            <w:r w:rsidRPr="00DD30D9">
              <w:rPr>
                <w:rFonts w:ascii="Arial" w:hAnsi="Arial" w:cs="Arial"/>
                <w:b/>
                <w:bCs/>
                <w:sz w:val="18"/>
                <w:lang w:val="en-AU"/>
              </w:rPr>
              <w:t>Current item descriptor</w:t>
            </w:r>
          </w:p>
        </w:tc>
        <w:tc>
          <w:tcPr>
            <w:tcW w:w="4585" w:type="dxa"/>
            <w:tcBorders>
              <w:top w:val="single" w:sz="4" w:space="0" w:color="auto"/>
              <w:left w:val="nil"/>
              <w:bottom w:val="single" w:sz="4" w:space="0" w:color="auto"/>
              <w:right w:val="single" w:sz="8" w:space="0" w:color="auto"/>
            </w:tcBorders>
            <w:shd w:val="clear" w:color="auto" w:fill="EEECE1" w:themeFill="background2"/>
          </w:tcPr>
          <w:p w14:paraId="48583CE5" w14:textId="77777777" w:rsidR="00B95B3A" w:rsidRPr="00DD30D9" w:rsidRDefault="00B95B3A" w:rsidP="003215DF">
            <w:pPr>
              <w:rPr>
                <w:rFonts w:ascii="Arial" w:hAnsi="Arial" w:cs="Arial"/>
                <w:b/>
                <w:sz w:val="18"/>
                <w:lang w:val="en-AU"/>
              </w:rPr>
            </w:pPr>
            <w:r w:rsidRPr="00DD30D9">
              <w:rPr>
                <w:rFonts w:ascii="Arial" w:hAnsi="Arial" w:cs="Arial"/>
                <w:b/>
                <w:bCs/>
                <w:sz w:val="18"/>
                <w:lang w:val="en-AU"/>
              </w:rPr>
              <w:t>Proposed new item descriptor</w:t>
            </w:r>
          </w:p>
        </w:tc>
      </w:tr>
      <w:tr w:rsidR="00B95B3A" w:rsidRPr="004750A6" w14:paraId="39163FAE" w14:textId="77777777" w:rsidTr="003C5409">
        <w:trPr>
          <w:trHeight w:val="1965"/>
        </w:trPr>
        <w:tc>
          <w:tcPr>
            <w:tcW w:w="4248" w:type="dxa"/>
            <w:tcBorders>
              <w:top w:val="single" w:sz="4" w:space="0" w:color="auto"/>
              <w:left w:val="single" w:sz="8" w:space="0" w:color="auto"/>
              <w:bottom w:val="single" w:sz="8" w:space="0" w:color="auto"/>
              <w:right w:val="single" w:sz="8" w:space="0" w:color="auto"/>
            </w:tcBorders>
          </w:tcPr>
          <w:p w14:paraId="32FA4A80" w14:textId="77777777" w:rsidR="00B95B3A" w:rsidRPr="004750A6" w:rsidRDefault="00B95B3A" w:rsidP="003215DF">
            <w:pPr>
              <w:rPr>
                <w:rFonts w:ascii="Arial" w:hAnsi="Arial" w:cs="Arial"/>
                <w:b/>
                <w:bCs/>
                <w:sz w:val="18"/>
                <w:lang w:val="en-AU"/>
              </w:rPr>
            </w:pPr>
            <w:r w:rsidRPr="004750A6">
              <w:rPr>
                <w:rFonts w:ascii="Arial" w:hAnsi="Arial" w:cs="Arial"/>
                <w:color w:val="000000"/>
                <w:sz w:val="18"/>
                <w:szCs w:val="18"/>
                <w:lang w:val="en-AU"/>
              </w:rPr>
              <w:t>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 – 1 or more tests.</w:t>
            </w:r>
          </w:p>
        </w:tc>
        <w:tc>
          <w:tcPr>
            <w:tcW w:w="4585" w:type="dxa"/>
            <w:tcBorders>
              <w:top w:val="single" w:sz="4" w:space="0" w:color="auto"/>
              <w:left w:val="nil"/>
              <w:bottom w:val="single" w:sz="8" w:space="0" w:color="auto"/>
              <w:right w:val="single" w:sz="8" w:space="0" w:color="auto"/>
            </w:tcBorders>
          </w:tcPr>
          <w:p w14:paraId="4708D668" w14:textId="74F5B618" w:rsidR="00B95B3A" w:rsidRPr="004750A6" w:rsidRDefault="00B95B3A" w:rsidP="00807710">
            <w:pPr>
              <w:rPr>
                <w:rFonts w:ascii="Arial" w:hAnsi="Arial" w:cs="Arial"/>
                <w:bCs/>
                <w:sz w:val="18"/>
                <w:lang w:val="en-AU"/>
              </w:rPr>
            </w:pPr>
            <w:r w:rsidRPr="00DD30D9">
              <w:rPr>
                <w:rFonts w:ascii="Arial" w:hAnsi="Arial" w:cs="Arial"/>
                <w:bCs/>
                <w:sz w:val="18"/>
                <w:u w:val="single"/>
                <w:lang w:val="en-AU"/>
              </w:rPr>
              <w:t xml:space="preserve">The study of the whole of every chromosome to detect </w:t>
            </w:r>
            <w:r w:rsidR="00980E80" w:rsidRPr="00DD30D9">
              <w:rPr>
                <w:rFonts w:ascii="Arial" w:hAnsi="Arial" w:cs="Arial"/>
                <w:bCs/>
                <w:sz w:val="18"/>
                <w:u w:val="single"/>
                <w:lang w:val="en-AU"/>
              </w:rPr>
              <w:t xml:space="preserve">a constitutional </w:t>
            </w:r>
            <w:r w:rsidR="0066277B" w:rsidRPr="00DD30D9">
              <w:rPr>
                <w:rFonts w:ascii="Arial" w:hAnsi="Arial" w:cs="Arial"/>
                <w:bCs/>
                <w:sz w:val="18"/>
                <w:u w:val="single"/>
                <w:lang w:val="en-AU"/>
              </w:rPr>
              <w:t xml:space="preserve">genetic </w:t>
            </w:r>
            <w:r w:rsidR="00980E80" w:rsidRPr="00DD30D9">
              <w:rPr>
                <w:rFonts w:ascii="Arial" w:hAnsi="Arial" w:cs="Arial"/>
                <w:bCs/>
                <w:sz w:val="18"/>
                <w:u w:val="single"/>
                <w:lang w:val="en-AU"/>
              </w:rPr>
              <w:t>abnormality</w:t>
            </w:r>
            <w:r w:rsidR="0066277B" w:rsidRPr="00DD30D9">
              <w:rPr>
                <w:rFonts w:ascii="Arial" w:hAnsi="Arial" w:cs="Arial"/>
                <w:bCs/>
                <w:sz w:val="18"/>
                <w:u w:val="single"/>
                <w:lang w:val="en-AU"/>
              </w:rPr>
              <w:t xml:space="preserve"> that is at</w:t>
            </w:r>
            <w:r w:rsidRPr="00DD30D9">
              <w:rPr>
                <w:rFonts w:ascii="Arial" w:hAnsi="Arial" w:cs="Arial"/>
                <w:bCs/>
                <w:sz w:val="18"/>
                <w:u w:val="single"/>
                <w:lang w:val="en-AU"/>
              </w:rPr>
              <w:t xml:space="preserve"> least 10 </w:t>
            </w:r>
            <w:r w:rsidR="00B50B74" w:rsidRPr="00DD30D9">
              <w:rPr>
                <w:rFonts w:ascii="Arial" w:hAnsi="Arial" w:cs="Arial"/>
                <w:bCs/>
                <w:sz w:val="18"/>
                <w:u w:val="single"/>
                <w:lang w:val="en-AU"/>
              </w:rPr>
              <w:t xml:space="preserve">kb </w:t>
            </w:r>
            <w:r w:rsidRPr="00DD30D9">
              <w:rPr>
                <w:rFonts w:ascii="Arial" w:hAnsi="Arial" w:cs="Arial"/>
                <w:bCs/>
                <w:sz w:val="18"/>
                <w:u w:val="single"/>
                <w:lang w:val="en-AU"/>
              </w:rPr>
              <w:t>in size,</w:t>
            </w:r>
            <w:r w:rsidRPr="004750A6">
              <w:rPr>
                <w:rFonts w:ascii="Arial" w:hAnsi="Arial" w:cs="Arial"/>
                <w:bCs/>
                <w:sz w:val="18"/>
                <w:lang w:val="en-AU"/>
              </w:rPr>
              <w:t xml:space="preserve"> in diagnostic studies of a person with developmental delay, intellectual disability, autism, or at least 2 congenital abnormalities (including a service in items 73287, 73289 or 73291, if performed) – 1 or more tests.</w:t>
            </w:r>
          </w:p>
        </w:tc>
      </w:tr>
    </w:tbl>
    <w:p w14:paraId="2595BF45" w14:textId="77777777" w:rsidR="0033420E" w:rsidRPr="004750A6" w:rsidRDefault="0033420E" w:rsidP="00677AEE">
      <w:pPr>
        <w:pStyle w:val="Heading3"/>
        <w:numPr>
          <w:ilvl w:val="0"/>
          <w:numId w:val="0"/>
        </w:numPr>
        <w:ind w:left="720" w:hanging="720"/>
        <w:rPr>
          <w:lang w:val="en-AU"/>
        </w:rPr>
      </w:pPr>
      <w:bookmarkStart w:id="107" w:name="_Toc13735989"/>
      <w:r w:rsidRPr="004750A6">
        <w:rPr>
          <w:lang w:val="en-AU"/>
        </w:rPr>
        <w:t>Rationale</w:t>
      </w:r>
      <w:r w:rsidR="0061030F" w:rsidRPr="004750A6">
        <w:rPr>
          <w:lang w:val="en-AU"/>
        </w:rPr>
        <w:t xml:space="preserve"> 5</w:t>
      </w:r>
      <w:bookmarkEnd w:id="107"/>
    </w:p>
    <w:p w14:paraId="7CD7715C" w14:textId="77777777" w:rsidR="0033420E" w:rsidRPr="00DD30D9" w:rsidRDefault="0033420E" w:rsidP="0033420E">
      <w:pPr>
        <w:rPr>
          <w:lang w:val="en-AU"/>
        </w:rPr>
      </w:pPr>
      <w:r w:rsidRPr="004750A6">
        <w:rPr>
          <w:lang w:val="en-AU"/>
        </w:rPr>
        <w:t>The recommendations focus on</w:t>
      </w:r>
      <w:r w:rsidR="001820D2" w:rsidRPr="004750A6">
        <w:rPr>
          <w:lang w:val="en-AU"/>
        </w:rPr>
        <w:t xml:space="preserve"> modernising the MBS and</w:t>
      </w:r>
      <w:r w:rsidRPr="004750A6">
        <w:rPr>
          <w:lang w:val="en-AU"/>
        </w:rPr>
        <w:t xml:space="preserve"> ensuring appropriate use and are based on the following observations</w:t>
      </w:r>
      <w:r w:rsidR="00720661">
        <w:rPr>
          <w:lang w:val="en-AU"/>
        </w:rPr>
        <w:t>:</w:t>
      </w:r>
    </w:p>
    <w:p w14:paraId="7024D892" w14:textId="77777777" w:rsidR="00955688" w:rsidRPr="00DD30D9" w:rsidRDefault="004720AC" w:rsidP="00955688">
      <w:pPr>
        <w:pStyle w:val="01squarebullet"/>
        <w:rPr>
          <w:lang w:val="en-AU"/>
        </w:rPr>
      </w:pPr>
      <w:r w:rsidRPr="00DD30D9">
        <w:rPr>
          <w:lang w:val="en-AU"/>
        </w:rPr>
        <w:t>Growth in this item has been steady since its introduction in 2010. The Committee anticipates u</w:t>
      </w:r>
      <w:r w:rsidR="00CE06A1" w:rsidRPr="00DD30D9">
        <w:rPr>
          <w:lang w:val="en-AU"/>
        </w:rPr>
        <w:t xml:space="preserve">tilisation is likely to </w:t>
      </w:r>
      <w:r w:rsidRPr="00DD30D9">
        <w:rPr>
          <w:lang w:val="en-AU"/>
        </w:rPr>
        <w:t xml:space="preserve">continue to </w:t>
      </w:r>
      <w:r w:rsidR="00CE06A1" w:rsidRPr="00DD30D9">
        <w:rPr>
          <w:lang w:val="en-AU"/>
        </w:rPr>
        <w:t xml:space="preserve">increase </w:t>
      </w:r>
      <w:r w:rsidR="00CE06A1" w:rsidRPr="00720661">
        <w:rPr>
          <w:lang w:val="en-AU"/>
        </w:rPr>
        <w:t xml:space="preserve">in the future for other indications as awareness of </w:t>
      </w:r>
      <w:r w:rsidRPr="00720661">
        <w:rPr>
          <w:lang w:val="en-AU"/>
        </w:rPr>
        <w:t>the test increases and guideline recommendations are implem</w:t>
      </w:r>
      <w:r w:rsidR="00955688" w:rsidRPr="00720661">
        <w:rPr>
          <w:lang w:val="en-AU"/>
        </w:rPr>
        <w:t xml:space="preserve">ented. </w:t>
      </w:r>
      <w:r w:rsidR="00B50B74" w:rsidRPr="00720661">
        <w:rPr>
          <w:lang w:val="en-AU"/>
        </w:rPr>
        <w:t xml:space="preserve">About </w:t>
      </w:r>
      <w:r w:rsidRPr="00720661">
        <w:rPr>
          <w:lang w:val="en-AU"/>
        </w:rPr>
        <w:t>73</w:t>
      </w:r>
      <w:r w:rsidR="00B0285C">
        <w:rPr>
          <w:lang w:val="en-AU"/>
        </w:rPr>
        <w:t xml:space="preserve"> per cent</w:t>
      </w:r>
      <w:r w:rsidRPr="00720661">
        <w:rPr>
          <w:lang w:val="en-AU"/>
        </w:rPr>
        <w:t xml:space="preserve"> of tests are requested by paediatricians, which is aligned with best practice guidelines</w:t>
      </w:r>
      <w:r w:rsidR="00DC5BEF">
        <w:rPr>
          <w:lang w:val="en-AU"/>
        </w:rPr>
        <w:t>.</w:t>
      </w:r>
      <w:r w:rsidR="00CB672A" w:rsidRPr="00720661">
        <w:rPr>
          <w:lang w:val="en-AU"/>
        </w:rPr>
        <w:t xml:space="preserve"> </w:t>
      </w:r>
      <w:r w:rsidR="00CB672A" w:rsidRPr="009A54A7">
        <w:rPr>
          <w:lang w:val="en-AU"/>
        </w:rPr>
        <w:fldChar w:fldCharType="begin"/>
      </w:r>
      <w:r w:rsidR="00CB672A" w:rsidRPr="00720661">
        <w:rPr>
          <w:lang w:val="en-AU"/>
        </w:rPr>
        <w:instrText xml:space="preserve"> REF _Ref488823254 \r \h </w:instrText>
      </w:r>
      <w:r w:rsidR="00CB672A" w:rsidRPr="009A54A7">
        <w:rPr>
          <w:lang w:val="en-AU"/>
        </w:rPr>
      </w:r>
      <w:r w:rsidR="00CB672A" w:rsidRPr="009A54A7">
        <w:rPr>
          <w:lang w:val="en-AU"/>
        </w:rPr>
        <w:fldChar w:fldCharType="separate"/>
      </w:r>
      <w:r w:rsidR="00CA1CA9" w:rsidRPr="00720661">
        <w:rPr>
          <w:lang w:val="en-AU"/>
        </w:rPr>
        <w:t>[3]</w:t>
      </w:r>
      <w:r w:rsidR="00CB672A" w:rsidRPr="009A54A7">
        <w:rPr>
          <w:lang w:val="en-AU"/>
        </w:rPr>
        <w:fldChar w:fldCharType="end"/>
      </w:r>
    </w:p>
    <w:p w14:paraId="50954682" w14:textId="77777777" w:rsidR="00CE06A1" w:rsidRPr="00720661" w:rsidRDefault="0047697D" w:rsidP="0047697D">
      <w:pPr>
        <w:pStyle w:val="01squarebullet"/>
        <w:rPr>
          <w:lang w:val="en-AU"/>
        </w:rPr>
      </w:pPr>
      <w:r w:rsidRPr="00720661">
        <w:rPr>
          <w:lang w:val="en-AU"/>
        </w:rPr>
        <w:t>Microarray is an intermediate</w:t>
      </w:r>
      <w:r w:rsidR="00B50B74" w:rsidRPr="00720661">
        <w:rPr>
          <w:lang w:val="en-AU"/>
        </w:rPr>
        <w:t>-</w:t>
      </w:r>
      <w:r w:rsidRPr="00720661">
        <w:rPr>
          <w:lang w:val="en-AU"/>
        </w:rPr>
        <w:t>resolution technique,</w:t>
      </w:r>
      <w:r w:rsidR="00955688" w:rsidRPr="00720661">
        <w:rPr>
          <w:lang w:val="en-AU"/>
        </w:rPr>
        <w:t xml:space="preserve"> providing a higher diagnostic</w:t>
      </w:r>
      <w:r w:rsidRPr="00720661">
        <w:rPr>
          <w:lang w:val="en-AU"/>
        </w:rPr>
        <w:t xml:space="preserve"> </w:t>
      </w:r>
      <w:r w:rsidR="00955688" w:rsidRPr="00720661">
        <w:rPr>
          <w:lang w:val="en-AU"/>
        </w:rPr>
        <w:t xml:space="preserve">capacity compared </w:t>
      </w:r>
      <w:r w:rsidR="00B50B74" w:rsidRPr="00720661">
        <w:rPr>
          <w:lang w:val="en-AU"/>
        </w:rPr>
        <w:t xml:space="preserve">with </w:t>
      </w:r>
      <w:r w:rsidR="00955688" w:rsidRPr="00720661">
        <w:rPr>
          <w:lang w:val="en-AU"/>
        </w:rPr>
        <w:t>traditional karyotyping. The intent of this item, however,</w:t>
      </w:r>
      <w:r w:rsidR="00CE06A1" w:rsidRPr="00DD30D9">
        <w:rPr>
          <w:lang w:val="en-AU"/>
        </w:rPr>
        <w:t xml:space="preserve"> is not to fund</w:t>
      </w:r>
      <w:r w:rsidR="004720AC" w:rsidRPr="00DD30D9">
        <w:rPr>
          <w:lang w:val="en-AU"/>
        </w:rPr>
        <w:t xml:space="preserve"> </w:t>
      </w:r>
      <w:r w:rsidRPr="00DD30D9">
        <w:rPr>
          <w:lang w:val="en-AU"/>
        </w:rPr>
        <w:t>high</w:t>
      </w:r>
      <w:r w:rsidR="00B50B74" w:rsidRPr="00DD30D9">
        <w:rPr>
          <w:lang w:val="en-AU"/>
        </w:rPr>
        <w:t>-</w:t>
      </w:r>
      <w:r w:rsidR="004720AC" w:rsidRPr="00DD30D9">
        <w:rPr>
          <w:lang w:val="en-AU"/>
        </w:rPr>
        <w:t>resolution techniques such as</w:t>
      </w:r>
      <w:r w:rsidR="00CE06A1" w:rsidRPr="00DD30D9">
        <w:rPr>
          <w:lang w:val="en-AU"/>
        </w:rPr>
        <w:t xml:space="preserve"> whole genome sequencing.</w:t>
      </w:r>
      <w:r w:rsidR="00A85858" w:rsidRPr="00DD30D9">
        <w:rPr>
          <w:lang w:val="en-AU"/>
        </w:rPr>
        <w:t xml:space="preserve"> Restricting </w:t>
      </w:r>
      <w:r w:rsidR="004720AC" w:rsidRPr="00DD30D9">
        <w:rPr>
          <w:lang w:val="en-AU"/>
        </w:rPr>
        <w:t xml:space="preserve">the resolution to </w:t>
      </w:r>
      <w:r w:rsidRPr="00DD30D9">
        <w:rPr>
          <w:lang w:val="en-AU"/>
        </w:rPr>
        <w:t>at</w:t>
      </w:r>
      <w:r w:rsidR="004720AC" w:rsidRPr="00DD30D9">
        <w:rPr>
          <w:lang w:val="en-AU"/>
        </w:rPr>
        <w:t xml:space="preserve"> least 100 </w:t>
      </w:r>
      <w:r w:rsidR="00B50B74" w:rsidRPr="00DD30D9">
        <w:rPr>
          <w:lang w:val="en-AU"/>
        </w:rPr>
        <w:t xml:space="preserve">kb </w:t>
      </w:r>
      <w:r w:rsidR="004720AC" w:rsidRPr="00DD30D9">
        <w:rPr>
          <w:lang w:val="en-AU"/>
        </w:rPr>
        <w:t>in size</w:t>
      </w:r>
      <w:r w:rsidRPr="00DD30D9">
        <w:rPr>
          <w:lang w:val="en-AU"/>
        </w:rPr>
        <w:t xml:space="preserve"> will discourage </w:t>
      </w:r>
      <w:r w:rsidR="00A85858" w:rsidRPr="00DD30D9">
        <w:rPr>
          <w:lang w:val="en-AU"/>
        </w:rPr>
        <w:t xml:space="preserve">whole genome sequencing </w:t>
      </w:r>
      <w:r w:rsidRPr="00DD30D9">
        <w:rPr>
          <w:lang w:val="en-AU"/>
        </w:rPr>
        <w:t>and</w:t>
      </w:r>
      <w:r w:rsidR="00A85858" w:rsidRPr="00DD30D9">
        <w:rPr>
          <w:lang w:val="en-AU"/>
        </w:rPr>
        <w:t xml:space="preserve"> </w:t>
      </w:r>
      <w:r w:rsidR="00A85858" w:rsidRPr="00720661">
        <w:rPr>
          <w:lang w:val="en-AU"/>
        </w:rPr>
        <w:t>avoid reporting of extra findings or collateral information.</w:t>
      </w:r>
      <w:r w:rsidRPr="00720661">
        <w:rPr>
          <w:lang w:val="en-AU"/>
        </w:rPr>
        <w:t xml:space="preserve"> </w:t>
      </w:r>
    </w:p>
    <w:p w14:paraId="09BED19B" w14:textId="77777777" w:rsidR="0047697D" w:rsidRPr="00DD30D9" w:rsidRDefault="0047697D" w:rsidP="00CE06A1">
      <w:pPr>
        <w:pStyle w:val="01squarebullet"/>
        <w:rPr>
          <w:lang w:val="en-AU"/>
        </w:rPr>
      </w:pPr>
      <w:r w:rsidRPr="00DD30D9">
        <w:rPr>
          <w:lang w:val="en-AU"/>
        </w:rPr>
        <w:t>The Committee acknowledged that microarray is now recommended</w:t>
      </w:r>
      <w:r w:rsidR="00A43E66" w:rsidRPr="00DD30D9">
        <w:rPr>
          <w:lang w:val="en-AU"/>
        </w:rPr>
        <w:t xml:space="preserve"> clinical</w:t>
      </w:r>
      <w:r w:rsidRPr="00DD30D9">
        <w:rPr>
          <w:lang w:val="en-AU"/>
        </w:rPr>
        <w:t xml:space="preserve"> practice for </w:t>
      </w:r>
      <w:proofErr w:type="gramStart"/>
      <w:r w:rsidRPr="00DD30D9">
        <w:rPr>
          <w:lang w:val="en-AU"/>
        </w:rPr>
        <w:t>a number of</w:t>
      </w:r>
      <w:proofErr w:type="gramEnd"/>
      <w:r w:rsidRPr="00DD30D9">
        <w:rPr>
          <w:lang w:val="en-AU"/>
        </w:rPr>
        <w:t xml:space="preserve"> other indications and populations</w:t>
      </w:r>
      <w:r w:rsidR="007E5CE2">
        <w:rPr>
          <w:lang w:val="en-AU"/>
        </w:rPr>
        <w:t>,</w:t>
      </w:r>
      <w:r w:rsidRPr="00DD30D9">
        <w:rPr>
          <w:lang w:val="en-AU"/>
        </w:rPr>
        <w:t xml:space="preserve"> and </w:t>
      </w:r>
      <w:r w:rsidR="001820D2" w:rsidRPr="00DD30D9">
        <w:rPr>
          <w:lang w:val="en-AU"/>
        </w:rPr>
        <w:t xml:space="preserve">specific </w:t>
      </w:r>
      <w:r w:rsidRPr="00DD30D9">
        <w:rPr>
          <w:lang w:val="en-AU"/>
        </w:rPr>
        <w:t>recommendations</w:t>
      </w:r>
      <w:r w:rsidR="00A43E66" w:rsidRPr="00DD30D9">
        <w:rPr>
          <w:lang w:val="en-AU"/>
        </w:rPr>
        <w:t xml:space="preserve"> </w:t>
      </w:r>
      <w:r w:rsidR="00FD5C37" w:rsidRPr="00DD30D9">
        <w:rPr>
          <w:lang w:val="en-AU"/>
        </w:rPr>
        <w:t>to</w:t>
      </w:r>
      <w:r w:rsidR="00A43E66" w:rsidRPr="00DD30D9">
        <w:rPr>
          <w:lang w:val="en-AU"/>
        </w:rPr>
        <w:t xml:space="preserve"> MSAC regarding these</w:t>
      </w:r>
      <w:r w:rsidR="001820D2" w:rsidRPr="00DD30D9">
        <w:rPr>
          <w:lang w:val="en-AU"/>
        </w:rPr>
        <w:t xml:space="preserve"> </w:t>
      </w:r>
      <w:r w:rsidR="00A43E66" w:rsidRPr="00DD30D9">
        <w:rPr>
          <w:lang w:val="en-AU"/>
        </w:rPr>
        <w:t>are included</w:t>
      </w:r>
      <w:r w:rsidRPr="00DD30D9">
        <w:rPr>
          <w:lang w:val="en-AU"/>
        </w:rPr>
        <w:t xml:space="preserve"> in section 5.1 of this report.</w:t>
      </w:r>
    </w:p>
    <w:p w14:paraId="787BDBC1" w14:textId="77777777" w:rsidR="007832B2" w:rsidRPr="00DD30D9" w:rsidRDefault="007832B2" w:rsidP="00CE06A1">
      <w:pPr>
        <w:pStyle w:val="01squarebullet"/>
        <w:rPr>
          <w:rFonts w:cstheme="minorHAnsi"/>
          <w:szCs w:val="22"/>
          <w:lang w:val="en-AU"/>
        </w:rPr>
      </w:pPr>
      <w:r w:rsidRPr="00720661">
        <w:rPr>
          <w:rFonts w:cstheme="minorHAnsi"/>
          <w:szCs w:val="22"/>
          <w:lang w:val="en-AU"/>
        </w:rPr>
        <w:t>From a patient perspective</w:t>
      </w:r>
      <w:r w:rsidR="007E5CE2">
        <w:rPr>
          <w:rFonts w:cstheme="minorHAnsi"/>
          <w:szCs w:val="22"/>
          <w:lang w:val="en-AU"/>
        </w:rPr>
        <w:t xml:space="preserve"> </w:t>
      </w:r>
      <w:r w:rsidRPr="00720661">
        <w:rPr>
          <w:rFonts w:cstheme="minorHAnsi"/>
          <w:szCs w:val="22"/>
          <w:lang w:val="en-AU"/>
        </w:rPr>
        <w:t>these changes would not make a difference. The change will</w:t>
      </w:r>
      <w:r w:rsidR="007E5CE2">
        <w:rPr>
          <w:rFonts w:cstheme="minorHAnsi"/>
          <w:szCs w:val="22"/>
          <w:lang w:val="en-AU"/>
        </w:rPr>
        <w:t>,</w:t>
      </w:r>
      <w:r w:rsidRPr="00720661">
        <w:rPr>
          <w:rFonts w:cstheme="minorHAnsi"/>
          <w:szCs w:val="22"/>
          <w:lang w:val="en-AU"/>
        </w:rPr>
        <w:t xml:space="preserve"> however</w:t>
      </w:r>
      <w:r w:rsidR="007E5CE2">
        <w:rPr>
          <w:rFonts w:cstheme="minorHAnsi"/>
          <w:szCs w:val="22"/>
          <w:lang w:val="en-AU"/>
        </w:rPr>
        <w:t>,</w:t>
      </w:r>
      <w:r w:rsidRPr="00720661">
        <w:rPr>
          <w:rFonts w:cstheme="minorHAnsi"/>
          <w:szCs w:val="22"/>
          <w:lang w:val="en-AU"/>
        </w:rPr>
        <w:t xml:space="preserve"> allow for potentially other medium-resolution techniques to be utilised.</w:t>
      </w:r>
    </w:p>
    <w:p w14:paraId="42AA8103" w14:textId="77777777" w:rsidR="0033420E" w:rsidRPr="00DD30D9" w:rsidRDefault="00EC0FB3">
      <w:pPr>
        <w:pStyle w:val="Heading2"/>
      </w:pPr>
      <w:bookmarkStart w:id="108" w:name="_Toc13735990"/>
      <w:r w:rsidRPr="00DD30D9">
        <w:rPr>
          <w:i/>
        </w:rPr>
        <w:lastRenderedPageBreak/>
        <w:t>FMR1</w:t>
      </w:r>
      <w:r w:rsidRPr="00DD30D9">
        <w:t xml:space="preserve"> gene mutation</w:t>
      </w:r>
      <w:r w:rsidR="00677AEE" w:rsidRPr="00DD30D9">
        <w:t>: i</w:t>
      </w:r>
      <w:r w:rsidR="0047697D" w:rsidRPr="00DD30D9">
        <w:t>tems 73300 and 73305</w:t>
      </w:r>
      <w:bookmarkEnd w:id="108"/>
    </w:p>
    <w:p w14:paraId="22241A59" w14:textId="77777777" w:rsidR="0033420E" w:rsidRPr="00720661" w:rsidRDefault="0047697D">
      <w:pPr>
        <w:pStyle w:val="Caption"/>
      </w:pPr>
      <w:bookmarkStart w:id="109" w:name="_Toc482009635"/>
      <w:r w:rsidRPr="00720661">
        <w:t xml:space="preserve">Table </w:t>
      </w:r>
      <w:r w:rsidR="000C3E3F" w:rsidRPr="00860DE7">
        <w:fldChar w:fldCharType="begin"/>
      </w:r>
      <w:r w:rsidR="000C3E3F" w:rsidRPr="00720661">
        <w:instrText xml:space="preserve"> AUTONUM  \* Arabic </w:instrText>
      </w:r>
      <w:r w:rsidR="000C3E3F" w:rsidRPr="00860DE7">
        <w:fldChar w:fldCharType="end"/>
      </w:r>
      <w:r w:rsidR="00A07E01" w:rsidRPr="00720661">
        <w:t xml:space="preserve"> </w:t>
      </w:r>
      <w:r w:rsidR="0033420E" w:rsidRPr="00720661">
        <w:t xml:space="preserve">Item introduction table for items </w:t>
      </w:r>
      <w:r w:rsidR="00EC0FB3" w:rsidRPr="00720661">
        <w:t>73300 and 73305</w:t>
      </w:r>
      <w:bookmarkEnd w:id="109"/>
    </w:p>
    <w:tbl>
      <w:tblPr>
        <w:tblStyle w:val="TableGrid1"/>
        <w:tblW w:w="8703" w:type="dxa"/>
        <w:tblLook w:val="04A0" w:firstRow="1" w:lastRow="0" w:firstColumn="1" w:lastColumn="0" w:noHBand="0" w:noVBand="1"/>
        <w:tblCaption w:val="Item introduction table for items 73300 and 73305"/>
        <w:tblDescription w:val="This table contains Medicare Benefits Schedule data for items 73300 and 73305 for the finanical year 2014–2015. The data include item numbers, long item descriptors, schedule fee, total volume of services, benefits paid, patient count and services annual average growth."/>
      </w:tblPr>
      <w:tblGrid>
        <w:gridCol w:w="740"/>
        <w:gridCol w:w="2657"/>
        <w:gridCol w:w="1017"/>
        <w:gridCol w:w="1223"/>
        <w:gridCol w:w="1217"/>
        <w:gridCol w:w="980"/>
        <w:gridCol w:w="869"/>
      </w:tblGrid>
      <w:tr w:rsidR="0033420E" w:rsidRPr="00720661" w14:paraId="046D3D29" w14:textId="77777777" w:rsidTr="003C5409">
        <w:trPr>
          <w:trHeight w:val="729"/>
          <w:tblHeader/>
        </w:trPr>
        <w:tc>
          <w:tcPr>
            <w:tcW w:w="740" w:type="dxa"/>
            <w:shd w:val="clear" w:color="auto" w:fill="EEECE1" w:themeFill="background2"/>
            <w:vAlign w:val="bottom"/>
            <w:hideMark/>
          </w:tcPr>
          <w:p w14:paraId="5E137C08"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657" w:type="dxa"/>
            <w:shd w:val="clear" w:color="auto" w:fill="EEECE1" w:themeFill="background2"/>
            <w:vAlign w:val="bottom"/>
            <w:hideMark/>
          </w:tcPr>
          <w:p w14:paraId="2C8A257C" w14:textId="77777777" w:rsidR="0033420E" w:rsidRPr="00DD30D9" w:rsidRDefault="0033420E" w:rsidP="00795693">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17" w:type="dxa"/>
            <w:shd w:val="clear" w:color="auto" w:fill="EEECE1" w:themeFill="background2"/>
            <w:vAlign w:val="bottom"/>
            <w:hideMark/>
          </w:tcPr>
          <w:p w14:paraId="4ACCD313" w14:textId="77777777" w:rsidR="0033420E" w:rsidRPr="00DD30D9" w:rsidRDefault="001D5AB6" w:rsidP="00675DC9">
            <w:pPr>
              <w:rPr>
                <w:rFonts w:ascii="Arial" w:hAnsi="Arial" w:cs="Arial"/>
                <w:b/>
                <w:color w:val="000000"/>
                <w:sz w:val="18"/>
                <w:szCs w:val="18"/>
                <w:lang w:val="en-AU"/>
              </w:rPr>
            </w:pPr>
            <w:r w:rsidRPr="00DD30D9">
              <w:rPr>
                <w:rFonts w:ascii="Arial" w:hAnsi="Arial" w:cs="Arial"/>
                <w:b/>
                <w:color w:val="000000"/>
                <w:sz w:val="18"/>
                <w:szCs w:val="18"/>
                <w:lang w:val="en-AU"/>
              </w:rPr>
              <w:t>Schedule</w:t>
            </w:r>
            <w:r w:rsidR="00246B0E" w:rsidRPr="00DD30D9">
              <w:rPr>
                <w:rFonts w:ascii="Arial" w:hAnsi="Arial" w:cs="Arial"/>
                <w:b/>
                <w:color w:val="000000"/>
                <w:sz w:val="18"/>
                <w:szCs w:val="18"/>
                <w:lang w:val="en-AU"/>
              </w:rPr>
              <w:t xml:space="preserve"> </w:t>
            </w:r>
            <w:r w:rsidR="0033420E" w:rsidRPr="00DD30D9">
              <w:rPr>
                <w:rFonts w:ascii="Arial" w:hAnsi="Arial" w:cs="Arial"/>
                <w:b/>
                <w:color w:val="000000"/>
                <w:sz w:val="18"/>
                <w:szCs w:val="18"/>
                <w:lang w:val="en-AU"/>
              </w:rPr>
              <w:t>fee</w:t>
            </w:r>
          </w:p>
        </w:tc>
        <w:tc>
          <w:tcPr>
            <w:tcW w:w="1223" w:type="dxa"/>
            <w:shd w:val="clear" w:color="auto" w:fill="EEECE1" w:themeFill="background2"/>
            <w:vAlign w:val="bottom"/>
          </w:tcPr>
          <w:p w14:paraId="2ECA4F41"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B50B74"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B50B74"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17" w:type="dxa"/>
            <w:shd w:val="clear" w:color="auto" w:fill="EEECE1" w:themeFill="background2"/>
            <w:vAlign w:val="bottom"/>
          </w:tcPr>
          <w:p w14:paraId="224F31CE"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B50B74"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B50B74"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80" w:type="dxa"/>
            <w:shd w:val="clear" w:color="auto" w:fill="EEECE1" w:themeFill="background2"/>
            <w:vAlign w:val="bottom"/>
            <w:hideMark/>
          </w:tcPr>
          <w:p w14:paraId="5336605C" w14:textId="77777777" w:rsidR="0033420E" w:rsidRPr="00DD30D9" w:rsidRDefault="0033420E">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B50B74"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869" w:type="dxa"/>
            <w:shd w:val="clear" w:color="auto" w:fill="EEECE1" w:themeFill="background2"/>
            <w:vAlign w:val="bottom"/>
            <w:hideMark/>
          </w:tcPr>
          <w:p w14:paraId="681B8FEC" w14:textId="77777777" w:rsidR="0033420E" w:rsidRPr="00DD30D9" w:rsidRDefault="0047697D" w:rsidP="00795693">
            <w:pPr>
              <w:rPr>
                <w:rFonts w:ascii="Arial" w:hAnsi="Arial" w:cs="Arial"/>
                <w:b/>
                <w:color w:val="000000"/>
                <w:sz w:val="18"/>
                <w:szCs w:val="18"/>
                <w:lang w:val="en-AU"/>
              </w:rPr>
            </w:pPr>
            <w:r w:rsidRPr="00DD30D9">
              <w:rPr>
                <w:rFonts w:ascii="Arial" w:hAnsi="Arial" w:cs="Arial"/>
                <w:b/>
                <w:color w:val="000000"/>
                <w:sz w:val="18"/>
                <w:szCs w:val="18"/>
                <w:lang w:val="en-AU"/>
              </w:rPr>
              <w:t>5</w:t>
            </w:r>
            <w:r w:rsidR="00B50B74" w:rsidRPr="00DD30D9">
              <w:rPr>
                <w:rFonts w:ascii="Arial" w:hAnsi="Arial" w:cs="Arial"/>
                <w:b/>
                <w:color w:val="000000"/>
                <w:sz w:val="18"/>
                <w:szCs w:val="18"/>
                <w:lang w:val="en-AU"/>
              </w:rPr>
              <w:t>-</w:t>
            </w:r>
            <w:r w:rsidRPr="00DD30D9">
              <w:rPr>
                <w:rFonts w:ascii="Arial" w:hAnsi="Arial" w:cs="Arial"/>
                <w:b/>
                <w:color w:val="000000"/>
                <w:sz w:val="18"/>
                <w:szCs w:val="18"/>
                <w:lang w:val="en-AU"/>
              </w:rPr>
              <w:t xml:space="preserve">year service change </w:t>
            </w:r>
            <w:r w:rsidR="0033420E" w:rsidRPr="00DD30D9">
              <w:rPr>
                <w:rFonts w:ascii="Arial" w:hAnsi="Arial" w:cs="Arial"/>
                <w:b/>
                <w:color w:val="000000"/>
                <w:sz w:val="18"/>
                <w:szCs w:val="18"/>
                <w:lang w:val="en-AU"/>
              </w:rPr>
              <w:t>(CAGR)</w:t>
            </w:r>
          </w:p>
        </w:tc>
      </w:tr>
      <w:tr w:rsidR="0017017C" w:rsidRPr="00720661" w14:paraId="3D67BD67" w14:textId="77777777" w:rsidTr="003C5409">
        <w:trPr>
          <w:trHeight w:val="300"/>
        </w:trPr>
        <w:tc>
          <w:tcPr>
            <w:tcW w:w="740" w:type="dxa"/>
            <w:noWrap/>
          </w:tcPr>
          <w:p w14:paraId="6DCFFB00" w14:textId="77777777" w:rsidR="0017017C" w:rsidRPr="00DD30D9" w:rsidRDefault="0017017C" w:rsidP="0017017C">
            <w:pPr>
              <w:rPr>
                <w:rFonts w:ascii="Arial" w:hAnsi="Arial" w:cs="Arial"/>
                <w:color w:val="000000"/>
                <w:sz w:val="18"/>
                <w:szCs w:val="18"/>
                <w:lang w:val="en-AU"/>
              </w:rPr>
            </w:pPr>
            <w:r w:rsidRPr="00DD30D9">
              <w:rPr>
                <w:rFonts w:ascii="Arial" w:hAnsi="Arial" w:cs="Arial"/>
                <w:color w:val="000000"/>
                <w:sz w:val="18"/>
                <w:szCs w:val="18"/>
                <w:lang w:val="en-AU"/>
              </w:rPr>
              <w:t>73300</w:t>
            </w:r>
          </w:p>
        </w:tc>
        <w:tc>
          <w:tcPr>
            <w:tcW w:w="2657" w:type="dxa"/>
            <w:noWrap/>
          </w:tcPr>
          <w:p w14:paraId="5EDD162D" w14:textId="77777777" w:rsidR="0017017C" w:rsidRPr="00DD30D9" w:rsidRDefault="0017017C" w:rsidP="0017017C">
            <w:pPr>
              <w:rPr>
                <w:rFonts w:ascii="Arial" w:hAnsi="Arial" w:cs="Arial"/>
                <w:color w:val="000000"/>
                <w:sz w:val="18"/>
                <w:szCs w:val="18"/>
                <w:lang w:val="en-AU"/>
              </w:rPr>
            </w:pPr>
            <w:r w:rsidRPr="00DD30D9">
              <w:rPr>
                <w:rFonts w:ascii="Arial" w:hAnsi="Arial" w:cs="Arial"/>
                <w:color w:val="000000"/>
                <w:sz w:val="18"/>
                <w:szCs w:val="18"/>
                <w:lang w:val="en-AU"/>
              </w:rPr>
              <w:t xml:space="preserve">Detection of mutation of the </w:t>
            </w:r>
            <w:r w:rsidRPr="00DD30D9">
              <w:rPr>
                <w:rFonts w:ascii="Arial" w:hAnsi="Arial" w:cs="Arial"/>
                <w:i/>
                <w:color w:val="000000"/>
                <w:sz w:val="18"/>
                <w:szCs w:val="18"/>
                <w:lang w:val="en-AU"/>
              </w:rPr>
              <w:t>FMR1</w:t>
            </w:r>
            <w:r w:rsidRPr="00DD30D9">
              <w:rPr>
                <w:rFonts w:ascii="Arial" w:hAnsi="Arial" w:cs="Arial"/>
                <w:color w:val="000000"/>
                <w:sz w:val="18"/>
                <w:szCs w:val="18"/>
                <w:lang w:val="en-AU"/>
              </w:rPr>
              <w:t xml:space="preserve"> gene where:(a) the patient exhibits intellectual disability, ataxia, neurodegeneration, or premature ovarian failure consistent with an </w:t>
            </w:r>
            <w:r w:rsidRPr="00DD30D9">
              <w:rPr>
                <w:rFonts w:ascii="Arial" w:hAnsi="Arial" w:cs="Arial"/>
                <w:i/>
                <w:color w:val="000000"/>
                <w:sz w:val="18"/>
                <w:szCs w:val="18"/>
                <w:lang w:val="en-AU"/>
              </w:rPr>
              <w:t xml:space="preserve">FMR1 </w:t>
            </w:r>
            <w:r w:rsidRPr="00DD30D9">
              <w:rPr>
                <w:rFonts w:ascii="Arial" w:hAnsi="Arial" w:cs="Arial"/>
                <w:color w:val="000000"/>
                <w:sz w:val="18"/>
                <w:szCs w:val="18"/>
                <w:lang w:val="en-AU"/>
              </w:rPr>
              <w:t xml:space="preserve">mutation; or(b) the patient has a relative with a </w:t>
            </w:r>
            <w:r w:rsidRPr="00DD30D9">
              <w:rPr>
                <w:rFonts w:ascii="Arial" w:hAnsi="Arial" w:cs="Arial"/>
                <w:i/>
                <w:color w:val="000000"/>
                <w:sz w:val="18"/>
                <w:szCs w:val="18"/>
                <w:lang w:val="en-AU"/>
              </w:rPr>
              <w:t>FMR1</w:t>
            </w:r>
            <w:r w:rsidRPr="00DD30D9">
              <w:rPr>
                <w:rFonts w:ascii="Arial" w:hAnsi="Arial" w:cs="Arial"/>
                <w:color w:val="000000"/>
                <w:sz w:val="18"/>
                <w:szCs w:val="18"/>
                <w:lang w:val="en-AU"/>
              </w:rPr>
              <w:t xml:space="preserve"> mutation 1 or more tests</w:t>
            </w:r>
          </w:p>
        </w:tc>
        <w:tc>
          <w:tcPr>
            <w:tcW w:w="1017" w:type="dxa"/>
            <w:noWrap/>
          </w:tcPr>
          <w:p w14:paraId="62A89AD5" w14:textId="77777777" w:rsidR="0017017C" w:rsidRPr="00DD30D9" w:rsidRDefault="0017017C" w:rsidP="003C5409">
            <w:pPr>
              <w:jc w:val="right"/>
              <w:rPr>
                <w:rFonts w:ascii="Arial" w:hAnsi="Arial" w:cs="Arial"/>
                <w:color w:val="000000"/>
                <w:sz w:val="18"/>
                <w:szCs w:val="18"/>
                <w:lang w:val="en-AU"/>
              </w:rPr>
            </w:pPr>
            <w:r w:rsidRPr="00DD30D9">
              <w:rPr>
                <w:rFonts w:ascii="Arial" w:hAnsi="Arial" w:cs="Arial"/>
                <w:color w:val="000000"/>
                <w:sz w:val="18"/>
                <w:szCs w:val="18"/>
                <w:lang w:val="en-AU"/>
              </w:rPr>
              <w:t>$101.30</w:t>
            </w:r>
          </w:p>
        </w:tc>
        <w:tc>
          <w:tcPr>
            <w:tcW w:w="1223" w:type="dxa"/>
            <w:noWrap/>
          </w:tcPr>
          <w:p w14:paraId="7948B917" w14:textId="77777777" w:rsidR="0017017C" w:rsidRPr="00DD30D9" w:rsidRDefault="0042645B" w:rsidP="003C5409">
            <w:pPr>
              <w:jc w:val="right"/>
              <w:rPr>
                <w:rFonts w:ascii="Arial" w:hAnsi="Arial" w:cs="Arial"/>
                <w:color w:val="000000"/>
                <w:sz w:val="18"/>
                <w:szCs w:val="18"/>
                <w:lang w:val="en-AU"/>
              </w:rPr>
            </w:pPr>
            <w:r w:rsidRPr="00DD30D9">
              <w:rPr>
                <w:rFonts w:ascii="Arial" w:hAnsi="Arial" w:cs="Arial"/>
                <w:color w:val="000000"/>
                <w:sz w:val="18"/>
                <w:szCs w:val="18"/>
                <w:lang w:val="en-AU"/>
              </w:rPr>
              <w:t>8688</w:t>
            </w:r>
          </w:p>
        </w:tc>
        <w:tc>
          <w:tcPr>
            <w:tcW w:w="1217" w:type="dxa"/>
          </w:tcPr>
          <w:p w14:paraId="75F18DC8" w14:textId="77777777" w:rsidR="0042645B" w:rsidRPr="00DD30D9" w:rsidRDefault="0042645B" w:rsidP="003C5409">
            <w:pPr>
              <w:jc w:val="right"/>
              <w:rPr>
                <w:rFonts w:ascii="Arial" w:hAnsi="Arial" w:cs="Arial"/>
                <w:color w:val="000000"/>
                <w:sz w:val="18"/>
                <w:szCs w:val="18"/>
                <w:lang w:val="en-AU"/>
              </w:rPr>
            </w:pPr>
            <w:r w:rsidRPr="00DD30D9">
              <w:rPr>
                <w:rFonts w:ascii="Arial" w:hAnsi="Arial" w:cs="Arial"/>
                <w:color w:val="000000"/>
                <w:sz w:val="18"/>
                <w:szCs w:val="18"/>
                <w:lang w:val="en-AU"/>
              </w:rPr>
              <w:t>$765,860</w:t>
            </w:r>
          </w:p>
        </w:tc>
        <w:tc>
          <w:tcPr>
            <w:tcW w:w="980" w:type="dxa"/>
            <w:noWrap/>
          </w:tcPr>
          <w:p w14:paraId="4ED9172F" w14:textId="77777777" w:rsidR="0017017C" w:rsidRPr="00DD30D9" w:rsidRDefault="0017017C" w:rsidP="003C5409">
            <w:pPr>
              <w:jc w:val="right"/>
              <w:rPr>
                <w:rFonts w:ascii="Arial" w:hAnsi="Arial" w:cs="Arial"/>
                <w:color w:val="000000"/>
                <w:sz w:val="18"/>
                <w:szCs w:val="18"/>
                <w:lang w:val="en-AU"/>
              </w:rPr>
            </w:pPr>
            <w:r w:rsidRPr="00DD30D9">
              <w:rPr>
                <w:rFonts w:ascii="Arial" w:hAnsi="Arial" w:cs="Arial"/>
                <w:color w:val="000000"/>
                <w:sz w:val="18"/>
                <w:szCs w:val="18"/>
                <w:lang w:val="en-AU"/>
              </w:rPr>
              <w:t>8563</w:t>
            </w:r>
          </w:p>
        </w:tc>
        <w:tc>
          <w:tcPr>
            <w:tcW w:w="869" w:type="dxa"/>
            <w:noWrap/>
          </w:tcPr>
          <w:p w14:paraId="795B44B5" w14:textId="77777777" w:rsidR="0017017C" w:rsidRPr="00DD30D9" w:rsidRDefault="0017017C" w:rsidP="003C5409">
            <w:pPr>
              <w:jc w:val="right"/>
              <w:rPr>
                <w:rFonts w:ascii="Arial" w:hAnsi="Arial" w:cs="Arial"/>
                <w:color w:val="000000"/>
                <w:sz w:val="18"/>
                <w:szCs w:val="18"/>
                <w:lang w:val="en-AU"/>
              </w:rPr>
            </w:pPr>
            <w:r w:rsidRPr="00DD30D9">
              <w:rPr>
                <w:rFonts w:ascii="Arial" w:hAnsi="Arial" w:cs="Arial"/>
                <w:color w:val="000000"/>
                <w:sz w:val="18"/>
                <w:szCs w:val="18"/>
                <w:lang w:val="en-AU"/>
              </w:rPr>
              <w:t>10.9%</w:t>
            </w:r>
          </w:p>
        </w:tc>
      </w:tr>
      <w:tr w:rsidR="0017017C" w:rsidRPr="00720661" w14:paraId="79E0C992" w14:textId="77777777" w:rsidTr="003C5409">
        <w:trPr>
          <w:trHeight w:val="300"/>
        </w:trPr>
        <w:tc>
          <w:tcPr>
            <w:tcW w:w="740" w:type="dxa"/>
            <w:noWrap/>
          </w:tcPr>
          <w:p w14:paraId="4FD9F6C1" w14:textId="77777777" w:rsidR="0017017C" w:rsidRPr="00DD30D9" w:rsidRDefault="0017017C" w:rsidP="0017017C">
            <w:pPr>
              <w:rPr>
                <w:rFonts w:ascii="Arial" w:hAnsi="Arial" w:cs="Arial"/>
                <w:color w:val="000000"/>
                <w:sz w:val="18"/>
                <w:szCs w:val="18"/>
                <w:lang w:val="en-AU"/>
              </w:rPr>
            </w:pPr>
            <w:r w:rsidRPr="00DD30D9">
              <w:rPr>
                <w:rFonts w:ascii="Arial" w:hAnsi="Arial" w:cs="Arial"/>
                <w:color w:val="000000"/>
                <w:sz w:val="18"/>
                <w:szCs w:val="18"/>
                <w:lang w:val="en-AU"/>
              </w:rPr>
              <w:t>73305</w:t>
            </w:r>
          </w:p>
        </w:tc>
        <w:tc>
          <w:tcPr>
            <w:tcW w:w="2657" w:type="dxa"/>
            <w:noWrap/>
          </w:tcPr>
          <w:p w14:paraId="77DC17E3" w14:textId="77777777" w:rsidR="0017017C" w:rsidRPr="00DD30D9" w:rsidRDefault="0017017C" w:rsidP="0017017C">
            <w:pPr>
              <w:rPr>
                <w:rFonts w:ascii="Arial" w:hAnsi="Arial" w:cs="Arial"/>
                <w:color w:val="000000"/>
                <w:sz w:val="18"/>
                <w:szCs w:val="18"/>
                <w:lang w:val="en-AU"/>
              </w:rPr>
            </w:pPr>
            <w:r w:rsidRPr="00DD30D9">
              <w:rPr>
                <w:rFonts w:ascii="Arial" w:hAnsi="Arial" w:cs="Arial"/>
                <w:color w:val="000000"/>
                <w:sz w:val="18"/>
                <w:szCs w:val="18"/>
                <w:lang w:val="en-AU"/>
              </w:rPr>
              <w:t xml:space="preserve">Detection of mutation of the </w:t>
            </w:r>
            <w:r w:rsidRPr="00DD30D9">
              <w:rPr>
                <w:rFonts w:ascii="Arial" w:hAnsi="Arial" w:cs="Arial"/>
                <w:i/>
                <w:color w:val="000000"/>
                <w:sz w:val="18"/>
                <w:szCs w:val="18"/>
                <w:lang w:val="en-AU"/>
              </w:rPr>
              <w:t>FMR</w:t>
            </w:r>
            <w:r w:rsidR="00FD6989" w:rsidRPr="00DD30D9">
              <w:rPr>
                <w:rFonts w:ascii="Arial" w:hAnsi="Arial" w:cs="Arial"/>
                <w:i/>
                <w:color w:val="000000"/>
                <w:sz w:val="18"/>
                <w:szCs w:val="18"/>
                <w:lang w:val="en-AU"/>
              </w:rPr>
              <w:t>1</w:t>
            </w:r>
            <w:r w:rsidR="00FD6989" w:rsidRPr="00DD30D9">
              <w:rPr>
                <w:rFonts w:ascii="Arial" w:hAnsi="Arial" w:cs="Arial"/>
                <w:color w:val="000000"/>
                <w:sz w:val="18"/>
                <w:szCs w:val="18"/>
                <w:lang w:val="en-AU"/>
              </w:rPr>
              <w:t xml:space="preserve"> gene by Southern b</w:t>
            </w:r>
            <w:r w:rsidRPr="00DD30D9">
              <w:rPr>
                <w:rFonts w:ascii="Arial" w:hAnsi="Arial" w:cs="Arial"/>
                <w:color w:val="000000"/>
                <w:sz w:val="18"/>
                <w:szCs w:val="18"/>
                <w:lang w:val="en-AU"/>
              </w:rPr>
              <w:t>lot analysis where the results in item 73300 are inconclusive</w:t>
            </w:r>
          </w:p>
        </w:tc>
        <w:tc>
          <w:tcPr>
            <w:tcW w:w="1017" w:type="dxa"/>
            <w:noWrap/>
          </w:tcPr>
          <w:p w14:paraId="518D4E22" w14:textId="77777777" w:rsidR="0017017C" w:rsidRPr="00DD30D9" w:rsidRDefault="0017017C" w:rsidP="003C5409">
            <w:pPr>
              <w:jc w:val="right"/>
              <w:rPr>
                <w:rFonts w:ascii="Arial" w:hAnsi="Arial" w:cs="Arial"/>
                <w:color w:val="000000"/>
                <w:sz w:val="18"/>
                <w:szCs w:val="18"/>
                <w:lang w:val="en-AU"/>
              </w:rPr>
            </w:pPr>
            <w:r w:rsidRPr="00DD30D9">
              <w:rPr>
                <w:rFonts w:ascii="Arial" w:hAnsi="Arial" w:cs="Arial"/>
                <w:color w:val="000000"/>
                <w:sz w:val="18"/>
                <w:szCs w:val="18"/>
                <w:lang w:val="en-AU"/>
              </w:rPr>
              <w:t>$202.65</w:t>
            </w:r>
          </w:p>
        </w:tc>
        <w:tc>
          <w:tcPr>
            <w:tcW w:w="1223" w:type="dxa"/>
            <w:noWrap/>
          </w:tcPr>
          <w:p w14:paraId="34FB5322" w14:textId="77777777" w:rsidR="0017017C" w:rsidRPr="00DD30D9" w:rsidRDefault="0042645B" w:rsidP="003C5409">
            <w:pPr>
              <w:jc w:val="right"/>
              <w:rPr>
                <w:rFonts w:ascii="Arial" w:hAnsi="Arial" w:cs="Arial"/>
                <w:color w:val="000000"/>
                <w:sz w:val="18"/>
                <w:szCs w:val="18"/>
                <w:lang w:val="en-AU"/>
              </w:rPr>
            </w:pPr>
            <w:r w:rsidRPr="00DD30D9">
              <w:rPr>
                <w:rFonts w:ascii="Arial" w:hAnsi="Arial" w:cs="Arial"/>
                <w:color w:val="000000"/>
                <w:sz w:val="18"/>
                <w:szCs w:val="18"/>
                <w:lang w:val="en-AU"/>
              </w:rPr>
              <w:t>616</w:t>
            </w:r>
          </w:p>
        </w:tc>
        <w:tc>
          <w:tcPr>
            <w:tcW w:w="1217" w:type="dxa"/>
          </w:tcPr>
          <w:p w14:paraId="28B0FE98" w14:textId="77777777" w:rsidR="0042645B" w:rsidRPr="00DD30D9" w:rsidRDefault="0042645B" w:rsidP="003C5409">
            <w:pPr>
              <w:jc w:val="right"/>
              <w:rPr>
                <w:rFonts w:ascii="Arial" w:hAnsi="Arial" w:cs="Arial"/>
                <w:color w:val="000000"/>
                <w:sz w:val="18"/>
                <w:szCs w:val="18"/>
                <w:lang w:val="en-AU"/>
              </w:rPr>
            </w:pPr>
            <w:r w:rsidRPr="00DD30D9">
              <w:rPr>
                <w:rFonts w:ascii="Arial" w:hAnsi="Arial" w:cs="Arial"/>
                <w:color w:val="000000"/>
                <w:sz w:val="18"/>
                <w:szCs w:val="18"/>
                <w:lang w:val="en-AU"/>
              </w:rPr>
              <w:t>$113,023</w:t>
            </w:r>
          </w:p>
        </w:tc>
        <w:tc>
          <w:tcPr>
            <w:tcW w:w="980" w:type="dxa"/>
            <w:noWrap/>
          </w:tcPr>
          <w:p w14:paraId="2923CC63" w14:textId="77777777" w:rsidR="0017017C" w:rsidRPr="00DD30D9" w:rsidRDefault="0017017C" w:rsidP="003C5409">
            <w:pPr>
              <w:jc w:val="right"/>
              <w:rPr>
                <w:rFonts w:ascii="Arial" w:hAnsi="Arial" w:cs="Arial"/>
                <w:color w:val="000000"/>
                <w:sz w:val="18"/>
                <w:szCs w:val="18"/>
                <w:lang w:val="en-AU"/>
              </w:rPr>
            </w:pPr>
            <w:r w:rsidRPr="00DD30D9">
              <w:rPr>
                <w:rFonts w:ascii="Arial" w:hAnsi="Arial" w:cs="Arial"/>
                <w:color w:val="000000"/>
                <w:sz w:val="18"/>
                <w:szCs w:val="18"/>
                <w:lang w:val="en-AU"/>
              </w:rPr>
              <w:t>611</w:t>
            </w:r>
          </w:p>
        </w:tc>
        <w:tc>
          <w:tcPr>
            <w:tcW w:w="869" w:type="dxa"/>
            <w:noWrap/>
          </w:tcPr>
          <w:p w14:paraId="5D64AA29" w14:textId="77777777" w:rsidR="0017017C" w:rsidRPr="00DD30D9" w:rsidRDefault="0017017C" w:rsidP="003C5409">
            <w:pPr>
              <w:jc w:val="right"/>
              <w:rPr>
                <w:rFonts w:ascii="Arial" w:hAnsi="Arial" w:cs="Arial"/>
                <w:color w:val="000000"/>
                <w:sz w:val="18"/>
                <w:szCs w:val="18"/>
                <w:lang w:val="en-AU"/>
              </w:rPr>
            </w:pPr>
            <w:r w:rsidRPr="00DD30D9">
              <w:rPr>
                <w:rFonts w:ascii="Arial" w:hAnsi="Arial" w:cs="Arial"/>
                <w:color w:val="000000"/>
                <w:sz w:val="18"/>
                <w:szCs w:val="18"/>
                <w:lang w:val="en-AU"/>
              </w:rPr>
              <w:t>10.0%</w:t>
            </w:r>
          </w:p>
        </w:tc>
      </w:tr>
    </w:tbl>
    <w:p w14:paraId="3FA1EEB5" w14:textId="77777777" w:rsidR="0033420E" w:rsidRPr="00DD30D9" w:rsidRDefault="0033420E" w:rsidP="00677AEE">
      <w:pPr>
        <w:pStyle w:val="Heading3"/>
        <w:numPr>
          <w:ilvl w:val="0"/>
          <w:numId w:val="0"/>
        </w:numPr>
        <w:ind w:left="720" w:hanging="720"/>
        <w:rPr>
          <w:lang w:val="en-AU"/>
        </w:rPr>
      </w:pPr>
      <w:bookmarkStart w:id="110" w:name="_Toc13735991"/>
      <w:r w:rsidRPr="00DD30D9">
        <w:rPr>
          <w:lang w:val="en-AU"/>
        </w:rPr>
        <w:t>Recommendation</w:t>
      </w:r>
      <w:r w:rsidR="0061030F" w:rsidRPr="00DD30D9">
        <w:rPr>
          <w:lang w:val="en-AU"/>
        </w:rPr>
        <w:t xml:space="preserve"> 6</w:t>
      </w:r>
      <w:bookmarkEnd w:id="110"/>
    </w:p>
    <w:p w14:paraId="424F7B95" w14:textId="77777777" w:rsidR="00A07E01" w:rsidRPr="00DD30D9" w:rsidRDefault="00FD6989" w:rsidP="00A07E01">
      <w:pPr>
        <w:pStyle w:val="01squarebullet"/>
        <w:rPr>
          <w:lang w:val="en-AU"/>
        </w:rPr>
      </w:pPr>
      <w:r w:rsidRPr="00DD30D9">
        <w:rPr>
          <w:lang w:val="en-AU"/>
        </w:rPr>
        <w:t>Delete item 73305 (Southern b</w:t>
      </w:r>
      <w:r w:rsidR="00A07E01" w:rsidRPr="00DD30D9">
        <w:rPr>
          <w:lang w:val="en-AU"/>
        </w:rPr>
        <w:t>lot) and</w:t>
      </w:r>
      <w:r w:rsidR="00720661">
        <w:rPr>
          <w:lang w:val="en-AU"/>
        </w:rPr>
        <w:t>,</w:t>
      </w:r>
      <w:r w:rsidR="00A07E01" w:rsidRPr="00DD30D9">
        <w:rPr>
          <w:lang w:val="en-AU"/>
        </w:rPr>
        <w:t xml:space="preserve"> </w:t>
      </w:r>
      <w:r w:rsidR="003F1667" w:rsidRPr="00DD30D9">
        <w:rPr>
          <w:lang w:val="en-AU"/>
        </w:rPr>
        <w:t xml:space="preserve">in the short term, </w:t>
      </w:r>
      <w:r w:rsidR="00A07E01" w:rsidRPr="00DD30D9">
        <w:rPr>
          <w:lang w:val="en-AU"/>
        </w:rPr>
        <w:t>reallocate the current funding to item 73300 to support the use of the appropriate methods</w:t>
      </w:r>
      <w:r w:rsidR="001820D2" w:rsidRPr="00DD30D9">
        <w:rPr>
          <w:lang w:val="en-AU"/>
        </w:rPr>
        <w:t xml:space="preserve"> in the diagnosis of f</w:t>
      </w:r>
      <w:r w:rsidR="003F1667" w:rsidRPr="00DD30D9">
        <w:rPr>
          <w:lang w:val="en-AU"/>
        </w:rPr>
        <w:t>ragile X</w:t>
      </w:r>
      <w:r w:rsidR="001820D2" w:rsidRPr="00DD30D9">
        <w:rPr>
          <w:lang w:val="en-AU"/>
        </w:rPr>
        <w:t xml:space="preserve"> syndrome</w:t>
      </w:r>
      <w:r w:rsidR="00A07E01" w:rsidRPr="00DD30D9">
        <w:rPr>
          <w:lang w:val="en-AU"/>
        </w:rPr>
        <w:t>.</w:t>
      </w:r>
    </w:p>
    <w:p w14:paraId="7E44D732" w14:textId="77777777" w:rsidR="00A07E01" w:rsidRPr="00DD30D9" w:rsidRDefault="003F1667" w:rsidP="003F1667">
      <w:pPr>
        <w:pStyle w:val="01squarebullet"/>
        <w:rPr>
          <w:lang w:val="en-AU"/>
        </w:rPr>
      </w:pPr>
      <w:r w:rsidRPr="00DD30D9">
        <w:rPr>
          <w:lang w:val="en-AU"/>
        </w:rPr>
        <w:t>Conduct a cost analysis</w:t>
      </w:r>
      <w:r w:rsidR="00A07E01" w:rsidRPr="00DD30D9">
        <w:rPr>
          <w:lang w:val="en-AU"/>
        </w:rPr>
        <w:t xml:space="preserve"> of </w:t>
      </w:r>
      <w:r w:rsidRPr="00DD30D9">
        <w:rPr>
          <w:lang w:val="en-AU"/>
        </w:rPr>
        <w:t xml:space="preserve">the </w:t>
      </w:r>
      <w:r w:rsidR="00A07E01" w:rsidRPr="00DD30D9">
        <w:rPr>
          <w:lang w:val="en-AU"/>
        </w:rPr>
        <w:t xml:space="preserve">detection of a mutation of the </w:t>
      </w:r>
      <w:r w:rsidR="00A07E01" w:rsidRPr="00DD30D9">
        <w:rPr>
          <w:i/>
          <w:lang w:val="en-AU"/>
        </w:rPr>
        <w:t>FMR1</w:t>
      </w:r>
      <w:r w:rsidR="00A07E01" w:rsidRPr="00DD30D9">
        <w:rPr>
          <w:lang w:val="en-AU"/>
        </w:rPr>
        <w:t xml:space="preserve"> gene</w:t>
      </w:r>
      <w:r w:rsidRPr="00DD30D9">
        <w:rPr>
          <w:lang w:val="en-AU"/>
        </w:rPr>
        <w:t>,</w:t>
      </w:r>
      <w:r w:rsidR="00A07E01" w:rsidRPr="00DD30D9">
        <w:rPr>
          <w:lang w:val="en-AU"/>
        </w:rPr>
        <w:t xml:space="preserve"> </w:t>
      </w:r>
      <w:r w:rsidRPr="00DD30D9">
        <w:rPr>
          <w:lang w:val="en-AU"/>
        </w:rPr>
        <w:t>with a view to</w:t>
      </w:r>
      <w:r w:rsidR="00A07E01" w:rsidRPr="00DD30D9">
        <w:rPr>
          <w:lang w:val="en-AU"/>
        </w:rPr>
        <w:t xml:space="preserve"> </w:t>
      </w:r>
      <w:r w:rsidRPr="00DD30D9">
        <w:rPr>
          <w:lang w:val="en-AU"/>
        </w:rPr>
        <w:t>revising</w:t>
      </w:r>
      <w:r w:rsidR="00A07E01" w:rsidRPr="00DD30D9">
        <w:rPr>
          <w:lang w:val="en-AU"/>
        </w:rPr>
        <w:t xml:space="preserve"> the schedule fee for item </w:t>
      </w:r>
      <w:r w:rsidRPr="00DD30D9">
        <w:rPr>
          <w:lang w:val="en-AU"/>
        </w:rPr>
        <w:t>73300 to reflect</w:t>
      </w:r>
      <w:r w:rsidR="001820D2" w:rsidRPr="00DD30D9">
        <w:rPr>
          <w:lang w:val="en-AU"/>
        </w:rPr>
        <w:t xml:space="preserve"> more</w:t>
      </w:r>
      <w:r w:rsidRPr="00DD30D9">
        <w:rPr>
          <w:lang w:val="en-AU"/>
        </w:rPr>
        <w:t xml:space="preserve"> realistic costs.</w:t>
      </w:r>
    </w:p>
    <w:p w14:paraId="320091BA" w14:textId="77777777" w:rsidR="0033420E" w:rsidRPr="00DD30D9" w:rsidRDefault="0033420E" w:rsidP="00677AEE">
      <w:pPr>
        <w:pStyle w:val="Heading3"/>
        <w:numPr>
          <w:ilvl w:val="0"/>
          <w:numId w:val="0"/>
        </w:numPr>
        <w:ind w:left="720" w:hanging="720"/>
        <w:rPr>
          <w:lang w:val="en-AU"/>
        </w:rPr>
      </w:pPr>
      <w:bookmarkStart w:id="111" w:name="_Toc13735992"/>
      <w:r w:rsidRPr="00DD30D9">
        <w:rPr>
          <w:lang w:val="en-AU"/>
        </w:rPr>
        <w:t>Rationale</w:t>
      </w:r>
      <w:r w:rsidR="0061030F" w:rsidRPr="00DD30D9">
        <w:rPr>
          <w:lang w:val="en-AU"/>
        </w:rPr>
        <w:t xml:space="preserve"> 6</w:t>
      </w:r>
      <w:bookmarkEnd w:id="111"/>
    </w:p>
    <w:p w14:paraId="5AE34A16" w14:textId="77777777" w:rsidR="0033420E" w:rsidRPr="00DD30D9" w:rsidRDefault="0033420E" w:rsidP="0033420E">
      <w:pPr>
        <w:rPr>
          <w:lang w:val="en-AU"/>
        </w:rPr>
      </w:pPr>
      <w:r w:rsidRPr="00DD30D9">
        <w:rPr>
          <w:lang w:val="en-AU"/>
        </w:rPr>
        <w:t>The recommendations focu</w:t>
      </w:r>
      <w:r w:rsidR="005960B1" w:rsidRPr="00DD30D9">
        <w:rPr>
          <w:lang w:val="en-AU"/>
        </w:rPr>
        <w:t>s on</w:t>
      </w:r>
      <w:r w:rsidR="0017017C" w:rsidRPr="00DD30D9">
        <w:rPr>
          <w:lang w:val="en-AU"/>
        </w:rPr>
        <w:t xml:space="preserve"> modernising the MBS </w:t>
      </w:r>
      <w:r w:rsidRPr="00DD30D9">
        <w:rPr>
          <w:lang w:val="en-AU"/>
        </w:rPr>
        <w:t xml:space="preserve">and </w:t>
      </w:r>
      <w:r w:rsidR="00996694" w:rsidRPr="00DD30D9">
        <w:rPr>
          <w:lang w:val="en-AU"/>
        </w:rPr>
        <w:t xml:space="preserve">ensuring best practice and </w:t>
      </w:r>
      <w:r w:rsidRPr="00DD30D9">
        <w:rPr>
          <w:lang w:val="en-AU"/>
        </w:rPr>
        <w:t>are based on the following observations</w:t>
      </w:r>
      <w:r w:rsidR="00720661">
        <w:rPr>
          <w:lang w:val="en-AU"/>
        </w:rPr>
        <w:t>:</w:t>
      </w:r>
    </w:p>
    <w:p w14:paraId="5C9E0CB3" w14:textId="77777777" w:rsidR="003F1667" w:rsidRPr="00DD30D9" w:rsidRDefault="003F1667" w:rsidP="003F1667">
      <w:pPr>
        <w:pStyle w:val="01squarebullet"/>
        <w:rPr>
          <w:lang w:val="en-AU"/>
        </w:rPr>
      </w:pPr>
      <w:r w:rsidRPr="00DD30D9">
        <w:rPr>
          <w:lang w:val="en-AU"/>
        </w:rPr>
        <w:t>The fragile X syndrome</w:t>
      </w:r>
      <w:r w:rsidR="00253EE6" w:rsidRPr="00DD30D9">
        <w:rPr>
          <w:lang w:val="en-AU"/>
        </w:rPr>
        <w:t xml:space="preserve"> (caused by a mutation of the </w:t>
      </w:r>
      <w:r w:rsidR="00253EE6" w:rsidRPr="00DD30D9">
        <w:rPr>
          <w:i/>
          <w:lang w:val="en-AU"/>
        </w:rPr>
        <w:t>FMR1</w:t>
      </w:r>
      <w:r w:rsidR="00253EE6" w:rsidRPr="00DD30D9">
        <w:rPr>
          <w:lang w:val="en-AU"/>
        </w:rPr>
        <w:t xml:space="preserve"> gene)</w:t>
      </w:r>
      <w:r w:rsidRPr="00DD30D9">
        <w:rPr>
          <w:lang w:val="en-AU"/>
        </w:rPr>
        <w:t xml:space="preserve"> is the </w:t>
      </w:r>
      <w:r w:rsidR="0017008C" w:rsidRPr="00DD30D9">
        <w:rPr>
          <w:lang w:val="en-AU"/>
        </w:rPr>
        <w:t xml:space="preserve">most common </w:t>
      </w:r>
      <w:r w:rsidRPr="00DD30D9">
        <w:rPr>
          <w:lang w:val="en-AU"/>
        </w:rPr>
        <w:t>cause of hereditary intellectual disability. The clinical</w:t>
      </w:r>
      <w:r w:rsidR="00BC0F8D" w:rsidRPr="00DD30D9">
        <w:rPr>
          <w:lang w:val="en-AU"/>
        </w:rPr>
        <w:t xml:space="preserve"> spectrum of</w:t>
      </w:r>
      <w:r w:rsidRPr="00DD30D9">
        <w:rPr>
          <w:lang w:val="en-AU"/>
        </w:rPr>
        <w:t xml:space="preserve"> features include</w:t>
      </w:r>
      <w:r w:rsidR="00CA1ABF" w:rsidRPr="00DD30D9">
        <w:rPr>
          <w:lang w:val="en-AU"/>
        </w:rPr>
        <w:t>s</w:t>
      </w:r>
      <w:r w:rsidRPr="00DD30D9">
        <w:rPr>
          <w:lang w:val="en-AU"/>
        </w:rPr>
        <w:t xml:space="preserve"> intellectual disability, premature ovarian failure and late-onset neurodegeneration. Although it is </w:t>
      </w:r>
      <w:r w:rsidR="003B675D" w:rsidRPr="00DD30D9">
        <w:rPr>
          <w:lang w:val="en-AU"/>
        </w:rPr>
        <w:t xml:space="preserve">an </w:t>
      </w:r>
      <w:r w:rsidRPr="00DD30D9">
        <w:rPr>
          <w:lang w:val="en-AU"/>
        </w:rPr>
        <w:t>X</w:t>
      </w:r>
      <w:r w:rsidR="00E665BF">
        <w:rPr>
          <w:lang w:val="en-AU"/>
        </w:rPr>
        <w:noBreakHyphen/>
      </w:r>
      <w:r w:rsidR="007E5CE2">
        <w:rPr>
          <w:lang w:val="en-AU"/>
        </w:rPr>
        <w:t>chromosome-</w:t>
      </w:r>
      <w:r w:rsidRPr="00DD30D9">
        <w:rPr>
          <w:lang w:val="en-AU"/>
        </w:rPr>
        <w:t>linked disorder, both men and women can be unaffected carriers or manifest aspects of the disorder.</w:t>
      </w:r>
    </w:p>
    <w:p w14:paraId="365A1FA5" w14:textId="77777777" w:rsidR="003F1667" w:rsidRPr="00DD30D9" w:rsidRDefault="003F1667" w:rsidP="00246B0E">
      <w:pPr>
        <w:pStyle w:val="01squarebullet"/>
        <w:rPr>
          <w:lang w:val="en-AU"/>
        </w:rPr>
      </w:pPr>
      <w:r w:rsidRPr="00DD30D9">
        <w:rPr>
          <w:lang w:val="en-AU"/>
        </w:rPr>
        <w:t>When genetic testing for the syndrome was added to the MBS in 2003, the test was done in two steps. An initial</w:t>
      </w:r>
      <w:r w:rsidR="00246B0E" w:rsidRPr="00DD30D9">
        <w:rPr>
          <w:lang w:val="en-AU"/>
        </w:rPr>
        <w:t xml:space="preserve"> polymerase chain reaction</w:t>
      </w:r>
      <w:r w:rsidRPr="00DD30D9">
        <w:rPr>
          <w:lang w:val="en-AU"/>
        </w:rPr>
        <w:t xml:space="preserve"> </w:t>
      </w:r>
      <w:r w:rsidR="00246B0E" w:rsidRPr="00DD30D9">
        <w:rPr>
          <w:lang w:val="en-AU"/>
        </w:rPr>
        <w:t>(</w:t>
      </w:r>
      <w:r w:rsidRPr="00DD30D9">
        <w:rPr>
          <w:lang w:val="en-AU"/>
        </w:rPr>
        <w:t>PCR</w:t>
      </w:r>
      <w:r w:rsidR="00246B0E" w:rsidRPr="00DD30D9">
        <w:rPr>
          <w:lang w:val="en-AU"/>
        </w:rPr>
        <w:t>)</w:t>
      </w:r>
      <w:r w:rsidRPr="00DD30D9">
        <w:rPr>
          <w:lang w:val="en-AU"/>
        </w:rPr>
        <w:t xml:space="preserve"> step (</w:t>
      </w:r>
      <w:r w:rsidR="00246B0E" w:rsidRPr="00DD30D9">
        <w:rPr>
          <w:lang w:val="en-AU"/>
        </w:rPr>
        <w:t xml:space="preserve">using </w:t>
      </w:r>
      <w:r w:rsidRPr="00DD30D9">
        <w:rPr>
          <w:lang w:val="en-AU"/>
        </w:rPr>
        <w:t>item 73300) could resolve the genetic status for most patients, but a second analysis using Southern blot (item 73305) was necessary in a small subset</w:t>
      </w:r>
      <w:r w:rsidR="00D2692A" w:rsidRPr="00DD30D9">
        <w:rPr>
          <w:lang w:val="en-AU"/>
        </w:rPr>
        <w:t xml:space="preserve"> (10-15%)</w:t>
      </w:r>
      <w:r w:rsidRPr="00DD30D9">
        <w:rPr>
          <w:lang w:val="en-AU"/>
        </w:rPr>
        <w:t xml:space="preserve"> of patients. Separate fees were listed for the two analyses, with the PCR assay being simpler and hence cheaper (currently $101.30) than the Southern blot assay (currently $202.65). </w:t>
      </w:r>
    </w:p>
    <w:p w14:paraId="3A7CD702" w14:textId="77777777" w:rsidR="00FD6989" w:rsidRPr="00DD30D9" w:rsidRDefault="0017017C" w:rsidP="00FD6989">
      <w:pPr>
        <w:pStyle w:val="01squarebullet"/>
        <w:rPr>
          <w:lang w:val="en-AU"/>
        </w:rPr>
      </w:pPr>
      <w:r w:rsidRPr="00DD30D9">
        <w:rPr>
          <w:lang w:val="en-AU"/>
        </w:rPr>
        <w:t>Although current guidelines st</w:t>
      </w:r>
      <w:r w:rsidR="00FD6989" w:rsidRPr="00DD30D9">
        <w:rPr>
          <w:lang w:val="en-AU"/>
        </w:rPr>
        <w:t xml:space="preserve">ill </w:t>
      </w:r>
      <w:proofErr w:type="gramStart"/>
      <w:r w:rsidR="00FD6989" w:rsidRPr="00DD30D9">
        <w:rPr>
          <w:lang w:val="en-AU"/>
        </w:rPr>
        <w:t>make reference</w:t>
      </w:r>
      <w:proofErr w:type="gramEnd"/>
      <w:r w:rsidR="00FD6989" w:rsidRPr="00DD30D9">
        <w:rPr>
          <w:lang w:val="en-AU"/>
        </w:rPr>
        <w:t xml:space="preserve"> to Southern b</w:t>
      </w:r>
      <w:r w:rsidRPr="00DD30D9">
        <w:rPr>
          <w:lang w:val="en-AU"/>
        </w:rPr>
        <w:t>lot, the test is subjective, compared with more objective newer methods.</w:t>
      </w:r>
      <w:r w:rsidR="003F1667" w:rsidRPr="00DD30D9">
        <w:rPr>
          <w:lang w:val="en-AU"/>
        </w:rPr>
        <w:t xml:space="preserve"> </w:t>
      </w:r>
      <w:r w:rsidR="00A07E01" w:rsidRPr="00DD30D9">
        <w:rPr>
          <w:lang w:val="en-AU"/>
        </w:rPr>
        <w:t>The Southern blot assay is time-consuming and involves the use of hazardous materials</w:t>
      </w:r>
      <w:r w:rsidR="004332B4" w:rsidRPr="00DD30D9">
        <w:rPr>
          <w:lang w:val="en-AU"/>
        </w:rPr>
        <w:t>, posing occupational health risks</w:t>
      </w:r>
      <w:r w:rsidR="00A07E01" w:rsidRPr="00DD30D9">
        <w:rPr>
          <w:lang w:val="en-AU"/>
        </w:rPr>
        <w:t xml:space="preserve">. Improved </w:t>
      </w:r>
      <w:r w:rsidR="00BC0F8D" w:rsidRPr="00DD30D9">
        <w:rPr>
          <w:lang w:val="en-AU"/>
        </w:rPr>
        <w:t xml:space="preserve">(triplet-primed) </w:t>
      </w:r>
      <w:r w:rsidR="00A07E01" w:rsidRPr="00DD30D9">
        <w:rPr>
          <w:lang w:val="en-AU"/>
        </w:rPr>
        <w:t xml:space="preserve">PCR assays have reduced the need for Southern blot analyses but are more expensive than the PCR assay considered in 2003. </w:t>
      </w:r>
    </w:p>
    <w:p w14:paraId="625127F0" w14:textId="77777777" w:rsidR="00A07E01" w:rsidRPr="00DD30D9" w:rsidRDefault="00A07E01" w:rsidP="00FD6989">
      <w:pPr>
        <w:pStyle w:val="01squarebullet"/>
        <w:rPr>
          <w:lang w:val="en-AU"/>
        </w:rPr>
      </w:pPr>
      <w:r w:rsidRPr="00DD30D9">
        <w:rPr>
          <w:lang w:val="en-AU"/>
        </w:rPr>
        <w:lastRenderedPageBreak/>
        <w:t xml:space="preserve">The net effect of these changes has been a decline in the proportion of patients in whom Southern blot analyses are rebated, with laboratories bearing the increased cost of the improved PCR assay. </w:t>
      </w:r>
      <w:r w:rsidR="00FD6989" w:rsidRPr="00DD30D9">
        <w:rPr>
          <w:lang w:val="en-AU"/>
        </w:rPr>
        <w:t xml:space="preserve">The </w:t>
      </w:r>
      <w:r w:rsidR="00FD6989" w:rsidRPr="00DD30D9">
        <w:rPr>
          <w:i/>
          <w:lang w:val="en-AU"/>
        </w:rPr>
        <w:t>Human Genetics Society of Australasia</w:t>
      </w:r>
      <w:r w:rsidR="00996694" w:rsidRPr="00DD30D9">
        <w:rPr>
          <w:i/>
          <w:lang w:val="en-AU"/>
        </w:rPr>
        <w:t xml:space="preserve"> Guidelines</w:t>
      </w:r>
      <w:r w:rsidR="00FD6989" w:rsidRPr="00DD30D9">
        <w:rPr>
          <w:lang w:val="en-AU"/>
        </w:rPr>
        <w:t xml:space="preserve"> do</w:t>
      </w:r>
      <w:r w:rsidR="007E5CE2">
        <w:rPr>
          <w:lang w:val="en-AU"/>
        </w:rPr>
        <w:t>es</w:t>
      </w:r>
      <w:r w:rsidR="00FD6989" w:rsidRPr="00DD30D9">
        <w:rPr>
          <w:lang w:val="en-AU"/>
        </w:rPr>
        <w:t xml:space="preserve"> not mandate use of Southern blot tests for patients, but refers </w:t>
      </w:r>
      <w:r w:rsidR="00996694" w:rsidRPr="00DD30D9">
        <w:rPr>
          <w:lang w:val="en-AU"/>
        </w:rPr>
        <w:t>to the use of ‘</w:t>
      </w:r>
      <w:r w:rsidR="00FD6989" w:rsidRPr="00DD30D9">
        <w:rPr>
          <w:lang w:val="en-AU"/>
        </w:rPr>
        <w:t>…</w:t>
      </w:r>
      <w:r w:rsidR="001D5E10" w:rsidRPr="00DD30D9">
        <w:rPr>
          <w:lang w:val="en-AU"/>
        </w:rPr>
        <w:t xml:space="preserve"> </w:t>
      </w:r>
      <w:r w:rsidR="00FD6989" w:rsidRPr="00DD30D9">
        <w:rPr>
          <w:lang w:val="en-AU"/>
        </w:rPr>
        <w:t>Southern blot analysis using standard operating procedures or by another comparable method</w:t>
      </w:r>
      <w:r w:rsidR="00996694" w:rsidRPr="00DD30D9">
        <w:rPr>
          <w:lang w:val="en-AU"/>
        </w:rPr>
        <w:t>’</w:t>
      </w:r>
      <w:r w:rsidR="00DC5BEF">
        <w:rPr>
          <w:lang w:val="en-AU"/>
        </w:rPr>
        <w:t>.</w:t>
      </w:r>
      <w:r w:rsidR="00FD6989" w:rsidRPr="00DD30D9">
        <w:rPr>
          <w:lang w:val="en-AU"/>
        </w:rPr>
        <w:t xml:space="preserve"> </w:t>
      </w:r>
      <w:r w:rsidR="006713A7" w:rsidRPr="00DD30D9">
        <w:rPr>
          <w:lang w:val="en-AU"/>
        </w:rPr>
        <w:fldChar w:fldCharType="begin"/>
      </w:r>
      <w:r w:rsidR="006713A7" w:rsidRPr="00DD30D9">
        <w:rPr>
          <w:lang w:val="en-AU"/>
        </w:rPr>
        <w:instrText xml:space="preserve"> REF _Ref488823301 \r \h </w:instrText>
      </w:r>
      <w:r w:rsidR="006713A7" w:rsidRPr="00DD30D9">
        <w:rPr>
          <w:lang w:val="en-AU"/>
        </w:rPr>
      </w:r>
      <w:r w:rsidR="006713A7" w:rsidRPr="00DD30D9">
        <w:rPr>
          <w:lang w:val="en-AU"/>
        </w:rPr>
        <w:fldChar w:fldCharType="separate"/>
      </w:r>
      <w:r w:rsidR="00CA1CA9" w:rsidRPr="00DD30D9">
        <w:rPr>
          <w:lang w:val="en-AU"/>
        </w:rPr>
        <w:t>[4]</w:t>
      </w:r>
      <w:r w:rsidR="006713A7" w:rsidRPr="00DD30D9">
        <w:rPr>
          <w:lang w:val="en-AU"/>
        </w:rPr>
        <w:fldChar w:fldCharType="end"/>
      </w:r>
    </w:p>
    <w:p w14:paraId="5E761593" w14:textId="77777777" w:rsidR="00A07E01" w:rsidRPr="00DD30D9" w:rsidRDefault="00FD6989" w:rsidP="00FD6989">
      <w:pPr>
        <w:pStyle w:val="01squarebullet"/>
        <w:rPr>
          <w:lang w:val="en-AU"/>
        </w:rPr>
      </w:pPr>
      <w:r w:rsidRPr="00DD30D9">
        <w:rPr>
          <w:lang w:val="en-AU"/>
        </w:rPr>
        <w:t>The Genetics Working Group surveyed the eight</w:t>
      </w:r>
      <w:r w:rsidR="00A07E01" w:rsidRPr="00DD30D9">
        <w:rPr>
          <w:lang w:val="en-AU"/>
        </w:rPr>
        <w:t xml:space="preserve"> Australian laboratories</w:t>
      </w:r>
      <w:r w:rsidR="00996694" w:rsidRPr="00DD30D9">
        <w:rPr>
          <w:lang w:val="en-AU"/>
        </w:rPr>
        <w:t xml:space="preserve"> providing</w:t>
      </w:r>
      <w:r w:rsidR="00A07E01" w:rsidRPr="00DD30D9">
        <w:rPr>
          <w:lang w:val="en-AU"/>
        </w:rPr>
        <w:t xml:space="preserve"> fragile X testing. Three responded, </w:t>
      </w:r>
      <w:r w:rsidRPr="00DD30D9">
        <w:rPr>
          <w:lang w:val="en-AU"/>
        </w:rPr>
        <w:t xml:space="preserve">two </w:t>
      </w:r>
      <w:r w:rsidR="00A07E01" w:rsidRPr="00DD30D9">
        <w:rPr>
          <w:lang w:val="en-AU"/>
        </w:rPr>
        <w:t xml:space="preserve">reporting they </w:t>
      </w:r>
      <w:r w:rsidRPr="00DD30D9">
        <w:rPr>
          <w:lang w:val="en-AU"/>
        </w:rPr>
        <w:t xml:space="preserve">no longer </w:t>
      </w:r>
      <w:r w:rsidR="00A07E01" w:rsidRPr="00DD30D9">
        <w:rPr>
          <w:lang w:val="en-AU"/>
        </w:rPr>
        <w:t>use</w:t>
      </w:r>
      <w:r w:rsidRPr="00DD30D9">
        <w:rPr>
          <w:lang w:val="en-AU"/>
        </w:rPr>
        <w:t>d a Southern blot analysis and one report</w:t>
      </w:r>
      <w:r w:rsidR="00E665BF">
        <w:rPr>
          <w:lang w:val="en-AU"/>
        </w:rPr>
        <w:t>ing only</w:t>
      </w:r>
      <w:r w:rsidRPr="00DD30D9">
        <w:rPr>
          <w:lang w:val="en-AU"/>
        </w:rPr>
        <w:t xml:space="preserve"> using it in four per</w:t>
      </w:r>
      <w:r w:rsidR="001D5E10" w:rsidRPr="00DD30D9">
        <w:rPr>
          <w:lang w:val="en-AU"/>
        </w:rPr>
        <w:t xml:space="preserve"> </w:t>
      </w:r>
      <w:r w:rsidRPr="00DD30D9">
        <w:rPr>
          <w:lang w:val="en-AU"/>
        </w:rPr>
        <w:t>cent</w:t>
      </w:r>
      <w:r w:rsidR="00A07E01" w:rsidRPr="00DD30D9">
        <w:rPr>
          <w:lang w:val="en-AU"/>
        </w:rPr>
        <w:t xml:space="preserve"> of patients. Two of the laboratories provided cost data, reporting that</w:t>
      </w:r>
      <w:r w:rsidRPr="00DD30D9">
        <w:rPr>
          <w:lang w:val="en-AU"/>
        </w:rPr>
        <w:t xml:space="preserve"> the current PCR assay cost</w:t>
      </w:r>
      <w:r w:rsidR="00546D64" w:rsidRPr="00DD30D9">
        <w:rPr>
          <w:lang w:val="en-AU"/>
        </w:rPr>
        <w:t xml:space="preserve"> is</w:t>
      </w:r>
      <w:r w:rsidRPr="00DD30D9">
        <w:rPr>
          <w:lang w:val="en-AU"/>
        </w:rPr>
        <w:t xml:space="preserve"> </w:t>
      </w:r>
      <w:r w:rsidR="001D5E10" w:rsidRPr="00DD30D9">
        <w:rPr>
          <w:lang w:val="en-AU"/>
        </w:rPr>
        <w:t>100 per cent</w:t>
      </w:r>
      <w:r w:rsidR="00807710" w:rsidRPr="00DD30D9">
        <w:rPr>
          <w:lang w:val="en-AU"/>
        </w:rPr>
        <w:t xml:space="preserve"> </w:t>
      </w:r>
      <w:r w:rsidRPr="00DD30D9">
        <w:rPr>
          <w:lang w:val="en-AU"/>
        </w:rPr>
        <w:t>to 200 per</w:t>
      </w:r>
      <w:r w:rsidR="001D5E10" w:rsidRPr="00DD30D9">
        <w:rPr>
          <w:lang w:val="en-AU"/>
        </w:rPr>
        <w:t xml:space="preserve"> </w:t>
      </w:r>
      <w:r w:rsidRPr="00DD30D9">
        <w:rPr>
          <w:lang w:val="en-AU"/>
        </w:rPr>
        <w:t>cent</w:t>
      </w:r>
      <w:r w:rsidR="00A07E01" w:rsidRPr="00DD30D9">
        <w:rPr>
          <w:lang w:val="en-AU"/>
        </w:rPr>
        <w:t xml:space="preserve"> more per patient than the 2003 assay</w:t>
      </w:r>
      <w:r w:rsidR="00546D64" w:rsidRPr="00DD30D9">
        <w:rPr>
          <w:lang w:val="en-AU"/>
        </w:rPr>
        <w:t xml:space="preserve"> (CPI inclusive)</w:t>
      </w:r>
      <w:r w:rsidR="00A07E01" w:rsidRPr="00DD30D9">
        <w:rPr>
          <w:lang w:val="en-AU"/>
        </w:rPr>
        <w:t xml:space="preserve">. </w:t>
      </w:r>
    </w:p>
    <w:p w14:paraId="73269E1D" w14:textId="77777777" w:rsidR="00253EE6" w:rsidRPr="00DD30D9" w:rsidRDefault="00FD6989" w:rsidP="00253EE6">
      <w:pPr>
        <w:pStyle w:val="01squarebullet"/>
        <w:rPr>
          <w:lang w:val="en-AU"/>
        </w:rPr>
      </w:pPr>
      <w:r w:rsidRPr="00DD30D9">
        <w:rPr>
          <w:lang w:val="en-AU"/>
        </w:rPr>
        <w:t>The Committee recommended</w:t>
      </w:r>
      <w:r w:rsidR="00A07E01" w:rsidRPr="00DD30D9">
        <w:rPr>
          <w:lang w:val="en-AU"/>
        </w:rPr>
        <w:t xml:space="preserve"> that </w:t>
      </w:r>
      <w:r w:rsidRPr="00DD30D9">
        <w:rPr>
          <w:lang w:val="en-AU"/>
        </w:rPr>
        <w:t xml:space="preserve">item </w:t>
      </w:r>
      <w:r w:rsidR="00A07E01" w:rsidRPr="00DD30D9">
        <w:rPr>
          <w:lang w:val="en-AU"/>
        </w:rPr>
        <w:t xml:space="preserve">73305 (Southern blot) be removed from the </w:t>
      </w:r>
      <w:r w:rsidR="00444647" w:rsidRPr="00DD30D9">
        <w:rPr>
          <w:lang w:val="en-AU"/>
        </w:rPr>
        <w:t>MBS</w:t>
      </w:r>
      <w:r w:rsidR="00A07E01" w:rsidRPr="00DD30D9">
        <w:rPr>
          <w:lang w:val="en-AU"/>
        </w:rPr>
        <w:t xml:space="preserve"> and that </w:t>
      </w:r>
      <w:r w:rsidRPr="00DD30D9">
        <w:rPr>
          <w:lang w:val="en-AU"/>
        </w:rPr>
        <w:t xml:space="preserve">if </w:t>
      </w:r>
      <w:r w:rsidR="00A07E01" w:rsidRPr="00DD30D9">
        <w:rPr>
          <w:lang w:val="en-AU"/>
        </w:rPr>
        <w:t xml:space="preserve">secondary testing </w:t>
      </w:r>
      <w:r w:rsidRPr="00DD30D9">
        <w:rPr>
          <w:lang w:val="en-AU"/>
        </w:rPr>
        <w:t>is</w:t>
      </w:r>
      <w:r w:rsidR="00A07E01" w:rsidRPr="00DD30D9">
        <w:rPr>
          <w:lang w:val="en-AU"/>
        </w:rPr>
        <w:t xml:space="preserve"> required </w:t>
      </w:r>
      <w:r w:rsidRPr="00DD30D9">
        <w:rPr>
          <w:lang w:val="en-AU"/>
        </w:rPr>
        <w:t xml:space="preserve">it </w:t>
      </w:r>
      <w:r w:rsidR="00A07E01" w:rsidRPr="00DD30D9">
        <w:rPr>
          <w:lang w:val="en-AU"/>
        </w:rPr>
        <w:t xml:space="preserve">be included in the descriptor and fee for </w:t>
      </w:r>
      <w:r w:rsidRPr="00DD30D9">
        <w:rPr>
          <w:lang w:val="en-AU"/>
        </w:rPr>
        <w:t xml:space="preserve">item </w:t>
      </w:r>
      <w:r w:rsidR="00253EE6" w:rsidRPr="00DD30D9">
        <w:rPr>
          <w:lang w:val="en-AU"/>
        </w:rPr>
        <w:t>73300</w:t>
      </w:r>
      <w:r w:rsidR="00A07E01" w:rsidRPr="00DD30D9">
        <w:rPr>
          <w:lang w:val="en-AU"/>
        </w:rPr>
        <w:t xml:space="preserve">. </w:t>
      </w:r>
      <w:r w:rsidR="00253EE6" w:rsidRPr="00DD30D9">
        <w:rPr>
          <w:lang w:val="en-AU"/>
        </w:rPr>
        <w:t>The Committee also recommended that this</w:t>
      </w:r>
      <w:r w:rsidR="00A07E01" w:rsidRPr="00DD30D9">
        <w:rPr>
          <w:lang w:val="en-AU"/>
        </w:rPr>
        <w:t xml:space="preserve"> should be coupled w</w:t>
      </w:r>
      <w:r w:rsidR="00253EE6" w:rsidRPr="00DD30D9">
        <w:rPr>
          <w:lang w:val="en-AU"/>
        </w:rPr>
        <w:t>ith an increase in the fee for item 73300, initially by shifting the current expenditure for Southern blot into the fee item 73300.</w:t>
      </w:r>
    </w:p>
    <w:p w14:paraId="2B8CA616" w14:textId="77777777" w:rsidR="00253EE6" w:rsidRPr="00DD30D9" w:rsidRDefault="00253EE6" w:rsidP="0027580A">
      <w:pPr>
        <w:pStyle w:val="01squarebullet"/>
        <w:rPr>
          <w:lang w:val="en-AU"/>
        </w:rPr>
      </w:pPr>
      <w:r w:rsidRPr="00DD30D9">
        <w:rPr>
          <w:lang w:val="en-AU"/>
        </w:rPr>
        <w:t>The Committee agreed that the current fee for item 73300 significantly underestimates the cost of performing</w:t>
      </w:r>
      <w:r w:rsidR="0027580A" w:rsidRPr="00DD30D9">
        <w:rPr>
          <w:lang w:val="en-AU"/>
        </w:rPr>
        <w:t xml:space="preserve"> this test and</w:t>
      </w:r>
      <w:r w:rsidRPr="00DD30D9">
        <w:rPr>
          <w:lang w:val="en-AU"/>
        </w:rPr>
        <w:t xml:space="preserve"> recommended that a formal cost analysis be conducted to determine the cost of using contemporary methods to diagnose fragile X</w:t>
      </w:r>
      <w:r w:rsidR="001D5E10" w:rsidRPr="00DD30D9">
        <w:rPr>
          <w:lang w:val="en-AU"/>
        </w:rPr>
        <w:t xml:space="preserve"> syndrome</w:t>
      </w:r>
      <w:r w:rsidRPr="00DD30D9">
        <w:rPr>
          <w:lang w:val="en-AU"/>
        </w:rPr>
        <w:t>.</w:t>
      </w:r>
    </w:p>
    <w:p w14:paraId="4DCC7508" w14:textId="77777777" w:rsidR="0033420E" w:rsidRPr="00DD30D9" w:rsidRDefault="001D4DF3">
      <w:pPr>
        <w:pStyle w:val="Heading2"/>
      </w:pPr>
      <w:bookmarkStart w:id="112" w:name="_Toc13735993"/>
      <w:r w:rsidRPr="00DD30D9">
        <w:t xml:space="preserve">ISH test for </w:t>
      </w:r>
      <w:r w:rsidRPr="00DD30D9">
        <w:rPr>
          <w:i/>
        </w:rPr>
        <w:t>HER2</w:t>
      </w:r>
      <w:r w:rsidRPr="00DD30D9">
        <w:t xml:space="preserve"> for</w:t>
      </w:r>
      <w:r w:rsidR="00246B0E" w:rsidRPr="00DD30D9">
        <w:t xml:space="preserve"> PBS</w:t>
      </w:r>
      <w:r w:rsidRPr="00DD30D9">
        <w:t xml:space="preserve"> trastuzumab or Herceptin Program</w:t>
      </w:r>
      <w:r w:rsidR="00A34374" w:rsidRPr="00DD30D9">
        <w:t xml:space="preserve"> for breast cancer</w:t>
      </w:r>
      <w:r w:rsidR="00546D64" w:rsidRPr="00DD30D9">
        <w:t>: item 73332</w:t>
      </w:r>
      <w:bookmarkEnd w:id="112"/>
    </w:p>
    <w:p w14:paraId="37B281FB" w14:textId="77777777" w:rsidR="001D4DF3" w:rsidRPr="00720661" w:rsidRDefault="0027580A">
      <w:pPr>
        <w:pStyle w:val="Caption"/>
      </w:pPr>
      <w:bookmarkStart w:id="113" w:name="_Toc482009636"/>
      <w:r w:rsidRPr="00720661">
        <w:t xml:space="preserve">Table </w:t>
      </w:r>
      <w:r w:rsidR="000C3E3F" w:rsidRPr="00860DE7">
        <w:fldChar w:fldCharType="begin"/>
      </w:r>
      <w:r w:rsidR="000C3E3F" w:rsidRPr="00720661">
        <w:instrText xml:space="preserve"> AUTONUM  \* Arabic </w:instrText>
      </w:r>
      <w:r w:rsidR="000C3E3F" w:rsidRPr="00860DE7">
        <w:fldChar w:fldCharType="end"/>
      </w:r>
      <w:r w:rsidRPr="00720661">
        <w:t xml:space="preserve"> </w:t>
      </w:r>
      <w:r w:rsidR="001D4DF3" w:rsidRPr="00720661">
        <w:t>Item introduction table for item 73332</w:t>
      </w:r>
      <w:bookmarkEnd w:id="113"/>
    </w:p>
    <w:tbl>
      <w:tblPr>
        <w:tblStyle w:val="TableGrid1"/>
        <w:tblW w:w="9230" w:type="dxa"/>
        <w:tblLayout w:type="fixed"/>
        <w:tblLook w:val="04A0" w:firstRow="1" w:lastRow="0" w:firstColumn="1" w:lastColumn="0" w:noHBand="0" w:noVBand="1"/>
        <w:tblCaption w:val="Item introduction table for item 73332"/>
        <w:tblDescription w:val="This table contains Medicare Benefits Schedule data for item 73332 for the finanical year 2014–2015. The data include item numbers, long item descriptors, schedule fee, total volume of services, benefits paid, patient count and services annual average growth."/>
      </w:tblPr>
      <w:tblGrid>
        <w:gridCol w:w="751"/>
        <w:gridCol w:w="3066"/>
        <w:gridCol w:w="1064"/>
        <w:gridCol w:w="1210"/>
        <w:gridCol w:w="1215"/>
        <w:gridCol w:w="968"/>
        <w:gridCol w:w="956"/>
      </w:tblGrid>
      <w:tr w:rsidR="000668FD" w:rsidRPr="00720661" w14:paraId="145D234A" w14:textId="77777777" w:rsidTr="000668FD">
        <w:trPr>
          <w:trHeight w:val="729"/>
          <w:tblHeader/>
        </w:trPr>
        <w:tc>
          <w:tcPr>
            <w:tcW w:w="751" w:type="dxa"/>
            <w:shd w:val="clear" w:color="auto" w:fill="EEECE1" w:themeFill="background2"/>
            <w:vAlign w:val="bottom"/>
            <w:hideMark/>
          </w:tcPr>
          <w:p w14:paraId="56315E5D"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3066" w:type="dxa"/>
            <w:shd w:val="clear" w:color="auto" w:fill="EEECE1" w:themeFill="background2"/>
            <w:vAlign w:val="bottom"/>
            <w:hideMark/>
          </w:tcPr>
          <w:p w14:paraId="3EFDEA01"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64" w:type="dxa"/>
            <w:shd w:val="clear" w:color="auto" w:fill="EEECE1" w:themeFill="background2"/>
            <w:vAlign w:val="bottom"/>
            <w:hideMark/>
          </w:tcPr>
          <w:p w14:paraId="2E07087F"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Schedule fee</w:t>
            </w:r>
          </w:p>
        </w:tc>
        <w:tc>
          <w:tcPr>
            <w:tcW w:w="1210" w:type="dxa"/>
            <w:shd w:val="clear" w:color="auto" w:fill="EEECE1" w:themeFill="background2"/>
            <w:vAlign w:val="bottom"/>
          </w:tcPr>
          <w:p w14:paraId="5EDDCBB3"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Services FY 2014–15</w:t>
            </w:r>
          </w:p>
        </w:tc>
        <w:tc>
          <w:tcPr>
            <w:tcW w:w="1215" w:type="dxa"/>
            <w:shd w:val="clear" w:color="auto" w:fill="EEECE1" w:themeFill="background2"/>
            <w:vAlign w:val="bottom"/>
          </w:tcPr>
          <w:p w14:paraId="7DDC6A84"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Benefits FY 2014–15</w:t>
            </w:r>
          </w:p>
        </w:tc>
        <w:tc>
          <w:tcPr>
            <w:tcW w:w="968" w:type="dxa"/>
            <w:shd w:val="clear" w:color="auto" w:fill="EEECE1" w:themeFill="background2"/>
            <w:vAlign w:val="bottom"/>
            <w:hideMark/>
          </w:tcPr>
          <w:p w14:paraId="0BEF37A7"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Patient count 2014–15</w:t>
            </w:r>
          </w:p>
        </w:tc>
        <w:tc>
          <w:tcPr>
            <w:tcW w:w="956" w:type="dxa"/>
            <w:shd w:val="clear" w:color="auto" w:fill="EEECE1" w:themeFill="background2"/>
            <w:vAlign w:val="bottom"/>
            <w:hideMark/>
          </w:tcPr>
          <w:p w14:paraId="7336B225" w14:textId="77777777" w:rsidR="000668FD" w:rsidRPr="00DD30D9" w:rsidRDefault="000668FD" w:rsidP="000668FD">
            <w:pPr>
              <w:rPr>
                <w:rFonts w:ascii="Arial" w:hAnsi="Arial" w:cs="Arial"/>
                <w:b/>
                <w:color w:val="000000"/>
                <w:sz w:val="18"/>
                <w:szCs w:val="18"/>
                <w:lang w:val="en-AU"/>
              </w:rPr>
            </w:pPr>
            <w:r w:rsidRPr="00DD30D9">
              <w:rPr>
                <w:rFonts w:ascii="Arial" w:hAnsi="Arial" w:cs="Arial"/>
                <w:b/>
                <w:color w:val="000000"/>
                <w:sz w:val="18"/>
                <w:szCs w:val="18"/>
                <w:lang w:val="en-AU"/>
              </w:rPr>
              <w:t>5-year service change (CAGR)</w:t>
            </w:r>
          </w:p>
        </w:tc>
      </w:tr>
      <w:tr w:rsidR="000668FD" w:rsidRPr="00720661" w14:paraId="36C79077" w14:textId="77777777" w:rsidTr="000668FD">
        <w:trPr>
          <w:trHeight w:val="300"/>
        </w:trPr>
        <w:tc>
          <w:tcPr>
            <w:tcW w:w="751" w:type="dxa"/>
            <w:noWrap/>
          </w:tcPr>
          <w:p w14:paraId="541F8C72" w14:textId="77777777" w:rsidR="001D4DF3" w:rsidRPr="00DD30D9" w:rsidRDefault="001D4DF3" w:rsidP="001D4DF3">
            <w:pPr>
              <w:rPr>
                <w:rFonts w:ascii="Arial" w:hAnsi="Arial" w:cs="Arial"/>
                <w:color w:val="000000"/>
                <w:sz w:val="18"/>
                <w:szCs w:val="18"/>
                <w:lang w:val="en-AU"/>
              </w:rPr>
            </w:pPr>
            <w:r w:rsidRPr="00DD30D9">
              <w:rPr>
                <w:rFonts w:ascii="Arial" w:hAnsi="Arial" w:cs="Arial"/>
                <w:color w:val="000000"/>
                <w:sz w:val="18"/>
                <w:szCs w:val="18"/>
                <w:lang w:val="en-AU"/>
              </w:rPr>
              <w:t>73332</w:t>
            </w:r>
          </w:p>
        </w:tc>
        <w:tc>
          <w:tcPr>
            <w:tcW w:w="3066" w:type="dxa"/>
            <w:noWrap/>
          </w:tcPr>
          <w:p w14:paraId="595BE4F4" w14:textId="77777777" w:rsidR="001D4DF3" w:rsidRPr="00DD30D9" w:rsidRDefault="00A8069F" w:rsidP="001D4DF3">
            <w:pPr>
              <w:rPr>
                <w:rFonts w:ascii="Arial" w:hAnsi="Arial" w:cs="Arial"/>
                <w:color w:val="000000"/>
                <w:sz w:val="18"/>
                <w:szCs w:val="18"/>
                <w:lang w:val="en-AU"/>
              </w:rPr>
            </w:pPr>
            <w:r w:rsidRPr="00DD30D9">
              <w:rPr>
                <w:rFonts w:ascii="Arial" w:hAnsi="Arial" w:cs="Arial"/>
                <w:color w:val="000000"/>
                <w:sz w:val="18"/>
                <w:szCs w:val="18"/>
                <w:lang w:val="en-AU"/>
              </w:rPr>
              <w:t>A</w:t>
            </w:r>
            <w:r w:rsidR="001D4DF3" w:rsidRPr="00DD30D9">
              <w:rPr>
                <w:rFonts w:ascii="Arial" w:hAnsi="Arial" w:cs="Arial"/>
                <w:color w:val="000000"/>
                <w:sz w:val="18"/>
                <w:szCs w:val="18"/>
                <w:lang w:val="en-AU"/>
              </w:rPr>
              <w:t>n in-situ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w:t>
            </w:r>
          </w:p>
        </w:tc>
        <w:tc>
          <w:tcPr>
            <w:tcW w:w="1064" w:type="dxa"/>
            <w:noWrap/>
          </w:tcPr>
          <w:p w14:paraId="356B41ED" w14:textId="77777777" w:rsidR="001D4DF3" w:rsidRPr="00DD30D9" w:rsidRDefault="0027580A" w:rsidP="003C5409">
            <w:pPr>
              <w:jc w:val="right"/>
              <w:rPr>
                <w:rFonts w:ascii="Arial" w:hAnsi="Arial" w:cs="Arial"/>
                <w:color w:val="000000"/>
                <w:sz w:val="18"/>
                <w:szCs w:val="18"/>
                <w:lang w:val="en-AU"/>
              </w:rPr>
            </w:pPr>
            <w:r w:rsidRPr="00DD30D9">
              <w:rPr>
                <w:rFonts w:ascii="Arial" w:hAnsi="Arial" w:cs="Arial"/>
                <w:color w:val="000000"/>
                <w:sz w:val="18"/>
                <w:szCs w:val="18"/>
                <w:lang w:val="en-AU"/>
              </w:rPr>
              <w:t>$</w:t>
            </w:r>
            <w:r w:rsidR="001D4DF3" w:rsidRPr="00DD30D9">
              <w:rPr>
                <w:rFonts w:ascii="Arial" w:hAnsi="Arial" w:cs="Arial"/>
                <w:color w:val="000000"/>
                <w:sz w:val="18"/>
                <w:szCs w:val="18"/>
                <w:lang w:val="en-AU"/>
              </w:rPr>
              <w:t>315.40</w:t>
            </w:r>
          </w:p>
        </w:tc>
        <w:tc>
          <w:tcPr>
            <w:tcW w:w="1210" w:type="dxa"/>
            <w:noWrap/>
          </w:tcPr>
          <w:p w14:paraId="6ECD0067" w14:textId="77777777" w:rsidR="001D4DF3" w:rsidRPr="00DD30D9" w:rsidRDefault="0027580A" w:rsidP="003C5409">
            <w:pPr>
              <w:jc w:val="right"/>
              <w:rPr>
                <w:rFonts w:ascii="Arial" w:hAnsi="Arial" w:cs="Arial"/>
                <w:color w:val="000000"/>
                <w:sz w:val="18"/>
                <w:szCs w:val="18"/>
                <w:lang w:val="en-AU"/>
              </w:rPr>
            </w:pPr>
            <w:r w:rsidRPr="00DD30D9">
              <w:rPr>
                <w:rFonts w:ascii="Arial" w:hAnsi="Arial" w:cs="Arial"/>
                <w:color w:val="000000"/>
                <w:sz w:val="18"/>
                <w:szCs w:val="18"/>
                <w:lang w:val="en-AU"/>
              </w:rPr>
              <w:t>12,882</w:t>
            </w:r>
          </w:p>
        </w:tc>
        <w:tc>
          <w:tcPr>
            <w:tcW w:w="1215" w:type="dxa"/>
          </w:tcPr>
          <w:p w14:paraId="4995716B" w14:textId="77777777" w:rsidR="0027580A" w:rsidRPr="00DD30D9" w:rsidRDefault="0027580A" w:rsidP="003C5409">
            <w:pPr>
              <w:jc w:val="right"/>
              <w:rPr>
                <w:rFonts w:ascii="Arial" w:hAnsi="Arial" w:cs="Arial"/>
                <w:color w:val="000000"/>
                <w:sz w:val="18"/>
                <w:szCs w:val="18"/>
                <w:lang w:val="en-AU"/>
              </w:rPr>
            </w:pPr>
            <w:r w:rsidRPr="00DD30D9">
              <w:rPr>
                <w:rFonts w:ascii="Arial" w:hAnsi="Arial" w:cs="Arial"/>
                <w:color w:val="000000"/>
                <w:sz w:val="18"/>
                <w:szCs w:val="18"/>
                <w:lang w:val="en-AU"/>
              </w:rPr>
              <w:t>$3,200,123</w:t>
            </w:r>
          </w:p>
        </w:tc>
        <w:tc>
          <w:tcPr>
            <w:tcW w:w="968" w:type="dxa"/>
            <w:noWrap/>
          </w:tcPr>
          <w:p w14:paraId="052CF569" w14:textId="77777777" w:rsidR="001D4DF3" w:rsidRPr="00DD30D9" w:rsidRDefault="001D4DF3" w:rsidP="003C5409">
            <w:pPr>
              <w:jc w:val="right"/>
              <w:rPr>
                <w:rFonts w:ascii="Arial" w:hAnsi="Arial" w:cs="Arial"/>
                <w:color w:val="000000"/>
                <w:sz w:val="18"/>
                <w:szCs w:val="18"/>
                <w:lang w:val="en-AU"/>
              </w:rPr>
            </w:pPr>
            <w:r w:rsidRPr="00DD30D9">
              <w:rPr>
                <w:rFonts w:ascii="Arial" w:hAnsi="Arial" w:cs="Arial"/>
                <w:color w:val="000000"/>
                <w:sz w:val="18"/>
                <w:szCs w:val="18"/>
                <w:lang w:val="en-AU"/>
              </w:rPr>
              <w:t>11,941</w:t>
            </w:r>
          </w:p>
        </w:tc>
        <w:tc>
          <w:tcPr>
            <w:tcW w:w="956" w:type="dxa"/>
            <w:noWrap/>
          </w:tcPr>
          <w:p w14:paraId="28CF60F6" w14:textId="77777777" w:rsidR="001D4DF3" w:rsidRPr="00DD30D9" w:rsidRDefault="001D4DF3" w:rsidP="003C5409">
            <w:pPr>
              <w:jc w:val="right"/>
              <w:rPr>
                <w:rFonts w:ascii="Arial" w:hAnsi="Arial" w:cs="Arial"/>
                <w:color w:val="000000"/>
                <w:sz w:val="18"/>
                <w:szCs w:val="18"/>
                <w:lang w:val="en-AU"/>
              </w:rPr>
            </w:pPr>
            <w:r w:rsidRPr="00DD30D9">
              <w:rPr>
                <w:rFonts w:ascii="Arial" w:hAnsi="Arial" w:cs="Arial"/>
                <w:color w:val="000000"/>
                <w:sz w:val="18"/>
                <w:szCs w:val="18"/>
                <w:lang w:val="en-AU"/>
              </w:rPr>
              <w:t>234.2%</w:t>
            </w:r>
          </w:p>
        </w:tc>
      </w:tr>
    </w:tbl>
    <w:p w14:paraId="20FDE991" w14:textId="77777777" w:rsidR="0033420E" w:rsidRPr="00DD30D9" w:rsidRDefault="0033420E" w:rsidP="00677AEE">
      <w:pPr>
        <w:pStyle w:val="Heading3"/>
        <w:numPr>
          <w:ilvl w:val="0"/>
          <w:numId w:val="0"/>
        </w:numPr>
        <w:ind w:left="720" w:hanging="720"/>
        <w:rPr>
          <w:lang w:val="en-AU"/>
        </w:rPr>
      </w:pPr>
      <w:bookmarkStart w:id="114" w:name="_Toc13735994"/>
      <w:r w:rsidRPr="00DD30D9">
        <w:rPr>
          <w:lang w:val="en-AU"/>
        </w:rPr>
        <w:t>Recommendation</w:t>
      </w:r>
      <w:r w:rsidR="0061030F" w:rsidRPr="00DD30D9">
        <w:rPr>
          <w:lang w:val="en-AU"/>
        </w:rPr>
        <w:t xml:space="preserve"> 7</w:t>
      </w:r>
      <w:bookmarkEnd w:id="114"/>
    </w:p>
    <w:p w14:paraId="47F62C54" w14:textId="77777777" w:rsidR="001D4DF3" w:rsidRPr="00DD30D9" w:rsidRDefault="009C7256" w:rsidP="001D4DF3">
      <w:pPr>
        <w:pStyle w:val="01squarebullet"/>
        <w:rPr>
          <w:lang w:val="en-AU"/>
        </w:rPr>
      </w:pPr>
      <w:r w:rsidRPr="00DD30D9">
        <w:rPr>
          <w:lang w:val="en-AU"/>
        </w:rPr>
        <w:t>Amend</w:t>
      </w:r>
      <w:r w:rsidR="001D4DF3" w:rsidRPr="00DD30D9">
        <w:rPr>
          <w:lang w:val="en-AU"/>
        </w:rPr>
        <w:t xml:space="preserve"> the item descriptor for clari</w:t>
      </w:r>
      <w:r w:rsidR="001820D2" w:rsidRPr="00DD30D9">
        <w:rPr>
          <w:lang w:val="en-AU"/>
        </w:rPr>
        <w:t>ty</w:t>
      </w:r>
      <w:r w:rsidR="00B47A1F" w:rsidRPr="00DD30D9">
        <w:rPr>
          <w:lang w:val="en-AU"/>
        </w:rPr>
        <w:t xml:space="preserve"> around </w:t>
      </w:r>
      <w:r w:rsidR="009E6C85" w:rsidRPr="00DD30D9">
        <w:rPr>
          <w:lang w:val="en-AU"/>
        </w:rPr>
        <w:t xml:space="preserve">requesters </w:t>
      </w:r>
      <w:r w:rsidR="001820D2" w:rsidRPr="00DD30D9">
        <w:rPr>
          <w:lang w:val="en-AU"/>
        </w:rPr>
        <w:t xml:space="preserve">and remove </w:t>
      </w:r>
      <w:r w:rsidR="009E6C85" w:rsidRPr="00DD30D9">
        <w:rPr>
          <w:lang w:val="en-AU"/>
        </w:rPr>
        <w:t xml:space="preserve">the </w:t>
      </w:r>
      <w:r w:rsidR="001820D2" w:rsidRPr="00DD30D9">
        <w:rPr>
          <w:lang w:val="en-AU"/>
        </w:rPr>
        <w:t xml:space="preserve">reference to the </w:t>
      </w:r>
      <w:r w:rsidR="00B47A1F" w:rsidRPr="00DD30D9">
        <w:rPr>
          <w:lang w:val="en-AU"/>
        </w:rPr>
        <w:t xml:space="preserve">redundant </w:t>
      </w:r>
      <w:r w:rsidR="001820D2" w:rsidRPr="00DD30D9">
        <w:rPr>
          <w:lang w:val="en-AU"/>
        </w:rPr>
        <w:t>Herceptin P</w:t>
      </w:r>
      <w:r w:rsidR="001D4DF3" w:rsidRPr="00DD30D9">
        <w:rPr>
          <w:lang w:val="en-AU"/>
        </w:rPr>
        <w:t>rogram</w:t>
      </w:r>
      <w:r w:rsidR="00A8069F" w:rsidRPr="00DD30D9">
        <w:rPr>
          <w:lang w:val="en-AU"/>
        </w:rPr>
        <w:t>.</w:t>
      </w:r>
    </w:p>
    <w:p w14:paraId="4A0F6563" w14:textId="77777777" w:rsidR="00A8069F" w:rsidRPr="00DD30D9" w:rsidRDefault="00A8069F" w:rsidP="00246B0E">
      <w:pPr>
        <w:pStyle w:val="01squarebullet"/>
        <w:rPr>
          <w:lang w:val="en-AU"/>
        </w:rPr>
      </w:pPr>
      <w:r w:rsidRPr="00DD30D9">
        <w:rPr>
          <w:lang w:val="en-AU"/>
        </w:rPr>
        <w:t>Include an explanatory</w:t>
      </w:r>
      <w:r w:rsidR="00B1611E" w:rsidRPr="00DD30D9">
        <w:rPr>
          <w:lang w:val="en-AU"/>
        </w:rPr>
        <w:t xml:space="preserve"> note</w:t>
      </w:r>
      <w:r w:rsidRPr="00DD30D9">
        <w:rPr>
          <w:lang w:val="en-AU"/>
        </w:rPr>
        <w:t xml:space="preserve"> </w:t>
      </w:r>
      <w:r w:rsidR="00B1611E" w:rsidRPr="00DD30D9">
        <w:rPr>
          <w:lang w:val="en-AU"/>
        </w:rPr>
        <w:t>regarding the recommended</w:t>
      </w:r>
      <w:r w:rsidR="00FB7D07" w:rsidRPr="00DD30D9">
        <w:rPr>
          <w:lang w:val="en-AU"/>
        </w:rPr>
        <w:t xml:space="preserve"> </w:t>
      </w:r>
      <w:r w:rsidR="00FB7D07" w:rsidRPr="00DD30D9">
        <w:rPr>
          <w:i/>
          <w:lang w:val="en-AU"/>
        </w:rPr>
        <w:t>HER2</w:t>
      </w:r>
      <w:r w:rsidR="00FB7D07" w:rsidRPr="00DD30D9">
        <w:rPr>
          <w:lang w:val="en-AU"/>
        </w:rPr>
        <w:t xml:space="preserve"> testing</w:t>
      </w:r>
      <w:r w:rsidR="00045A89" w:rsidRPr="00DD30D9">
        <w:rPr>
          <w:lang w:val="en-AU"/>
        </w:rPr>
        <w:t xml:space="preserve"> </w:t>
      </w:r>
      <w:r w:rsidR="00B1611E" w:rsidRPr="00DD30D9">
        <w:rPr>
          <w:lang w:val="en-AU"/>
        </w:rPr>
        <w:t xml:space="preserve">procedures </w:t>
      </w:r>
      <w:r w:rsidR="00045A89" w:rsidRPr="00DD30D9">
        <w:rPr>
          <w:lang w:val="en-AU"/>
        </w:rPr>
        <w:t xml:space="preserve">when the proposed changes to testing guidelines are </w:t>
      </w:r>
      <w:r w:rsidR="00B1611E" w:rsidRPr="00DD30D9">
        <w:rPr>
          <w:lang w:val="en-AU"/>
        </w:rPr>
        <w:t xml:space="preserve">approved by the </w:t>
      </w:r>
      <w:r w:rsidR="00246B0E" w:rsidRPr="00DD30D9">
        <w:rPr>
          <w:lang w:val="en-AU"/>
        </w:rPr>
        <w:t>Royal College of Pathologists Australasia (</w:t>
      </w:r>
      <w:r w:rsidR="00B1611E" w:rsidRPr="00DD30D9">
        <w:rPr>
          <w:lang w:val="en-AU"/>
        </w:rPr>
        <w:t>RCPA</w:t>
      </w:r>
      <w:r w:rsidR="00246B0E" w:rsidRPr="00DD30D9">
        <w:rPr>
          <w:lang w:val="en-AU"/>
        </w:rPr>
        <w:t>)</w:t>
      </w:r>
      <w:r w:rsidR="00FB7D07" w:rsidRPr="00DD30D9">
        <w:rPr>
          <w:lang w:val="en-AU"/>
        </w:rPr>
        <w:t>.</w:t>
      </w:r>
    </w:p>
    <w:p w14:paraId="4BB15CC2" w14:textId="77777777" w:rsidR="00C168F2" w:rsidRPr="00DD30D9" w:rsidRDefault="00FB7D07" w:rsidP="00C168F2">
      <w:pPr>
        <w:pStyle w:val="01squarebullet"/>
        <w:rPr>
          <w:lang w:val="en-AU"/>
        </w:rPr>
      </w:pPr>
      <w:r w:rsidRPr="00DD30D9">
        <w:rPr>
          <w:lang w:val="en-AU"/>
        </w:rPr>
        <w:t>Ensure appropriate e</w:t>
      </w:r>
      <w:r w:rsidR="00C168F2" w:rsidRPr="00DD30D9">
        <w:rPr>
          <w:lang w:val="en-AU"/>
        </w:rPr>
        <w:t xml:space="preserve">ducation </w:t>
      </w:r>
      <w:r w:rsidRPr="00DD30D9">
        <w:rPr>
          <w:lang w:val="en-AU"/>
        </w:rPr>
        <w:t xml:space="preserve">is provided to support implementation of </w:t>
      </w:r>
      <w:r w:rsidR="00045A89" w:rsidRPr="00DD30D9">
        <w:rPr>
          <w:lang w:val="en-AU"/>
        </w:rPr>
        <w:t>the</w:t>
      </w:r>
      <w:r w:rsidRPr="00DD30D9">
        <w:rPr>
          <w:lang w:val="en-AU"/>
        </w:rPr>
        <w:t xml:space="preserve"> proposed </w:t>
      </w:r>
      <w:r w:rsidR="00C168F2" w:rsidRPr="00DD30D9">
        <w:rPr>
          <w:lang w:val="en-AU"/>
        </w:rPr>
        <w:t xml:space="preserve">changes to the </w:t>
      </w:r>
      <w:r w:rsidR="00C168F2" w:rsidRPr="00DD30D9">
        <w:rPr>
          <w:i/>
          <w:lang w:val="en-AU"/>
        </w:rPr>
        <w:t>HER2</w:t>
      </w:r>
      <w:r w:rsidR="00B1611E" w:rsidRPr="00DD30D9">
        <w:rPr>
          <w:lang w:val="en-AU"/>
        </w:rPr>
        <w:t xml:space="preserve"> testing</w:t>
      </w:r>
      <w:r w:rsidR="00C168F2" w:rsidRPr="00DD30D9">
        <w:rPr>
          <w:lang w:val="en-AU"/>
        </w:rPr>
        <w:t xml:space="preserve"> guidelines and systems for effective communication between </w:t>
      </w:r>
      <w:r w:rsidR="00045A89" w:rsidRPr="00DD30D9">
        <w:rPr>
          <w:lang w:val="en-AU"/>
        </w:rPr>
        <w:t xml:space="preserve">requesters and </w:t>
      </w:r>
      <w:r w:rsidR="00C168F2" w:rsidRPr="00DD30D9">
        <w:rPr>
          <w:lang w:val="en-AU"/>
        </w:rPr>
        <w:t>providers.</w:t>
      </w:r>
    </w:p>
    <w:p w14:paraId="6E40577D" w14:textId="77777777" w:rsidR="0027580A" w:rsidRPr="00DD30D9" w:rsidRDefault="005739DC" w:rsidP="00C168F2">
      <w:pPr>
        <w:pStyle w:val="01squarebullet"/>
        <w:rPr>
          <w:lang w:val="en-AU"/>
        </w:rPr>
      </w:pPr>
      <w:r w:rsidRPr="00DD30D9">
        <w:rPr>
          <w:lang w:val="en-AU"/>
        </w:rPr>
        <w:lastRenderedPageBreak/>
        <w:t>Review the utilisation of this item in 12 months</w:t>
      </w:r>
      <w:r w:rsidR="00FB7D07" w:rsidRPr="00DD30D9">
        <w:rPr>
          <w:lang w:val="en-AU"/>
        </w:rPr>
        <w:t>.</w:t>
      </w:r>
    </w:p>
    <w:p w14:paraId="35694E85" w14:textId="77777777" w:rsidR="00A8069F" w:rsidRPr="00DD30D9" w:rsidRDefault="00A8069F">
      <w:pPr>
        <w:pStyle w:val="Caption"/>
      </w:pPr>
      <w:bookmarkStart w:id="115" w:name="_Toc482009637"/>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27580A" w:rsidRPr="00DD30D9">
        <w:t>P</w:t>
      </w:r>
      <w:r w:rsidRPr="00DD30D9">
        <w:t xml:space="preserve">roposed </w:t>
      </w:r>
      <w:r w:rsidR="0027580A" w:rsidRPr="00DD30D9">
        <w:t>changes to</w:t>
      </w:r>
      <w:r w:rsidRPr="00DD30D9">
        <w:t xml:space="preserve"> item 73332</w:t>
      </w:r>
      <w:bookmarkEnd w:id="115"/>
    </w:p>
    <w:tbl>
      <w:tblPr>
        <w:tblStyle w:val="TableGrid"/>
        <w:tblW w:w="8833" w:type="dxa"/>
        <w:tblInd w:w="-5" w:type="dxa"/>
        <w:tblLook w:val="04A0" w:firstRow="1" w:lastRow="0" w:firstColumn="1" w:lastColumn="0" w:noHBand="0" w:noVBand="1"/>
        <w:tblCaption w:val="Proposed changes to item 73332"/>
        <w:tblDescription w:val="This table shows the current item descriptor and proposed new item descriptor for item 73332. "/>
      </w:tblPr>
      <w:tblGrid>
        <w:gridCol w:w="4248"/>
        <w:gridCol w:w="4585"/>
      </w:tblGrid>
      <w:tr w:rsidR="00A8069F" w:rsidRPr="00720661" w14:paraId="766228A8" w14:textId="77777777" w:rsidTr="005A054A">
        <w:trPr>
          <w:trHeight w:val="277"/>
          <w:tblHeader/>
        </w:trPr>
        <w:tc>
          <w:tcPr>
            <w:tcW w:w="4248" w:type="dxa"/>
            <w:tcBorders>
              <w:top w:val="single" w:sz="4" w:space="0" w:color="auto"/>
              <w:left w:val="single" w:sz="8" w:space="0" w:color="auto"/>
              <w:bottom w:val="single" w:sz="4" w:space="0" w:color="auto"/>
              <w:right w:val="single" w:sz="8" w:space="0" w:color="auto"/>
            </w:tcBorders>
            <w:shd w:val="clear" w:color="auto" w:fill="EEECE1" w:themeFill="background2"/>
          </w:tcPr>
          <w:p w14:paraId="23F624C0" w14:textId="77777777" w:rsidR="00A8069F" w:rsidRPr="00DD30D9" w:rsidRDefault="00A8069F" w:rsidP="003215DF">
            <w:pPr>
              <w:rPr>
                <w:rFonts w:ascii="Arial" w:hAnsi="Arial" w:cs="Arial"/>
                <w:b/>
                <w:sz w:val="18"/>
                <w:lang w:val="en-AU"/>
              </w:rPr>
            </w:pPr>
            <w:r w:rsidRPr="00DD30D9">
              <w:rPr>
                <w:rFonts w:ascii="Arial" w:hAnsi="Arial" w:cs="Arial"/>
                <w:b/>
                <w:bCs/>
                <w:sz w:val="18"/>
                <w:lang w:val="en-AU"/>
              </w:rPr>
              <w:t>Current item descriptor</w:t>
            </w:r>
          </w:p>
        </w:tc>
        <w:tc>
          <w:tcPr>
            <w:tcW w:w="4585" w:type="dxa"/>
            <w:tcBorders>
              <w:top w:val="single" w:sz="4" w:space="0" w:color="auto"/>
              <w:left w:val="nil"/>
              <w:bottom w:val="single" w:sz="4" w:space="0" w:color="auto"/>
              <w:right w:val="single" w:sz="8" w:space="0" w:color="auto"/>
            </w:tcBorders>
            <w:shd w:val="clear" w:color="auto" w:fill="EEECE1" w:themeFill="background2"/>
          </w:tcPr>
          <w:p w14:paraId="34ECAAD3" w14:textId="77777777" w:rsidR="00A8069F" w:rsidRPr="00DD30D9" w:rsidRDefault="00A8069F" w:rsidP="003215DF">
            <w:pPr>
              <w:rPr>
                <w:rFonts w:ascii="Arial" w:hAnsi="Arial" w:cs="Arial"/>
                <w:b/>
                <w:sz w:val="18"/>
                <w:lang w:val="en-AU"/>
              </w:rPr>
            </w:pPr>
            <w:r w:rsidRPr="00DD30D9">
              <w:rPr>
                <w:rFonts w:ascii="Arial" w:hAnsi="Arial" w:cs="Arial"/>
                <w:b/>
                <w:bCs/>
                <w:sz w:val="18"/>
                <w:lang w:val="en-AU"/>
              </w:rPr>
              <w:t>Proposed new item descriptor</w:t>
            </w:r>
          </w:p>
        </w:tc>
      </w:tr>
      <w:tr w:rsidR="00A8069F" w:rsidRPr="00720661" w14:paraId="014687C0" w14:textId="77777777" w:rsidTr="003C5409">
        <w:trPr>
          <w:trHeight w:val="2484"/>
        </w:trPr>
        <w:tc>
          <w:tcPr>
            <w:tcW w:w="4248" w:type="dxa"/>
            <w:tcBorders>
              <w:top w:val="single" w:sz="4" w:space="0" w:color="auto"/>
              <w:left w:val="single" w:sz="8" w:space="0" w:color="auto"/>
              <w:bottom w:val="single" w:sz="8" w:space="0" w:color="auto"/>
              <w:right w:val="single" w:sz="8" w:space="0" w:color="auto"/>
            </w:tcBorders>
          </w:tcPr>
          <w:p w14:paraId="2EBEA43A" w14:textId="77777777" w:rsidR="00A8069F" w:rsidRPr="00DD30D9" w:rsidRDefault="00A8069F" w:rsidP="003215DF">
            <w:pPr>
              <w:rPr>
                <w:rFonts w:ascii="Arial" w:hAnsi="Arial" w:cs="Arial"/>
                <w:b/>
                <w:bCs/>
                <w:sz w:val="18"/>
                <w:lang w:val="en-AU"/>
              </w:rPr>
            </w:pPr>
            <w:r w:rsidRPr="00DD30D9">
              <w:rPr>
                <w:rFonts w:ascii="Arial" w:hAnsi="Arial" w:cs="Arial"/>
                <w:color w:val="000000"/>
                <w:sz w:val="18"/>
                <w:szCs w:val="18"/>
                <w:lang w:val="en-AU"/>
              </w:rPr>
              <w:t xml:space="preserve">An in-situ hybridization (ISH) test of tumour tissue from a patient with breast cancer </w:t>
            </w:r>
            <w:r w:rsidRPr="00DD30D9">
              <w:rPr>
                <w:rFonts w:ascii="Arial" w:hAnsi="Arial" w:cs="Arial"/>
                <w:color w:val="000000"/>
                <w:sz w:val="18"/>
                <w:szCs w:val="18"/>
                <w:u w:val="single"/>
                <w:lang w:val="en-AU"/>
              </w:rPr>
              <w:t xml:space="preserve">requested by, or on the advice of, a specialist or consultant physician who manages the treatment of the </w:t>
            </w:r>
            <w:r w:rsidR="007A729F">
              <w:rPr>
                <w:rFonts w:ascii="Arial" w:hAnsi="Arial" w:cs="Arial"/>
                <w:color w:val="000000"/>
                <w:sz w:val="18"/>
                <w:szCs w:val="18"/>
                <w:u w:val="single"/>
                <w:lang w:val="en-AU"/>
              </w:rPr>
              <w:t>`</w:t>
            </w:r>
            <w:r w:rsidRPr="00DD30D9">
              <w:rPr>
                <w:rFonts w:ascii="Arial" w:hAnsi="Arial" w:cs="Arial"/>
                <w:color w:val="000000"/>
                <w:sz w:val="18"/>
                <w:szCs w:val="18"/>
                <w:u w:val="single"/>
                <w:lang w:val="en-AU"/>
              </w:rPr>
              <w:t>patient</w:t>
            </w:r>
            <w:r w:rsidRPr="00DD30D9">
              <w:rPr>
                <w:rFonts w:ascii="Arial" w:hAnsi="Arial" w:cs="Arial"/>
                <w:color w:val="000000"/>
                <w:sz w:val="18"/>
                <w:szCs w:val="18"/>
                <w:lang w:val="en-AU"/>
              </w:rPr>
              <w:t xml:space="preserve"> to determine if the requirements relating to human epidermal growth factor receptor 2 (HER2) gene amplification for access to trastuzumab under the Pharmaceutical Benefits Scheme (PBS) or the Herceptin Program are fulfilled.</w:t>
            </w:r>
          </w:p>
        </w:tc>
        <w:tc>
          <w:tcPr>
            <w:tcW w:w="4585" w:type="dxa"/>
            <w:tcBorders>
              <w:top w:val="single" w:sz="4" w:space="0" w:color="auto"/>
              <w:left w:val="nil"/>
              <w:bottom w:val="single" w:sz="8" w:space="0" w:color="auto"/>
              <w:right w:val="single" w:sz="8" w:space="0" w:color="auto"/>
            </w:tcBorders>
          </w:tcPr>
          <w:p w14:paraId="62AF0DD3" w14:textId="77777777" w:rsidR="00A8069F" w:rsidRPr="00DD30D9" w:rsidRDefault="00A8069F" w:rsidP="003215DF">
            <w:pPr>
              <w:rPr>
                <w:rFonts w:ascii="Arial" w:hAnsi="Arial" w:cs="Arial"/>
                <w:bCs/>
                <w:sz w:val="18"/>
                <w:lang w:val="en-AU"/>
              </w:rPr>
            </w:pPr>
            <w:r w:rsidRPr="00DD30D9">
              <w:rPr>
                <w:rFonts w:ascii="Arial" w:hAnsi="Arial" w:cs="Arial"/>
                <w:bCs/>
                <w:sz w:val="18"/>
                <w:lang w:val="en-AU"/>
              </w:rPr>
              <w:t>An in-situ hybridization (ISH) test of tumour tissue from a patient with breast cancer</w:t>
            </w:r>
            <w:r w:rsidR="00656270" w:rsidRPr="00DD30D9">
              <w:rPr>
                <w:rFonts w:ascii="Arial" w:hAnsi="Arial" w:cs="Arial"/>
                <w:bCs/>
                <w:sz w:val="18"/>
                <w:lang w:val="en-AU"/>
              </w:rPr>
              <w:t xml:space="preserve"> </w:t>
            </w:r>
            <w:r w:rsidR="00656270" w:rsidRPr="00DD30D9">
              <w:rPr>
                <w:rFonts w:ascii="Arial" w:hAnsi="Arial" w:cs="Arial"/>
                <w:bCs/>
                <w:sz w:val="18"/>
                <w:u w:val="single"/>
                <w:lang w:val="en-AU"/>
              </w:rPr>
              <w:t>requested by a treating specialist or pathologist</w:t>
            </w:r>
            <w:r w:rsidRPr="00DD30D9">
              <w:rPr>
                <w:rFonts w:ascii="Arial" w:hAnsi="Arial" w:cs="Arial"/>
                <w:bCs/>
                <w:sz w:val="18"/>
                <w:lang w:val="en-AU"/>
              </w:rPr>
              <w:t xml:space="preserve"> to determine if the requirements relating to human epidermal growth factor receptor 2 </w:t>
            </w:r>
            <w:r w:rsidRPr="00DD30D9">
              <w:rPr>
                <w:rFonts w:ascii="Arial" w:hAnsi="Arial" w:cs="Arial"/>
                <w:bCs/>
                <w:i/>
                <w:sz w:val="18"/>
                <w:lang w:val="en-AU"/>
              </w:rPr>
              <w:t>(HER2)</w:t>
            </w:r>
            <w:r w:rsidRPr="00DD30D9">
              <w:rPr>
                <w:rFonts w:ascii="Arial" w:hAnsi="Arial" w:cs="Arial"/>
                <w:bCs/>
                <w:sz w:val="18"/>
                <w:lang w:val="en-AU"/>
              </w:rPr>
              <w:t xml:space="preserve"> gene amplification for access to trastuzumab under the Pharmaceutical Benefits Scheme (PBS) are fulfilled.</w:t>
            </w:r>
          </w:p>
          <w:p w14:paraId="70B23FCD" w14:textId="77777777" w:rsidR="00A8069F" w:rsidRPr="00DD30D9" w:rsidRDefault="0027580A" w:rsidP="000A4E64">
            <w:pPr>
              <w:rPr>
                <w:rFonts w:ascii="Arial" w:hAnsi="Arial" w:cs="Arial"/>
                <w:bCs/>
                <w:sz w:val="18"/>
                <w:u w:val="single"/>
                <w:lang w:val="en-AU"/>
              </w:rPr>
            </w:pPr>
            <w:r w:rsidRPr="00DD30D9">
              <w:rPr>
                <w:rFonts w:ascii="Arial" w:hAnsi="Arial" w:cs="Arial"/>
                <w:bCs/>
                <w:i/>
                <w:sz w:val="18"/>
                <w:u w:val="single"/>
                <w:lang w:val="en-AU"/>
              </w:rPr>
              <w:t>Explanatory n</w:t>
            </w:r>
            <w:r w:rsidR="00A8069F" w:rsidRPr="00DD30D9">
              <w:rPr>
                <w:rFonts w:ascii="Arial" w:hAnsi="Arial" w:cs="Arial"/>
                <w:bCs/>
                <w:i/>
                <w:sz w:val="18"/>
                <w:u w:val="single"/>
                <w:lang w:val="en-AU"/>
              </w:rPr>
              <w:t>ote</w:t>
            </w:r>
            <w:r w:rsidR="00045A89" w:rsidRPr="00DD30D9">
              <w:rPr>
                <w:rFonts w:ascii="Arial" w:hAnsi="Arial" w:cs="Arial"/>
                <w:bCs/>
                <w:i/>
                <w:sz w:val="18"/>
                <w:u w:val="single"/>
                <w:lang w:val="en-AU"/>
              </w:rPr>
              <w:t>: To be included when tumour testing guideline changes have been implemented</w:t>
            </w:r>
            <w:r w:rsidR="00045A89" w:rsidRPr="00DD30D9">
              <w:rPr>
                <w:rFonts w:ascii="Arial" w:hAnsi="Arial" w:cs="Arial"/>
                <w:bCs/>
                <w:sz w:val="18"/>
                <w:u w:val="single"/>
                <w:lang w:val="en-AU"/>
              </w:rPr>
              <w:t>.</w:t>
            </w:r>
          </w:p>
        </w:tc>
      </w:tr>
    </w:tbl>
    <w:p w14:paraId="09D27000" w14:textId="77777777" w:rsidR="0033420E" w:rsidRPr="00DD30D9" w:rsidRDefault="0033420E" w:rsidP="00677AEE">
      <w:pPr>
        <w:pStyle w:val="Heading3"/>
        <w:numPr>
          <w:ilvl w:val="0"/>
          <w:numId w:val="0"/>
        </w:numPr>
        <w:ind w:left="720" w:hanging="720"/>
        <w:rPr>
          <w:lang w:val="en-AU"/>
        </w:rPr>
      </w:pPr>
      <w:bookmarkStart w:id="116" w:name="_Toc13735995"/>
      <w:r w:rsidRPr="00DD30D9">
        <w:rPr>
          <w:lang w:val="en-AU"/>
        </w:rPr>
        <w:t>Rationale</w:t>
      </w:r>
      <w:r w:rsidR="0061030F" w:rsidRPr="00DD30D9">
        <w:rPr>
          <w:lang w:val="en-AU"/>
        </w:rPr>
        <w:t xml:space="preserve"> 7</w:t>
      </w:r>
      <w:bookmarkEnd w:id="116"/>
    </w:p>
    <w:p w14:paraId="691F59A9" w14:textId="77777777" w:rsidR="0033420E" w:rsidRPr="00DD30D9" w:rsidRDefault="0033420E" w:rsidP="0033420E">
      <w:pPr>
        <w:rPr>
          <w:lang w:val="en-AU"/>
        </w:rPr>
      </w:pPr>
      <w:r w:rsidRPr="00DD30D9">
        <w:rPr>
          <w:lang w:val="en-AU"/>
        </w:rPr>
        <w:t>The recommendation</w:t>
      </w:r>
      <w:r w:rsidR="001820D2" w:rsidRPr="00DD30D9">
        <w:rPr>
          <w:lang w:val="en-AU"/>
        </w:rPr>
        <w:t>s are</w:t>
      </w:r>
      <w:r w:rsidRPr="00DD30D9">
        <w:rPr>
          <w:lang w:val="en-AU"/>
        </w:rPr>
        <w:t xml:space="preserve"> </w:t>
      </w:r>
      <w:r w:rsidR="00891B8D" w:rsidRPr="00DD30D9">
        <w:rPr>
          <w:lang w:val="en-AU"/>
        </w:rPr>
        <w:t>focused</w:t>
      </w:r>
      <w:r w:rsidRPr="00DD30D9">
        <w:rPr>
          <w:lang w:val="en-AU"/>
        </w:rPr>
        <w:t xml:space="preserve"> </w:t>
      </w:r>
      <w:r w:rsidR="0027580A" w:rsidRPr="00DD30D9">
        <w:rPr>
          <w:lang w:val="en-AU"/>
        </w:rPr>
        <w:t>on modernising the MBS</w:t>
      </w:r>
      <w:r w:rsidR="00C03916" w:rsidRPr="00DD30D9">
        <w:rPr>
          <w:lang w:val="en-AU"/>
        </w:rPr>
        <w:t xml:space="preserve"> and</w:t>
      </w:r>
      <w:r w:rsidR="001820D2" w:rsidRPr="00DD30D9">
        <w:rPr>
          <w:lang w:val="en-AU"/>
        </w:rPr>
        <w:t xml:space="preserve"> encouraging best practice and are</w:t>
      </w:r>
      <w:r w:rsidRPr="00DD30D9">
        <w:rPr>
          <w:lang w:val="en-AU"/>
        </w:rPr>
        <w:t xml:space="preserve"> based on the following observations</w:t>
      </w:r>
      <w:r w:rsidR="00720661">
        <w:rPr>
          <w:lang w:val="en-AU"/>
        </w:rPr>
        <w:t>:</w:t>
      </w:r>
    </w:p>
    <w:p w14:paraId="72BF8D6F" w14:textId="77777777" w:rsidR="008F396C" w:rsidRPr="00DD30D9" w:rsidRDefault="0027580A" w:rsidP="007D5CFB">
      <w:pPr>
        <w:pStyle w:val="01squarebullet"/>
        <w:rPr>
          <w:lang w:val="en-AU"/>
        </w:rPr>
      </w:pPr>
      <w:r w:rsidRPr="00DD30D9">
        <w:rPr>
          <w:lang w:val="en-AU"/>
        </w:rPr>
        <w:t>The</w:t>
      </w:r>
      <w:r w:rsidR="00E3666C" w:rsidRPr="00DD30D9">
        <w:rPr>
          <w:lang w:val="en-AU"/>
        </w:rPr>
        <w:t xml:space="preserve"> purpose of this test is</w:t>
      </w:r>
      <w:r w:rsidR="00947185" w:rsidRPr="00DD30D9">
        <w:rPr>
          <w:lang w:val="en-AU"/>
        </w:rPr>
        <w:t xml:space="preserve"> to </w:t>
      </w:r>
      <w:r w:rsidR="001820D2" w:rsidRPr="00DD30D9">
        <w:rPr>
          <w:lang w:val="en-AU"/>
        </w:rPr>
        <w:t>identify</w:t>
      </w:r>
      <w:r w:rsidR="00947185" w:rsidRPr="00DD30D9">
        <w:rPr>
          <w:lang w:val="en-AU"/>
        </w:rPr>
        <w:t xml:space="preserve"> </w:t>
      </w:r>
      <w:r w:rsidR="00947185" w:rsidRPr="00DD30D9">
        <w:rPr>
          <w:i/>
          <w:lang w:val="en-AU"/>
        </w:rPr>
        <w:t>HER2</w:t>
      </w:r>
      <w:r w:rsidR="00947185" w:rsidRPr="00DD30D9">
        <w:rPr>
          <w:lang w:val="en-AU"/>
        </w:rPr>
        <w:t xml:space="preserve"> gene amplification</w:t>
      </w:r>
      <w:r w:rsidR="007D5CFB" w:rsidRPr="00DD30D9">
        <w:rPr>
          <w:lang w:val="en-AU"/>
        </w:rPr>
        <w:t xml:space="preserve">, </w:t>
      </w:r>
      <w:r w:rsidR="001820D2" w:rsidRPr="00DD30D9">
        <w:rPr>
          <w:lang w:val="en-AU"/>
        </w:rPr>
        <w:t>required</w:t>
      </w:r>
      <w:r w:rsidR="00947185" w:rsidRPr="00DD30D9">
        <w:rPr>
          <w:lang w:val="en-AU"/>
        </w:rPr>
        <w:t xml:space="preserve"> to meet specific criteria to access trastuzumab, a treatment available on the Pharmaceutical Benefits Scheme (PBS) for breast cancer.</w:t>
      </w:r>
      <w:r w:rsidR="008F396C" w:rsidRPr="00DD30D9">
        <w:rPr>
          <w:lang w:val="en-AU"/>
        </w:rPr>
        <w:t xml:space="preserve"> </w:t>
      </w:r>
      <w:r w:rsidR="007D5CFB" w:rsidRPr="00DD30D9">
        <w:rPr>
          <w:lang w:val="en-AU"/>
        </w:rPr>
        <w:t xml:space="preserve">Gene amplification is an increase in the number of copies of a gene and is common in cancer cells. Some amplified genes may cause cancer cells to grow or become resistant to anticancer drugs. </w:t>
      </w:r>
      <w:r w:rsidR="00947185" w:rsidRPr="00DD30D9">
        <w:rPr>
          <w:lang w:val="en-AU"/>
        </w:rPr>
        <w:t xml:space="preserve">The </w:t>
      </w:r>
      <w:r w:rsidR="008F396C" w:rsidRPr="00DD30D9">
        <w:rPr>
          <w:lang w:val="en-AU"/>
        </w:rPr>
        <w:t xml:space="preserve">Herceptin Program </w:t>
      </w:r>
      <w:r w:rsidRPr="00DD30D9">
        <w:rPr>
          <w:lang w:val="en-AU"/>
        </w:rPr>
        <w:t xml:space="preserve">is no longer </w:t>
      </w:r>
      <w:proofErr w:type="gramStart"/>
      <w:r w:rsidR="00947185" w:rsidRPr="00DD30D9">
        <w:rPr>
          <w:lang w:val="en-AU"/>
        </w:rPr>
        <w:t>available</w:t>
      </w:r>
      <w:proofErr w:type="gramEnd"/>
      <w:r w:rsidRPr="00DD30D9">
        <w:rPr>
          <w:lang w:val="en-AU"/>
        </w:rPr>
        <w:t xml:space="preserve"> and these words </w:t>
      </w:r>
      <w:r w:rsidR="00947185" w:rsidRPr="00DD30D9">
        <w:rPr>
          <w:lang w:val="en-AU"/>
        </w:rPr>
        <w:t>can</w:t>
      </w:r>
      <w:r w:rsidRPr="00DD30D9">
        <w:rPr>
          <w:lang w:val="en-AU"/>
        </w:rPr>
        <w:t xml:space="preserve"> be removed from the descriptor</w:t>
      </w:r>
      <w:r w:rsidR="008F396C" w:rsidRPr="00DD30D9">
        <w:rPr>
          <w:lang w:val="en-AU"/>
        </w:rPr>
        <w:t>.</w:t>
      </w:r>
    </w:p>
    <w:p w14:paraId="39A1C62C" w14:textId="77777777" w:rsidR="00FB7D07" w:rsidRPr="00DD30D9" w:rsidRDefault="00FB7D07" w:rsidP="005739DC">
      <w:pPr>
        <w:pStyle w:val="01squarebullet"/>
        <w:rPr>
          <w:lang w:val="en-AU"/>
        </w:rPr>
      </w:pPr>
      <w:r w:rsidRPr="00720661">
        <w:rPr>
          <w:lang w:val="en-AU"/>
        </w:rPr>
        <w:t xml:space="preserve">This item was introduced to the MBS in 2012, and the growth </w:t>
      </w:r>
      <w:r w:rsidR="001820D2" w:rsidRPr="00720661">
        <w:rPr>
          <w:lang w:val="en-AU"/>
        </w:rPr>
        <w:t>in services</w:t>
      </w:r>
      <w:r w:rsidRPr="00720661">
        <w:rPr>
          <w:lang w:val="en-AU"/>
        </w:rPr>
        <w:t xml:space="preserve"> over the past </w:t>
      </w:r>
      <w:r w:rsidR="00B13EF0">
        <w:rPr>
          <w:lang w:val="en-AU"/>
        </w:rPr>
        <w:t>three</w:t>
      </w:r>
      <w:r w:rsidR="00B13EF0" w:rsidRPr="00720661">
        <w:rPr>
          <w:lang w:val="en-AU"/>
        </w:rPr>
        <w:t xml:space="preserve"> </w:t>
      </w:r>
      <w:r w:rsidRPr="00720661">
        <w:rPr>
          <w:lang w:val="en-AU"/>
        </w:rPr>
        <w:t>years reflects the initial uptake of this test.</w:t>
      </w:r>
      <w:r w:rsidR="00807710" w:rsidRPr="004750A6">
        <w:rPr>
          <w:lang w:val="en-AU"/>
        </w:rPr>
        <w:t xml:space="preserve"> </w:t>
      </w:r>
      <w:r w:rsidRPr="00DD30D9">
        <w:rPr>
          <w:lang w:val="en-AU"/>
        </w:rPr>
        <w:t xml:space="preserve">The Committee acknowledged that repeat testing in some patients may be necessary to obtain a definitive clinical diagnosis. Clinically appropriate reasons for repeat testing include non-diagnostic or inconclusive results, bilateral or multiple tumours, </w:t>
      </w:r>
      <w:r w:rsidR="00807710" w:rsidRPr="00DD30D9">
        <w:rPr>
          <w:lang w:val="en-AU"/>
        </w:rPr>
        <w:t xml:space="preserve">and </w:t>
      </w:r>
      <w:r w:rsidRPr="00DD30D9">
        <w:rPr>
          <w:lang w:val="en-AU"/>
        </w:rPr>
        <w:t>testing metastases whe</w:t>
      </w:r>
      <w:r w:rsidR="00807710" w:rsidRPr="00DD30D9">
        <w:rPr>
          <w:lang w:val="en-AU"/>
        </w:rPr>
        <w:t>n</w:t>
      </w:r>
      <w:r w:rsidRPr="00DD30D9">
        <w:rPr>
          <w:lang w:val="en-AU"/>
        </w:rPr>
        <w:t xml:space="preserve"> the status of the primary tumour is a concern. Repeat testing rates of up to </w:t>
      </w:r>
      <w:r w:rsidR="00807710" w:rsidRPr="00DD30D9">
        <w:rPr>
          <w:lang w:val="en-AU"/>
        </w:rPr>
        <w:t xml:space="preserve">10 </w:t>
      </w:r>
      <w:r w:rsidRPr="00DD30D9">
        <w:rPr>
          <w:lang w:val="en-AU"/>
        </w:rPr>
        <w:t>per</w:t>
      </w:r>
      <w:r w:rsidR="00807710" w:rsidRPr="00DD30D9">
        <w:rPr>
          <w:lang w:val="en-AU"/>
        </w:rPr>
        <w:t xml:space="preserve"> </w:t>
      </w:r>
      <w:r w:rsidRPr="00DD30D9">
        <w:rPr>
          <w:lang w:val="en-AU"/>
        </w:rPr>
        <w:t>cent would not be unreasonable</w:t>
      </w:r>
      <w:r w:rsidR="00DC5BEF">
        <w:rPr>
          <w:lang w:val="en-AU"/>
        </w:rPr>
        <w:t>.</w:t>
      </w:r>
      <w:r w:rsidR="006713A7" w:rsidRPr="00DD30D9">
        <w:rPr>
          <w:lang w:val="en-AU"/>
        </w:rPr>
        <w:t xml:space="preserve"> </w:t>
      </w:r>
      <w:r w:rsidR="006713A7" w:rsidRPr="00DD30D9">
        <w:rPr>
          <w:lang w:val="en-AU"/>
        </w:rPr>
        <w:fldChar w:fldCharType="begin"/>
      </w:r>
      <w:r w:rsidR="006713A7" w:rsidRPr="00DD30D9">
        <w:rPr>
          <w:lang w:val="en-AU"/>
        </w:rPr>
        <w:instrText xml:space="preserve"> REF _Ref488823350 \r \h </w:instrText>
      </w:r>
      <w:r w:rsidR="006713A7" w:rsidRPr="00DD30D9">
        <w:rPr>
          <w:lang w:val="en-AU"/>
        </w:rPr>
      </w:r>
      <w:r w:rsidR="006713A7" w:rsidRPr="00DD30D9">
        <w:rPr>
          <w:lang w:val="en-AU"/>
        </w:rPr>
        <w:fldChar w:fldCharType="separate"/>
      </w:r>
      <w:r w:rsidR="00CA1CA9" w:rsidRPr="00DD30D9">
        <w:rPr>
          <w:lang w:val="en-AU"/>
        </w:rPr>
        <w:t>[5]</w:t>
      </w:r>
      <w:r w:rsidR="006713A7" w:rsidRPr="00DD30D9">
        <w:rPr>
          <w:lang w:val="en-AU"/>
        </w:rPr>
        <w:fldChar w:fldCharType="end"/>
      </w:r>
    </w:p>
    <w:p w14:paraId="0E3C60BA" w14:textId="77777777" w:rsidR="008F396C" w:rsidRPr="00DD30D9" w:rsidRDefault="000156E7" w:rsidP="008F396C">
      <w:pPr>
        <w:pStyle w:val="01squarebullet"/>
        <w:rPr>
          <w:lang w:val="en-AU"/>
        </w:rPr>
      </w:pPr>
      <w:r w:rsidRPr="00DD30D9">
        <w:rPr>
          <w:lang w:val="en-AU"/>
        </w:rPr>
        <w:t>The Committee is aware of p</w:t>
      </w:r>
      <w:r w:rsidR="008F396C" w:rsidRPr="00DD30D9">
        <w:rPr>
          <w:lang w:val="en-AU"/>
        </w:rPr>
        <w:t>roposed</w:t>
      </w:r>
      <w:r w:rsidRPr="00DD30D9">
        <w:rPr>
          <w:lang w:val="en-AU"/>
        </w:rPr>
        <w:t xml:space="preserve"> changes to g</w:t>
      </w:r>
      <w:r w:rsidR="008F396C" w:rsidRPr="00DD30D9">
        <w:rPr>
          <w:lang w:val="en-AU"/>
        </w:rPr>
        <w:t xml:space="preserve">uidelines on </w:t>
      </w:r>
      <w:r w:rsidR="008F396C" w:rsidRPr="00C605CD">
        <w:rPr>
          <w:lang w:val="en-AU"/>
        </w:rPr>
        <w:t>HER2</w:t>
      </w:r>
      <w:r w:rsidR="008F396C" w:rsidRPr="00DD30D9">
        <w:rPr>
          <w:lang w:val="en-AU"/>
        </w:rPr>
        <w:t xml:space="preserve"> testing (via the Structured Reporting Committee of the RCPA) </w:t>
      </w:r>
      <w:r w:rsidRPr="00DD30D9">
        <w:rPr>
          <w:lang w:val="en-AU"/>
        </w:rPr>
        <w:t>that</w:t>
      </w:r>
      <w:r w:rsidR="008F396C" w:rsidRPr="00DD30D9">
        <w:rPr>
          <w:lang w:val="en-AU"/>
        </w:rPr>
        <w:t xml:space="preserve"> will recommend a transition to testing on core</w:t>
      </w:r>
      <w:r w:rsidRPr="00DD30D9">
        <w:rPr>
          <w:lang w:val="en-AU"/>
        </w:rPr>
        <w:t xml:space="preserve"> biopsies rather than resected tissue</w:t>
      </w:r>
      <w:r w:rsidR="008F396C" w:rsidRPr="00DD30D9">
        <w:rPr>
          <w:lang w:val="en-AU"/>
        </w:rPr>
        <w:t>.</w:t>
      </w:r>
      <w:r w:rsidRPr="00DD30D9">
        <w:rPr>
          <w:lang w:val="en-AU"/>
        </w:rPr>
        <w:t xml:space="preserve"> This is a significant deviation from current practice</w:t>
      </w:r>
      <w:r w:rsidR="008F396C" w:rsidRPr="00DD30D9">
        <w:rPr>
          <w:lang w:val="en-AU"/>
        </w:rPr>
        <w:t xml:space="preserve"> </w:t>
      </w:r>
      <w:r w:rsidRPr="00DD30D9">
        <w:rPr>
          <w:lang w:val="en-AU"/>
        </w:rPr>
        <w:t>that</w:t>
      </w:r>
      <w:r w:rsidR="008F396C" w:rsidRPr="00DD30D9">
        <w:rPr>
          <w:lang w:val="en-AU"/>
        </w:rPr>
        <w:t xml:space="preserve"> may result in transiently higher </w:t>
      </w:r>
      <w:r w:rsidRPr="00DD30D9">
        <w:rPr>
          <w:lang w:val="en-AU"/>
        </w:rPr>
        <w:t>utilisation</w:t>
      </w:r>
      <w:r w:rsidR="008F396C" w:rsidRPr="00DD30D9">
        <w:rPr>
          <w:lang w:val="en-AU"/>
        </w:rPr>
        <w:t xml:space="preserve"> of this item (due to duplicate testing) over the next 12 months until </w:t>
      </w:r>
      <w:r w:rsidRPr="00DD30D9">
        <w:rPr>
          <w:lang w:val="en-AU"/>
        </w:rPr>
        <w:t>the changes are fully implemented</w:t>
      </w:r>
      <w:r w:rsidR="008F396C" w:rsidRPr="00DD30D9">
        <w:rPr>
          <w:lang w:val="en-AU"/>
        </w:rPr>
        <w:t>.</w:t>
      </w:r>
    </w:p>
    <w:p w14:paraId="3D5771C6" w14:textId="77777777" w:rsidR="00C168F2" w:rsidRPr="00DD30D9" w:rsidRDefault="008F396C" w:rsidP="005739DC">
      <w:pPr>
        <w:pStyle w:val="01squarebullet"/>
        <w:rPr>
          <w:lang w:val="en-AU"/>
        </w:rPr>
      </w:pPr>
      <w:r w:rsidRPr="00DD30D9">
        <w:rPr>
          <w:lang w:val="en-AU"/>
        </w:rPr>
        <w:t xml:space="preserve">A </w:t>
      </w:r>
      <w:r w:rsidRPr="00DD30D9">
        <w:rPr>
          <w:szCs w:val="22"/>
          <w:lang w:val="en-AU"/>
        </w:rPr>
        <w:t xml:space="preserve">note should be included with the recommendations to highlight the potential changes to guidelines around </w:t>
      </w:r>
      <w:r w:rsidRPr="00C605CD">
        <w:rPr>
          <w:szCs w:val="22"/>
          <w:lang w:val="en-AU"/>
        </w:rPr>
        <w:t>HER2</w:t>
      </w:r>
      <w:r w:rsidRPr="00DD30D9">
        <w:rPr>
          <w:szCs w:val="22"/>
          <w:lang w:val="en-AU"/>
        </w:rPr>
        <w:t xml:space="preserve"> testing and to suggest utilisation of this item be monitored to detect an increase in repeat testing rate (resections vs core) </w:t>
      </w:r>
      <w:r w:rsidR="00807710" w:rsidRPr="00DD30D9">
        <w:rPr>
          <w:szCs w:val="22"/>
          <w:lang w:val="en-AU"/>
        </w:rPr>
        <w:t xml:space="preserve">greater than </w:t>
      </w:r>
      <w:r w:rsidRPr="00DD30D9">
        <w:rPr>
          <w:szCs w:val="22"/>
          <w:lang w:val="en-AU"/>
        </w:rPr>
        <w:t>10%, which may indi</w:t>
      </w:r>
      <w:r w:rsidR="005739DC" w:rsidRPr="00DD30D9">
        <w:rPr>
          <w:szCs w:val="22"/>
          <w:lang w:val="en-AU"/>
        </w:rPr>
        <w:t xml:space="preserve">cate unnecessary repeat testing. The Committee recommended that this </w:t>
      </w:r>
      <w:r w:rsidRPr="00DD30D9">
        <w:rPr>
          <w:szCs w:val="22"/>
          <w:lang w:val="en-AU"/>
        </w:rPr>
        <w:t xml:space="preserve">item be reviewed again </w:t>
      </w:r>
      <w:r w:rsidR="005739DC" w:rsidRPr="00DD30D9">
        <w:rPr>
          <w:szCs w:val="22"/>
          <w:lang w:val="en-AU"/>
        </w:rPr>
        <w:t>in</w:t>
      </w:r>
      <w:r w:rsidRPr="00DD30D9">
        <w:rPr>
          <w:szCs w:val="22"/>
          <w:lang w:val="en-AU"/>
        </w:rPr>
        <w:t xml:space="preserve"> 12 months</w:t>
      </w:r>
      <w:r w:rsidR="00546D64" w:rsidRPr="00DD30D9">
        <w:rPr>
          <w:szCs w:val="22"/>
          <w:lang w:val="en-AU"/>
        </w:rPr>
        <w:t>.</w:t>
      </w:r>
    </w:p>
    <w:p w14:paraId="5EB4873A" w14:textId="77777777" w:rsidR="002D05EC" w:rsidRPr="00DD30D9" w:rsidRDefault="002D05EC" w:rsidP="002D05EC">
      <w:pPr>
        <w:pStyle w:val="01squarebullet"/>
        <w:rPr>
          <w:lang w:val="en-AU"/>
        </w:rPr>
      </w:pPr>
      <w:r w:rsidRPr="00DD30D9">
        <w:rPr>
          <w:szCs w:val="22"/>
          <w:lang w:val="en-AU"/>
        </w:rPr>
        <w:t xml:space="preserve">This item is a </w:t>
      </w:r>
      <w:r w:rsidR="00DF7851" w:rsidRPr="00DD30D9">
        <w:rPr>
          <w:szCs w:val="22"/>
          <w:lang w:val="en-AU"/>
        </w:rPr>
        <w:t>p</w:t>
      </w:r>
      <w:r w:rsidRPr="00DD30D9">
        <w:rPr>
          <w:szCs w:val="22"/>
          <w:lang w:val="en-AU"/>
        </w:rPr>
        <w:t xml:space="preserve">athologist </w:t>
      </w:r>
      <w:r w:rsidR="00DF7851" w:rsidRPr="00DD30D9">
        <w:rPr>
          <w:szCs w:val="22"/>
          <w:lang w:val="en-AU"/>
        </w:rPr>
        <w:t>d</w:t>
      </w:r>
      <w:r w:rsidRPr="00DD30D9">
        <w:rPr>
          <w:szCs w:val="22"/>
          <w:lang w:val="en-AU"/>
        </w:rPr>
        <w:t xml:space="preserve">eterminable item, and </w:t>
      </w:r>
      <w:r w:rsidR="00656270" w:rsidRPr="00DD30D9">
        <w:rPr>
          <w:szCs w:val="22"/>
          <w:lang w:val="en-AU"/>
        </w:rPr>
        <w:t xml:space="preserve">the Committee recommended clearly identifying this in the </w:t>
      </w:r>
      <w:r w:rsidR="00130EAF" w:rsidRPr="00DD30D9">
        <w:rPr>
          <w:szCs w:val="22"/>
          <w:lang w:val="en-AU"/>
        </w:rPr>
        <w:t xml:space="preserve">item </w:t>
      </w:r>
      <w:r w:rsidR="00656270" w:rsidRPr="00DD30D9">
        <w:rPr>
          <w:szCs w:val="22"/>
          <w:lang w:val="en-AU"/>
        </w:rPr>
        <w:t>descrip</w:t>
      </w:r>
      <w:r w:rsidR="002D7EDE" w:rsidRPr="00DD30D9">
        <w:rPr>
          <w:szCs w:val="22"/>
          <w:lang w:val="en-AU"/>
        </w:rPr>
        <w:t>tor</w:t>
      </w:r>
      <w:r w:rsidR="009F600D" w:rsidRPr="00DD30D9">
        <w:rPr>
          <w:szCs w:val="22"/>
          <w:lang w:val="en-AU"/>
        </w:rPr>
        <w:t>. T</w:t>
      </w:r>
      <w:r w:rsidRPr="00DD30D9">
        <w:rPr>
          <w:szCs w:val="22"/>
          <w:lang w:val="en-AU"/>
        </w:rPr>
        <w:t>his also applies to</w:t>
      </w:r>
      <w:r w:rsidR="000F563D" w:rsidRPr="00DD30D9">
        <w:rPr>
          <w:szCs w:val="22"/>
          <w:lang w:val="en-AU"/>
        </w:rPr>
        <w:t xml:space="preserve"> </w:t>
      </w:r>
      <w:r w:rsidR="009E6C85" w:rsidRPr="00DD30D9">
        <w:rPr>
          <w:szCs w:val="22"/>
          <w:lang w:val="en-AU"/>
        </w:rPr>
        <w:t xml:space="preserve">the </w:t>
      </w:r>
      <w:r w:rsidR="00656270" w:rsidRPr="00DD30D9">
        <w:rPr>
          <w:szCs w:val="22"/>
          <w:lang w:val="en-AU"/>
        </w:rPr>
        <w:t>o</w:t>
      </w:r>
      <w:r w:rsidR="00DF7851" w:rsidRPr="00DD30D9">
        <w:rPr>
          <w:szCs w:val="22"/>
          <w:lang w:val="en-AU"/>
        </w:rPr>
        <w:t>ther pathologist d</w:t>
      </w:r>
      <w:r w:rsidR="00656270" w:rsidRPr="00DD30D9">
        <w:rPr>
          <w:szCs w:val="22"/>
          <w:lang w:val="en-AU"/>
        </w:rPr>
        <w:t xml:space="preserve">eterminable </w:t>
      </w:r>
      <w:r w:rsidR="000F563D" w:rsidRPr="00DD30D9">
        <w:rPr>
          <w:szCs w:val="22"/>
          <w:lang w:val="en-AU"/>
        </w:rPr>
        <w:t>genetic</w:t>
      </w:r>
      <w:r w:rsidRPr="00DD30D9">
        <w:rPr>
          <w:szCs w:val="22"/>
          <w:lang w:val="en-AU"/>
        </w:rPr>
        <w:t xml:space="preserve"> items </w:t>
      </w:r>
      <w:r w:rsidR="00130EAF" w:rsidRPr="00DD30D9">
        <w:rPr>
          <w:szCs w:val="22"/>
          <w:lang w:val="en-AU"/>
        </w:rPr>
        <w:t>—</w:t>
      </w:r>
      <w:r w:rsidR="000F563D" w:rsidRPr="00DD30D9">
        <w:rPr>
          <w:szCs w:val="22"/>
          <w:lang w:val="en-AU"/>
        </w:rPr>
        <w:t>73326 and 73337</w:t>
      </w:r>
      <w:r w:rsidR="009F600D" w:rsidRPr="00DD30D9">
        <w:rPr>
          <w:szCs w:val="22"/>
          <w:lang w:val="en-AU"/>
        </w:rPr>
        <w:t xml:space="preserve"> (see Section 4.1</w:t>
      </w:r>
      <w:r w:rsidR="003631D5" w:rsidRPr="00DD30D9">
        <w:rPr>
          <w:szCs w:val="22"/>
          <w:lang w:val="en-AU"/>
        </w:rPr>
        <w:t>2</w:t>
      </w:r>
      <w:r w:rsidR="009F600D" w:rsidRPr="00DD30D9">
        <w:rPr>
          <w:szCs w:val="22"/>
          <w:lang w:val="en-AU"/>
        </w:rPr>
        <w:t>)</w:t>
      </w:r>
      <w:r w:rsidR="000F563D" w:rsidRPr="00DD30D9">
        <w:rPr>
          <w:szCs w:val="22"/>
          <w:lang w:val="en-AU"/>
        </w:rPr>
        <w:t>,</w:t>
      </w:r>
      <w:r w:rsidRPr="00DD30D9">
        <w:rPr>
          <w:szCs w:val="22"/>
          <w:lang w:val="en-AU"/>
        </w:rPr>
        <w:t xml:space="preserve"> and </w:t>
      </w:r>
      <w:r w:rsidR="009F600D" w:rsidRPr="00DD30D9">
        <w:rPr>
          <w:szCs w:val="22"/>
          <w:lang w:val="en-AU"/>
        </w:rPr>
        <w:t xml:space="preserve">potentially </w:t>
      </w:r>
      <w:r w:rsidR="000F563D" w:rsidRPr="00DD30D9">
        <w:rPr>
          <w:szCs w:val="22"/>
          <w:lang w:val="en-AU"/>
        </w:rPr>
        <w:t>to</w:t>
      </w:r>
      <w:r w:rsidRPr="00DD30D9">
        <w:rPr>
          <w:szCs w:val="22"/>
          <w:lang w:val="en-AU"/>
        </w:rPr>
        <w:t xml:space="preserve"> other </w:t>
      </w:r>
      <w:r w:rsidR="00DF7851" w:rsidRPr="00DD30D9">
        <w:rPr>
          <w:szCs w:val="22"/>
          <w:lang w:val="en-AU"/>
        </w:rPr>
        <w:t>p</w:t>
      </w:r>
      <w:r w:rsidR="000F563D" w:rsidRPr="00DD30D9">
        <w:rPr>
          <w:szCs w:val="22"/>
          <w:lang w:val="en-AU"/>
        </w:rPr>
        <w:t xml:space="preserve">athologist </w:t>
      </w:r>
      <w:r w:rsidR="00DF7851" w:rsidRPr="00DD30D9">
        <w:rPr>
          <w:szCs w:val="22"/>
          <w:lang w:val="en-AU"/>
        </w:rPr>
        <w:t>d</w:t>
      </w:r>
      <w:r w:rsidR="000F563D" w:rsidRPr="00DD30D9">
        <w:rPr>
          <w:szCs w:val="22"/>
          <w:lang w:val="en-AU"/>
        </w:rPr>
        <w:t xml:space="preserve">eterminable </w:t>
      </w:r>
      <w:r w:rsidRPr="00DD30D9">
        <w:rPr>
          <w:szCs w:val="22"/>
          <w:lang w:val="en-AU"/>
        </w:rPr>
        <w:t xml:space="preserve">items across the </w:t>
      </w:r>
      <w:r w:rsidR="00444647" w:rsidRPr="00DD30D9">
        <w:rPr>
          <w:szCs w:val="22"/>
          <w:lang w:val="en-AU"/>
        </w:rPr>
        <w:t>MBS</w:t>
      </w:r>
      <w:r w:rsidR="00BE7B83" w:rsidRPr="00DD30D9">
        <w:rPr>
          <w:szCs w:val="22"/>
          <w:lang w:val="en-AU"/>
        </w:rPr>
        <w:t>.</w:t>
      </w:r>
    </w:p>
    <w:p w14:paraId="4EB4B527" w14:textId="77777777" w:rsidR="007832B2" w:rsidRPr="00A31D28" w:rsidRDefault="007832B2" w:rsidP="002D05EC">
      <w:pPr>
        <w:pStyle w:val="01squarebullet"/>
        <w:rPr>
          <w:rFonts w:cstheme="minorHAnsi"/>
          <w:szCs w:val="22"/>
          <w:lang w:val="en-AU"/>
        </w:rPr>
      </w:pPr>
      <w:r w:rsidRPr="00A31D28">
        <w:rPr>
          <w:rFonts w:eastAsiaTheme="minorHAnsi" w:cstheme="minorHAnsi"/>
          <w:szCs w:val="22"/>
          <w:lang w:val="en-AU"/>
        </w:rPr>
        <w:t>There would be no change for patients, but pathologists will have more information to assist them in performing the test appropriately.</w:t>
      </w:r>
    </w:p>
    <w:p w14:paraId="05968764" w14:textId="77777777" w:rsidR="00A34374" w:rsidRPr="00DD30D9" w:rsidRDefault="00A34374">
      <w:pPr>
        <w:pStyle w:val="Heading2"/>
      </w:pPr>
      <w:bookmarkStart w:id="117" w:name="_Hlk481928324"/>
      <w:bookmarkStart w:id="118" w:name="_Toc13735996"/>
      <w:r w:rsidRPr="00DD30D9">
        <w:lastRenderedPageBreak/>
        <w:t xml:space="preserve">ISH test for </w:t>
      </w:r>
      <w:r w:rsidRPr="00DD30D9">
        <w:rPr>
          <w:i/>
        </w:rPr>
        <w:t>HER2</w:t>
      </w:r>
      <w:r w:rsidRPr="00DD30D9">
        <w:t xml:space="preserve"> for </w:t>
      </w:r>
      <w:r w:rsidR="00246B0E" w:rsidRPr="00DD30D9">
        <w:t xml:space="preserve">PBS </w:t>
      </w:r>
      <w:r w:rsidRPr="00DD30D9">
        <w:t>trastuzumab for gastric cancer</w:t>
      </w:r>
      <w:bookmarkEnd w:id="117"/>
      <w:r w:rsidR="001F4DA1" w:rsidRPr="00DD30D9">
        <w:t>: item 7334</w:t>
      </w:r>
      <w:r w:rsidRPr="00DD30D9">
        <w:t>2</w:t>
      </w:r>
      <w:bookmarkEnd w:id="118"/>
    </w:p>
    <w:p w14:paraId="7AD4C238" w14:textId="77777777" w:rsidR="001F4DA1" w:rsidRPr="00720661" w:rsidRDefault="001F4DA1">
      <w:pPr>
        <w:pStyle w:val="Caption"/>
      </w:pPr>
      <w:bookmarkStart w:id="119" w:name="_Toc482009638"/>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Pr="00720661">
        <w:t>Item introduction table for item 73342</w:t>
      </w:r>
      <w:bookmarkEnd w:id="119"/>
    </w:p>
    <w:tbl>
      <w:tblPr>
        <w:tblStyle w:val="TableGrid1"/>
        <w:tblW w:w="9016" w:type="dxa"/>
        <w:tblLayout w:type="fixed"/>
        <w:tblLook w:val="04A0" w:firstRow="1" w:lastRow="0" w:firstColumn="1" w:lastColumn="0" w:noHBand="0" w:noVBand="1"/>
        <w:tblCaption w:val="Item introduction table for item 73342"/>
        <w:tblDescription w:val="This table contains Medicare Benefits Schedule data for item 73342 for the finanical year 2014–2015. The data include item numbers, long item descriptors, schedule fee, total volume of services, benefits paid, patient count and services annual average growth."/>
      </w:tblPr>
      <w:tblGrid>
        <w:gridCol w:w="734"/>
        <w:gridCol w:w="3083"/>
        <w:gridCol w:w="1022"/>
        <w:gridCol w:w="1147"/>
        <w:gridCol w:w="1148"/>
        <w:gridCol w:w="941"/>
        <w:gridCol w:w="941"/>
      </w:tblGrid>
      <w:tr w:rsidR="001F4DA1" w:rsidRPr="00720661" w14:paraId="7611AE1E" w14:textId="77777777" w:rsidTr="006B51F5">
        <w:trPr>
          <w:trHeight w:val="729"/>
          <w:tblHeader/>
        </w:trPr>
        <w:tc>
          <w:tcPr>
            <w:tcW w:w="734" w:type="dxa"/>
            <w:shd w:val="clear" w:color="auto" w:fill="EEECE1" w:themeFill="background2"/>
            <w:vAlign w:val="bottom"/>
            <w:hideMark/>
          </w:tcPr>
          <w:p w14:paraId="4F2BD5B4" w14:textId="77777777" w:rsidR="001F4DA1" w:rsidRPr="00DD30D9" w:rsidRDefault="001F4DA1" w:rsidP="000F563D">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3083" w:type="dxa"/>
            <w:shd w:val="clear" w:color="auto" w:fill="EEECE1" w:themeFill="background2"/>
            <w:vAlign w:val="bottom"/>
            <w:hideMark/>
          </w:tcPr>
          <w:p w14:paraId="5FB241DD" w14:textId="77777777" w:rsidR="001F4DA1" w:rsidRPr="00DD30D9" w:rsidRDefault="001F4DA1" w:rsidP="000F563D">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22" w:type="dxa"/>
            <w:shd w:val="clear" w:color="auto" w:fill="EEECE1" w:themeFill="background2"/>
            <w:vAlign w:val="bottom"/>
            <w:hideMark/>
          </w:tcPr>
          <w:p w14:paraId="5495B591" w14:textId="77777777" w:rsidR="001F4DA1" w:rsidRPr="00DD30D9" w:rsidRDefault="001F4DA1" w:rsidP="000F563D">
            <w:pPr>
              <w:rPr>
                <w:rFonts w:ascii="Arial" w:hAnsi="Arial" w:cs="Arial"/>
                <w:b/>
                <w:color w:val="000000"/>
                <w:sz w:val="18"/>
                <w:szCs w:val="18"/>
                <w:lang w:val="en-AU"/>
              </w:rPr>
            </w:pPr>
            <w:r w:rsidRPr="00DD30D9">
              <w:rPr>
                <w:rFonts w:ascii="Arial" w:hAnsi="Arial" w:cs="Arial"/>
                <w:b/>
                <w:color w:val="000000"/>
                <w:sz w:val="18"/>
                <w:szCs w:val="18"/>
                <w:lang w:val="en-AU"/>
              </w:rPr>
              <w:t>Schedule fee</w:t>
            </w:r>
          </w:p>
        </w:tc>
        <w:tc>
          <w:tcPr>
            <w:tcW w:w="1147" w:type="dxa"/>
            <w:shd w:val="clear" w:color="auto" w:fill="EEECE1" w:themeFill="background2"/>
            <w:vAlign w:val="bottom"/>
          </w:tcPr>
          <w:p w14:paraId="0E63664D" w14:textId="77777777" w:rsidR="001F4DA1" w:rsidRPr="00DD30D9" w:rsidRDefault="001F4DA1" w:rsidP="000F563D">
            <w:pPr>
              <w:rPr>
                <w:rFonts w:ascii="Arial" w:hAnsi="Arial" w:cs="Arial"/>
                <w:b/>
                <w:color w:val="000000"/>
                <w:sz w:val="18"/>
                <w:szCs w:val="18"/>
                <w:lang w:val="en-AU"/>
              </w:rPr>
            </w:pPr>
            <w:r w:rsidRPr="00DD30D9">
              <w:rPr>
                <w:rFonts w:ascii="Arial" w:hAnsi="Arial" w:cs="Arial"/>
                <w:b/>
                <w:color w:val="000000"/>
                <w:sz w:val="18"/>
                <w:szCs w:val="18"/>
                <w:lang w:val="en-AU"/>
              </w:rPr>
              <w:t>Services FY2014</w:t>
            </w:r>
            <w:r w:rsidR="008328CB">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148" w:type="dxa"/>
            <w:shd w:val="clear" w:color="auto" w:fill="EEECE1" w:themeFill="background2"/>
            <w:vAlign w:val="bottom"/>
          </w:tcPr>
          <w:p w14:paraId="16585DA9" w14:textId="77777777" w:rsidR="001F4DA1" w:rsidRPr="00DD30D9" w:rsidRDefault="001F4DA1" w:rsidP="000F563D">
            <w:pPr>
              <w:rPr>
                <w:rFonts w:ascii="Arial" w:hAnsi="Arial" w:cs="Arial"/>
                <w:b/>
                <w:color w:val="000000"/>
                <w:sz w:val="18"/>
                <w:szCs w:val="18"/>
                <w:lang w:val="en-AU"/>
              </w:rPr>
            </w:pPr>
            <w:r w:rsidRPr="00DD30D9">
              <w:rPr>
                <w:rFonts w:ascii="Arial" w:hAnsi="Arial" w:cs="Arial"/>
                <w:b/>
                <w:color w:val="000000"/>
                <w:sz w:val="18"/>
                <w:szCs w:val="18"/>
                <w:lang w:val="en-AU"/>
              </w:rPr>
              <w:t>Benefits FY2014</w:t>
            </w:r>
            <w:r w:rsidR="008328CB">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41" w:type="dxa"/>
            <w:shd w:val="clear" w:color="auto" w:fill="EEECE1" w:themeFill="background2"/>
            <w:vAlign w:val="bottom"/>
            <w:hideMark/>
          </w:tcPr>
          <w:p w14:paraId="570DCD06" w14:textId="77777777" w:rsidR="001F4DA1" w:rsidRPr="00DD30D9" w:rsidRDefault="001F4DA1" w:rsidP="000F563D">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8328CB">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41" w:type="dxa"/>
            <w:shd w:val="clear" w:color="auto" w:fill="EEECE1" w:themeFill="background2"/>
            <w:vAlign w:val="bottom"/>
            <w:hideMark/>
          </w:tcPr>
          <w:p w14:paraId="477F3499" w14:textId="77777777" w:rsidR="001F4DA1" w:rsidRPr="00DD30D9" w:rsidRDefault="00AB0990" w:rsidP="000F563D">
            <w:pPr>
              <w:rPr>
                <w:rFonts w:ascii="Arial" w:hAnsi="Arial" w:cs="Arial"/>
                <w:b/>
                <w:color w:val="000000"/>
                <w:sz w:val="18"/>
                <w:szCs w:val="18"/>
                <w:lang w:val="en-AU"/>
              </w:rPr>
            </w:pPr>
            <w:r w:rsidRPr="00DD30D9">
              <w:rPr>
                <w:rFonts w:ascii="Arial" w:hAnsi="Arial" w:cs="Arial"/>
                <w:b/>
                <w:color w:val="000000"/>
                <w:sz w:val="18"/>
                <w:szCs w:val="18"/>
                <w:lang w:val="en-AU"/>
              </w:rPr>
              <w:t xml:space="preserve">5 year service change </w:t>
            </w:r>
            <w:r w:rsidR="001F4DA1" w:rsidRPr="00DD30D9">
              <w:rPr>
                <w:rFonts w:ascii="Arial" w:hAnsi="Arial" w:cs="Arial"/>
                <w:b/>
                <w:color w:val="000000"/>
                <w:sz w:val="18"/>
                <w:szCs w:val="18"/>
                <w:lang w:val="en-AU"/>
              </w:rPr>
              <w:t>(CAGR)</w:t>
            </w:r>
          </w:p>
        </w:tc>
      </w:tr>
      <w:tr w:rsidR="001F4DA1" w:rsidRPr="00720661" w14:paraId="27908461" w14:textId="77777777" w:rsidTr="006B51F5">
        <w:trPr>
          <w:trHeight w:val="300"/>
        </w:trPr>
        <w:tc>
          <w:tcPr>
            <w:tcW w:w="734" w:type="dxa"/>
            <w:noWrap/>
          </w:tcPr>
          <w:p w14:paraId="1F519B41" w14:textId="77777777" w:rsidR="001F4DA1" w:rsidRPr="00DD30D9" w:rsidRDefault="001F4DA1" w:rsidP="001F4DA1">
            <w:pPr>
              <w:rPr>
                <w:rFonts w:ascii="Arial" w:hAnsi="Arial" w:cs="Arial"/>
                <w:color w:val="000000"/>
                <w:sz w:val="18"/>
                <w:szCs w:val="18"/>
                <w:lang w:val="en-AU"/>
              </w:rPr>
            </w:pPr>
            <w:r w:rsidRPr="00DD30D9">
              <w:rPr>
                <w:rFonts w:ascii="Arial" w:hAnsi="Arial" w:cs="Arial"/>
                <w:sz w:val="18"/>
                <w:szCs w:val="18"/>
                <w:lang w:val="en-AU"/>
              </w:rPr>
              <w:t>73342</w:t>
            </w:r>
          </w:p>
        </w:tc>
        <w:tc>
          <w:tcPr>
            <w:tcW w:w="3083" w:type="dxa"/>
            <w:noWrap/>
          </w:tcPr>
          <w:p w14:paraId="18BDC4E3" w14:textId="77777777" w:rsidR="001F4DA1" w:rsidRPr="00DD30D9" w:rsidRDefault="001F4DA1" w:rsidP="001F4DA1">
            <w:pPr>
              <w:rPr>
                <w:rFonts w:ascii="Arial" w:hAnsi="Arial" w:cs="Arial"/>
                <w:color w:val="000000"/>
                <w:sz w:val="18"/>
                <w:szCs w:val="18"/>
                <w:lang w:val="en-AU"/>
              </w:rPr>
            </w:pPr>
            <w:r w:rsidRPr="00DD30D9">
              <w:rPr>
                <w:rFonts w:ascii="Arial" w:hAnsi="Arial" w:cs="Arial"/>
                <w:sz w:val="18"/>
                <w:szCs w:val="18"/>
                <w:lang w:val="en-AU"/>
              </w:rPr>
              <w:t>An in situ hybridisation (ISH) test of tumour tissue from a patient with metastatic adenocarcinoma of the stomach or gastro-oesophageal junction, with documented evidence of human epidermal growth factor receptor 2 (</w:t>
            </w:r>
            <w:r w:rsidRPr="00DD30D9">
              <w:rPr>
                <w:rFonts w:ascii="Arial" w:hAnsi="Arial" w:cs="Arial"/>
                <w:i/>
                <w:iCs/>
                <w:sz w:val="18"/>
                <w:szCs w:val="18"/>
                <w:lang w:val="en-AU"/>
              </w:rPr>
              <w:t>HER2</w:t>
            </w:r>
            <w:r w:rsidRPr="00DD30D9">
              <w:rPr>
                <w:rFonts w:ascii="Arial" w:hAnsi="Arial" w:cs="Arial"/>
                <w:sz w:val="18"/>
                <w:szCs w:val="18"/>
                <w:lang w:val="en-AU"/>
              </w:rPr>
              <w:t>)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sidRPr="00DD30D9">
              <w:rPr>
                <w:rFonts w:ascii="Arial" w:hAnsi="Arial" w:cs="Arial"/>
                <w:i/>
                <w:iCs/>
                <w:sz w:val="18"/>
                <w:szCs w:val="18"/>
                <w:lang w:val="en-AU"/>
              </w:rPr>
              <w:t>HER2</w:t>
            </w:r>
            <w:r w:rsidRPr="00DD30D9">
              <w:rPr>
                <w:rFonts w:ascii="Arial" w:hAnsi="Arial" w:cs="Arial"/>
                <w:sz w:val="18"/>
                <w:szCs w:val="18"/>
                <w:lang w:val="en-AU"/>
              </w:rPr>
              <w:t> gene amplification for access to trastuzumab under the Pharmaceutical Benefits Scheme are fulfilled.</w:t>
            </w:r>
          </w:p>
        </w:tc>
        <w:tc>
          <w:tcPr>
            <w:tcW w:w="1022" w:type="dxa"/>
            <w:noWrap/>
          </w:tcPr>
          <w:p w14:paraId="4336FBC0" w14:textId="77777777" w:rsidR="001F4DA1" w:rsidRPr="00DD30D9" w:rsidRDefault="001F4DA1" w:rsidP="006B51F5">
            <w:pPr>
              <w:jc w:val="right"/>
              <w:rPr>
                <w:rFonts w:ascii="Arial" w:hAnsi="Arial" w:cs="Arial"/>
                <w:color w:val="000000"/>
                <w:sz w:val="18"/>
                <w:szCs w:val="18"/>
                <w:lang w:val="en-AU"/>
              </w:rPr>
            </w:pPr>
            <w:r w:rsidRPr="00DD30D9">
              <w:rPr>
                <w:rFonts w:ascii="Arial" w:hAnsi="Arial" w:cs="Arial"/>
                <w:color w:val="222222"/>
                <w:sz w:val="18"/>
                <w:szCs w:val="18"/>
                <w:shd w:val="clear" w:color="auto" w:fill="FBFBFB"/>
                <w:lang w:val="en-AU"/>
              </w:rPr>
              <w:t>$315.40</w:t>
            </w:r>
            <w:r w:rsidRPr="00DD30D9">
              <w:rPr>
                <w:rStyle w:val="apple-converted-space"/>
                <w:rFonts w:ascii="Arial" w:hAnsi="Arial" w:cs="Arial"/>
                <w:color w:val="222222"/>
                <w:sz w:val="18"/>
                <w:szCs w:val="18"/>
                <w:shd w:val="clear" w:color="auto" w:fill="FBFBFB"/>
                <w:lang w:val="en-AU"/>
              </w:rPr>
              <w:t> </w:t>
            </w:r>
          </w:p>
        </w:tc>
        <w:tc>
          <w:tcPr>
            <w:tcW w:w="1147" w:type="dxa"/>
            <w:noWrap/>
          </w:tcPr>
          <w:p w14:paraId="2F64D2F0" w14:textId="77777777" w:rsidR="001F4DA1" w:rsidRPr="00DD30D9" w:rsidRDefault="008067F8" w:rsidP="006B51F5">
            <w:pPr>
              <w:jc w:val="center"/>
              <w:rPr>
                <w:rFonts w:ascii="Arial" w:hAnsi="Arial" w:cs="Arial"/>
                <w:color w:val="000000"/>
                <w:sz w:val="18"/>
                <w:szCs w:val="18"/>
                <w:lang w:val="en-AU"/>
              </w:rPr>
            </w:pPr>
            <w:r>
              <w:rPr>
                <w:rFonts w:ascii="Arial" w:hAnsi="Arial" w:cs="Arial"/>
                <w:sz w:val="18"/>
                <w:szCs w:val="18"/>
                <w:lang w:val="en-AU"/>
              </w:rPr>
              <w:t>—</w:t>
            </w:r>
          </w:p>
        </w:tc>
        <w:tc>
          <w:tcPr>
            <w:tcW w:w="1148" w:type="dxa"/>
          </w:tcPr>
          <w:p w14:paraId="49FD0107" w14:textId="77777777" w:rsidR="001F4DA1" w:rsidRPr="00DD30D9" w:rsidRDefault="008067F8" w:rsidP="006B51F5">
            <w:pPr>
              <w:jc w:val="center"/>
              <w:rPr>
                <w:rFonts w:ascii="Arial" w:hAnsi="Arial" w:cs="Arial"/>
                <w:color w:val="000000"/>
                <w:sz w:val="18"/>
                <w:szCs w:val="18"/>
                <w:lang w:val="en-AU"/>
              </w:rPr>
            </w:pPr>
            <w:r>
              <w:rPr>
                <w:rFonts w:ascii="Arial" w:hAnsi="Arial" w:cs="Arial"/>
                <w:sz w:val="18"/>
                <w:szCs w:val="18"/>
                <w:lang w:val="en-AU"/>
              </w:rPr>
              <w:t>—</w:t>
            </w:r>
          </w:p>
        </w:tc>
        <w:tc>
          <w:tcPr>
            <w:tcW w:w="941" w:type="dxa"/>
            <w:noWrap/>
          </w:tcPr>
          <w:p w14:paraId="0A1D3A18" w14:textId="77777777" w:rsidR="001F4DA1" w:rsidRPr="00DD30D9" w:rsidRDefault="008067F8" w:rsidP="006B51F5">
            <w:pPr>
              <w:jc w:val="center"/>
              <w:rPr>
                <w:rFonts w:ascii="Arial" w:hAnsi="Arial" w:cs="Arial"/>
                <w:color w:val="000000"/>
                <w:sz w:val="18"/>
                <w:szCs w:val="18"/>
                <w:lang w:val="en-AU"/>
              </w:rPr>
            </w:pPr>
            <w:r>
              <w:rPr>
                <w:rFonts w:ascii="Arial" w:hAnsi="Arial" w:cs="Arial"/>
                <w:sz w:val="18"/>
                <w:szCs w:val="18"/>
                <w:lang w:val="en-AU"/>
              </w:rPr>
              <w:t>—</w:t>
            </w:r>
          </w:p>
        </w:tc>
        <w:tc>
          <w:tcPr>
            <w:tcW w:w="941" w:type="dxa"/>
            <w:noWrap/>
          </w:tcPr>
          <w:p w14:paraId="1E4A6850" w14:textId="77777777" w:rsidR="001F4DA1" w:rsidRPr="00DD30D9" w:rsidRDefault="008067F8" w:rsidP="006B51F5">
            <w:pPr>
              <w:jc w:val="center"/>
              <w:rPr>
                <w:rFonts w:ascii="Arial" w:hAnsi="Arial" w:cs="Arial"/>
                <w:color w:val="000000"/>
                <w:sz w:val="18"/>
                <w:szCs w:val="18"/>
                <w:lang w:val="en-AU"/>
              </w:rPr>
            </w:pPr>
            <w:r>
              <w:rPr>
                <w:rFonts w:ascii="Arial" w:hAnsi="Arial" w:cs="Arial"/>
                <w:sz w:val="18"/>
                <w:szCs w:val="18"/>
                <w:lang w:val="en-AU"/>
              </w:rPr>
              <w:t>—</w:t>
            </w:r>
          </w:p>
        </w:tc>
      </w:tr>
    </w:tbl>
    <w:p w14:paraId="6E33435E" w14:textId="77777777" w:rsidR="000F563D" w:rsidRPr="00DD30D9" w:rsidRDefault="000F563D" w:rsidP="0053130E">
      <w:pPr>
        <w:pStyle w:val="Heading3"/>
        <w:numPr>
          <w:ilvl w:val="0"/>
          <w:numId w:val="0"/>
        </w:numPr>
        <w:rPr>
          <w:lang w:val="en-AU"/>
        </w:rPr>
      </w:pPr>
      <w:bookmarkStart w:id="120" w:name="_Toc13735997"/>
      <w:r w:rsidRPr="00DD30D9">
        <w:rPr>
          <w:lang w:val="en-AU"/>
        </w:rPr>
        <w:t>Recommendation</w:t>
      </w:r>
      <w:r w:rsidR="0061030F" w:rsidRPr="00DD30D9">
        <w:rPr>
          <w:lang w:val="en-AU"/>
        </w:rPr>
        <w:t xml:space="preserve"> 8</w:t>
      </w:r>
      <w:bookmarkEnd w:id="120"/>
    </w:p>
    <w:p w14:paraId="3FAC6DF3" w14:textId="77777777" w:rsidR="00644D22" w:rsidRPr="00DD30D9" w:rsidRDefault="00644D22" w:rsidP="00FA5690">
      <w:pPr>
        <w:pStyle w:val="01squarebullet"/>
        <w:rPr>
          <w:lang w:val="en-AU"/>
        </w:rPr>
      </w:pPr>
      <w:r w:rsidRPr="00DD30D9">
        <w:rPr>
          <w:lang w:val="en-AU"/>
        </w:rPr>
        <w:t xml:space="preserve">Include </w:t>
      </w:r>
      <w:r w:rsidR="00B47A1F" w:rsidRPr="00DD30D9">
        <w:rPr>
          <w:lang w:val="en-AU"/>
        </w:rPr>
        <w:t xml:space="preserve">an explanatory note regarding </w:t>
      </w:r>
      <w:r w:rsidRPr="00DD30D9">
        <w:rPr>
          <w:lang w:val="en-AU"/>
        </w:rPr>
        <w:t xml:space="preserve">the trastuzumab PBS criteria testing </w:t>
      </w:r>
      <w:r w:rsidR="00B47A1F" w:rsidRPr="00DD30D9">
        <w:rPr>
          <w:lang w:val="en-AU"/>
        </w:rPr>
        <w:t xml:space="preserve">requirements for </w:t>
      </w:r>
      <w:r w:rsidR="00B47A1F" w:rsidRPr="006B51F5">
        <w:rPr>
          <w:i/>
          <w:lang w:val="en-AU"/>
        </w:rPr>
        <w:t>HER2</w:t>
      </w:r>
      <w:r w:rsidR="00B47A1F" w:rsidRPr="00DD30D9">
        <w:rPr>
          <w:lang w:val="en-AU"/>
        </w:rPr>
        <w:t xml:space="preserve"> </w:t>
      </w:r>
      <w:r w:rsidRPr="00DD30D9">
        <w:rPr>
          <w:lang w:val="en-AU"/>
        </w:rPr>
        <w:t>in the MBS item descriptor.</w:t>
      </w:r>
    </w:p>
    <w:p w14:paraId="5502E668" w14:textId="77777777" w:rsidR="00175D33" w:rsidRPr="00DD30D9" w:rsidRDefault="00175D33" w:rsidP="00FA5690">
      <w:pPr>
        <w:pStyle w:val="01squarebullet"/>
        <w:rPr>
          <w:lang w:val="en-AU"/>
        </w:rPr>
      </w:pPr>
      <w:r w:rsidRPr="00DD30D9">
        <w:rPr>
          <w:lang w:val="en-AU"/>
        </w:rPr>
        <w:t xml:space="preserve">Refer to MSAC for a post-implementation review (see </w:t>
      </w:r>
      <w:r w:rsidR="00D2692A" w:rsidRPr="00DD30D9">
        <w:rPr>
          <w:lang w:val="en-AU"/>
        </w:rPr>
        <w:t>s</w:t>
      </w:r>
      <w:r w:rsidRPr="00DD30D9">
        <w:rPr>
          <w:lang w:val="en-AU"/>
        </w:rPr>
        <w:t>ection 5.1.3).</w:t>
      </w:r>
    </w:p>
    <w:p w14:paraId="6B4E0988" w14:textId="77777777" w:rsidR="00FA5690" w:rsidRPr="00DD30D9" w:rsidRDefault="000A4E64">
      <w:pPr>
        <w:pStyle w:val="Caption"/>
      </w:pPr>
      <w:bookmarkStart w:id="121" w:name="_Toc482009639"/>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Proposed changes to item 73342</w:t>
      </w:r>
      <w:bookmarkEnd w:id="121"/>
    </w:p>
    <w:tbl>
      <w:tblPr>
        <w:tblStyle w:val="TableGrid"/>
        <w:tblW w:w="8833" w:type="dxa"/>
        <w:tblInd w:w="-5" w:type="dxa"/>
        <w:tblLook w:val="04A0" w:firstRow="1" w:lastRow="0" w:firstColumn="1" w:lastColumn="0" w:noHBand="0" w:noVBand="1"/>
        <w:tblCaption w:val="Proposed changes to item 73342"/>
        <w:tblDescription w:val="This table shows the current item descriptor and proposed new item descriptor for item 73342. "/>
      </w:tblPr>
      <w:tblGrid>
        <w:gridCol w:w="4390"/>
        <w:gridCol w:w="4443"/>
      </w:tblGrid>
      <w:tr w:rsidR="00FA5690" w:rsidRPr="00720661" w14:paraId="674D17D0" w14:textId="77777777" w:rsidTr="005A054A">
        <w:trPr>
          <w:trHeight w:val="277"/>
          <w:tblHeader/>
        </w:trPr>
        <w:tc>
          <w:tcPr>
            <w:tcW w:w="4390" w:type="dxa"/>
            <w:tcBorders>
              <w:top w:val="single" w:sz="4" w:space="0" w:color="auto"/>
              <w:left w:val="single" w:sz="8" w:space="0" w:color="auto"/>
              <w:bottom w:val="single" w:sz="4" w:space="0" w:color="auto"/>
              <w:right w:val="single" w:sz="8" w:space="0" w:color="auto"/>
            </w:tcBorders>
            <w:shd w:val="clear" w:color="auto" w:fill="EEECE1" w:themeFill="background2"/>
          </w:tcPr>
          <w:p w14:paraId="2BD099DF" w14:textId="77777777" w:rsidR="00FA5690" w:rsidRPr="00DD30D9" w:rsidRDefault="00FA5690" w:rsidP="00677AEE">
            <w:pPr>
              <w:rPr>
                <w:rFonts w:ascii="Arial" w:hAnsi="Arial" w:cs="Arial"/>
                <w:b/>
                <w:sz w:val="18"/>
                <w:lang w:val="en-AU"/>
              </w:rPr>
            </w:pPr>
            <w:r w:rsidRPr="00DD30D9">
              <w:rPr>
                <w:rFonts w:ascii="Arial" w:hAnsi="Arial" w:cs="Arial"/>
                <w:b/>
                <w:bCs/>
                <w:sz w:val="18"/>
                <w:lang w:val="en-AU"/>
              </w:rPr>
              <w:t>Current item descriptor</w:t>
            </w:r>
          </w:p>
        </w:tc>
        <w:tc>
          <w:tcPr>
            <w:tcW w:w="4443" w:type="dxa"/>
            <w:tcBorders>
              <w:top w:val="single" w:sz="4" w:space="0" w:color="auto"/>
              <w:left w:val="nil"/>
              <w:bottom w:val="single" w:sz="4" w:space="0" w:color="auto"/>
              <w:right w:val="single" w:sz="8" w:space="0" w:color="auto"/>
            </w:tcBorders>
            <w:shd w:val="clear" w:color="auto" w:fill="EEECE1" w:themeFill="background2"/>
          </w:tcPr>
          <w:p w14:paraId="7CABD667" w14:textId="77777777" w:rsidR="00FA5690" w:rsidRPr="00DD30D9" w:rsidRDefault="00FA5690" w:rsidP="00677AEE">
            <w:pPr>
              <w:rPr>
                <w:rFonts w:ascii="Arial" w:hAnsi="Arial" w:cs="Arial"/>
                <w:b/>
                <w:sz w:val="18"/>
                <w:lang w:val="en-AU"/>
              </w:rPr>
            </w:pPr>
            <w:r w:rsidRPr="00DD30D9">
              <w:rPr>
                <w:rFonts w:ascii="Arial" w:hAnsi="Arial" w:cs="Arial"/>
                <w:b/>
                <w:bCs/>
                <w:sz w:val="18"/>
                <w:lang w:val="en-AU"/>
              </w:rPr>
              <w:t>Proposed new item descriptor</w:t>
            </w:r>
          </w:p>
        </w:tc>
      </w:tr>
      <w:tr w:rsidR="00FA5690" w:rsidRPr="00720661" w14:paraId="4223E76E" w14:textId="77777777" w:rsidTr="005A054A">
        <w:trPr>
          <w:trHeight w:val="2707"/>
        </w:trPr>
        <w:tc>
          <w:tcPr>
            <w:tcW w:w="4390" w:type="dxa"/>
            <w:tcBorders>
              <w:top w:val="single" w:sz="4" w:space="0" w:color="auto"/>
              <w:left w:val="single" w:sz="8" w:space="0" w:color="auto"/>
              <w:bottom w:val="single" w:sz="8" w:space="0" w:color="auto"/>
              <w:right w:val="single" w:sz="8" w:space="0" w:color="auto"/>
            </w:tcBorders>
          </w:tcPr>
          <w:p w14:paraId="13978412" w14:textId="77777777" w:rsidR="00FA5690" w:rsidRPr="00DD30D9" w:rsidRDefault="00FA5690" w:rsidP="00677AEE">
            <w:pPr>
              <w:rPr>
                <w:rFonts w:ascii="Arial" w:hAnsi="Arial" w:cs="Arial"/>
                <w:b/>
                <w:bCs/>
                <w:sz w:val="18"/>
                <w:lang w:val="en-AU"/>
              </w:rPr>
            </w:pPr>
            <w:r w:rsidRPr="00DD30D9">
              <w:rPr>
                <w:rFonts w:ascii="Arial" w:hAnsi="Arial" w:cs="Arial"/>
                <w:sz w:val="18"/>
                <w:szCs w:val="18"/>
                <w:lang w:val="en-AU"/>
              </w:rPr>
              <w:t>An in situ hybridisation (ISH) test of tumour tissue from a patient with metastatic adenocarcinoma of the stomach or gastro-oesophageal junction, with documented evidence of human epidermal growth factor receptor 2 (</w:t>
            </w:r>
            <w:r w:rsidRPr="00DD30D9">
              <w:rPr>
                <w:rFonts w:ascii="Arial" w:hAnsi="Arial" w:cs="Arial"/>
                <w:i/>
                <w:iCs/>
                <w:sz w:val="18"/>
                <w:szCs w:val="18"/>
                <w:lang w:val="en-AU"/>
              </w:rPr>
              <w:t>HER2</w:t>
            </w:r>
            <w:r w:rsidRPr="00DD30D9">
              <w:rPr>
                <w:rFonts w:ascii="Arial" w:hAnsi="Arial" w:cs="Arial"/>
                <w:sz w:val="18"/>
                <w:szCs w:val="18"/>
                <w:lang w:val="en-AU"/>
              </w:rPr>
              <w:t>)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sidRPr="00DD30D9">
              <w:rPr>
                <w:rFonts w:ascii="Arial" w:hAnsi="Arial" w:cs="Arial"/>
                <w:i/>
                <w:iCs/>
                <w:sz w:val="18"/>
                <w:szCs w:val="18"/>
                <w:lang w:val="en-AU"/>
              </w:rPr>
              <w:t>HER2</w:t>
            </w:r>
            <w:r w:rsidRPr="00DD30D9">
              <w:rPr>
                <w:rFonts w:ascii="Arial" w:hAnsi="Arial" w:cs="Arial"/>
                <w:sz w:val="18"/>
                <w:szCs w:val="18"/>
                <w:lang w:val="en-AU"/>
              </w:rPr>
              <w:t> gene amplification for access to trastuzumab under the Pharmaceutical Benefits Scheme are fulfilled.</w:t>
            </w:r>
          </w:p>
        </w:tc>
        <w:tc>
          <w:tcPr>
            <w:tcW w:w="4443" w:type="dxa"/>
            <w:tcBorders>
              <w:top w:val="single" w:sz="4" w:space="0" w:color="auto"/>
              <w:left w:val="nil"/>
              <w:bottom w:val="single" w:sz="8" w:space="0" w:color="auto"/>
              <w:right w:val="single" w:sz="8" w:space="0" w:color="auto"/>
            </w:tcBorders>
          </w:tcPr>
          <w:p w14:paraId="36B26388" w14:textId="77777777" w:rsidR="008E344A" w:rsidRPr="00DD30D9" w:rsidRDefault="008E344A" w:rsidP="00677AEE">
            <w:pPr>
              <w:rPr>
                <w:rFonts w:ascii="Arial" w:hAnsi="Arial" w:cs="Arial"/>
                <w:sz w:val="18"/>
                <w:szCs w:val="18"/>
                <w:lang w:val="en-AU"/>
              </w:rPr>
            </w:pPr>
            <w:r w:rsidRPr="00DD30D9">
              <w:rPr>
                <w:rFonts w:ascii="Arial" w:hAnsi="Arial" w:cs="Arial"/>
                <w:sz w:val="18"/>
                <w:szCs w:val="18"/>
                <w:lang w:val="en-AU"/>
              </w:rPr>
              <w:t>An in situ hybridisation (ISH) test of tumour tissue from a patient with metastatic adenocarcinoma of the stomach or gastro-oesophageal junction, with documented evidence of human epidermal growth factor receptor 2 (</w:t>
            </w:r>
            <w:r w:rsidRPr="00DD30D9">
              <w:rPr>
                <w:rFonts w:ascii="Arial" w:hAnsi="Arial" w:cs="Arial"/>
                <w:i/>
                <w:iCs/>
                <w:sz w:val="18"/>
                <w:szCs w:val="18"/>
                <w:lang w:val="en-AU"/>
              </w:rPr>
              <w:t>HER2</w:t>
            </w:r>
            <w:r w:rsidRPr="00DD30D9">
              <w:rPr>
                <w:rFonts w:ascii="Arial" w:hAnsi="Arial" w:cs="Arial"/>
                <w:sz w:val="18"/>
                <w:szCs w:val="18"/>
                <w:lang w:val="en-AU"/>
              </w:rPr>
              <w:t>)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sidRPr="00DD30D9">
              <w:rPr>
                <w:rFonts w:ascii="Arial" w:hAnsi="Arial" w:cs="Arial"/>
                <w:i/>
                <w:iCs/>
                <w:sz w:val="18"/>
                <w:szCs w:val="18"/>
                <w:lang w:val="en-AU"/>
              </w:rPr>
              <w:t>HER2</w:t>
            </w:r>
            <w:r w:rsidRPr="00DD30D9">
              <w:rPr>
                <w:rFonts w:ascii="Arial" w:hAnsi="Arial" w:cs="Arial"/>
                <w:sz w:val="18"/>
                <w:szCs w:val="18"/>
                <w:lang w:val="en-AU"/>
              </w:rPr>
              <w:t> gene amplification for access to trastuzumab under the Pharmaceutical Benefits Scheme are fulfilled.</w:t>
            </w:r>
          </w:p>
          <w:p w14:paraId="74A12CB3" w14:textId="77777777" w:rsidR="00FA5690" w:rsidRPr="00DD30D9" w:rsidRDefault="00FA5690" w:rsidP="00677AEE">
            <w:pPr>
              <w:rPr>
                <w:rFonts w:ascii="Arial" w:hAnsi="Arial" w:cs="Arial"/>
                <w:bCs/>
                <w:i/>
                <w:sz w:val="18"/>
                <w:u w:val="single"/>
                <w:lang w:val="en-AU"/>
              </w:rPr>
            </w:pPr>
            <w:r w:rsidRPr="00DD30D9">
              <w:rPr>
                <w:rFonts w:ascii="Arial" w:hAnsi="Arial" w:cs="Arial"/>
                <w:bCs/>
                <w:i/>
                <w:sz w:val="18"/>
                <w:u w:val="single"/>
                <w:lang w:val="en-AU"/>
              </w:rPr>
              <w:t xml:space="preserve">Explanatory note </w:t>
            </w:r>
            <w:r w:rsidR="008E344A" w:rsidRPr="00DD30D9">
              <w:rPr>
                <w:rFonts w:ascii="Arial" w:hAnsi="Arial" w:cs="Arial"/>
                <w:bCs/>
                <w:i/>
                <w:sz w:val="18"/>
                <w:u w:val="single"/>
                <w:lang w:val="en-AU"/>
              </w:rPr>
              <w:t xml:space="preserve">to be added </w:t>
            </w:r>
            <w:r w:rsidRPr="00DD30D9">
              <w:rPr>
                <w:rFonts w:ascii="Arial" w:hAnsi="Arial" w:cs="Arial"/>
                <w:bCs/>
                <w:i/>
                <w:sz w:val="18"/>
                <w:u w:val="single"/>
                <w:lang w:val="en-AU"/>
              </w:rPr>
              <w:t xml:space="preserve">regarding trastuzumab </w:t>
            </w:r>
            <w:r w:rsidR="000A4E64" w:rsidRPr="00DD30D9">
              <w:rPr>
                <w:rFonts w:ascii="Arial" w:hAnsi="Arial" w:cs="Arial"/>
                <w:bCs/>
                <w:i/>
                <w:sz w:val="18"/>
                <w:u w:val="single"/>
                <w:lang w:val="en-AU"/>
              </w:rPr>
              <w:t xml:space="preserve">test procedure related to </w:t>
            </w:r>
            <w:r w:rsidRPr="00DD30D9">
              <w:rPr>
                <w:rFonts w:ascii="Arial" w:hAnsi="Arial" w:cs="Arial"/>
                <w:bCs/>
                <w:i/>
                <w:sz w:val="18"/>
                <w:u w:val="single"/>
                <w:lang w:val="en-AU"/>
              </w:rPr>
              <w:t>PBS criteria</w:t>
            </w:r>
            <w:r w:rsidR="003162CF" w:rsidRPr="00DD30D9">
              <w:rPr>
                <w:rFonts w:ascii="Arial" w:hAnsi="Arial" w:cs="Arial"/>
                <w:bCs/>
                <w:i/>
                <w:sz w:val="18"/>
                <w:u w:val="single"/>
                <w:lang w:val="en-AU"/>
              </w:rPr>
              <w:t>.</w:t>
            </w:r>
          </w:p>
          <w:p w14:paraId="663CB620" w14:textId="77777777" w:rsidR="00FA5690" w:rsidRPr="00DD30D9" w:rsidRDefault="00FA5690" w:rsidP="00677AEE">
            <w:pPr>
              <w:rPr>
                <w:rFonts w:ascii="Arial" w:hAnsi="Arial" w:cs="Arial"/>
                <w:bCs/>
                <w:sz w:val="18"/>
                <w:lang w:val="en-AU"/>
              </w:rPr>
            </w:pPr>
          </w:p>
        </w:tc>
      </w:tr>
    </w:tbl>
    <w:p w14:paraId="76723FD3" w14:textId="77777777" w:rsidR="00FA5690" w:rsidRPr="00DD30D9" w:rsidRDefault="00FA5690" w:rsidP="00FA5690">
      <w:pPr>
        <w:pStyle w:val="01squarebullet"/>
        <w:numPr>
          <w:ilvl w:val="0"/>
          <w:numId w:val="0"/>
        </w:numPr>
        <w:ind w:left="360" w:hanging="360"/>
        <w:rPr>
          <w:lang w:val="en-AU"/>
        </w:rPr>
      </w:pPr>
    </w:p>
    <w:p w14:paraId="18076BD4" w14:textId="77777777" w:rsidR="000F563D" w:rsidRPr="00DD30D9" w:rsidRDefault="000F563D" w:rsidP="00677AEE">
      <w:pPr>
        <w:pStyle w:val="Heading3"/>
        <w:numPr>
          <w:ilvl w:val="0"/>
          <w:numId w:val="0"/>
        </w:numPr>
        <w:ind w:left="720" w:hanging="720"/>
        <w:rPr>
          <w:lang w:val="en-AU"/>
        </w:rPr>
      </w:pPr>
      <w:bookmarkStart w:id="122" w:name="_Toc13735998"/>
      <w:r w:rsidRPr="00DD30D9">
        <w:rPr>
          <w:lang w:val="en-AU"/>
        </w:rPr>
        <w:lastRenderedPageBreak/>
        <w:t>Rationale</w:t>
      </w:r>
      <w:r w:rsidR="0061030F" w:rsidRPr="00DD30D9">
        <w:rPr>
          <w:lang w:val="en-AU"/>
        </w:rPr>
        <w:t xml:space="preserve"> 8</w:t>
      </w:r>
      <w:bookmarkEnd w:id="122"/>
    </w:p>
    <w:p w14:paraId="6FC06653" w14:textId="77777777" w:rsidR="000F563D" w:rsidRPr="00DD30D9" w:rsidRDefault="000F563D" w:rsidP="001F4DA1">
      <w:pPr>
        <w:pStyle w:val="01squarebullet"/>
        <w:rPr>
          <w:lang w:val="en-AU"/>
        </w:rPr>
      </w:pPr>
      <w:r w:rsidRPr="00DD30D9">
        <w:rPr>
          <w:lang w:val="en-AU"/>
        </w:rPr>
        <w:t xml:space="preserve">The purpose of this test is to identify </w:t>
      </w:r>
      <w:r w:rsidRPr="00DD30D9">
        <w:rPr>
          <w:i/>
          <w:lang w:val="en-AU"/>
        </w:rPr>
        <w:t>HER2</w:t>
      </w:r>
      <w:r w:rsidRPr="00DD30D9">
        <w:rPr>
          <w:lang w:val="en-AU"/>
        </w:rPr>
        <w:t xml:space="preserve"> gene amplification, required to meet specific criteria to access trastuzumab, a treatment available on the PBS for </w:t>
      </w:r>
      <w:r w:rsidR="00B47A1F" w:rsidRPr="00DD30D9">
        <w:rPr>
          <w:lang w:val="en-AU"/>
        </w:rPr>
        <w:t>gastric cancer</w:t>
      </w:r>
      <w:r w:rsidRPr="00DD30D9">
        <w:rPr>
          <w:lang w:val="en-AU"/>
        </w:rPr>
        <w:t>.</w:t>
      </w:r>
    </w:p>
    <w:p w14:paraId="432274D7" w14:textId="77777777" w:rsidR="001F4DA1" w:rsidRPr="00DD30D9" w:rsidRDefault="001F4DA1" w:rsidP="001F4DA1">
      <w:pPr>
        <w:pStyle w:val="01squarebullet"/>
        <w:rPr>
          <w:lang w:val="en-AU"/>
        </w:rPr>
      </w:pPr>
      <w:r w:rsidRPr="00DD30D9">
        <w:rPr>
          <w:lang w:val="en-AU"/>
        </w:rPr>
        <w:t>The Committee noted that the detail required to perform the test and report the results is only listed under the PBS criteria. The Committee recommended that the relevant PBS criteria for trastuzumab be included in full in the MBS descriptor for item 73342 in the context of metastatic adenocarcinoma of the stomach or gastro-oesophageal junction (gastric cancer).</w:t>
      </w:r>
    </w:p>
    <w:p w14:paraId="1BE92B28" w14:textId="77777777" w:rsidR="003D43FB" w:rsidRPr="00DD30D9" w:rsidRDefault="003D43FB" w:rsidP="00DD30D9">
      <w:pPr>
        <w:pStyle w:val="01squarebullet"/>
        <w:rPr>
          <w:lang w:val="en-AU"/>
        </w:rPr>
      </w:pPr>
      <w:r w:rsidRPr="00DD30D9">
        <w:rPr>
          <w:lang w:val="en-AU"/>
        </w:rPr>
        <w:t xml:space="preserve">The PBS </w:t>
      </w:r>
      <w:r w:rsidRPr="00044946">
        <w:t>Authority</w:t>
      </w:r>
      <w:r w:rsidRPr="00DD30D9">
        <w:rPr>
          <w:lang w:val="en-AU"/>
        </w:rPr>
        <w:t xml:space="preserve"> requirements for testing are:</w:t>
      </w:r>
    </w:p>
    <w:p w14:paraId="5B296935" w14:textId="77777777" w:rsidR="00404D90" w:rsidRPr="00DD30D9" w:rsidRDefault="00404D90" w:rsidP="005F3166">
      <w:pPr>
        <w:pStyle w:val="01squarebullet"/>
        <w:numPr>
          <w:ilvl w:val="0"/>
          <w:numId w:val="0"/>
        </w:numPr>
        <w:ind w:left="522"/>
        <w:rPr>
          <w:sz w:val="20"/>
          <w:lang w:val="en-AU"/>
        </w:rPr>
      </w:pPr>
      <w:r w:rsidRPr="00DD30D9">
        <w:rPr>
          <w:sz w:val="20"/>
          <w:lang w:val="en-AU"/>
        </w:rPr>
        <w:t xml:space="preserve">The patient has, in the </w:t>
      </w:r>
      <w:r w:rsidRPr="00DD30D9">
        <w:rPr>
          <w:bCs/>
          <w:sz w:val="20"/>
          <w:lang w:val="en-AU"/>
        </w:rPr>
        <w:t xml:space="preserve">same tumour tissue sample, </w:t>
      </w:r>
      <w:r w:rsidRPr="00DD30D9">
        <w:rPr>
          <w:sz w:val="20"/>
          <w:lang w:val="en-AU"/>
        </w:rPr>
        <w:t>evidence of:</w:t>
      </w:r>
    </w:p>
    <w:p w14:paraId="5EB601A0" w14:textId="77777777" w:rsidR="00404D90" w:rsidRPr="00DD30D9" w:rsidRDefault="00404D90" w:rsidP="00F13BE2">
      <w:pPr>
        <w:pStyle w:val="01squarebullet"/>
        <w:numPr>
          <w:ilvl w:val="1"/>
          <w:numId w:val="22"/>
        </w:numPr>
        <w:ind w:left="914"/>
        <w:rPr>
          <w:sz w:val="20"/>
          <w:lang w:val="en-AU"/>
        </w:rPr>
      </w:pPr>
      <w:r w:rsidRPr="00DD30D9">
        <w:rPr>
          <w:i/>
          <w:sz w:val="20"/>
          <w:lang w:val="en-AU"/>
        </w:rPr>
        <w:t>HER2</w:t>
      </w:r>
      <w:r w:rsidRPr="00DD30D9">
        <w:rPr>
          <w:sz w:val="20"/>
          <w:lang w:val="en-AU"/>
        </w:rPr>
        <w:t xml:space="preserve"> positivity as demonstrated by immunohistochemistry 2+ or more and </w:t>
      </w:r>
    </w:p>
    <w:p w14:paraId="07693C22" w14:textId="77777777" w:rsidR="00404D90" w:rsidRPr="00DD30D9" w:rsidRDefault="00404D90" w:rsidP="00F13BE2">
      <w:pPr>
        <w:pStyle w:val="01squarebullet"/>
        <w:numPr>
          <w:ilvl w:val="1"/>
          <w:numId w:val="22"/>
        </w:numPr>
        <w:ind w:left="914"/>
        <w:rPr>
          <w:sz w:val="20"/>
          <w:lang w:val="en-AU"/>
        </w:rPr>
      </w:pPr>
      <w:r w:rsidRPr="00DD30D9">
        <w:rPr>
          <w:i/>
          <w:sz w:val="20"/>
          <w:lang w:val="en-AU"/>
        </w:rPr>
        <w:t>HER2</w:t>
      </w:r>
      <w:r w:rsidRPr="00DD30D9">
        <w:rPr>
          <w:sz w:val="20"/>
          <w:lang w:val="en-AU"/>
        </w:rPr>
        <w:t xml:space="preserve"> gene amplification as demonstrated by in situ hybridisation results based on more than </w:t>
      </w:r>
      <w:r w:rsidR="00A8091F" w:rsidRPr="00DD30D9">
        <w:rPr>
          <w:sz w:val="20"/>
          <w:lang w:val="en-AU"/>
        </w:rPr>
        <w:t>6</w:t>
      </w:r>
      <w:r w:rsidR="00A8091F">
        <w:rPr>
          <w:sz w:val="20"/>
          <w:lang w:val="en-AU"/>
        </w:rPr>
        <w:t> </w:t>
      </w:r>
      <w:r w:rsidRPr="00DD30D9">
        <w:rPr>
          <w:sz w:val="20"/>
          <w:lang w:val="en-AU"/>
        </w:rPr>
        <w:t xml:space="preserve">copies of </w:t>
      </w:r>
      <w:r w:rsidRPr="006B51F5">
        <w:rPr>
          <w:i/>
          <w:sz w:val="20"/>
          <w:lang w:val="en-AU"/>
        </w:rPr>
        <w:t>HER2</w:t>
      </w:r>
      <w:r w:rsidR="008E344A" w:rsidRPr="00DD30D9">
        <w:rPr>
          <w:sz w:val="20"/>
          <w:lang w:val="en-AU"/>
        </w:rPr>
        <w:t>,</w:t>
      </w:r>
      <w:r w:rsidRPr="00DD30D9">
        <w:rPr>
          <w:sz w:val="20"/>
          <w:lang w:val="en-AU"/>
        </w:rPr>
        <w:t xml:space="preserve"> and</w:t>
      </w:r>
    </w:p>
    <w:p w14:paraId="6B349221" w14:textId="77777777" w:rsidR="003D43FB" w:rsidRPr="00DD30D9" w:rsidRDefault="00404D90" w:rsidP="00A8091F">
      <w:pPr>
        <w:pStyle w:val="01squarebullet"/>
        <w:numPr>
          <w:ilvl w:val="1"/>
          <w:numId w:val="22"/>
        </w:numPr>
        <w:ind w:left="914"/>
        <w:rPr>
          <w:sz w:val="20"/>
          <w:lang w:val="en-AU"/>
        </w:rPr>
      </w:pPr>
      <w:r w:rsidRPr="00DD30D9">
        <w:rPr>
          <w:i/>
          <w:sz w:val="20"/>
          <w:lang w:val="en-AU"/>
        </w:rPr>
        <w:t>HER2</w:t>
      </w:r>
      <w:r w:rsidRPr="00DD30D9">
        <w:rPr>
          <w:sz w:val="20"/>
          <w:lang w:val="en-AU"/>
        </w:rPr>
        <w:t xml:space="preserve"> gene amplification as demonstrated by in situ hybridisation results based on the ratio of </w:t>
      </w:r>
      <w:r w:rsidRPr="00DD30D9">
        <w:rPr>
          <w:i/>
          <w:sz w:val="20"/>
          <w:lang w:val="en-AU"/>
        </w:rPr>
        <w:t>HER2</w:t>
      </w:r>
      <w:r w:rsidRPr="00DD30D9">
        <w:rPr>
          <w:sz w:val="20"/>
          <w:lang w:val="en-AU"/>
        </w:rPr>
        <w:t xml:space="preserve"> to chromosome 17 being more than 2.</w:t>
      </w:r>
    </w:p>
    <w:p w14:paraId="5AD6FB84" w14:textId="77777777" w:rsidR="001F4DA1" w:rsidRPr="00DD30D9" w:rsidRDefault="001F4DA1" w:rsidP="001F4DA1">
      <w:pPr>
        <w:pStyle w:val="01squarebullet"/>
        <w:rPr>
          <w:lang w:val="en-AU"/>
        </w:rPr>
      </w:pPr>
      <w:r w:rsidRPr="00DD30D9">
        <w:rPr>
          <w:lang w:val="en-AU"/>
        </w:rPr>
        <w:t>To adequately address the PBS criteria for gastric cancer, a dual</w:t>
      </w:r>
      <w:r w:rsidR="003E642F" w:rsidRPr="00DD30D9">
        <w:rPr>
          <w:lang w:val="en-AU"/>
        </w:rPr>
        <w:t>-</w:t>
      </w:r>
      <w:r w:rsidRPr="00DD30D9">
        <w:rPr>
          <w:lang w:val="en-AU"/>
        </w:rPr>
        <w:t xml:space="preserve">probe ISH test is required to perform the </w:t>
      </w:r>
      <w:r w:rsidRPr="00DD30D9">
        <w:rPr>
          <w:i/>
          <w:lang w:val="en-AU"/>
        </w:rPr>
        <w:t>HER2</w:t>
      </w:r>
      <w:r w:rsidRPr="00DD30D9">
        <w:rPr>
          <w:lang w:val="en-AU"/>
        </w:rPr>
        <w:t xml:space="preserve"> ISH test, a consequence for the pathology laboratory </w:t>
      </w:r>
      <w:r w:rsidR="00E417DB" w:rsidRPr="00DD30D9">
        <w:rPr>
          <w:lang w:val="en-AU"/>
        </w:rPr>
        <w:t xml:space="preserve">that </w:t>
      </w:r>
      <w:r w:rsidRPr="00DD30D9">
        <w:rPr>
          <w:lang w:val="en-AU"/>
        </w:rPr>
        <w:t xml:space="preserve">is not made explicit in the MBS item descriptor. As the fees for the two </w:t>
      </w:r>
      <w:r w:rsidRPr="00DD30D9">
        <w:rPr>
          <w:i/>
          <w:lang w:val="en-AU"/>
        </w:rPr>
        <w:t>HER2</w:t>
      </w:r>
      <w:r w:rsidRPr="00DD30D9">
        <w:rPr>
          <w:lang w:val="en-AU"/>
        </w:rPr>
        <w:t xml:space="preserve"> ISH items</w:t>
      </w:r>
      <w:r w:rsidR="00FA5690" w:rsidRPr="00DD30D9">
        <w:rPr>
          <w:lang w:val="en-AU"/>
        </w:rPr>
        <w:t xml:space="preserve"> (73332 and 73342)</w:t>
      </w:r>
      <w:r w:rsidRPr="00DD30D9">
        <w:rPr>
          <w:lang w:val="en-AU"/>
        </w:rPr>
        <w:t xml:space="preserve"> in the context of trastuzumab are the same, the cost for a dual</w:t>
      </w:r>
      <w:r w:rsidR="00E417DB" w:rsidRPr="00DD30D9">
        <w:rPr>
          <w:lang w:val="en-AU"/>
        </w:rPr>
        <w:t>-</w:t>
      </w:r>
      <w:r w:rsidRPr="00DD30D9">
        <w:rPr>
          <w:lang w:val="en-AU"/>
        </w:rPr>
        <w:t xml:space="preserve">probe ISH assay for </w:t>
      </w:r>
      <w:r w:rsidR="00FA5690" w:rsidRPr="00DD30D9">
        <w:rPr>
          <w:lang w:val="en-AU"/>
        </w:rPr>
        <w:t xml:space="preserve">gastric </w:t>
      </w:r>
      <w:r w:rsidRPr="00DD30D9">
        <w:rPr>
          <w:lang w:val="en-AU"/>
        </w:rPr>
        <w:t>cancer is currently not recognised within the MBS (given that only a cheaper single probe ISH assay is needed for breast cancer). At this stage</w:t>
      </w:r>
      <w:r w:rsidR="00711C35" w:rsidRPr="00DD30D9">
        <w:rPr>
          <w:lang w:val="en-AU"/>
        </w:rPr>
        <w:t>,</w:t>
      </w:r>
      <w:r w:rsidRPr="00DD30D9">
        <w:rPr>
          <w:lang w:val="en-AU"/>
        </w:rPr>
        <w:t xml:space="preserve"> the numbers of </w:t>
      </w:r>
      <w:r w:rsidRPr="00DD30D9">
        <w:rPr>
          <w:i/>
          <w:lang w:val="en-AU"/>
        </w:rPr>
        <w:t>HER2</w:t>
      </w:r>
      <w:r w:rsidRPr="00DD30D9">
        <w:rPr>
          <w:lang w:val="en-AU"/>
        </w:rPr>
        <w:t xml:space="preserve"> ISH tests for gastric cancer</w:t>
      </w:r>
      <w:r w:rsidR="008E344A" w:rsidRPr="00DD30D9">
        <w:rPr>
          <w:lang w:val="en-AU"/>
        </w:rPr>
        <w:t>,</w:t>
      </w:r>
      <w:r w:rsidRPr="00DD30D9">
        <w:rPr>
          <w:lang w:val="en-AU"/>
        </w:rPr>
        <w:t xml:space="preserve"> </w:t>
      </w:r>
      <w:r w:rsidR="008E344A" w:rsidRPr="00DD30D9">
        <w:rPr>
          <w:lang w:val="en-AU"/>
        </w:rPr>
        <w:t xml:space="preserve">which </w:t>
      </w:r>
      <w:r w:rsidRPr="00DD30D9">
        <w:rPr>
          <w:lang w:val="en-AU"/>
        </w:rPr>
        <w:t>requir</w:t>
      </w:r>
      <w:r w:rsidR="008E344A" w:rsidRPr="00DD30D9">
        <w:rPr>
          <w:lang w:val="en-AU"/>
        </w:rPr>
        <w:t>e</w:t>
      </w:r>
      <w:r w:rsidRPr="00DD30D9">
        <w:rPr>
          <w:lang w:val="en-AU"/>
        </w:rPr>
        <w:t xml:space="preserve"> a dual probe</w:t>
      </w:r>
      <w:r w:rsidR="008E344A" w:rsidRPr="00DD30D9">
        <w:rPr>
          <w:lang w:val="en-AU"/>
        </w:rPr>
        <w:t>,</w:t>
      </w:r>
      <w:r w:rsidRPr="00DD30D9">
        <w:rPr>
          <w:lang w:val="en-AU"/>
        </w:rPr>
        <w:t xml:space="preserve"> are low, and laboratories are presumably absorbing the extra costs</w:t>
      </w:r>
      <w:r w:rsidR="0017008C" w:rsidRPr="00DD30D9">
        <w:rPr>
          <w:lang w:val="en-AU"/>
        </w:rPr>
        <w:t xml:space="preserve"> or billing patients</w:t>
      </w:r>
      <w:r w:rsidRPr="00DD30D9">
        <w:rPr>
          <w:lang w:val="en-AU"/>
        </w:rPr>
        <w:t>, but this issue may require further consideration at a future review.</w:t>
      </w:r>
    </w:p>
    <w:p w14:paraId="047BD6CA" w14:textId="77777777" w:rsidR="00D2692A" w:rsidRPr="00DD30D9" w:rsidRDefault="008E344A" w:rsidP="00D2692A">
      <w:pPr>
        <w:pStyle w:val="01squarebullet"/>
        <w:rPr>
          <w:lang w:val="en-AU"/>
        </w:rPr>
      </w:pPr>
      <w:r w:rsidRPr="00DD30D9">
        <w:rPr>
          <w:lang w:val="en-AU"/>
        </w:rPr>
        <w:t xml:space="preserve">The Committee </w:t>
      </w:r>
      <w:r w:rsidR="00175D33" w:rsidRPr="00DD30D9">
        <w:rPr>
          <w:lang w:val="en-AU"/>
        </w:rPr>
        <w:t xml:space="preserve">noted this item is not </w:t>
      </w:r>
      <w:r w:rsidR="003631D5" w:rsidRPr="00DD30D9">
        <w:rPr>
          <w:lang w:val="en-AU"/>
        </w:rPr>
        <w:t xml:space="preserve">listed as </w:t>
      </w:r>
      <w:r w:rsidR="00175D33" w:rsidRPr="00DD30D9">
        <w:rPr>
          <w:lang w:val="en-AU"/>
        </w:rPr>
        <w:t xml:space="preserve">a pathologist-determinable </w:t>
      </w:r>
      <w:r w:rsidR="00336563" w:rsidRPr="00DD30D9">
        <w:rPr>
          <w:lang w:val="en-AU"/>
        </w:rPr>
        <w:t>service</w:t>
      </w:r>
      <w:r w:rsidR="00175D33" w:rsidRPr="00DD30D9">
        <w:rPr>
          <w:lang w:val="en-AU"/>
        </w:rPr>
        <w:t xml:space="preserve"> and </w:t>
      </w:r>
      <w:r w:rsidRPr="00DD30D9">
        <w:rPr>
          <w:lang w:val="en-AU"/>
        </w:rPr>
        <w:t>have recommended this be reviewed by MSAC (see Section 5.1.3)</w:t>
      </w:r>
      <w:r w:rsidR="00175D33" w:rsidRPr="00DD30D9">
        <w:rPr>
          <w:lang w:val="en-AU"/>
        </w:rPr>
        <w:t>.</w:t>
      </w:r>
    </w:p>
    <w:p w14:paraId="1DEBC313" w14:textId="77777777" w:rsidR="007832B2" w:rsidRPr="00DD30D9" w:rsidRDefault="007832B2" w:rsidP="007832B2">
      <w:pPr>
        <w:pStyle w:val="01squarebullet"/>
        <w:rPr>
          <w:rFonts w:cstheme="minorHAnsi"/>
          <w:szCs w:val="22"/>
          <w:lang w:val="en-AU"/>
        </w:rPr>
      </w:pPr>
      <w:r w:rsidRPr="00DD30D9">
        <w:rPr>
          <w:rFonts w:eastAsiaTheme="minorHAnsi" w:cstheme="minorHAnsi"/>
          <w:szCs w:val="22"/>
          <w:lang w:val="en-AU"/>
        </w:rPr>
        <w:t>There would be no change for patients, but pathologists will have more information to assist them in performing the test appropriately.</w:t>
      </w:r>
    </w:p>
    <w:p w14:paraId="78A77283" w14:textId="77777777" w:rsidR="0033420E" w:rsidRPr="00DD30D9" w:rsidRDefault="007D5F3F">
      <w:pPr>
        <w:pStyle w:val="Heading2"/>
      </w:pPr>
      <w:bookmarkStart w:id="123" w:name="_Toc13735999"/>
      <w:r w:rsidRPr="00D31D6B">
        <w:t>G</w:t>
      </w:r>
      <w:r w:rsidR="002D05EC" w:rsidRPr="00D31D6B">
        <w:t xml:space="preserve">enotype </w:t>
      </w:r>
      <w:r w:rsidR="006D1AFE" w:rsidRPr="00D31D6B">
        <w:t>factor V Leiden</w:t>
      </w:r>
      <w:r w:rsidRPr="00DD30D9">
        <w:t xml:space="preserve"> or other</w:t>
      </w:r>
      <w:r w:rsidR="005739DC" w:rsidRPr="00DD30D9">
        <w:t xml:space="preserve"> gene mutation</w:t>
      </w:r>
      <w:r w:rsidR="002D05EC" w:rsidRPr="00DD30D9">
        <w:t>s in investigation of venous thromboembolism</w:t>
      </w:r>
      <w:r w:rsidR="00677AEE" w:rsidRPr="00DD30D9">
        <w:t>: i</w:t>
      </w:r>
      <w:r w:rsidR="005739DC" w:rsidRPr="00DD30D9">
        <w:t>tems 73308</w:t>
      </w:r>
      <w:r w:rsidR="00E417DB" w:rsidRPr="00DD30D9">
        <w:t>–</w:t>
      </w:r>
      <w:r w:rsidR="005739DC" w:rsidRPr="00DD30D9">
        <w:t>73312</w:t>
      </w:r>
      <w:bookmarkEnd w:id="123"/>
    </w:p>
    <w:p w14:paraId="4AE0F7C9" w14:textId="77777777" w:rsidR="007D5F3F" w:rsidRPr="00720661" w:rsidRDefault="001F4DA1">
      <w:pPr>
        <w:pStyle w:val="Caption"/>
      </w:pPr>
      <w:bookmarkStart w:id="124" w:name="_Toc482009640"/>
      <w:r w:rsidRPr="00720661">
        <w:t xml:space="preserve">Table </w:t>
      </w:r>
      <w:r w:rsidR="000C3E3F" w:rsidRPr="00860DE7">
        <w:fldChar w:fldCharType="begin"/>
      </w:r>
      <w:r w:rsidR="000C3E3F" w:rsidRPr="00720661">
        <w:instrText xml:space="preserve"> AUTONUM  \* Arabic </w:instrText>
      </w:r>
      <w:r w:rsidR="000C3E3F" w:rsidRPr="00860DE7">
        <w:fldChar w:fldCharType="end"/>
      </w:r>
      <w:r w:rsidRPr="00720661">
        <w:t xml:space="preserve"> </w:t>
      </w:r>
      <w:r w:rsidR="007D5F3F" w:rsidRPr="00720661">
        <w:t>Item introduction table for items 73308, 73309, 73311 and 73312</w:t>
      </w:r>
      <w:bookmarkEnd w:id="124"/>
    </w:p>
    <w:tbl>
      <w:tblPr>
        <w:tblStyle w:val="TableGrid1"/>
        <w:tblW w:w="8703" w:type="dxa"/>
        <w:tblLook w:val="04A0" w:firstRow="1" w:lastRow="0" w:firstColumn="1" w:lastColumn="0" w:noHBand="0" w:noVBand="1"/>
        <w:tblCaption w:val="Item introduction table for items 73308, 73309, 73311 and 73312"/>
        <w:tblDescription w:val="This table contains Medicare Benefits Schedule data for items 73308, 73309, 73311 and 73312 for the finanical year 2014–2015. The data include item numbers, long item descriptors, schedule fee, total volume of services, benefits paid, patient count and services annual average growth."/>
      </w:tblPr>
      <w:tblGrid>
        <w:gridCol w:w="740"/>
        <w:gridCol w:w="2559"/>
        <w:gridCol w:w="1022"/>
        <w:gridCol w:w="1203"/>
        <w:gridCol w:w="1275"/>
        <w:gridCol w:w="993"/>
        <w:gridCol w:w="911"/>
      </w:tblGrid>
      <w:tr w:rsidR="007D5F3F" w:rsidRPr="00720661" w14:paraId="2D35D68A" w14:textId="77777777" w:rsidTr="00711C35">
        <w:trPr>
          <w:trHeight w:val="729"/>
          <w:tblHeader/>
        </w:trPr>
        <w:tc>
          <w:tcPr>
            <w:tcW w:w="740" w:type="dxa"/>
            <w:shd w:val="clear" w:color="auto" w:fill="EEECE1" w:themeFill="background2"/>
            <w:vAlign w:val="bottom"/>
            <w:hideMark/>
          </w:tcPr>
          <w:p w14:paraId="338EBEF3" w14:textId="77777777" w:rsidR="007D5F3F" w:rsidRPr="00DD30D9" w:rsidRDefault="007D5F3F" w:rsidP="003215DF">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559" w:type="dxa"/>
            <w:shd w:val="clear" w:color="auto" w:fill="EEECE1" w:themeFill="background2"/>
            <w:vAlign w:val="bottom"/>
            <w:hideMark/>
          </w:tcPr>
          <w:p w14:paraId="06403D75" w14:textId="77777777" w:rsidR="007D5F3F" w:rsidRPr="00DD30D9" w:rsidRDefault="007D5F3F" w:rsidP="003215DF">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22" w:type="dxa"/>
            <w:shd w:val="clear" w:color="auto" w:fill="EEECE1" w:themeFill="background2"/>
            <w:vAlign w:val="bottom"/>
            <w:hideMark/>
          </w:tcPr>
          <w:p w14:paraId="6982686D" w14:textId="77777777" w:rsidR="007D5F3F" w:rsidRPr="00DD30D9" w:rsidRDefault="007D5F3F">
            <w:pPr>
              <w:rPr>
                <w:rFonts w:ascii="Arial" w:hAnsi="Arial" w:cs="Arial"/>
                <w:b/>
                <w:color w:val="000000"/>
                <w:sz w:val="18"/>
                <w:szCs w:val="18"/>
                <w:lang w:val="en-AU"/>
              </w:rPr>
            </w:pPr>
            <w:r w:rsidRPr="00DD30D9">
              <w:rPr>
                <w:rFonts w:ascii="Arial" w:hAnsi="Arial" w:cs="Arial"/>
                <w:b/>
                <w:color w:val="000000"/>
                <w:sz w:val="18"/>
                <w:szCs w:val="18"/>
                <w:lang w:val="en-AU"/>
              </w:rPr>
              <w:t>Schedule</w:t>
            </w:r>
            <w:r w:rsidR="00E417DB" w:rsidRPr="00DD30D9">
              <w:rPr>
                <w:rFonts w:ascii="Arial" w:hAnsi="Arial" w:cs="Arial"/>
                <w:b/>
                <w:color w:val="000000"/>
                <w:sz w:val="18"/>
                <w:szCs w:val="18"/>
                <w:lang w:val="en-AU"/>
              </w:rPr>
              <w:t xml:space="preserve"> </w:t>
            </w:r>
            <w:r w:rsidRPr="00DD30D9">
              <w:rPr>
                <w:rFonts w:ascii="Arial" w:hAnsi="Arial" w:cs="Arial"/>
                <w:b/>
                <w:color w:val="000000"/>
                <w:sz w:val="18"/>
                <w:szCs w:val="18"/>
                <w:lang w:val="en-AU"/>
              </w:rPr>
              <w:t>fee</w:t>
            </w:r>
          </w:p>
        </w:tc>
        <w:tc>
          <w:tcPr>
            <w:tcW w:w="1203" w:type="dxa"/>
            <w:shd w:val="clear" w:color="auto" w:fill="EEECE1" w:themeFill="background2"/>
            <w:vAlign w:val="bottom"/>
          </w:tcPr>
          <w:p w14:paraId="4AECFCE8" w14:textId="77777777" w:rsidR="007D5F3F" w:rsidRPr="00DD30D9" w:rsidRDefault="007D5F3F">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E417DB"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E417DB"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75" w:type="dxa"/>
            <w:shd w:val="clear" w:color="auto" w:fill="EEECE1" w:themeFill="background2"/>
            <w:vAlign w:val="bottom"/>
          </w:tcPr>
          <w:p w14:paraId="00AF2BEC" w14:textId="77777777" w:rsidR="007D5F3F" w:rsidRPr="00DD30D9" w:rsidRDefault="007D5F3F">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E417DB"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E417DB"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93" w:type="dxa"/>
            <w:shd w:val="clear" w:color="auto" w:fill="EEECE1" w:themeFill="background2"/>
            <w:vAlign w:val="bottom"/>
            <w:hideMark/>
          </w:tcPr>
          <w:p w14:paraId="5B34B5D4" w14:textId="77777777" w:rsidR="007D5F3F" w:rsidRPr="00DD30D9" w:rsidRDefault="007D5F3F">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E417DB"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11" w:type="dxa"/>
            <w:shd w:val="clear" w:color="auto" w:fill="EEECE1" w:themeFill="background2"/>
            <w:vAlign w:val="bottom"/>
            <w:hideMark/>
          </w:tcPr>
          <w:p w14:paraId="10306F98" w14:textId="77777777" w:rsidR="007D5F3F" w:rsidRPr="00DD30D9" w:rsidRDefault="00E417DB">
            <w:pPr>
              <w:rPr>
                <w:rFonts w:ascii="Arial" w:hAnsi="Arial" w:cs="Arial"/>
                <w:b/>
                <w:color w:val="000000"/>
                <w:sz w:val="18"/>
                <w:szCs w:val="18"/>
                <w:lang w:val="en-AU"/>
              </w:rPr>
            </w:pPr>
            <w:r w:rsidRPr="00DD30D9">
              <w:rPr>
                <w:rFonts w:ascii="Arial" w:hAnsi="Arial" w:cs="Arial"/>
                <w:b/>
                <w:color w:val="000000"/>
                <w:sz w:val="18"/>
                <w:szCs w:val="18"/>
                <w:lang w:val="en-AU"/>
              </w:rPr>
              <w:t>5-</w:t>
            </w:r>
            <w:r w:rsidR="005739DC" w:rsidRPr="00DD30D9">
              <w:rPr>
                <w:rFonts w:ascii="Arial" w:hAnsi="Arial" w:cs="Arial"/>
                <w:b/>
                <w:color w:val="000000"/>
                <w:sz w:val="18"/>
                <w:szCs w:val="18"/>
                <w:lang w:val="en-AU"/>
              </w:rPr>
              <w:t xml:space="preserve">year service change </w:t>
            </w:r>
            <w:r w:rsidR="007D5F3F" w:rsidRPr="00DD30D9">
              <w:rPr>
                <w:rFonts w:ascii="Arial" w:hAnsi="Arial" w:cs="Arial"/>
                <w:b/>
                <w:color w:val="000000"/>
                <w:sz w:val="18"/>
                <w:szCs w:val="18"/>
                <w:lang w:val="en-AU"/>
              </w:rPr>
              <w:t>(CAGR)</w:t>
            </w:r>
          </w:p>
        </w:tc>
      </w:tr>
      <w:tr w:rsidR="007D5F3F" w:rsidRPr="00720661" w14:paraId="0E233D84" w14:textId="77777777" w:rsidTr="005F3166">
        <w:trPr>
          <w:trHeight w:val="300"/>
        </w:trPr>
        <w:tc>
          <w:tcPr>
            <w:tcW w:w="740" w:type="dxa"/>
            <w:noWrap/>
          </w:tcPr>
          <w:p w14:paraId="05742814"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73308</w:t>
            </w:r>
          </w:p>
        </w:tc>
        <w:tc>
          <w:tcPr>
            <w:tcW w:w="2559" w:type="dxa"/>
            <w:noWrap/>
          </w:tcPr>
          <w:p w14:paraId="543246BB"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 xml:space="preserve">Characterisation of the genotype of a patient for Factor </w:t>
            </w:r>
            <w:r w:rsidR="009313EC" w:rsidRPr="00DD30D9">
              <w:rPr>
                <w:rFonts w:ascii="Arial" w:hAnsi="Arial" w:cs="Arial"/>
                <w:color w:val="000000"/>
                <w:sz w:val="18"/>
                <w:szCs w:val="18"/>
                <w:lang w:val="en-AU"/>
              </w:rPr>
              <w:t xml:space="preserve">V </w:t>
            </w:r>
            <w:r w:rsidRPr="00DD30D9">
              <w:rPr>
                <w:rFonts w:ascii="Arial" w:hAnsi="Arial" w:cs="Arial"/>
                <w:color w:val="000000"/>
                <w:sz w:val="18"/>
                <w:szCs w:val="18"/>
                <w:lang w:val="en-AU"/>
              </w:rPr>
              <w:t>Leiden gene mutation, or detection of the other relevant mutations in the investigation of proven venous thrombosis or pulmonary embolism – 1 or more tests</w:t>
            </w:r>
          </w:p>
        </w:tc>
        <w:tc>
          <w:tcPr>
            <w:tcW w:w="1022" w:type="dxa"/>
            <w:noWrap/>
          </w:tcPr>
          <w:p w14:paraId="27D04801"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$36.45</w:t>
            </w:r>
          </w:p>
        </w:tc>
        <w:tc>
          <w:tcPr>
            <w:tcW w:w="1203" w:type="dxa"/>
            <w:noWrap/>
          </w:tcPr>
          <w:p w14:paraId="7C67208E" w14:textId="77777777" w:rsidR="007D5F3F"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28</w:t>
            </w:r>
            <w:r w:rsidR="001D2260">
              <w:rPr>
                <w:rFonts w:ascii="Arial" w:hAnsi="Arial" w:cs="Arial"/>
                <w:color w:val="000000"/>
                <w:sz w:val="18"/>
                <w:szCs w:val="18"/>
                <w:lang w:val="en-AU"/>
              </w:rPr>
              <w:t xml:space="preserve"> </w:t>
            </w:r>
            <w:r w:rsidRPr="00DD30D9">
              <w:rPr>
                <w:rFonts w:ascii="Arial" w:hAnsi="Arial" w:cs="Arial"/>
                <w:color w:val="000000"/>
                <w:sz w:val="18"/>
                <w:szCs w:val="18"/>
                <w:lang w:val="en-AU"/>
              </w:rPr>
              <w:t>617</w:t>
            </w:r>
          </w:p>
        </w:tc>
        <w:tc>
          <w:tcPr>
            <w:tcW w:w="1275" w:type="dxa"/>
          </w:tcPr>
          <w:p w14:paraId="1B58F1C2" w14:textId="77777777" w:rsidR="0042645B"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$888,209</w:t>
            </w:r>
          </w:p>
        </w:tc>
        <w:tc>
          <w:tcPr>
            <w:tcW w:w="993" w:type="dxa"/>
            <w:noWrap/>
          </w:tcPr>
          <w:p w14:paraId="3E3F50DB"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27</w:t>
            </w:r>
            <w:r w:rsidR="009313EC" w:rsidRPr="00DD30D9">
              <w:rPr>
                <w:rFonts w:ascii="Arial" w:hAnsi="Arial" w:cs="Arial"/>
                <w:color w:val="000000"/>
                <w:sz w:val="18"/>
                <w:szCs w:val="18"/>
                <w:lang w:val="en-AU"/>
              </w:rPr>
              <w:t xml:space="preserve"> </w:t>
            </w:r>
            <w:r w:rsidRPr="00DD30D9">
              <w:rPr>
                <w:rFonts w:ascii="Arial" w:hAnsi="Arial" w:cs="Arial"/>
                <w:color w:val="000000"/>
                <w:sz w:val="18"/>
                <w:szCs w:val="18"/>
                <w:lang w:val="en-AU"/>
              </w:rPr>
              <w:t>710</w:t>
            </w:r>
          </w:p>
        </w:tc>
        <w:tc>
          <w:tcPr>
            <w:tcW w:w="911" w:type="dxa"/>
            <w:noWrap/>
          </w:tcPr>
          <w:p w14:paraId="1E0DAFF0"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12.2%</w:t>
            </w:r>
          </w:p>
        </w:tc>
      </w:tr>
      <w:tr w:rsidR="007D5F3F" w:rsidRPr="00720661" w14:paraId="32A34B05" w14:textId="77777777" w:rsidTr="005F3166">
        <w:trPr>
          <w:trHeight w:val="300"/>
        </w:trPr>
        <w:tc>
          <w:tcPr>
            <w:tcW w:w="740" w:type="dxa"/>
            <w:noWrap/>
          </w:tcPr>
          <w:p w14:paraId="78FBB4AF"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73309</w:t>
            </w:r>
          </w:p>
        </w:tc>
        <w:tc>
          <w:tcPr>
            <w:tcW w:w="2559" w:type="dxa"/>
            <w:noWrap/>
          </w:tcPr>
          <w:p w14:paraId="6B4FA591"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 xml:space="preserve">A test described in item 73308, if rendered by a receiving APP – 1 or more </w:t>
            </w:r>
            <w:r w:rsidRPr="00DD30D9">
              <w:rPr>
                <w:rFonts w:ascii="Arial" w:hAnsi="Arial" w:cs="Arial"/>
                <w:color w:val="000000"/>
                <w:sz w:val="18"/>
                <w:szCs w:val="18"/>
                <w:lang w:val="en-AU"/>
              </w:rPr>
              <w:lastRenderedPageBreak/>
              <w:t>tests</w:t>
            </w:r>
            <w:r w:rsidR="005739DC" w:rsidRPr="00DD30D9">
              <w:rPr>
                <w:rFonts w:ascii="Arial" w:hAnsi="Arial" w:cs="Arial"/>
                <w:color w:val="000000"/>
                <w:sz w:val="18"/>
                <w:szCs w:val="18"/>
                <w:lang w:val="en-AU"/>
              </w:rPr>
              <w:t xml:space="preserve"> </w:t>
            </w:r>
            <w:r w:rsidRPr="00DD30D9">
              <w:rPr>
                <w:rFonts w:ascii="Arial" w:hAnsi="Arial" w:cs="Arial"/>
                <w:color w:val="000000"/>
                <w:sz w:val="18"/>
                <w:szCs w:val="18"/>
                <w:lang w:val="en-AU"/>
              </w:rPr>
              <w:t>(Item is subject to rule 18)</w:t>
            </w:r>
          </w:p>
        </w:tc>
        <w:tc>
          <w:tcPr>
            <w:tcW w:w="1022" w:type="dxa"/>
            <w:noWrap/>
          </w:tcPr>
          <w:p w14:paraId="698F9F96"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lastRenderedPageBreak/>
              <w:t>$36.45</w:t>
            </w:r>
          </w:p>
        </w:tc>
        <w:tc>
          <w:tcPr>
            <w:tcW w:w="1203" w:type="dxa"/>
            <w:noWrap/>
          </w:tcPr>
          <w:p w14:paraId="45EA3DB2" w14:textId="77777777" w:rsidR="007D5F3F"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1</w:t>
            </w:r>
            <w:r w:rsidR="001D2260">
              <w:rPr>
                <w:rFonts w:ascii="Arial" w:hAnsi="Arial" w:cs="Arial"/>
                <w:color w:val="000000"/>
                <w:sz w:val="18"/>
                <w:szCs w:val="18"/>
                <w:lang w:val="en-AU"/>
              </w:rPr>
              <w:t xml:space="preserve"> </w:t>
            </w:r>
            <w:r w:rsidRPr="00DD30D9">
              <w:rPr>
                <w:rFonts w:ascii="Arial" w:hAnsi="Arial" w:cs="Arial"/>
                <w:color w:val="000000"/>
                <w:sz w:val="18"/>
                <w:szCs w:val="18"/>
                <w:lang w:val="en-AU"/>
              </w:rPr>
              <w:t>627</w:t>
            </w:r>
          </w:p>
        </w:tc>
        <w:tc>
          <w:tcPr>
            <w:tcW w:w="1275" w:type="dxa"/>
          </w:tcPr>
          <w:p w14:paraId="464DA756" w14:textId="77777777" w:rsidR="0042645B"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$50,143</w:t>
            </w:r>
          </w:p>
        </w:tc>
        <w:tc>
          <w:tcPr>
            <w:tcW w:w="993" w:type="dxa"/>
            <w:noWrap/>
          </w:tcPr>
          <w:p w14:paraId="2C1967A2"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1</w:t>
            </w:r>
            <w:r w:rsidR="009313EC" w:rsidRPr="00DD30D9">
              <w:rPr>
                <w:rFonts w:ascii="Arial" w:hAnsi="Arial" w:cs="Arial"/>
                <w:color w:val="000000"/>
                <w:sz w:val="18"/>
                <w:szCs w:val="18"/>
                <w:lang w:val="en-AU"/>
              </w:rPr>
              <w:t xml:space="preserve"> </w:t>
            </w:r>
            <w:r w:rsidRPr="00DD30D9">
              <w:rPr>
                <w:rFonts w:ascii="Arial" w:hAnsi="Arial" w:cs="Arial"/>
                <w:color w:val="000000"/>
                <w:sz w:val="18"/>
                <w:szCs w:val="18"/>
                <w:lang w:val="en-AU"/>
              </w:rPr>
              <w:t>452</w:t>
            </w:r>
          </w:p>
        </w:tc>
        <w:tc>
          <w:tcPr>
            <w:tcW w:w="911" w:type="dxa"/>
            <w:noWrap/>
          </w:tcPr>
          <w:p w14:paraId="65A98013" w14:textId="77777777" w:rsidR="007D5F3F" w:rsidRPr="00DD30D9" w:rsidRDefault="009313EC" w:rsidP="006B51F5">
            <w:pPr>
              <w:jc w:val="right"/>
              <w:rPr>
                <w:rFonts w:ascii="Arial" w:hAnsi="Arial" w:cs="Arial"/>
                <w:color w:val="000000"/>
                <w:sz w:val="18"/>
                <w:szCs w:val="18"/>
                <w:lang w:val="en-AU"/>
              </w:rPr>
            </w:pPr>
            <w:r w:rsidRPr="00DD30D9">
              <w:rPr>
                <w:rFonts w:ascii="Arial" w:hAnsi="Arial" w:cs="Arial"/>
                <w:color w:val="000000"/>
                <w:sz w:val="18"/>
                <w:szCs w:val="18"/>
                <w:lang w:val="en-AU"/>
              </w:rPr>
              <w:t>–</w:t>
            </w:r>
            <w:r w:rsidR="007D5F3F" w:rsidRPr="00DD30D9">
              <w:rPr>
                <w:rFonts w:ascii="Arial" w:hAnsi="Arial" w:cs="Arial"/>
                <w:color w:val="000000"/>
                <w:sz w:val="18"/>
                <w:szCs w:val="18"/>
                <w:lang w:val="en-AU"/>
              </w:rPr>
              <w:t>3.7%</w:t>
            </w:r>
          </w:p>
        </w:tc>
      </w:tr>
      <w:tr w:rsidR="007D5F3F" w:rsidRPr="00720661" w14:paraId="7521B448" w14:textId="77777777" w:rsidTr="005F3166">
        <w:trPr>
          <w:trHeight w:val="300"/>
        </w:trPr>
        <w:tc>
          <w:tcPr>
            <w:tcW w:w="740" w:type="dxa"/>
            <w:noWrap/>
          </w:tcPr>
          <w:p w14:paraId="3D81CACB"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73311</w:t>
            </w:r>
          </w:p>
        </w:tc>
        <w:tc>
          <w:tcPr>
            <w:tcW w:w="2559" w:type="dxa"/>
            <w:noWrap/>
          </w:tcPr>
          <w:p w14:paraId="374DAEA1"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Characterisation of the genotype of a person who is a first degree relative of a person who has proven to have 1 or more abnormal genotypes under item 73308 – 1 or more tests</w:t>
            </w:r>
          </w:p>
        </w:tc>
        <w:tc>
          <w:tcPr>
            <w:tcW w:w="1022" w:type="dxa"/>
            <w:noWrap/>
          </w:tcPr>
          <w:p w14:paraId="3A312B02"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$36.45</w:t>
            </w:r>
          </w:p>
        </w:tc>
        <w:tc>
          <w:tcPr>
            <w:tcW w:w="1203" w:type="dxa"/>
            <w:noWrap/>
          </w:tcPr>
          <w:p w14:paraId="0B4BC160" w14:textId="77777777" w:rsidR="007D5F3F"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6536</w:t>
            </w:r>
          </w:p>
        </w:tc>
        <w:tc>
          <w:tcPr>
            <w:tcW w:w="1275" w:type="dxa"/>
          </w:tcPr>
          <w:p w14:paraId="74462496" w14:textId="77777777" w:rsidR="0042645B"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$204,095</w:t>
            </w:r>
          </w:p>
        </w:tc>
        <w:tc>
          <w:tcPr>
            <w:tcW w:w="993" w:type="dxa"/>
            <w:noWrap/>
          </w:tcPr>
          <w:p w14:paraId="41F68ED8"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6</w:t>
            </w:r>
            <w:r w:rsidR="009313EC" w:rsidRPr="00DD30D9">
              <w:rPr>
                <w:rFonts w:ascii="Arial" w:hAnsi="Arial" w:cs="Arial"/>
                <w:color w:val="000000"/>
                <w:sz w:val="18"/>
                <w:szCs w:val="18"/>
                <w:lang w:val="en-AU"/>
              </w:rPr>
              <w:t xml:space="preserve"> </w:t>
            </w:r>
            <w:r w:rsidRPr="00DD30D9">
              <w:rPr>
                <w:rFonts w:ascii="Arial" w:hAnsi="Arial" w:cs="Arial"/>
                <w:color w:val="000000"/>
                <w:sz w:val="18"/>
                <w:szCs w:val="18"/>
                <w:lang w:val="en-AU"/>
              </w:rPr>
              <w:t>511</w:t>
            </w:r>
          </w:p>
        </w:tc>
        <w:tc>
          <w:tcPr>
            <w:tcW w:w="911" w:type="dxa"/>
            <w:noWrap/>
          </w:tcPr>
          <w:p w14:paraId="2AD2D427"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4.6%</w:t>
            </w:r>
          </w:p>
        </w:tc>
      </w:tr>
      <w:tr w:rsidR="007D5F3F" w:rsidRPr="00720661" w14:paraId="593E067C" w14:textId="77777777" w:rsidTr="005F3166">
        <w:trPr>
          <w:trHeight w:val="300"/>
        </w:trPr>
        <w:tc>
          <w:tcPr>
            <w:tcW w:w="740" w:type="dxa"/>
            <w:noWrap/>
          </w:tcPr>
          <w:p w14:paraId="290E1F60"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73312</w:t>
            </w:r>
          </w:p>
        </w:tc>
        <w:tc>
          <w:tcPr>
            <w:tcW w:w="2559" w:type="dxa"/>
            <w:noWrap/>
          </w:tcPr>
          <w:p w14:paraId="1DD66B09" w14:textId="77777777" w:rsidR="007D5F3F" w:rsidRPr="00DD30D9" w:rsidRDefault="007D5F3F" w:rsidP="005F3166">
            <w:pPr>
              <w:rPr>
                <w:rFonts w:ascii="Arial" w:hAnsi="Arial" w:cs="Arial"/>
                <w:color w:val="000000"/>
                <w:sz w:val="18"/>
                <w:szCs w:val="18"/>
                <w:lang w:val="en-AU"/>
              </w:rPr>
            </w:pPr>
            <w:r w:rsidRPr="00DD30D9">
              <w:rPr>
                <w:rFonts w:ascii="Arial" w:hAnsi="Arial" w:cs="Arial"/>
                <w:color w:val="000000"/>
                <w:sz w:val="18"/>
                <w:szCs w:val="18"/>
                <w:lang w:val="en-AU"/>
              </w:rPr>
              <w:t>A test described in item 73311, if rendered by a receiving APP – 1 or more tests</w:t>
            </w:r>
            <w:r w:rsidR="005739DC" w:rsidRPr="00DD30D9">
              <w:rPr>
                <w:rFonts w:ascii="Arial" w:hAnsi="Arial" w:cs="Arial"/>
                <w:color w:val="000000"/>
                <w:sz w:val="18"/>
                <w:szCs w:val="18"/>
                <w:lang w:val="en-AU"/>
              </w:rPr>
              <w:t xml:space="preserve"> </w:t>
            </w:r>
            <w:r w:rsidRPr="00DD30D9">
              <w:rPr>
                <w:rFonts w:ascii="Arial" w:hAnsi="Arial" w:cs="Arial"/>
                <w:color w:val="000000"/>
                <w:sz w:val="18"/>
                <w:szCs w:val="18"/>
                <w:lang w:val="en-AU"/>
              </w:rPr>
              <w:t>(Item is subject to rule 18)</w:t>
            </w:r>
          </w:p>
        </w:tc>
        <w:tc>
          <w:tcPr>
            <w:tcW w:w="1022" w:type="dxa"/>
            <w:noWrap/>
          </w:tcPr>
          <w:p w14:paraId="45D504D9"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$36.45</w:t>
            </w:r>
          </w:p>
        </w:tc>
        <w:tc>
          <w:tcPr>
            <w:tcW w:w="1203" w:type="dxa"/>
            <w:noWrap/>
          </w:tcPr>
          <w:p w14:paraId="1827C4BD" w14:textId="77777777" w:rsidR="007D5F3F"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56</w:t>
            </w:r>
          </w:p>
        </w:tc>
        <w:tc>
          <w:tcPr>
            <w:tcW w:w="1275" w:type="dxa"/>
          </w:tcPr>
          <w:p w14:paraId="48B33A36" w14:textId="77777777" w:rsidR="0042645B" w:rsidRPr="00DD30D9" w:rsidRDefault="0042645B" w:rsidP="006B51F5">
            <w:pPr>
              <w:jc w:val="right"/>
              <w:rPr>
                <w:rFonts w:ascii="Arial" w:hAnsi="Arial" w:cs="Arial"/>
                <w:color w:val="000000"/>
                <w:sz w:val="18"/>
                <w:szCs w:val="18"/>
                <w:lang w:val="en-AU"/>
              </w:rPr>
            </w:pPr>
            <w:r w:rsidRPr="00DD30D9">
              <w:rPr>
                <w:rFonts w:ascii="Arial" w:hAnsi="Arial" w:cs="Arial"/>
                <w:color w:val="000000"/>
                <w:sz w:val="18"/>
                <w:szCs w:val="18"/>
                <w:lang w:val="en-AU"/>
              </w:rPr>
              <w:t>$1,736</w:t>
            </w:r>
          </w:p>
        </w:tc>
        <w:tc>
          <w:tcPr>
            <w:tcW w:w="993" w:type="dxa"/>
            <w:noWrap/>
          </w:tcPr>
          <w:p w14:paraId="1ECD0242" w14:textId="77777777" w:rsidR="007D5F3F" w:rsidRPr="00DD30D9" w:rsidRDefault="007D5F3F" w:rsidP="006B51F5">
            <w:pPr>
              <w:jc w:val="right"/>
              <w:rPr>
                <w:rFonts w:ascii="Arial" w:hAnsi="Arial" w:cs="Arial"/>
                <w:color w:val="000000"/>
                <w:sz w:val="18"/>
                <w:szCs w:val="18"/>
                <w:lang w:val="en-AU"/>
              </w:rPr>
            </w:pPr>
            <w:r w:rsidRPr="00DD30D9">
              <w:rPr>
                <w:rFonts w:ascii="Arial" w:hAnsi="Arial" w:cs="Arial"/>
                <w:color w:val="000000"/>
                <w:sz w:val="18"/>
                <w:szCs w:val="18"/>
                <w:lang w:val="en-AU"/>
              </w:rPr>
              <w:t>58</w:t>
            </w:r>
          </w:p>
        </w:tc>
        <w:tc>
          <w:tcPr>
            <w:tcW w:w="911" w:type="dxa"/>
            <w:noWrap/>
          </w:tcPr>
          <w:p w14:paraId="39DC733F" w14:textId="77777777" w:rsidR="007D5F3F" w:rsidRPr="00DD30D9" w:rsidRDefault="009313EC" w:rsidP="006B51F5">
            <w:pPr>
              <w:jc w:val="right"/>
              <w:rPr>
                <w:rFonts w:ascii="Arial" w:hAnsi="Arial" w:cs="Arial"/>
                <w:color w:val="000000"/>
                <w:sz w:val="18"/>
                <w:szCs w:val="18"/>
                <w:lang w:val="en-AU"/>
              </w:rPr>
            </w:pPr>
            <w:r w:rsidRPr="00DD30D9">
              <w:rPr>
                <w:rFonts w:ascii="Arial" w:hAnsi="Arial" w:cs="Arial"/>
                <w:color w:val="000000"/>
                <w:sz w:val="18"/>
                <w:szCs w:val="18"/>
                <w:lang w:val="en-AU"/>
              </w:rPr>
              <w:t>–</w:t>
            </w:r>
            <w:r w:rsidR="007D5F3F" w:rsidRPr="00DD30D9">
              <w:rPr>
                <w:rFonts w:ascii="Arial" w:hAnsi="Arial" w:cs="Arial"/>
                <w:color w:val="000000"/>
                <w:sz w:val="18"/>
                <w:szCs w:val="18"/>
                <w:lang w:val="en-AU"/>
              </w:rPr>
              <w:t>14.8%</w:t>
            </w:r>
          </w:p>
        </w:tc>
      </w:tr>
    </w:tbl>
    <w:p w14:paraId="3B8BB1A4" w14:textId="77777777" w:rsidR="0033420E" w:rsidRPr="00DD30D9" w:rsidRDefault="0033420E" w:rsidP="00677AEE">
      <w:pPr>
        <w:pStyle w:val="Heading3"/>
        <w:numPr>
          <w:ilvl w:val="0"/>
          <w:numId w:val="0"/>
        </w:numPr>
        <w:ind w:left="720" w:hanging="720"/>
        <w:rPr>
          <w:lang w:val="en-AU"/>
        </w:rPr>
      </w:pPr>
      <w:bookmarkStart w:id="125" w:name="_Toc13736000"/>
      <w:r w:rsidRPr="00DD30D9">
        <w:rPr>
          <w:lang w:val="en-AU"/>
        </w:rPr>
        <w:t>Recommendation</w:t>
      </w:r>
      <w:r w:rsidR="0061030F" w:rsidRPr="00DD30D9">
        <w:rPr>
          <w:lang w:val="en-AU"/>
        </w:rPr>
        <w:t xml:space="preserve"> 9</w:t>
      </w:r>
      <w:bookmarkEnd w:id="125"/>
    </w:p>
    <w:p w14:paraId="792ABE4F" w14:textId="77777777" w:rsidR="007D5F3F" w:rsidRPr="00D31D6B" w:rsidRDefault="009C7256" w:rsidP="007D5F3F">
      <w:pPr>
        <w:pStyle w:val="01squarebullet"/>
        <w:rPr>
          <w:lang w:val="en-AU"/>
        </w:rPr>
      </w:pPr>
      <w:r w:rsidRPr="00D31D6B">
        <w:rPr>
          <w:szCs w:val="22"/>
          <w:lang w:val="en-AU"/>
        </w:rPr>
        <w:t xml:space="preserve">Amend </w:t>
      </w:r>
      <w:r w:rsidR="007D5F3F" w:rsidRPr="00D31D6B">
        <w:rPr>
          <w:szCs w:val="22"/>
          <w:lang w:val="en-AU"/>
        </w:rPr>
        <w:t xml:space="preserve">the descriptor for 73308 </w:t>
      </w:r>
      <w:r w:rsidR="00082F01" w:rsidRPr="00D31D6B">
        <w:rPr>
          <w:szCs w:val="22"/>
          <w:lang w:val="en-AU"/>
        </w:rPr>
        <w:t xml:space="preserve">to limit the test to </w:t>
      </w:r>
      <w:r w:rsidR="006D1AFE" w:rsidRPr="00D31D6B">
        <w:rPr>
          <w:szCs w:val="22"/>
          <w:lang w:val="en-AU"/>
        </w:rPr>
        <w:t>factor V Leiden</w:t>
      </w:r>
      <w:r w:rsidR="00082F01" w:rsidRPr="00D31D6B">
        <w:rPr>
          <w:szCs w:val="22"/>
          <w:lang w:val="en-AU"/>
        </w:rPr>
        <w:t xml:space="preserve"> (FVL)</w:t>
      </w:r>
      <w:r w:rsidR="007D5F3F" w:rsidRPr="00D31D6B">
        <w:rPr>
          <w:szCs w:val="22"/>
          <w:lang w:val="en-AU"/>
        </w:rPr>
        <w:t xml:space="preserve"> and </w:t>
      </w:r>
      <w:r w:rsidR="00082F01" w:rsidRPr="00D31D6B">
        <w:rPr>
          <w:bCs/>
          <w:szCs w:val="22"/>
          <w:lang w:val="en-AU"/>
        </w:rPr>
        <w:t>prothrombin 20210G&gt;A (</w:t>
      </w:r>
      <w:r w:rsidR="007D5F3F" w:rsidRPr="00D31D6B">
        <w:rPr>
          <w:szCs w:val="22"/>
          <w:lang w:val="en-AU"/>
        </w:rPr>
        <w:t>PT</w:t>
      </w:r>
      <w:r w:rsidR="00082F01" w:rsidRPr="00D31D6B">
        <w:rPr>
          <w:szCs w:val="22"/>
          <w:lang w:val="en-AU"/>
        </w:rPr>
        <w:t>)</w:t>
      </w:r>
      <w:r w:rsidR="007D5F3F" w:rsidRPr="00D31D6B">
        <w:rPr>
          <w:szCs w:val="22"/>
          <w:lang w:val="en-AU"/>
        </w:rPr>
        <w:t xml:space="preserve"> gene mutations only</w:t>
      </w:r>
      <w:r w:rsidR="00082F01" w:rsidRPr="00D31D6B">
        <w:rPr>
          <w:szCs w:val="22"/>
          <w:lang w:val="en-AU"/>
        </w:rPr>
        <w:t xml:space="preserve"> in person</w:t>
      </w:r>
      <w:r w:rsidR="00444647" w:rsidRPr="00D31D6B">
        <w:rPr>
          <w:szCs w:val="22"/>
          <w:lang w:val="en-AU"/>
        </w:rPr>
        <w:t>s</w:t>
      </w:r>
      <w:r w:rsidR="00082F01" w:rsidRPr="00D31D6B">
        <w:rPr>
          <w:szCs w:val="22"/>
          <w:lang w:val="en-AU"/>
        </w:rPr>
        <w:t xml:space="preserve"> </w:t>
      </w:r>
      <w:r w:rsidR="00082F01" w:rsidRPr="00D31D6B">
        <w:rPr>
          <w:bCs/>
          <w:szCs w:val="22"/>
          <w:lang w:val="en-AU"/>
        </w:rPr>
        <w:t>who ha</w:t>
      </w:r>
      <w:r w:rsidR="00044946" w:rsidRPr="00D31D6B">
        <w:rPr>
          <w:bCs/>
          <w:szCs w:val="22"/>
          <w:lang w:val="en-AU"/>
        </w:rPr>
        <w:t>ve</w:t>
      </w:r>
      <w:r w:rsidR="00082F01" w:rsidRPr="00D31D6B">
        <w:rPr>
          <w:bCs/>
          <w:szCs w:val="22"/>
          <w:lang w:val="en-AU"/>
        </w:rPr>
        <w:t xml:space="preserve"> an activated protein C resistance (APCR).</w:t>
      </w:r>
    </w:p>
    <w:p w14:paraId="77D3E5D1" w14:textId="77777777" w:rsidR="001820D2" w:rsidRPr="00DD30D9" w:rsidRDefault="001820D2" w:rsidP="007D5F3F">
      <w:pPr>
        <w:pStyle w:val="01squarebullet"/>
        <w:rPr>
          <w:lang w:val="en-AU"/>
        </w:rPr>
      </w:pPr>
      <w:r w:rsidRPr="00DD30D9">
        <w:rPr>
          <w:bCs/>
          <w:szCs w:val="22"/>
          <w:lang w:val="en-AU"/>
        </w:rPr>
        <w:t>No change to item 73309.</w:t>
      </w:r>
    </w:p>
    <w:p w14:paraId="17246C5A" w14:textId="77777777" w:rsidR="001349F0" w:rsidRPr="00DD30D9" w:rsidRDefault="007D5F3F" w:rsidP="0033420E">
      <w:pPr>
        <w:pStyle w:val="01squarebullet"/>
        <w:rPr>
          <w:lang w:val="en-AU"/>
        </w:rPr>
      </w:pPr>
      <w:r w:rsidRPr="00DD30D9">
        <w:rPr>
          <w:lang w:val="en-AU"/>
        </w:rPr>
        <w:t>Delete items 73311 and 73312 to remove</w:t>
      </w:r>
      <w:r w:rsidR="001820D2" w:rsidRPr="00DD30D9">
        <w:rPr>
          <w:lang w:val="en-AU"/>
        </w:rPr>
        <w:t xml:space="preserve"> funding for</w:t>
      </w:r>
      <w:r w:rsidRPr="00DD30D9">
        <w:rPr>
          <w:lang w:val="en-AU"/>
        </w:rPr>
        <w:t xml:space="preserve"> testing in first</w:t>
      </w:r>
      <w:r w:rsidR="00675DC9" w:rsidRPr="00DD30D9">
        <w:rPr>
          <w:lang w:val="en-AU"/>
        </w:rPr>
        <w:t>-</w:t>
      </w:r>
      <w:r w:rsidRPr="00DD30D9">
        <w:rPr>
          <w:lang w:val="en-AU"/>
        </w:rPr>
        <w:t>degree relatives from the MBS</w:t>
      </w:r>
      <w:r w:rsidR="001349F0" w:rsidRPr="00DD30D9">
        <w:rPr>
          <w:lang w:val="en-AU"/>
        </w:rPr>
        <w:t>.</w:t>
      </w:r>
    </w:p>
    <w:p w14:paraId="6B5D820C" w14:textId="77777777" w:rsidR="001349F0" w:rsidRPr="00DD30D9" w:rsidRDefault="001349F0">
      <w:pPr>
        <w:pStyle w:val="Caption"/>
      </w:pPr>
      <w:bookmarkStart w:id="126" w:name="_Toc482009641"/>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DD30D9">
        <w:t xml:space="preserve"> </w:t>
      </w:r>
      <w:r w:rsidR="00F66BF9" w:rsidRPr="00DD30D9">
        <w:t xml:space="preserve">Proposed changes to </w:t>
      </w:r>
      <w:r w:rsidRPr="00DD30D9">
        <w:t>item</w:t>
      </w:r>
      <w:r w:rsidR="00F66BF9" w:rsidRPr="00DD30D9">
        <w:t>s</w:t>
      </w:r>
      <w:r w:rsidRPr="00DD30D9">
        <w:t xml:space="preserve"> </w:t>
      </w:r>
      <w:r w:rsidR="00F66BF9" w:rsidRPr="00DD30D9">
        <w:t xml:space="preserve">73308, </w:t>
      </w:r>
      <w:r w:rsidRPr="00DD30D9">
        <w:t>73309</w:t>
      </w:r>
      <w:r w:rsidR="00F66BF9" w:rsidRPr="00DD30D9">
        <w:t>, 73311 and 73312</w:t>
      </w:r>
      <w:bookmarkEnd w:id="126"/>
    </w:p>
    <w:tbl>
      <w:tblPr>
        <w:tblStyle w:val="TableGrid"/>
        <w:tblW w:w="9011" w:type="dxa"/>
        <w:tblInd w:w="-5" w:type="dxa"/>
        <w:tblLook w:val="04A0" w:firstRow="1" w:lastRow="0" w:firstColumn="1" w:lastColumn="0" w:noHBand="0" w:noVBand="1"/>
        <w:tblCaption w:val="Proposed changes to items 73308, 73309, 73311 and 73312"/>
        <w:tblDescription w:val="This table shows the current item descriptors and proposed new item descriptors for items 73308, 73309, 73311 and 73312. "/>
      </w:tblPr>
      <w:tblGrid>
        <w:gridCol w:w="988"/>
        <w:gridCol w:w="3827"/>
        <w:gridCol w:w="4196"/>
      </w:tblGrid>
      <w:tr w:rsidR="001349F0" w:rsidRPr="00720661" w14:paraId="05A4AE19" w14:textId="77777777" w:rsidTr="005A054A">
        <w:trPr>
          <w:trHeight w:val="277"/>
          <w:tblHeader/>
        </w:trPr>
        <w:tc>
          <w:tcPr>
            <w:tcW w:w="988" w:type="dxa"/>
            <w:tcBorders>
              <w:top w:val="single" w:sz="4" w:space="0" w:color="auto"/>
              <w:left w:val="single" w:sz="8" w:space="0" w:color="auto"/>
              <w:bottom w:val="single" w:sz="4" w:space="0" w:color="auto"/>
              <w:right w:val="single" w:sz="8" w:space="0" w:color="auto"/>
            </w:tcBorders>
            <w:shd w:val="clear" w:color="auto" w:fill="EEECE1" w:themeFill="background2"/>
            <w:vAlign w:val="bottom"/>
          </w:tcPr>
          <w:p w14:paraId="7D52FFE4" w14:textId="77777777" w:rsidR="001349F0" w:rsidRPr="00DD30D9" w:rsidRDefault="001349F0" w:rsidP="0021731C">
            <w:pPr>
              <w:rPr>
                <w:rFonts w:ascii="Arial" w:hAnsi="Arial" w:cs="Arial"/>
                <w:b/>
                <w:bCs/>
                <w:sz w:val="18"/>
                <w:lang w:val="en-AU"/>
              </w:rPr>
            </w:pPr>
            <w:r w:rsidRPr="00DD30D9">
              <w:rPr>
                <w:rFonts w:ascii="Arial" w:hAnsi="Arial" w:cs="Arial"/>
                <w:b/>
                <w:bCs/>
                <w:sz w:val="18"/>
                <w:lang w:val="en-AU"/>
              </w:rPr>
              <w:t xml:space="preserve">Item </w:t>
            </w:r>
          </w:p>
        </w:tc>
        <w:tc>
          <w:tcPr>
            <w:tcW w:w="3827" w:type="dxa"/>
            <w:tcBorders>
              <w:top w:val="single" w:sz="4" w:space="0" w:color="auto"/>
              <w:left w:val="single" w:sz="8" w:space="0" w:color="auto"/>
              <w:bottom w:val="single" w:sz="4" w:space="0" w:color="auto"/>
              <w:right w:val="single" w:sz="8" w:space="0" w:color="auto"/>
            </w:tcBorders>
            <w:shd w:val="clear" w:color="auto" w:fill="EEECE1" w:themeFill="background2"/>
            <w:vAlign w:val="bottom"/>
          </w:tcPr>
          <w:p w14:paraId="742FBFA4" w14:textId="77777777" w:rsidR="001349F0" w:rsidRPr="00DD30D9" w:rsidRDefault="001349F0" w:rsidP="0021731C">
            <w:pPr>
              <w:rPr>
                <w:rFonts w:ascii="Arial" w:hAnsi="Arial" w:cs="Arial"/>
                <w:b/>
                <w:sz w:val="18"/>
                <w:lang w:val="en-AU"/>
              </w:rPr>
            </w:pPr>
            <w:r w:rsidRPr="00DD30D9">
              <w:rPr>
                <w:rFonts w:ascii="Arial" w:hAnsi="Arial" w:cs="Arial"/>
                <w:b/>
                <w:bCs/>
                <w:sz w:val="18"/>
                <w:lang w:val="en-AU"/>
              </w:rPr>
              <w:t>Current item descriptor</w:t>
            </w:r>
          </w:p>
        </w:tc>
        <w:tc>
          <w:tcPr>
            <w:tcW w:w="4196" w:type="dxa"/>
            <w:tcBorders>
              <w:top w:val="single" w:sz="4" w:space="0" w:color="auto"/>
              <w:left w:val="nil"/>
              <w:bottom w:val="single" w:sz="4" w:space="0" w:color="auto"/>
              <w:right w:val="single" w:sz="8" w:space="0" w:color="auto"/>
            </w:tcBorders>
            <w:shd w:val="clear" w:color="auto" w:fill="EEECE1" w:themeFill="background2"/>
            <w:vAlign w:val="bottom"/>
          </w:tcPr>
          <w:p w14:paraId="66D7F37B" w14:textId="77777777" w:rsidR="001349F0" w:rsidRPr="00DD30D9" w:rsidRDefault="001349F0" w:rsidP="0021731C">
            <w:pPr>
              <w:rPr>
                <w:rFonts w:ascii="Arial" w:hAnsi="Arial" w:cs="Arial"/>
                <w:b/>
                <w:sz w:val="18"/>
                <w:lang w:val="en-AU"/>
              </w:rPr>
            </w:pPr>
            <w:r w:rsidRPr="00DD30D9">
              <w:rPr>
                <w:rFonts w:ascii="Arial" w:hAnsi="Arial" w:cs="Arial"/>
                <w:b/>
                <w:bCs/>
                <w:sz w:val="18"/>
                <w:lang w:val="en-AU"/>
              </w:rPr>
              <w:t>Proposed new item descriptor</w:t>
            </w:r>
          </w:p>
        </w:tc>
      </w:tr>
      <w:tr w:rsidR="001349F0" w:rsidRPr="00720661" w14:paraId="4583A3A5" w14:textId="77777777" w:rsidTr="006B51F5">
        <w:trPr>
          <w:trHeight w:val="1682"/>
        </w:trPr>
        <w:tc>
          <w:tcPr>
            <w:tcW w:w="988" w:type="dxa"/>
            <w:tcBorders>
              <w:top w:val="single" w:sz="4" w:space="0" w:color="auto"/>
              <w:left w:val="single" w:sz="8" w:space="0" w:color="auto"/>
              <w:bottom w:val="single" w:sz="4" w:space="0" w:color="auto"/>
              <w:right w:val="single" w:sz="8" w:space="0" w:color="auto"/>
            </w:tcBorders>
          </w:tcPr>
          <w:p w14:paraId="19B7A497" w14:textId="77777777" w:rsidR="001349F0" w:rsidRPr="00DD30D9" w:rsidRDefault="001349F0" w:rsidP="0021731C">
            <w:pPr>
              <w:rPr>
                <w:rFonts w:ascii="Arial" w:hAnsi="Arial" w:cs="Arial"/>
                <w:color w:val="000000"/>
                <w:sz w:val="18"/>
                <w:szCs w:val="18"/>
                <w:lang w:val="en-AU"/>
              </w:rPr>
            </w:pPr>
            <w:r w:rsidRPr="00DD30D9">
              <w:rPr>
                <w:rFonts w:ascii="Arial" w:hAnsi="Arial" w:cs="Arial"/>
                <w:color w:val="000000"/>
                <w:sz w:val="18"/>
                <w:szCs w:val="18"/>
                <w:lang w:val="en-AU"/>
              </w:rPr>
              <w:t>73308</w:t>
            </w:r>
          </w:p>
        </w:tc>
        <w:tc>
          <w:tcPr>
            <w:tcW w:w="3827" w:type="dxa"/>
            <w:tcBorders>
              <w:top w:val="single" w:sz="4" w:space="0" w:color="auto"/>
              <w:left w:val="single" w:sz="8" w:space="0" w:color="auto"/>
              <w:bottom w:val="single" w:sz="4" w:space="0" w:color="auto"/>
              <w:right w:val="single" w:sz="8" w:space="0" w:color="auto"/>
            </w:tcBorders>
          </w:tcPr>
          <w:p w14:paraId="3531EE7A" w14:textId="77777777" w:rsidR="001349F0" w:rsidRPr="00DD30D9" w:rsidRDefault="001349F0" w:rsidP="00675DC9">
            <w:pPr>
              <w:rPr>
                <w:rFonts w:ascii="Arial" w:hAnsi="Arial" w:cs="Arial"/>
                <w:b/>
                <w:bCs/>
                <w:sz w:val="18"/>
                <w:lang w:val="en-AU"/>
              </w:rPr>
            </w:pPr>
            <w:r w:rsidRPr="00DD30D9">
              <w:rPr>
                <w:rFonts w:ascii="Arial" w:hAnsi="Arial" w:cs="Arial"/>
                <w:color w:val="000000"/>
                <w:sz w:val="18"/>
                <w:szCs w:val="18"/>
                <w:lang w:val="en-AU"/>
              </w:rPr>
              <w:t>Characterisation of</w:t>
            </w:r>
            <w:r w:rsidR="00082F01" w:rsidRPr="00DD30D9">
              <w:rPr>
                <w:rFonts w:ascii="Arial" w:hAnsi="Arial" w:cs="Arial"/>
                <w:color w:val="000000"/>
                <w:sz w:val="18"/>
                <w:szCs w:val="18"/>
                <w:lang w:val="en-AU"/>
              </w:rPr>
              <w:t xml:space="preserve"> the genotype of a patient </w:t>
            </w:r>
            <w:r w:rsidR="00082F01" w:rsidRPr="00811224">
              <w:rPr>
                <w:rFonts w:ascii="Arial" w:hAnsi="Arial" w:cs="Arial"/>
                <w:color w:val="000000"/>
                <w:sz w:val="18"/>
                <w:szCs w:val="18"/>
                <w:lang w:val="en-AU"/>
              </w:rPr>
              <w:t xml:space="preserve">for </w:t>
            </w:r>
            <w:r w:rsidR="006B51F5" w:rsidRPr="00811224">
              <w:rPr>
                <w:rFonts w:ascii="Arial" w:hAnsi="Arial" w:cs="Arial"/>
                <w:color w:val="000000"/>
                <w:sz w:val="18"/>
                <w:szCs w:val="18"/>
                <w:lang w:val="en-AU"/>
              </w:rPr>
              <w:t>f</w:t>
            </w:r>
            <w:r w:rsidR="00675DC9" w:rsidRPr="00811224">
              <w:rPr>
                <w:rFonts w:ascii="Arial" w:hAnsi="Arial" w:cs="Arial"/>
                <w:color w:val="000000"/>
                <w:sz w:val="18"/>
                <w:szCs w:val="18"/>
                <w:lang w:val="en-AU"/>
              </w:rPr>
              <w:t xml:space="preserve">actor V </w:t>
            </w:r>
            <w:r w:rsidRPr="00811224">
              <w:rPr>
                <w:rFonts w:ascii="Arial" w:hAnsi="Arial" w:cs="Arial"/>
                <w:color w:val="000000"/>
                <w:sz w:val="18"/>
                <w:szCs w:val="18"/>
                <w:lang w:val="en-AU"/>
              </w:rPr>
              <w:t>Leiden gene</w:t>
            </w:r>
            <w:r w:rsidRPr="00DD30D9">
              <w:rPr>
                <w:rFonts w:ascii="Arial" w:hAnsi="Arial" w:cs="Arial"/>
                <w:color w:val="000000"/>
                <w:sz w:val="18"/>
                <w:szCs w:val="18"/>
                <w:lang w:val="en-AU"/>
              </w:rPr>
              <w:t xml:space="preserve"> mutation, or detection of the other relevant mutations in the investigation of proven venous thrombosis or pulmonary embolism – 1 or more tests</w:t>
            </w:r>
          </w:p>
        </w:tc>
        <w:tc>
          <w:tcPr>
            <w:tcW w:w="4196" w:type="dxa"/>
            <w:tcBorders>
              <w:top w:val="single" w:sz="4" w:space="0" w:color="auto"/>
              <w:left w:val="nil"/>
              <w:bottom w:val="single" w:sz="4" w:space="0" w:color="auto"/>
              <w:right w:val="single" w:sz="8" w:space="0" w:color="auto"/>
            </w:tcBorders>
          </w:tcPr>
          <w:p w14:paraId="57968BF2" w14:textId="77777777" w:rsidR="001349F0" w:rsidRPr="00D31D6B" w:rsidRDefault="00082F01" w:rsidP="00675DC9">
            <w:pPr>
              <w:rPr>
                <w:rFonts w:ascii="Arial" w:hAnsi="Arial" w:cs="Arial"/>
                <w:bCs/>
                <w:sz w:val="18"/>
                <w:lang w:val="en-AU"/>
              </w:rPr>
            </w:pPr>
            <w:r w:rsidRPr="00D31D6B">
              <w:rPr>
                <w:rFonts w:ascii="Arial" w:hAnsi="Arial" w:cs="Arial"/>
                <w:bCs/>
                <w:sz w:val="18"/>
                <w:u w:val="single"/>
                <w:lang w:val="en-AU"/>
              </w:rPr>
              <w:t xml:space="preserve">Analysis of </w:t>
            </w:r>
            <w:r w:rsidR="006D1AFE" w:rsidRPr="00D31D6B">
              <w:rPr>
                <w:rFonts w:ascii="Arial" w:hAnsi="Arial" w:cs="Arial"/>
                <w:bCs/>
                <w:sz w:val="18"/>
                <w:u w:val="single"/>
                <w:lang w:val="en-AU"/>
              </w:rPr>
              <w:t>factor V Leiden</w:t>
            </w:r>
            <w:r w:rsidR="001349F0" w:rsidRPr="00D31D6B">
              <w:rPr>
                <w:rFonts w:ascii="Arial" w:hAnsi="Arial" w:cs="Arial"/>
                <w:bCs/>
                <w:sz w:val="18"/>
                <w:u w:val="single"/>
                <w:lang w:val="en-AU"/>
              </w:rPr>
              <w:t xml:space="preserve"> and prothrombin 20210G&gt;A (PT) gene mutations in a person who has an activated protein C resistance (APCR)</w:t>
            </w:r>
            <w:r w:rsidR="001349F0" w:rsidRPr="00D31D6B">
              <w:rPr>
                <w:rFonts w:ascii="Arial" w:hAnsi="Arial" w:cs="Arial"/>
                <w:bCs/>
                <w:sz w:val="18"/>
                <w:lang w:val="en-AU"/>
              </w:rPr>
              <w:t xml:space="preserve"> – 1 or more tests.</w:t>
            </w:r>
          </w:p>
        </w:tc>
      </w:tr>
      <w:tr w:rsidR="001349F0" w:rsidRPr="00720661" w14:paraId="47465536" w14:textId="77777777" w:rsidTr="006B51F5">
        <w:trPr>
          <w:trHeight w:val="1115"/>
        </w:trPr>
        <w:tc>
          <w:tcPr>
            <w:tcW w:w="988" w:type="dxa"/>
            <w:tcBorders>
              <w:top w:val="single" w:sz="4" w:space="0" w:color="auto"/>
              <w:left w:val="single" w:sz="8" w:space="0" w:color="auto"/>
              <w:bottom w:val="single" w:sz="8" w:space="0" w:color="auto"/>
              <w:right w:val="single" w:sz="8" w:space="0" w:color="auto"/>
            </w:tcBorders>
          </w:tcPr>
          <w:p w14:paraId="6629DDE3" w14:textId="77777777" w:rsidR="001349F0" w:rsidRPr="00DD30D9" w:rsidRDefault="001349F0" w:rsidP="0021731C">
            <w:pPr>
              <w:rPr>
                <w:rFonts w:ascii="Arial" w:hAnsi="Arial" w:cs="Arial"/>
                <w:color w:val="000000"/>
                <w:sz w:val="18"/>
                <w:szCs w:val="18"/>
                <w:lang w:val="en-AU"/>
              </w:rPr>
            </w:pPr>
            <w:r w:rsidRPr="00DD30D9">
              <w:rPr>
                <w:rFonts w:ascii="Arial" w:hAnsi="Arial" w:cs="Arial"/>
                <w:color w:val="000000"/>
                <w:sz w:val="18"/>
                <w:szCs w:val="18"/>
                <w:lang w:val="en-AU"/>
              </w:rPr>
              <w:t>73309</w:t>
            </w:r>
          </w:p>
        </w:tc>
        <w:tc>
          <w:tcPr>
            <w:tcW w:w="3827" w:type="dxa"/>
            <w:tcBorders>
              <w:top w:val="single" w:sz="4" w:space="0" w:color="auto"/>
              <w:left w:val="single" w:sz="8" w:space="0" w:color="auto"/>
              <w:bottom w:val="single" w:sz="8" w:space="0" w:color="auto"/>
              <w:right w:val="single" w:sz="8" w:space="0" w:color="auto"/>
            </w:tcBorders>
          </w:tcPr>
          <w:p w14:paraId="6F322B59" w14:textId="77777777" w:rsidR="001349F0" w:rsidRPr="00DD30D9" w:rsidRDefault="001349F0" w:rsidP="0021731C">
            <w:pPr>
              <w:rPr>
                <w:rFonts w:ascii="Arial" w:hAnsi="Arial" w:cs="Arial"/>
                <w:color w:val="000000"/>
                <w:sz w:val="18"/>
                <w:szCs w:val="18"/>
                <w:lang w:val="en-AU"/>
              </w:rPr>
            </w:pPr>
            <w:r w:rsidRPr="00DD30D9">
              <w:rPr>
                <w:rFonts w:ascii="Arial" w:hAnsi="Arial" w:cs="Arial"/>
                <w:color w:val="000000"/>
                <w:sz w:val="18"/>
                <w:szCs w:val="18"/>
                <w:lang w:val="en-AU"/>
              </w:rPr>
              <w:t>A test described in item 73308, if rendered by a receiving APP – 1 or more tests</w:t>
            </w:r>
            <w:r w:rsidR="00247B17" w:rsidRPr="00DD30D9">
              <w:rPr>
                <w:rFonts w:ascii="Arial" w:hAnsi="Arial" w:cs="Arial"/>
                <w:color w:val="000000"/>
                <w:sz w:val="18"/>
                <w:szCs w:val="18"/>
                <w:lang w:val="en-AU"/>
              </w:rPr>
              <w:t xml:space="preserve"> </w:t>
            </w:r>
            <w:r w:rsidRPr="00DD30D9">
              <w:rPr>
                <w:rFonts w:ascii="Arial" w:hAnsi="Arial" w:cs="Arial"/>
                <w:color w:val="000000"/>
                <w:sz w:val="18"/>
                <w:szCs w:val="18"/>
                <w:lang w:val="en-AU"/>
              </w:rPr>
              <w:t>(Item is subject to rule 18)</w:t>
            </w:r>
          </w:p>
        </w:tc>
        <w:tc>
          <w:tcPr>
            <w:tcW w:w="4196" w:type="dxa"/>
            <w:tcBorders>
              <w:top w:val="single" w:sz="4" w:space="0" w:color="auto"/>
              <w:left w:val="nil"/>
              <w:bottom w:val="single" w:sz="8" w:space="0" w:color="auto"/>
              <w:right w:val="single" w:sz="8" w:space="0" w:color="auto"/>
            </w:tcBorders>
          </w:tcPr>
          <w:p w14:paraId="72B5E605" w14:textId="77777777" w:rsidR="001349F0" w:rsidRPr="00DD30D9" w:rsidRDefault="0026797F" w:rsidP="0021731C">
            <w:pPr>
              <w:rPr>
                <w:rFonts w:ascii="Arial" w:hAnsi="Arial" w:cs="Arial"/>
                <w:bCs/>
                <w:sz w:val="18"/>
                <w:lang w:val="en-AU"/>
              </w:rPr>
            </w:pPr>
            <w:r w:rsidRPr="00DD30D9">
              <w:rPr>
                <w:rFonts w:ascii="Arial" w:hAnsi="Arial" w:cs="Arial"/>
                <w:bCs/>
                <w:sz w:val="18"/>
                <w:lang w:val="en-AU"/>
              </w:rPr>
              <w:t>No change</w:t>
            </w:r>
          </w:p>
        </w:tc>
      </w:tr>
      <w:tr w:rsidR="005739DC" w:rsidRPr="00720661" w14:paraId="54E0D726" w14:textId="77777777" w:rsidTr="0017008C">
        <w:trPr>
          <w:trHeight w:val="1115"/>
        </w:trPr>
        <w:tc>
          <w:tcPr>
            <w:tcW w:w="988" w:type="dxa"/>
          </w:tcPr>
          <w:p w14:paraId="703FDB25" w14:textId="77777777" w:rsidR="005739DC" w:rsidRPr="00DD30D9" w:rsidRDefault="005739DC" w:rsidP="0021731C">
            <w:pPr>
              <w:rPr>
                <w:rFonts w:ascii="Arial" w:hAnsi="Arial" w:cs="Arial"/>
                <w:color w:val="000000"/>
                <w:sz w:val="18"/>
                <w:szCs w:val="18"/>
                <w:lang w:val="en-AU"/>
              </w:rPr>
            </w:pPr>
            <w:r w:rsidRPr="00DD30D9">
              <w:rPr>
                <w:rFonts w:ascii="Arial" w:hAnsi="Arial" w:cs="Arial"/>
                <w:color w:val="000000"/>
                <w:sz w:val="18"/>
                <w:szCs w:val="18"/>
                <w:lang w:val="en-AU"/>
              </w:rPr>
              <w:t>73311</w:t>
            </w:r>
          </w:p>
        </w:tc>
        <w:tc>
          <w:tcPr>
            <w:tcW w:w="3827" w:type="dxa"/>
          </w:tcPr>
          <w:p w14:paraId="5CC7152C" w14:textId="77777777" w:rsidR="005739DC" w:rsidRPr="00DD30D9" w:rsidRDefault="005739DC" w:rsidP="0021731C">
            <w:pPr>
              <w:rPr>
                <w:rFonts w:ascii="Arial" w:hAnsi="Arial" w:cs="Arial"/>
                <w:color w:val="000000"/>
                <w:sz w:val="18"/>
                <w:szCs w:val="18"/>
                <w:lang w:val="en-AU"/>
              </w:rPr>
            </w:pPr>
            <w:r w:rsidRPr="00DD30D9">
              <w:rPr>
                <w:rFonts w:ascii="Arial" w:hAnsi="Arial" w:cs="Arial"/>
                <w:color w:val="000000"/>
                <w:sz w:val="18"/>
                <w:szCs w:val="18"/>
                <w:lang w:val="en-AU"/>
              </w:rPr>
              <w:t>Characterisation of the genotype of a person who is a first degree relative of a person who has proven to have 1 or more abnormal genotypes under item 73308 – 1 or more tests</w:t>
            </w:r>
          </w:p>
        </w:tc>
        <w:tc>
          <w:tcPr>
            <w:tcW w:w="4196" w:type="dxa"/>
            <w:tcBorders>
              <w:top w:val="single" w:sz="8" w:space="0" w:color="auto"/>
              <w:left w:val="nil"/>
              <w:bottom w:val="single" w:sz="8" w:space="0" w:color="auto"/>
              <w:right w:val="single" w:sz="8" w:space="0" w:color="auto"/>
            </w:tcBorders>
          </w:tcPr>
          <w:p w14:paraId="5C842734" w14:textId="77777777" w:rsidR="005739DC" w:rsidRPr="00DD30D9" w:rsidRDefault="00045A89" w:rsidP="0021731C">
            <w:pPr>
              <w:rPr>
                <w:rFonts w:ascii="Arial" w:hAnsi="Arial" w:cs="Arial"/>
                <w:bCs/>
                <w:sz w:val="18"/>
                <w:lang w:val="en-AU"/>
              </w:rPr>
            </w:pPr>
            <w:r w:rsidRPr="00DD30D9">
              <w:rPr>
                <w:rFonts w:ascii="Arial" w:hAnsi="Arial" w:cs="Arial"/>
                <w:bCs/>
                <w:sz w:val="18"/>
                <w:lang w:val="en-AU"/>
              </w:rPr>
              <w:t>Delete</w:t>
            </w:r>
          </w:p>
        </w:tc>
      </w:tr>
      <w:tr w:rsidR="005739DC" w:rsidRPr="00720661" w14:paraId="4C856CE5" w14:textId="77777777" w:rsidTr="0017008C">
        <w:trPr>
          <w:trHeight w:val="1115"/>
        </w:trPr>
        <w:tc>
          <w:tcPr>
            <w:tcW w:w="988" w:type="dxa"/>
          </w:tcPr>
          <w:p w14:paraId="50AA9DCD" w14:textId="77777777" w:rsidR="005739DC" w:rsidRPr="00DD30D9" w:rsidRDefault="005739DC" w:rsidP="0021731C">
            <w:pPr>
              <w:rPr>
                <w:rFonts w:ascii="Arial" w:hAnsi="Arial" w:cs="Arial"/>
                <w:color w:val="000000"/>
                <w:sz w:val="18"/>
                <w:szCs w:val="18"/>
                <w:lang w:val="en-AU"/>
              </w:rPr>
            </w:pPr>
            <w:r w:rsidRPr="00DD30D9">
              <w:rPr>
                <w:rFonts w:ascii="Arial" w:hAnsi="Arial" w:cs="Arial"/>
                <w:color w:val="000000"/>
                <w:sz w:val="18"/>
                <w:szCs w:val="18"/>
                <w:lang w:val="en-AU"/>
              </w:rPr>
              <w:t>73312</w:t>
            </w:r>
          </w:p>
        </w:tc>
        <w:tc>
          <w:tcPr>
            <w:tcW w:w="3827" w:type="dxa"/>
          </w:tcPr>
          <w:p w14:paraId="3C74A8E0" w14:textId="77777777" w:rsidR="005739DC" w:rsidRPr="00DD30D9" w:rsidRDefault="005739DC" w:rsidP="0021731C">
            <w:pPr>
              <w:rPr>
                <w:rFonts w:ascii="Arial" w:hAnsi="Arial" w:cs="Arial"/>
                <w:color w:val="000000"/>
                <w:sz w:val="18"/>
                <w:szCs w:val="18"/>
                <w:lang w:val="en-AU"/>
              </w:rPr>
            </w:pPr>
            <w:r w:rsidRPr="00DD30D9">
              <w:rPr>
                <w:rFonts w:ascii="Arial" w:hAnsi="Arial" w:cs="Arial"/>
                <w:color w:val="000000"/>
                <w:sz w:val="18"/>
                <w:szCs w:val="18"/>
                <w:lang w:val="en-AU"/>
              </w:rPr>
              <w:t>A test described in item 73311, if rendered by a receiving APP – 1 or more tests (Item is subject to rule 18)</w:t>
            </w:r>
          </w:p>
        </w:tc>
        <w:tc>
          <w:tcPr>
            <w:tcW w:w="4196" w:type="dxa"/>
            <w:tcBorders>
              <w:top w:val="single" w:sz="8" w:space="0" w:color="auto"/>
              <w:left w:val="nil"/>
              <w:bottom w:val="single" w:sz="8" w:space="0" w:color="auto"/>
              <w:right w:val="single" w:sz="8" w:space="0" w:color="auto"/>
            </w:tcBorders>
          </w:tcPr>
          <w:p w14:paraId="627F6653" w14:textId="77777777" w:rsidR="005739DC" w:rsidRPr="00DD30D9" w:rsidRDefault="00045A89" w:rsidP="0021731C">
            <w:pPr>
              <w:rPr>
                <w:rFonts w:ascii="Arial" w:hAnsi="Arial" w:cs="Arial"/>
                <w:bCs/>
                <w:sz w:val="18"/>
                <w:lang w:val="en-AU"/>
              </w:rPr>
            </w:pPr>
            <w:r w:rsidRPr="00DD30D9">
              <w:rPr>
                <w:rFonts w:ascii="Arial" w:hAnsi="Arial" w:cs="Arial"/>
                <w:bCs/>
                <w:sz w:val="18"/>
                <w:lang w:val="en-AU"/>
              </w:rPr>
              <w:t>Delete</w:t>
            </w:r>
          </w:p>
        </w:tc>
      </w:tr>
    </w:tbl>
    <w:p w14:paraId="35AF78DD" w14:textId="77777777" w:rsidR="00CC4696" w:rsidRPr="00DD30D9" w:rsidRDefault="0033420E" w:rsidP="00677AEE">
      <w:pPr>
        <w:pStyle w:val="Heading3"/>
        <w:numPr>
          <w:ilvl w:val="0"/>
          <w:numId w:val="0"/>
        </w:numPr>
        <w:ind w:left="720" w:hanging="720"/>
        <w:rPr>
          <w:lang w:val="en-AU"/>
        </w:rPr>
      </w:pPr>
      <w:bookmarkStart w:id="127" w:name="_Toc13736001"/>
      <w:r w:rsidRPr="00DD30D9">
        <w:rPr>
          <w:lang w:val="en-AU"/>
        </w:rPr>
        <w:lastRenderedPageBreak/>
        <w:t xml:space="preserve">Rationale </w:t>
      </w:r>
      <w:r w:rsidR="0061030F" w:rsidRPr="00DD30D9">
        <w:rPr>
          <w:lang w:val="en-AU"/>
        </w:rPr>
        <w:t>9</w:t>
      </w:r>
      <w:bookmarkEnd w:id="127"/>
    </w:p>
    <w:p w14:paraId="27BC90CD" w14:textId="77777777" w:rsidR="00CC4696" w:rsidRPr="00DD30D9" w:rsidRDefault="00CC4696" w:rsidP="00CC4696">
      <w:pPr>
        <w:rPr>
          <w:lang w:val="en-AU"/>
        </w:rPr>
      </w:pPr>
      <w:r w:rsidRPr="00DD30D9">
        <w:rPr>
          <w:lang w:val="en-AU"/>
        </w:rPr>
        <w:t>The recommendation is focused on ensuring appropriate use</w:t>
      </w:r>
      <w:r w:rsidR="00A6299E" w:rsidRPr="00DD30D9">
        <w:rPr>
          <w:lang w:val="en-AU"/>
        </w:rPr>
        <w:t xml:space="preserve"> and value for the healthcare system. They are</w:t>
      </w:r>
      <w:r w:rsidRPr="00DD30D9">
        <w:rPr>
          <w:lang w:val="en-AU"/>
        </w:rPr>
        <w:t xml:space="preserve"> based on the following observations</w:t>
      </w:r>
      <w:r w:rsidR="004750A6">
        <w:rPr>
          <w:lang w:val="en-AU"/>
        </w:rPr>
        <w:t>:</w:t>
      </w:r>
    </w:p>
    <w:p w14:paraId="080BCC23" w14:textId="77777777" w:rsidR="0014321F" w:rsidRPr="00720661" w:rsidRDefault="002D539F" w:rsidP="0026797F">
      <w:pPr>
        <w:pStyle w:val="01squarebullet"/>
        <w:rPr>
          <w:lang w:val="en-AU"/>
        </w:rPr>
      </w:pPr>
      <w:r w:rsidRPr="00DD30D9">
        <w:rPr>
          <w:lang w:val="en-AU"/>
        </w:rPr>
        <w:t>These items were</w:t>
      </w:r>
      <w:r w:rsidR="00045A89" w:rsidRPr="00DD30D9">
        <w:rPr>
          <w:lang w:val="en-AU"/>
        </w:rPr>
        <w:t xml:space="preserve"> introduced in 2006 but t</w:t>
      </w:r>
      <w:r w:rsidR="00996694" w:rsidRPr="00DD30D9">
        <w:rPr>
          <w:rFonts w:eastAsiaTheme="minorHAnsi" w:cs="Arial"/>
          <w:szCs w:val="22"/>
          <w:lang w:val="en-AU"/>
        </w:rPr>
        <w:t xml:space="preserve">here has been </w:t>
      </w:r>
      <w:r w:rsidR="00045A89" w:rsidRPr="00DD30D9">
        <w:rPr>
          <w:lang w:val="en-AU"/>
        </w:rPr>
        <w:t xml:space="preserve">considerable </w:t>
      </w:r>
      <w:r w:rsidR="00996694" w:rsidRPr="00DD30D9">
        <w:rPr>
          <w:rFonts w:eastAsiaTheme="minorHAnsi" w:cs="Arial"/>
          <w:szCs w:val="22"/>
          <w:lang w:val="en-AU"/>
        </w:rPr>
        <w:t xml:space="preserve">growth in </w:t>
      </w:r>
      <w:r w:rsidR="00045A89" w:rsidRPr="00DD30D9">
        <w:rPr>
          <w:lang w:val="en-AU"/>
        </w:rPr>
        <w:t xml:space="preserve">service requests over the past few years. </w:t>
      </w:r>
      <w:r w:rsidRPr="00DD30D9">
        <w:rPr>
          <w:lang w:val="en-AU"/>
        </w:rPr>
        <w:t>The purpose of this</w:t>
      </w:r>
      <w:r w:rsidR="00511D3F" w:rsidRPr="00DD30D9">
        <w:rPr>
          <w:lang w:val="en-AU"/>
        </w:rPr>
        <w:t xml:space="preserve"> test is to identify </w:t>
      </w:r>
      <w:r w:rsidRPr="00DD30D9">
        <w:rPr>
          <w:lang w:val="en-AU"/>
        </w:rPr>
        <w:t>the presence of gene mutations that predict the risk of recurrent venous thromboembolism (VTE) in patients who have previously had a VTE, or in first</w:t>
      </w:r>
      <w:r w:rsidR="00675DC9" w:rsidRPr="00DD30D9">
        <w:rPr>
          <w:lang w:val="en-AU"/>
        </w:rPr>
        <w:t>-</w:t>
      </w:r>
      <w:r w:rsidRPr="00DD30D9">
        <w:rPr>
          <w:lang w:val="en-AU"/>
        </w:rPr>
        <w:t xml:space="preserve">degree relatives of patients identified as having a mutation. </w:t>
      </w:r>
    </w:p>
    <w:p w14:paraId="47A30F04" w14:textId="77777777" w:rsidR="00996694" w:rsidRPr="00D31D6B" w:rsidRDefault="00045A89" w:rsidP="0014321F">
      <w:pPr>
        <w:pStyle w:val="01squarebullet"/>
        <w:rPr>
          <w:lang w:val="en-AU"/>
        </w:rPr>
      </w:pPr>
      <w:r w:rsidRPr="00D31D6B">
        <w:rPr>
          <w:lang w:val="en-AU"/>
        </w:rPr>
        <w:t>A</w:t>
      </w:r>
      <w:r w:rsidR="00996694" w:rsidRPr="00D31D6B">
        <w:rPr>
          <w:rFonts w:eastAsiaTheme="minorHAnsi" w:cs="Arial"/>
          <w:szCs w:val="22"/>
          <w:lang w:val="en-AU"/>
        </w:rPr>
        <w:t xml:space="preserve"> </w:t>
      </w:r>
      <w:r w:rsidR="001820D2" w:rsidRPr="00D31D6B">
        <w:rPr>
          <w:rFonts w:eastAsiaTheme="minorHAnsi" w:cs="Arial"/>
          <w:szCs w:val="22"/>
          <w:lang w:val="en-AU"/>
        </w:rPr>
        <w:t>‘</w:t>
      </w:r>
      <w:r w:rsidR="00996694" w:rsidRPr="00D31D6B">
        <w:rPr>
          <w:rFonts w:eastAsiaTheme="minorHAnsi" w:cs="Arial"/>
          <w:szCs w:val="22"/>
          <w:lang w:val="en-AU"/>
        </w:rPr>
        <w:t>Rapid Review</w:t>
      </w:r>
      <w:r w:rsidR="001820D2" w:rsidRPr="00D31D6B">
        <w:rPr>
          <w:rFonts w:eastAsiaTheme="minorHAnsi" w:cs="Arial"/>
          <w:szCs w:val="22"/>
          <w:lang w:val="en-AU"/>
        </w:rPr>
        <w:t>’</w:t>
      </w:r>
      <w:r w:rsidR="00996694" w:rsidRPr="00D31D6B">
        <w:rPr>
          <w:rFonts w:eastAsiaTheme="minorHAnsi" w:cs="Arial"/>
          <w:szCs w:val="22"/>
          <w:lang w:val="en-AU"/>
        </w:rPr>
        <w:t xml:space="preserve"> of the literature</w:t>
      </w:r>
      <w:r w:rsidRPr="00D31D6B">
        <w:rPr>
          <w:lang w:val="en-AU"/>
        </w:rPr>
        <w:t xml:space="preserve"> was </w:t>
      </w:r>
      <w:r w:rsidR="002D539F" w:rsidRPr="00D31D6B">
        <w:rPr>
          <w:lang w:val="en-AU"/>
        </w:rPr>
        <w:t>conducted</w:t>
      </w:r>
      <w:r w:rsidRPr="00D31D6B">
        <w:rPr>
          <w:lang w:val="en-AU"/>
        </w:rPr>
        <w:t xml:space="preserve"> to identify the </w:t>
      </w:r>
      <w:r w:rsidR="002D539F" w:rsidRPr="00D31D6B">
        <w:rPr>
          <w:lang w:val="en-AU"/>
        </w:rPr>
        <w:t xml:space="preserve">current </w:t>
      </w:r>
      <w:r w:rsidRPr="00D31D6B">
        <w:rPr>
          <w:lang w:val="en-AU"/>
        </w:rPr>
        <w:t xml:space="preserve">evidence </w:t>
      </w:r>
      <w:r w:rsidR="002D539F" w:rsidRPr="00D31D6B">
        <w:rPr>
          <w:lang w:val="en-AU"/>
        </w:rPr>
        <w:t>regarding use of genetic testing for mutations in proven cases of VTE</w:t>
      </w:r>
      <w:r w:rsidR="0026797F" w:rsidRPr="00D31D6B">
        <w:rPr>
          <w:lang w:val="en-AU"/>
        </w:rPr>
        <w:t>.</w:t>
      </w:r>
      <w:r w:rsidR="0014321F" w:rsidRPr="00D31D6B">
        <w:rPr>
          <w:lang w:val="en-AU"/>
        </w:rPr>
        <w:t xml:space="preserve"> </w:t>
      </w:r>
      <w:r w:rsidR="00C42919" w:rsidRPr="00D31D6B">
        <w:rPr>
          <w:lang w:val="en-AU"/>
        </w:rPr>
        <w:fldChar w:fldCharType="begin"/>
      </w:r>
      <w:r w:rsidR="00C42919" w:rsidRPr="00D31D6B">
        <w:rPr>
          <w:lang w:val="en-AU"/>
        </w:rPr>
        <w:instrText xml:space="preserve"> REF _Ref488826228 \r \h </w:instrText>
      </w:r>
      <w:r w:rsidR="00D31D6B" w:rsidRPr="00D31D6B">
        <w:rPr>
          <w:lang w:val="en-AU"/>
        </w:rPr>
        <w:instrText xml:space="preserve"> \* MERGEFORMAT </w:instrText>
      </w:r>
      <w:r w:rsidR="00C42919" w:rsidRPr="00D31D6B">
        <w:rPr>
          <w:lang w:val="en-AU"/>
        </w:rPr>
      </w:r>
      <w:r w:rsidR="00C42919" w:rsidRPr="00D31D6B">
        <w:rPr>
          <w:lang w:val="en-AU"/>
        </w:rPr>
        <w:fldChar w:fldCharType="separate"/>
      </w:r>
      <w:r w:rsidR="00CA1CA9" w:rsidRPr="00D31D6B">
        <w:rPr>
          <w:lang w:val="en-AU"/>
        </w:rPr>
        <w:t>[6]</w:t>
      </w:r>
      <w:r w:rsidR="00C42919" w:rsidRPr="00D31D6B">
        <w:rPr>
          <w:lang w:val="en-AU"/>
        </w:rPr>
        <w:fldChar w:fldCharType="end"/>
      </w:r>
      <w:r w:rsidR="00C42919" w:rsidRPr="00D31D6B">
        <w:rPr>
          <w:lang w:val="en-AU"/>
        </w:rPr>
        <w:t xml:space="preserve"> </w:t>
      </w:r>
      <w:r w:rsidR="0026797F" w:rsidRPr="00D31D6B">
        <w:rPr>
          <w:rFonts w:eastAsiaTheme="minorHAnsi" w:cs="Arial"/>
          <w:szCs w:val="22"/>
          <w:lang w:val="en-AU"/>
        </w:rPr>
        <w:t xml:space="preserve">The review </w:t>
      </w:r>
      <w:r w:rsidR="00082F01" w:rsidRPr="00D31D6B">
        <w:rPr>
          <w:rFonts w:eastAsiaTheme="minorHAnsi" w:cs="Arial"/>
          <w:szCs w:val="22"/>
          <w:lang w:val="en-AU"/>
        </w:rPr>
        <w:t>identified</w:t>
      </w:r>
      <w:r w:rsidR="00996694" w:rsidRPr="00D31D6B">
        <w:rPr>
          <w:rFonts w:eastAsiaTheme="minorHAnsi" w:cs="Arial"/>
          <w:szCs w:val="22"/>
          <w:lang w:val="en-AU"/>
        </w:rPr>
        <w:t xml:space="preserve"> limited evidence</w:t>
      </w:r>
      <w:r w:rsidR="003B15BA" w:rsidRPr="00D31D6B">
        <w:rPr>
          <w:rFonts w:eastAsiaTheme="minorHAnsi" w:cs="Arial"/>
          <w:szCs w:val="22"/>
          <w:lang w:val="en-AU"/>
        </w:rPr>
        <w:t xml:space="preserve"> associating</w:t>
      </w:r>
      <w:r w:rsidR="00082F01" w:rsidRPr="00D31D6B">
        <w:rPr>
          <w:rFonts w:eastAsiaTheme="minorHAnsi" w:cs="Arial"/>
          <w:szCs w:val="22"/>
          <w:lang w:val="en-AU"/>
        </w:rPr>
        <w:t xml:space="preserve"> </w:t>
      </w:r>
      <w:r w:rsidR="003B15BA" w:rsidRPr="00D31D6B">
        <w:rPr>
          <w:rFonts w:eastAsiaTheme="minorHAnsi" w:cs="Arial"/>
          <w:szCs w:val="22"/>
          <w:lang w:val="en-AU"/>
        </w:rPr>
        <w:t xml:space="preserve">mutations in </w:t>
      </w:r>
      <w:r w:rsidR="006D1AFE" w:rsidRPr="00D31D6B">
        <w:rPr>
          <w:rFonts w:eastAsiaTheme="minorHAnsi" w:cs="Arial"/>
          <w:szCs w:val="22"/>
          <w:lang w:val="en-AU"/>
        </w:rPr>
        <w:t>factor V Leiden</w:t>
      </w:r>
      <w:r w:rsidR="00082F01" w:rsidRPr="00D31D6B">
        <w:rPr>
          <w:rFonts w:eastAsiaTheme="minorHAnsi" w:cs="Arial"/>
          <w:szCs w:val="22"/>
          <w:lang w:val="en-AU"/>
        </w:rPr>
        <w:t xml:space="preserve"> (FVL) and </w:t>
      </w:r>
      <w:r w:rsidR="00082F01" w:rsidRPr="00D31D6B">
        <w:rPr>
          <w:bCs/>
          <w:szCs w:val="22"/>
          <w:lang w:val="en-AU"/>
        </w:rPr>
        <w:t>prothrombin 20210G&gt;A (</w:t>
      </w:r>
      <w:r w:rsidR="00082F01" w:rsidRPr="00D31D6B">
        <w:rPr>
          <w:szCs w:val="22"/>
          <w:lang w:val="en-AU"/>
        </w:rPr>
        <w:t>PT)</w:t>
      </w:r>
      <w:r w:rsidR="003B15BA" w:rsidRPr="00D31D6B">
        <w:rPr>
          <w:szCs w:val="22"/>
          <w:lang w:val="en-AU"/>
        </w:rPr>
        <w:t xml:space="preserve"> with the risk of recurrent VTE</w:t>
      </w:r>
      <w:r w:rsidR="00082F01" w:rsidRPr="00D31D6B">
        <w:rPr>
          <w:rFonts w:eastAsiaTheme="minorHAnsi" w:cs="Arial"/>
          <w:szCs w:val="22"/>
          <w:lang w:val="en-AU"/>
        </w:rPr>
        <w:t xml:space="preserve"> and no evidence</w:t>
      </w:r>
      <w:r w:rsidR="003B15BA" w:rsidRPr="00D31D6B">
        <w:rPr>
          <w:rFonts w:eastAsiaTheme="minorHAnsi" w:cs="Arial"/>
          <w:szCs w:val="22"/>
          <w:lang w:val="en-AU"/>
        </w:rPr>
        <w:t xml:space="preserve"> </w:t>
      </w:r>
      <w:r w:rsidR="0014321F" w:rsidRPr="00D31D6B">
        <w:rPr>
          <w:rFonts w:eastAsiaTheme="minorHAnsi" w:cs="Arial"/>
          <w:szCs w:val="22"/>
          <w:lang w:val="en-AU"/>
        </w:rPr>
        <w:t>for</w:t>
      </w:r>
      <w:r w:rsidR="003B15BA" w:rsidRPr="00D31D6B">
        <w:rPr>
          <w:rFonts w:eastAsiaTheme="minorHAnsi" w:cs="Arial"/>
          <w:szCs w:val="22"/>
          <w:lang w:val="en-AU"/>
        </w:rPr>
        <w:t xml:space="preserve"> </w:t>
      </w:r>
      <w:r w:rsidR="006D1AFE" w:rsidRPr="00D31D6B">
        <w:rPr>
          <w:rFonts w:eastAsiaTheme="minorHAnsi" w:cs="Arial"/>
          <w:szCs w:val="22"/>
          <w:lang w:val="en-AU"/>
        </w:rPr>
        <w:t xml:space="preserve">mutations in </w:t>
      </w:r>
      <w:r w:rsidR="003B15BA" w:rsidRPr="00D31D6B">
        <w:rPr>
          <w:rFonts w:eastAsiaTheme="minorHAnsi" w:cs="Arial"/>
          <w:szCs w:val="22"/>
          <w:lang w:val="en-AU"/>
        </w:rPr>
        <w:t xml:space="preserve">methylene tetrahydrofolate reductase (MTHFR). </w:t>
      </w:r>
      <w:proofErr w:type="gramStart"/>
      <w:r w:rsidR="003B15BA" w:rsidRPr="00D31D6B">
        <w:rPr>
          <w:rFonts w:eastAsiaTheme="minorHAnsi" w:cs="Arial"/>
          <w:szCs w:val="22"/>
          <w:lang w:val="en-AU"/>
        </w:rPr>
        <w:t>Overall</w:t>
      </w:r>
      <w:proofErr w:type="gramEnd"/>
      <w:r w:rsidR="003B15BA" w:rsidRPr="00D31D6B">
        <w:rPr>
          <w:rFonts w:eastAsiaTheme="minorHAnsi" w:cs="Arial"/>
          <w:szCs w:val="22"/>
          <w:lang w:val="en-AU"/>
        </w:rPr>
        <w:t xml:space="preserve"> there was no evidence that genetic testing improved</w:t>
      </w:r>
      <w:r w:rsidR="00996694" w:rsidRPr="00D31D6B">
        <w:rPr>
          <w:rFonts w:eastAsiaTheme="minorHAnsi" w:cs="Arial"/>
          <w:szCs w:val="22"/>
          <w:lang w:val="en-AU"/>
        </w:rPr>
        <w:t xml:space="preserve"> clinical outcomes</w:t>
      </w:r>
      <w:r w:rsidR="003B15BA" w:rsidRPr="00D31D6B">
        <w:rPr>
          <w:rFonts w:eastAsiaTheme="minorHAnsi" w:cs="Arial"/>
          <w:szCs w:val="22"/>
          <w:lang w:val="en-AU"/>
        </w:rPr>
        <w:t xml:space="preserve"> or changed patient management.</w:t>
      </w:r>
      <w:r w:rsidR="00F07B7B" w:rsidRPr="00D31D6B">
        <w:rPr>
          <w:rFonts w:eastAsiaTheme="minorHAnsi" w:cs="Arial"/>
          <w:szCs w:val="22"/>
          <w:lang w:val="en-AU"/>
        </w:rPr>
        <w:t xml:space="preserve"> The review did not find sufficient evidence to recommend routine testing for these mutations in first</w:t>
      </w:r>
      <w:r w:rsidR="00675DC9" w:rsidRPr="00D31D6B">
        <w:rPr>
          <w:rFonts w:eastAsiaTheme="minorHAnsi" w:cs="Arial"/>
          <w:szCs w:val="22"/>
          <w:lang w:val="en-AU"/>
        </w:rPr>
        <w:t>-</w:t>
      </w:r>
      <w:r w:rsidR="00F07B7B" w:rsidRPr="00D31D6B">
        <w:rPr>
          <w:rFonts w:eastAsiaTheme="minorHAnsi" w:cs="Arial"/>
          <w:szCs w:val="22"/>
          <w:lang w:val="en-AU"/>
        </w:rPr>
        <w:t>degree relatives.</w:t>
      </w:r>
    </w:p>
    <w:p w14:paraId="5583DE0D" w14:textId="77777777" w:rsidR="0014321F" w:rsidRPr="00D31D6B" w:rsidRDefault="003B15BA" w:rsidP="0014321F">
      <w:pPr>
        <w:pStyle w:val="01squarebullet"/>
        <w:rPr>
          <w:rFonts w:eastAsiaTheme="minorHAnsi" w:cs="Arial"/>
          <w:szCs w:val="22"/>
          <w:lang w:val="en-AU"/>
        </w:rPr>
      </w:pPr>
      <w:r w:rsidRPr="00D31D6B">
        <w:rPr>
          <w:rFonts w:eastAsiaTheme="minorHAnsi" w:cs="Arial"/>
          <w:szCs w:val="22"/>
          <w:lang w:val="en-AU"/>
        </w:rPr>
        <w:t>The Committee acknowledged the input of the Haematology Working Group</w:t>
      </w:r>
      <w:r w:rsidR="00F07B7B" w:rsidRPr="00D31D6B">
        <w:rPr>
          <w:rFonts w:eastAsiaTheme="minorHAnsi" w:cs="Arial"/>
          <w:szCs w:val="22"/>
          <w:lang w:val="en-AU"/>
        </w:rPr>
        <w:t xml:space="preserve"> in the review of these items</w:t>
      </w:r>
      <w:r w:rsidR="001820D2" w:rsidRPr="00D31D6B">
        <w:rPr>
          <w:rFonts w:eastAsiaTheme="minorHAnsi" w:cs="Arial"/>
          <w:szCs w:val="22"/>
          <w:lang w:val="en-AU"/>
        </w:rPr>
        <w:t>, and recommended</w:t>
      </w:r>
      <w:r w:rsidRPr="00D31D6B">
        <w:rPr>
          <w:rFonts w:eastAsiaTheme="minorHAnsi" w:cs="Arial"/>
          <w:szCs w:val="22"/>
          <w:lang w:val="en-AU"/>
        </w:rPr>
        <w:t xml:space="preserve"> limit</w:t>
      </w:r>
      <w:r w:rsidR="001820D2" w:rsidRPr="00D31D6B">
        <w:rPr>
          <w:rFonts w:eastAsiaTheme="minorHAnsi" w:cs="Arial"/>
          <w:szCs w:val="22"/>
          <w:lang w:val="en-AU"/>
        </w:rPr>
        <w:t>ing</w:t>
      </w:r>
      <w:r w:rsidRPr="00D31D6B">
        <w:rPr>
          <w:rFonts w:eastAsiaTheme="minorHAnsi" w:cs="Arial"/>
          <w:szCs w:val="22"/>
          <w:lang w:val="en-AU"/>
        </w:rPr>
        <w:t xml:space="preserve"> the test to </w:t>
      </w:r>
      <w:r w:rsidR="00F07B7B" w:rsidRPr="00D31D6B">
        <w:rPr>
          <w:rFonts w:eastAsiaTheme="minorHAnsi" w:cs="Arial"/>
          <w:szCs w:val="22"/>
          <w:lang w:val="en-AU"/>
        </w:rPr>
        <w:t>FVL and PT genes only</w:t>
      </w:r>
      <w:r w:rsidR="00E80981" w:rsidRPr="00D31D6B">
        <w:rPr>
          <w:rFonts w:eastAsiaTheme="minorHAnsi" w:cs="Arial"/>
          <w:szCs w:val="22"/>
          <w:lang w:val="en-AU"/>
        </w:rPr>
        <w:t xml:space="preserve">. They also recommended limiting the test to </w:t>
      </w:r>
      <w:r w:rsidRPr="00D31D6B">
        <w:rPr>
          <w:rFonts w:eastAsiaTheme="minorHAnsi" w:cs="Arial"/>
          <w:szCs w:val="22"/>
          <w:lang w:val="en-AU"/>
        </w:rPr>
        <w:t xml:space="preserve">patients with </w:t>
      </w:r>
      <w:r w:rsidR="00E80981" w:rsidRPr="00D31D6B">
        <w:rPr>
          <w:rFonts w:eastAsiaTheme="minorHAnsi" w:cs="Arial"/>
          <w:szCs w:val="22"/>
          <w:lang w:val="en-AU"/>
        </w:rPr>
        <w:t>the</w:t>
      </w:r>
      <w:r w:rsidRPr="00D31D6B">
        <w:rPr>
          <w:rFonts w:eastAsiaTheme="minorHAnsi" w:cs="Arial"/>
          <w:szCs w:val="22"/>
          <w:lang w:val="en-AU"/>
        </w:rPr>
        <w:t xml:space="preserve"> </w:t>
      </w:r>
      <w:r w:rsidR="00E80981" w:rsidRPr="00D31D6B">
        <w:rPr>
          <w:rFonts w:eastAsiaTheme="minorHAnsi" w:cs="Arial"/>
          <w:szCs w:val="22"/>
          <w:lang w:val="en-AU"/>
        </w:rPr>
        <w:t xml:space="preserve">demonstrated risk factor of a positive activated protein C resistance (APCR). These changes will ensure that use of this test is </w:t>
      </w:r>
      <w:r w:rsidR="00E80981" w:rsidRPr="00D31D6B">
        <w:rPr>
          <w:rFonts w:cs="Calibri"/>
          <w:lang w:val="en-AU"/>
        </w:rPr>
        <w:t xml:space="preserve">sequential and only performed in the most relevant patients. </w:t>
      </w:r>
      <w:r w:rsidR="00E80981" w:rsidRPr="00D31D6B">
        <w:rPr>
          <w:rFonts w:eastAsiaTheme="minorHAnsi" w:cs="Arial"/>
          <w:szCs w:val="22"/>
          <w:lang w:val="en-AU"/>
        </w:rPr>
        <w:t>Unnecessary testing wastes resources and exposes patients to irrelevant tests</w:t>
      </w:r>
      <w:r w:rsidR="001820D2" w:rsidRPr="00D31D6B">
        <w:rPr>
          <w:rFonts w:eastAsiaTheme="minorHAnsi" w:cs="Arial"/>
          <w:szCs w:val="22"/>
          <w:lang w:val="en-AU"/>
        </w:rPr>
        <w:t xml:space="preserve"> and results</w:t>
      </w:r>
      <w:r w:rsidR="00E80981" w:rsidRPr="00D31D6B">
        <w:rPr>
          <w:rFonts w:eastAsiaTheme="minorHAnsi" w:cs="Arial"/>
          <w:szCs w:val="22"/>
          <w:lang w:val="en-AU"/>
        </w:rPr>
        <w:t xml:space="preserve"> that can </w:t>
      </w:r>
      <w:r w:rsidR="001820D2" w:rsidRPr="00D31D6B">
        <w:rPr>
          <w:rFonts w:eastAsiaTheme="minorHAnsi" w:cs="Arial"/>
          <w:szCs w:val="22"/>
          <w:lang w:val="en-AU"/>
        </w:rPr>
        <w:t>potentially cause undue</w:t>
      </w:r>
      <w:r w:rsidR="00E80981" w:rsidRPr="00D31D6B">
        <w:rPr>
          <w:rFonts w:eastAsiaTheme="minorHAnsi" w:cs="Arial"/>
          <w:szCs w:val="22"/>
          <w:lang w:val="en-AU"/>
        </w:rPr>
        <w:t xml:space="preserve"> anxiety.</w:t>
      </w:r>
    </w:p>
    <w:p w14:paraId="3EEA6B25" w14:textId="77777777" w:rsidR="00996694" w:rsidRPr="00DD30D9" w:rsidRDefault="00E80981" w:rsidP="00E80981">
      <w:pPr>
        <w:pStyle w:val="01squarebullet"/>
        <w:rPr>
          <w:rFonts w:eastAsiaTheme="minorHAnsi"/>
          <w:lang w:val="en-AU"/>
        </w:rPr>
      </w:pPr>
      <w:r w:rsidRPr="00DD30D9">
        <w:rPr>
          <w:rFonts w:eastAsiaTheme="minorHAnsi"/>
          <w:lang w:val="en-AU"/>
        </w:rPr>
        <w:t>The Committee agreed that this is a high</w:t>
      </w:r>
      <w:r w:rsidR="00A8091F">
        <w:rPr>
          <w:rFonts w:eastAsiaTheme="minorHAnsi"/>
          <w:lang w:val="en-AU"/>
        </w:rPr>
        <w:t>-</w:t>
      </w:r>
      <w:r w:rsidRPr="00DD30D9">
        <w:rPr>
          <w:rFonts w:eastAsiaTheme="minorHAnsi"/>
          <w:lang w:val="en-AU"/>
        </w:rPr>
        <w:t>priority</w:t>
      </w:r>
      <w:r w:rsidR="00996694" w:rsidRPr="00DD30D9">
        <w:rPr>
          <w:rFonts w:eastAsiaTheme="minorHAnsi"/>
          <w:lang w:val="en-AU"/>
        </w:rPr>
        <w:t xml:space="preserve"> opportunity for provider and request</w:t>
      </w:r>
      <w:r w:rsidR="0080781A" w:rsidRPr="00DD30D9">
        <w:rPr>
          <w:rFonts w:eastAsiaTheme="minorHAnsi"/>
          <w:lang w:val="en-AU"/>
        </w:rPr>
        <w:t>e</w:t>
      </w:r>
      <w:r w:rsidR="00996694" w:rsidRPr="00DD30D9">
        <w:rPr>
          <w:rFonts w:eastAsiaTheme="minorHAnsi"/>
          <w:lang w:val="en-AU"/>
        </w:rPr>
        <w:t>r education and communication will be required for all stakeholders when recommendations are implemented.</w:t>
      </w:r>
    </w:p>
    <w:p w14:paraId="421D3CCA" w14:textId="77777777" w:rsidR="00436DE6" w:rsidRPr="00DD30D9" w:rsidRDefault="0021731C">
      <w:pPr>
        <w:pStyle w:val="Heading2"/>
      </w:pPr>
      <w:bookmarkStart w:id="128" w:name="_Toc13736002"/>
      <w:r w:rsidRPr="00DD30D9">
        <w:t>C</w:t>
      </w:r>
      <w:r w:rsidR="00436DE6" w:rsidRPr="00DD30D9">
        <w:t>hromosome abnormalities products of conception</w:t>
      </w:r>
      <w:r w:rsidRPr="00DD30D9">
        <w:t xml:space="preserve">: </w:t>
      </w:r>
      <w:r w:rsidR="00677AEE" w:rsidRPr="00DD30D9">
        <w:t>i</w:t>
      </w:r>
      <w:r w:rsidRPr="00DD30D9">
        <w:t>tem 73293</w:t>
      </w:r>
      <w:bookmarkEnd w:id="128"/>
    </w:p>
    <w:p w14:paraId="76B1DCC2" w14:textId="77777777" w:rsidR="001D5AB6" w:rsidRPr="00DD30D9" w:rsidRDefault="001D5AB6">
      <w:pPr>
        <w:pStyle w:val="Caption"/>
      </w:pPr>
      <w:bookmarkStart w:id="129" w:name="_Toc482009642"/>
      <w:r w:rsidRPr="00DD30D9">
        <w:t xml:space="preserve">Table </w:t>
      </w:r>
      <w:r w:rsidR="000C3E3F" w:rsidRPr="00860DE7">
        <w:fldChar w:fldCharType="begin"/>
      </w:r>
      <w:r w:rsidR="000C3E3F" w:rsidRPr="00720661">
        <w:instrText xml:space="preserve"> AUTONUM  \* Arabic </w:instrText>
      </w:r>
      <w:r w:rsidR="000C3E3F" w:rsidRPr="00860DE7">
        <w:fldChar w:fldCharType="end"/>
      </w:r>
      <w:r w:rsidRPr="00720661">
        <w:t xml:space="preserve"> Item introduction table for item 73293</w:t>
      </w:r>
      <w:bookmarkEnd w:id="129"/>
    </w:p>
    <w:tbl>
      <w:tblPr>
        <w:tblStyle w:val="TableGrid1"/>
        <w:tblW w:w="8830" w:type="dxa"/>
        <w:tblLook w:val="04A0" w:firstRow="1" w:lastRow="0" w:firstColumn="1" w:lastColumn="0" w:noHBand="0" w:noVBand="1"/>
        <w:tblCaption w:val="Item introduction table for item 73293"/>
        <w:tblDescription w:val="This table contains Medicare Benefits Schedule data for item 73293 for the finanical year 2014–2015. The data include item numbers, long item descriptors, schedule fee, total volume of services, benefits paid, patient count and services annual average growth."/>
      </w:tblPr>
      <w:tblGrid>
        <w:gridCol w:w="774"/>
        <w:gridCol w:w="2801"/>
        <w:gridCol w:w="1017"/>
        <w:gridCol w:w="1212"/>
        <w:gridCol w:w="1204"/>
        <w:gridCol w:w="938"/>
        <w:gridCol w:w="884"/>
      </w:tblGrid>
      <w:tr w:rsidR="0021731C" w:rsidRPr="00720661" w14:paraId="7D444C71" w14:textId="77777777" w:rsidTr="00711C35">
        <w:trPr>
          <w:trHeight w:val="729"/>
          <w:tblHeader/>
        </w:trPr>
        <w:tc>
          <w:tcPr>
            <w:tcW w:w="774" w:type="dxa"/>
            <w:shd w:val="clear" w:color="auto" w:fill="EEECE1" w:themeFill="background2"/>
            <w:vAlign w:val="bottom"/>
            <w:hideMark/>
          </w:tcPr>
          <w:p w14:paraId="206EF457" w14:textId="77777777" w:rsidR="0021731C" w:rsidRPr="00DD30D9" w:rsidRDefault="0021731C" w:rsidP="008E0495">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801" w:type="dxa"/>
            <w:shd w:val="clear" w:color="auto" w:fill="EEECE1" w:themeFill="background2"/>
            <w:vAlign w:val="bottom"/>
            <w:hideMark/>
          </w:tcPr>
          <w:p w14:paraId="5BA07CCE" w14:textId="77777777" w:rsidR="0021731C" w:rsidRPr="00DD30D9" w:rsidRDefault="0021731C" w:rsidP="008E0495">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17" w:type="dxa"/>
            <w:shd w:val="clear" w:color="auto" w:fill="EEECE1" w:themeFill="background2"/>
            <w:vAlign w:val="bottom"/>
            <w:hideMark/>
          </w:tcPr>
          <w:p w14:paraId="36E0C473" w14:textId="77777777" w:rsidR="0021731C" w:rsidRPr="00DD30D9" w:rsidRDefault="0021731C" w:rsidP="008E0495">
            <w:pPr>
              <w:rPr>
                <w:rFonts w:ascii="Arial" w:hAnsi="Arial" w:cs="Arial"/>
                <w:b/>
                <w:color w:val="000000"/>
                <w:sz w:val="18"/>
                <w:szCs w:val="18"/>
                <w:lang w:val="en-AU"/>
              </w:rPr>
            </w:pPr>
            <w:r w:rsidRPr="00DD30D9">
              <w:rPr>
                <w:rFonts w:ascii="Arial" w:hAnsi="Arial" w:cs="Arial"/>
                <w:b/>
                <w:color w:val="000000"/>
                <w:sz w:val="18"/>
                <w:szCs w:val="18"/>
                <w:lang w:val="en-AU"/>
              </w:rPr>
              <w:t>Schedule fee</w:t>
            </w:r>
          </w:p>
        </w:tc>
        <w:tc>
          <w:tcPr>
            <w:tcW w:w="1212" w:type="dxa"/>
            <w:shd w:val="clear" w:color="auto" w:fill="EEECE1" w:themeFill="background2"/>
            <w:vAlign w:val="bottom"/>
          </w:tcPr>
          <w:p w14:paraId="67DD52E8" w14:textId="77777777" w:rsidR="0021731C" w:rsidRPr="00DD30D9" w:rsidRDefault="0021731C">
            <w:pPr>
              <w:rPr>
                <w:rFonts w:ascii="Arial" w:hAnsi="Arial" w:cs="Arial"/>
                <w:b/>
                <w:color w:val="000000"/>
                <w:sz w:val="18"/>
                <w:szCs w:val="18"/>
                <w:lang w:val="en-AU"/>
              </w:rPr>
            </w:pPr>
            <w:r w:rsidRPr="00DD30D9">
              <w:rPr>
                <w:rFonts w:ascii="Arial" w:hAnsi="Arial" w:cs="Arial"/>
                <w:b/>
                <w:color w:val="000000"/>
                <w:sz w:val="18"/>
                <w:szCs w:val="18"/>
                <w:lang w:val="en-AU"/>
              </w:rPr>
              <w:t>Services FY</w:t>
            </w:r>
            <w:r w:rsidR="00993D5A"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993D5A"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1204" w:type="dxa"/>
            <w:shd w:val="clear" w:color="auto" w:fill="EEECE1" w:themeFill="background2"/>
            <w:vAlign w:val="bottom"/>
          </w:tcPr>
          <w:p w14:paraId="30C27409" w14:textId="77777777" w:rsidR="0021731C" w:rsidRPr="00DD30D9" w:rsidRDefault="0021731C">
            <w:pPr>
              <w:rPr>
                <w:rFonts w:ascii="Arial" w:hAnsi="Arial" w:cs="Arial"/>
                <w:b/>
                <w:color w:val="000000"/>
                <w:sz w:val="18"/>
                <w:szCs w:val="18"/>
                <w:lang w:val="en-AU"/>
              </w:rPr>
            </w:pPr>
            <w:r w:rsidRPr="00DD30D9">
              <w:rPr>
                <w:rFonts w:ascii="Arial" w:hAnsi="Arial" w:cs="Arial"/>
                <w:b/>
                <w:color w:val="000000"/>
                <w:sz w:val="18"/>
                <w:szCs w:val="18"/>
                <w:lang w:val="en-AU"/>
              </w:rPr>
              <w:t>Benefits FY</w:t>
            </w:r>
            <w:r w:rsidR="00993D5A" w:rsidRPr="00DD30D9">
              <w:rPr>
                <w:rFonts w:ascii="Arial" w:hAnsi="Arial" w:cs="Arial"/>
                <w:b/>
                <w:color w:val="000000"/>
                <w:sz w:val="18"/>
                <w:szCs w:val="18"/>
                <w:lang w:val="en-AU"/>
              </w:rPr>
              <w:t> </w:t>
            </w:r>
            <w:r w:rsidRPr="00DD30D9">
              <w:rPr>
                <w:rFonts w:ascii="Arial" w:hAnsi="Arial" w:cs="Arial"/>
                <w:b/>
                <w:color w:val="000000"/>
                <w:sz w:val="18"/>
                <w:szCs w:val="18"/>
                <w:lang w:val="en-AU"/>
              </w:rPr>
              <w:t>2014</w:t>
            </w:r>
            <w:r w:rsidR="00993D5A"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938" w:type="dxa"/>
            <w:shd w:val="clear" w:color="auto" w:fill="EEECE1" w:themeFill="background2"/>
            <w:vAlign w:val="bottom"/>
            <w:hideMark/>
          </w:tcPr>
          <w:p w14:paraId="2EEA4A5F" w14:textId="77777777" w:rsidR="0021731C" w:rsidRPr="00DD30D9" w:rsidRDefault="0021731C">
            <w:pPr>
              <w:rPr>
                <w:rFonts w:ascii="Arial" w:hAnsi="Arial" w:cs="Arial"/>
                <w:b/>
                <w:color w:val="000000"/>
                <w:sz w:val="18"/>
                <w:szCs w:val="18"/>
                <w:lang w:val="en-AU"/>
              </w:rPr>
            </w:pPr>
            <w:r w:rsidRPr="00DD30D9">
              <w:rPr>
                <w:rFonts w:ascii="Arial" w:hAnsi="Arial" w:cs="Arial"/>
                <w:b/>
                <w:color w:val="000000"/>
                <w:sz w:val="18"/>
                <w:szCs w:val="18"/>
                <w:lang w:val="en-AU"/>
              </w:rPr>
              <w:t>Patient count 2014</w:t>
            </w:r>
            <w:r w:rsidR="00993D5A" w:rsidRPr="00DD30D9">
              <w:rPr>
                <w:rFonts w:ascii="Arial" w:hAnsi="Arial" w:cs="Arial"/>
                <w:b/>
                <w:color w:val="000000"/>
                <w:sz w:val="18"/>
                <w:szCs w:val="18"/>
                <w:lang w:val="en-AU"/>
              </w:rPr>
              <w:t>–</w:t>
            </w:r>
            <w:r w:rsidRPr="00DD30D9">
              <w:rPr>
                <w:rFonts w:ascii="Arial" w:hAnsi="Arial" w:cs="Arial"/>
                <w:b/>
                <w:color w:val="000000"/>
                <w:sz w:val="18"/>
                <w:szCs w:val="18"/>
                <w:lang w:val="en-AU"/>
              </w:rPr>
              <w:t>15</w:t>
            </w:r>
          </w:p>
        </w:tc>
        <w:tc>
          <w:tcPr>
            <w:tcW w:w="884" w:type="dxa"/>
            <w:shd w:val="clear" w:color="auto" w:fill="EEECE1" w:themeFill="background2"/>
            <w:vAlign w:val="bottom"/>
            <w:hideMark/>
          </w:tcPr>
          <w:p w14:paraId="6D33F4D4" w14:textId="77777777" w:rsidR="0021731C" w:rsidRPr="00DD30D9" w:rsidRDefault="0021731C" w:rsidP="008E0495">
            <w:pPr>
              <w:rPr>
                <w:rFonts w:ascii="Arial" w:hAnsi="Arial" w:cs="Arial"/>
                <w:b/>
                <w:color w:val="000000"/>
                <w:sz w:val="18"/>
                <w:szCs w:val="18"/>
                <w:lang w:val="en-AU"/>
              </w:rPr>
            </w:pPr>
            <w:r w:rsidRPr="00DD30D9">
              <w:rPr>
                <w:rFonts w:ascii="Arial" w:hAnsi="Arial" w:cs="Arial"/>
                <w:b/>
                <w:color w:val="000000"/>
                <w:sz w:val="18"/>
                <w:szCs w:val="18"/>
                <w:lang w:val="en-AU"/>
              </w:rPr>
              <w:t>5</w:t>
            </w:r>
            <w:r w:rsidR="00993D5A" w:rsidRPr="00DD30D9">
              <w:rPr>
                <w:rFonts w:ascii="Arial" w:hAnsi="Arial" w:cs="Arial"/>
                <w:b/>
                <w:color w:val="000000"/>
                <w:sz w:val="18"/>
                <w:szCs w:val="18"/>
                <w:lang w:val="en-AU"/>
              </w:rPr>
              <w:t>-</w:t>
            </w:r>
            <w:r w:rsidRPr="00DD30D9">
              <w:rPr>
                <w:rFonts w:ascii="Arial" w:hAnsi="Arial" w:cs="Arial"/>
                <w:b/>
                <w:color w:val="000000"/>
                <w:sz w:val="18"/>
                <w:szCs w:val="18"/>
                <w:lang w:val="en-AU"/>
              </w:rPr>
              <w:t>year service change (CAGR)</w:t>
            </w:r>
          </w:p>
        </w:tc>
      </w:tr>
      <w:tr w:rsidR="0021731C" w:rsidRPr="00720661" w14:paraId="061BEB82" w14:textId="77777777" w:rsidTr="00711C35">
        <w:trPr>
          <w:trHeight w:val="300"/>
        </w:trPr>
        <w:tc>
          <w:tcPr>
            <w:tcW w:w="774" w:type="dxa"/>
            <w:noWrap/>
            <w:hideMark/>
          </w:tcPr>
          <w:p w14:paraId="40358CC1" w14:textId="77777777" w:rsidR="0021731C" w:rsidRPr="00720661" w:rsidRDefault="0021731C" w:rsidP="0021731C">
            <w:pPr>
              <w:spacing w:before="0" w:after="0"/>
              <w:rPr>
                <w:rFonts w:ascii="Arial" w:hAnsi="Arial" w:cs="Arial"/>
                <w:color w:val="000000"/>
                <w:sz w:val="18"/>
                <w:szCs w:val="18"/>
                <w:lang w:val="en-AU"/>
              </w:rPr>
            </w:pPr>
            <w:r w:rsidRPr="00720661">
              <w:rPr>
                <w:rFonts w:ascii="Arial" w:hAnsi="Arial" w:cs="Arial"/>
                <w:color w:val="000000"/>
                <w:sz w:val="18"/>
                <w:szCs w:val="18"/>
                <w:lang w:val="en-AU"/>
              </w:rPr>
              <w:t>73293</w:t>
            </w:r>
          </w:p>
        </w:tc>
        <w:tc>
          <w:tcPr>
            <w:tcW w:w="2801" w:type="dxa"/>
            <w:noWrap/>
            <w:hideMark/>
          </w:tcPr>
          <w:p w14:paraId="61658BC6" w14:textId="77777777" w:rsidR="0021731C" w:rsidRPr="00720661" w:rsidRDefault="0021731C" w:rsidP="0021731C">
            <w:pPr>
              <w:spacing w:before="0" w:after="0"/>
              <w:rPr>
                <w:rFonts w:ascii="Arial" w:hAnsi="Arial" w:cs="Arial"/>
                <w:color w:val="000000"/>
                <w:sz w:val="18"/>
                <w:szCs w:val="18"/>
                <w:lang w:val="en-AU"/>
              </w:rPr>
            </w:pPr>
            <w:r w:rsidRPr="00720661">
              <w:rPr>
                <w:rFonts w:ascii="Arial" w:hAnsi="Arial" w:cs="Arial"/>
                <w:color w:val="000000"/>
                <w:sz w:val="18"/>
                <w:szCs w:val="18"/>
                <w:lang w:val="en-AU"/>
              </w:rPr>
              <w:t>Analysis of one or more regions on all chromosomes for specific constitutional genetic abnormalities of fresh tissue in diagnostic studies of the products of conception, including exclusion of maternal cell contamination. – 1 or more tests.</w:t>
            </w:r>
          </w:p>
        </w:tc>
        <w:tc>
          <w:tcPr>
            <w:tcW w:w="1017" w:type="dxa"/>
            <w:noWrap/>
            <w:hideMark/>
          </w:tcPr>
          <w:p w14:paraId="0FB00599" w14:textId="77777777" w:rsidR="0021731C" w:rsidRPr="00720661" w:rsidRDefault="0021731C"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$230.95</w:t>
            </w:r>
          </w:p>
        </w:tc>
        <w:tc>
          <w:tcPr>
            <w:tcW w:w="1212" w:type="dxa"/>
            <w:noWrap/>
            <w:hideMark/>
          </w:tcPr>
          <w:p w14:paraId="6ED369D0" w14:textId="77777777" w:rsidR="0021731C" w:rsidRPr="00720661" w:rsidRDefault="0025372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447</w:t>
            </w:r>
          </w:p>
        </w:tc>
        <w:tc>
          <w:tcPr>
            <w:tcW w:w="1204" w:type="dxa"/>
            <w:noWrap/>
            <w:hideMark/>
          </w:tcPr>
          <w:p w14:paraId="3F8F4959" w14:textId="77777777" w:rsidR="0025372F" w:rsidRPr="00720661" w:rsidRDefault="0025372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$80,236</w:t>
            </w:r>
          </w:p>
        </w:tc>
        <w:tc>
          <w:tcPr>
            <w:tcW w:w="938" w:type="dxa"/>
            <w:noWrap/>
            <w:hideMark/>
          </w:tcPr>
          <w:p w14:paraId="76FDADAD" w14:textId="77777777" w:rsidR="0021731C" w:rsidRPr="00720661" w:rsidRDefault="0021731C"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437</w:t>
            </w:r>
          </w:p>
        </w:tc>
        <w:tc>
          <w:tcPr>
            <w:tcW w:w="884" w:type="dxa"/>
            <w:noWrap/>
            <w:hideMark/>
          </w:tcPr>
          <w:p w14:paraId="7CFCB796" w14:textId="77777777" w:rsidR="0021731C" w:rsidRPr="00720661" w:rsidRDefault="0021731C"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47.5%</w:t>
            </w:r>
          </w:p>
        </w:tc>
      </w:tr>
    </w:tbl>
    <w:p w14:paraId="782690FF" w14:textId="77777777" w:rsidR="00996E28" w:rsidRPr="00DD30D9" w:rsidRDefault="0021731C" w:rsidP="00677AEE">
      <w:pPr>
        <w:pStyle w:val="Heading3"/>
        <w:numPr>
          <w:ilvl w:val="0"/>
          <w:numId w:val="0"/>
        </w:numPr>
        <w:ind w:left="720" w:hanging="720"/>
        <w:rPr>
          <w:lang w:val="en-AU"/>
        </w:rPr>
      </w:pPr>
      <w:bookmarkStart w:id="130" w:name="_Toc13736003"/>
      <w:r w:rsidRPr="00DD30D9">
        <w:rPr>
          <w:lang w:val="en-AU"/>
        </w:rPr>
        <w:t>Recommendation</w:t>
      </w:r>
      <w:r w:rsidR="0061030F" w:rsidRPr="00DD30D9">
        <w:rPr>
          <w:lang w:val="en-AU"/>
        </w:rPr>
        <w:t xml:space="preserve"> 10</w:t>
      </w:r>
      <w:bookmarkEnd w:id="130"/>
    </w:p>
    <w:p w14:paraId="7A957E5E" w14:textId="77777777" w:rsidR="0021731C" w:rsidRPr="00DD30D9" w:rsidRDefault="005901C8" w:rsidP="0021731C">
      <w:pPr>
        <w:pStyle w:val="01squarebullet"/>
        <w:rPr>
          <w:lang w:val="en-AU"/>
        </w:rPr>
      </w:pPr>
      <w:r w:rsidRPr="00DD30D9">
        <w:rPr>
          <w:lang w:val="en-AU"/>
        </w:rPr>
        <w:t>Amend</w:t>
      </w:r>
      <w:r w:rsidR="0021731C" w:rsidRPr="00DD30D9">
        <w:rPr>
          <w:lang w:val="en-AU"/>
        </w:rPr>
        <w:t xml:space="preserve"> the descriptor to include, if performed, items 73287, 73289 and 73291.</w:t>
      </w:r>
    </w:p>
    <w:p w14:paraId="541DE68A" w14:textId="77777777" w:rsidR="00D261F3" w:rsidRPr="00A8091F" w:rsidRDefault="00A230E6" w:rsidP="004272EB">
      <w:pPr>
        <w:pStyle w:val="01squarebullet"/>
        <w:rPr>
          <w:lang w:val="en-AU"/>
        </w:rPr>
      </w:pPr>
      <w:r w:rsidRPr="00A8091F">
        <w:rPr>
          <w:lang w:val="en-AU"/>
        </w:rPr>
        <w:t xml:space="preserve">Increase awareness of this item with </w:t>
      </w:r>
      <w:r w:rsidR="00993D5A" w:rsidRPr="00A8091F">
        <w:rPr>
          <w:lang w:val="en-AU"/>
        </w:rPr>
        <w:t>general practitioners</w:t>
      </w:r>
      <w:r w:rsidRPr="00A8091F">
        <w:rPr>
          <w:lang w:val="en-AU"/>
        </w:rPr>
        <w:t>.</w:t>
      </w:r>
    </w:p>
    <w:p w14:paraId="1A2228DB" w14:textId="77777777" w:rsidR="00A8091F" w:rsidRDefault="00A8091F">
      <w:pPr>
        <w:spacing w:before="0" w:after="0"/>
        <w:rPr>
          <w:rFonts w:eastAsiaTheme="minorHAnsi" w:cs="Arial"/>
          <w:b/>
          <w:sz w:val="18"/>
          <w:szCs w:val="22"/>
          <w:lang w:val="en-AU" w:eastAsia="en-US"/>
        </w:rPr>
      </w:pPr>
      <w:bookmarkStart w:id="131" w:name="_Toc482009643"/>
      <w:r>
        <w:rPr>
          <w:lang w:val="en-AU"/>
        </w:rPr>
        <w:br w:type="page"/>
      </w:r>
    </w:p>
    <w:p w14:paraId="2B86228A" w14:textId="77777777" w:rsidR="001D5AB6" w:rsidRPr="00DD30D9" w:rsidRDefault="001D5AB6">
      <w:pPr>
        <w:pStyle w:val="Caption"/>
      </w:pPr>
      <w:r w:rsidRPr="00DD30D9">
        <w:lastRenderedPageBreak/>
        <w:t xml:space="preserve">Table </w:t>
      </w:r>
      <w:r w:rsidR="00474F25" w:rsidRPr="00860DE7">
        <w:fldChar w:fldCharType="begin"/>
      </w:r>
      <w:r w:rsidR="00474F25" w:rsidRPr="00720661">
        <w:instrText xml:space="preserve"> AUTONUM  \* Arabic </w:instrText>
      </w:r>
      <w:r w:rsidR="00474F25" w:rsidRPr="00860DE7">
        <w:fldChar w:fldCharType="end"/>
      </w:r>
      <w:r w:rsidRPr="00DD30D9">
        <w:t xml:space="preserve"> Proposed change to item 73293</w:t>
      </w:r>
      <w:bookmarkEnd w:id="131"/>
    </w:p>
    <w:tbl>
      <w:tblPr>
        <w:tblStyle w:val="TableGrid"/>
        <w:tblW w:w="9011" w:type="dxa"/>
        <w:tblInd w:w="-5" w:type="dxa"/>
        <w:tblLook w:val="04A0" w:firstRow="1" w:lastRow="0" w:firstColumn="1" w:lastColumn="0" w:noHBand="0" w:noVBand="1"/>
        <w:tblCaption w:val="Proposed change to item 73293"/>
        <w:tblDescription w:val="This table shows the current item descriptor and proposed new item descriptor for item 73293. "/>
      </w:tblPr>
      <w:tblGrid>
        <w:gridCol w:w="1129"/>
        <w:gridCol w:w="3969"/>
        <w:gridCol w:w="3913"/>
      </w:tblGrid>
      <w:tr w:rsidR="001D5AB6" w:rsidRPr="00720661" w14:paraId="03F504F4" w14:textId="77777777" w:rsidTr="005A054A">
        <w:trPr>
          <w:trHeight w:val="277"/>
          <w:tblHeader/>
        </w:trPr>
        <w:tc>
          <w:tcPr>
            <w:tcW w:w="1129" w:type="dxa"/>
            <w:tcBorders>
              <w:top w:val="single" w:sz="4" w:space="0" w:color="auto"/>
              <w:left w:val="single" w:sz="8" w:space="0" w:color="auto"/>
              <w:bottom w:val="single" w:sz="8" w:space="0" w:color="auto"/>
              <w:right w:val="single" w:sz="8" w:space="0" w:color="auto"/>
            </w:tcBorders>
            <w:shd w:val="clear" w:color="auto" w:fill="EEECE1" w:themeFill="background2"/>
            <w:vAlign w:val="bottom"/>
          </w:tcPr>
          <w:p w14:paraId="53E7DED3" w14:textId="77777777" w:rsidR="001D5AB6" w:rsidRPr="00DD30D9" w:rsidRDefault="001D5AB6" w:rsidP="008E0495">
            <w:pPr>
              <w:rPr>
                <w:rFonts w:ascii="Arial" w:hAnsi="Arial" w:cs="Arial"/>
                <w:b/>
                <w:bCs/>
                <w:sz w:val="18"/>
                <w:lang w:val="en-AU"/>
              </w:rPr>
            </w:pPr>
            <w:r w:rsidRPr="00DD30D9">
              <w:rPr>
                <w:rFonts w:ascii="Arial" w:hAnsi="Arial" w:cs="Arial"/>
                <w:b/>
                <w:bCs/>
                <w:sz w:val="18"/>
                <w:lang w:val="en-AU"/>
              </w:rPr>
              <w:t xml:space="preserve">Item </w:t>
            </w:r>
          </w:p>
        </w:tc>
        <w:tc>
          <w:tcPr>
            <w:tcW w:w="3969" w:type="dxa"/>
            <w:tcBorders>
              <w:top w:val="single" w:sz="4" w:space="0" w:color="auto"/>
              <w:left w:val="single" w:sz="8" w:space="0" w:color="auto"/>
              <w:bottom w:val="single" w:sz="8" w:space="0" w:color="auto"/>
              <w:right w:val="single" w:sz="8" w:space="0" w:color="auto"/>
            </w:tcBorders>
            <w:shd w:val="clear" w:color="auto" w:fill="EEECE1" w:themeFill="background2"/>
            <w:vAlign w:val="bottom"/>
          </w:tcPr>
          <w:p w14:paraId="015C2491" w14:textId="77777777" w:rsidR="001D5AB6" w:rsidRPr="00DD30D9" w:rsidRDefault="001D5AB6" w:rsidP="008E0495">
            <w:pPr>
              <w:rPr>
                <w:rFonts w:ascii="Arial" w:hAnsi="Arial" w:cs="Arial"/>
                <w:b/>
                <w:sz w:val="18"/>
                <w:lang w:val="en-AU"/>
              </w:rPr>
            </w:pPr>
            <w:r w:rsidRPr="00DD30D9">
              <w:rPr>
                <w:rFonts w:ascii="Arial" w:hAnsi="Arial" w:cs="Arial"/>
                <w:b/>
                <w:bCs/>
                <w:sz w:val="18"/>
                <w:lang w:val="en-AU"/>
              </w:rPr>
              <w:t>Current item descriptor</w:t>
            </w:r>
          </w:p>
        </w:tc>
        <w:tc>
          <w:tcPr>
            <w:tcW w:w="3913" w:type="dxa"/>
            <w:tcBorders>
              <w:top w:val="single" w:sz="4" w:space="0" w:color="auto"/>
              <w:left w:val="nil"/>
              <w:bottom w:val="single" w:sz="8" w:space="0" w:color="auto"/>
              <w:right w:val="single" w:sz="8" w:space="0" w:color="auto"/>
            </w:tcBorders>
            <w:shd w:val="clear" w:color="auto" w:fill="EEECE1" w:themeFill="background2"/>
            <w:vAlign w:val="bottom"/>
          </w:tcPr>
          <w:p w14:paraId="46F36EF8" w14:textId="77777777" w:rsidR="001D5AB6" w:rsidRPr="00DD30D9" w:rsidRDefault="001D5AB6" w:rsidP="008E0495">
            <w:pPr>
              <w:rPr>
                <w:rFonts w:ascii="Arial" w:hAnsi="Arial" w:cs="Arial"/>
                <w:b/>
                <w:sz w:val="18"/>
                <w:lang w:val="en-AU"/>
              </w:rPr>
            </w:pPr>
            <w:r w:rsidRPr="00DD30D9">
              <w:rPr>
                <w:rFonts w:ascii="Arial" w:hAnsi="Arial" w:cs="Arial"/>
                <w:b/>
                <w:bCs/>
                <w:sz w:val="18"/>
                <w:lang w:val="en-AU"/>
              </w:rPr>
              <w:t>Proposed new item descriptor</w:t>
            </w:r>
          </w:p>
        </w:tc>
      </w:tr>
      <w:tr w:rsidR="001D5AB6" w:rsidRPr="00720661" w14:paraId="503B1E15" w14:textId="77777777" w:rsidTr="008E0495">
        <w:trPr>
          <w:trHeight w:val="1682"/>
        </w:trPr>
        <w:tc>
          <w:tcPr>
            <w:tcW w:w="1129" w:type="dxa"/>
          </w:tcPr>
          <w:p w14:paraId="69CBAFF2" w14:textId="77777777" w:rsidR="001D5AB6" w:rsidRPr="00DD30D9" w:rsidRDefault="001D5AB6" w:rsidP="008E0495">
            <w:pPr>
              <w:rPr>
                <w:rFonts w:ascii="Arial" w:hAnsi="Arial" w:cs="Arial"/>
                <w:color w:val="000000"/>
                <w:sz w:val="18"/>
                <w:szCs w:val="18"/>
                <w:lang w:val="en-AU"/>
              </w:rPr>
            </w:pPr>
            <w:r w:rsidRPr="00720661">
              <w:rPr>
                <w:rFonts w:ascii="Arial" w:hAnsi="Arial" w:cs="Arial"/>
                <w:color w:val="000000"/>
                <w:sz w:val="18"/>
                <w:szCs w:val="18"/>
                <w:lang w:val="en-AU"/>
              </w:rPr>
              <w:t>73293</w:t>
            </w:r>
          </w:p>
        </w:tc>
        <w:tc>
          <w:tcPr>
            <w:tcW w:w="3969" w:type="dxa"/>
          </w:tcPr>
          <w:p w14:paraId="4629D6AB" w14:textId="77777777" w:rsidR="001D5AB6" w:rsidRPr="00DD30D9" w:rsidRDefault="001D5AB6" w:rsidP="008E0495">
            <w:pPr>
              <w:rPr>
                <w:rFonts w:ascii="Arial" w:hAnsi="Arial" w:cs="Arial"/>
                <w:b/>
                <w:bCs/>
                <w:sz w:val="18"/>
                <w:lang w:val="en-AU"/>
              </w:rPr>
            </w:pPr>
            <w:r w:rsidRPr="00720661">
              <w:rPr>
                <w:rFonts w:ascii="Arial" w:hAnsi="Arial" w:cs="Arial"/>
                <w:color w:val="000000"/>
                <w:sz w:val="18"/>
                <w:szCs w:val="18"/>
                <w:lang w:val="en-AU"/>
              </w:rPr>
              <w:t>Analysis of one or more regions on all chromosomes for specific constitutional genetic abnormalities of fresh tissue in diagnostic studies of the products of conception, including exclusion of maternal cell contamination. – 1 or more tests.</w:t>
            </w:r>
          </w:p>
        </w:tc>
        <w:tc>
          <w:tcPr>
            <w:tcW w:w="3913" w:type="dxa"/>
            <w:tcBorders>
              <w:top w:val="single" w:sz="8" w:space="0" w:color="auto"/>
              <w:left w:val="nil"/>
              <w:bottom w:val="single" w:sz="8" w:space="0" w:color="auto"/>
              <w:right w:val="single" w:sz="8" w:space="0" w:color="auto"/>
            </w:tcBorders>
          </w:tcPr>
          <w:p w14:paraId="4E1D2C58" w14:textId="77777777" w:rsidR="001D5AB6" w:rsidRPr="00DD30D9" w:rsidRDefault="001D5AB6" w:rsidP="004750A6">
            <w:pPr>
              <w:rPr>
                <w:rFonts w:ascii="Arial" w:hAnsi="Arial" w:cs="Arial"/>
                <w:bCs/>
                <w:sz w:val="18"/>
                <w:lang w:val="en-AU"/>
              </w:rPr>
            </w:pPr>
            <w:r w:rsidRPr="00720661">
              <w:rPr>
                <w:rFonts w:ascii="Arial" w:hAnsi="Arial" w:cs="Arial"/>
                <w:color w:val="000000"/>
                <w:sz w:val="18"/>
                <w:szCs w:val="18"/>
                <w:lang w:val="en-AU"/>
              </w:rPr>
              <w:t xml:space="preserve">Analysis of one or more regions on all </w:t>
            </w:r>
            <w:r w:rsidRPr="004750A6">
              <w:rPr>
                <w:rFonts w:ascii="Arial" w:hAnsi="Arial" w:cs="Arial"/>
                <w:color w:val="000000"/>
                <w:sz w:val="18"/>
                <w:szCs w:val="18"/>
                <w:lang w:val="en-AU"/>
              </w:rPr>
              <w:t xml:space="preserve">chromosomes for specific constitutional genetic abnormalities of fresh tissue in diagnostic studies of the products of conception, including exclusion of maternal cell contamination </w:t>
            </w:r>
            <w:r w:rsidRPr="00DD30D9">
              <w:rPr>
                <w:rFonts w:ascii="Arial" w:hAnsi="Arial" w:cs="Arial"/>
                <w:color w:val="000000"/>
                <w:sz w:val="18"/>
                <w:szCs w:val="18"/>
                <w:lang w:val="en-AU"/>
              </w:rPr>
              <w:t>(</w:t>
            </w:r>
            <w:r w:rsidRPr="00DD30D9">
              <w:rPr>
                <w:rFonts w:ascii="Arial" w:hAnsi="Arial" w:cs="Arial"/>
                <w:color w:val="000000"/>
                <w:sz w:val="18"/>
                <w:szCs w:val="18"/>
                <w:u w:val="single"/>
                <w:lang w:val="en-AU"/>
              </w:rPr>
              <w:t>including a service in items 73287, 73289 or 73291, if performed</w:t>
            </w:r>
            <w:r w:rsidR="004750A6" w:rsidRPr="00DD30D9">
              <w:rPr>
                <w:rFonts w:ascii="Arial" w:hAnsi="Arial" w:cs="Arial"/>
                <w:color w:val="000000"/>
                <w:sz w:val="18"/>
                <w:szCs w:val="18"/>
                <w:u w:val="single"/>
                <w:lang w:val="en-AU"/>
              </w:rPr>
              <w:t>)</w:t>
            </w:r>
            <w:r w:rsidRPr="00720661">
              <w:rPr>
                <w:rFonts w:ascii="Arial" w:hAnsi="Arial" w:cs="Arial"/>
                <w:color w:val="000000"/>
                <w:sz w:val="18"/>
                <w:szCs w:val="18"/>
                <w:lang w:val="en-AU"/>
              </w:rPr>
              <w:t xml:space="preserve"> – 1 or more tests.</w:t>
            </w:r>
          </w:p>
        </w:tc>
      </w:tr>
    </w:tbl>
    <w:p w14:paraId="06FDFDF9" w14:textId="77777777" w:rsidR="0021731C" w:rsidRPr="00DD30D9" w:rsidRDefault="0021731C" w:rsidP="00677AEE">
      <w:pPr>
        <w:pStyle w:val="Heading3"/>
        <w:numPr>
          <w:ilvl w:val="0"/>
          <w:numId w:val="0"/>
        </w:numPr>
        <w:ind w:left="720" w:hanging="720"/>
        <w:rPr>
          <w:lang w:val="en-AU"/>
        </w:rPr>
      </w:pPr>
      <w:bookmarkStart w:id="132" w:name="_Toc13736004"/>
      <w:r w:rsidRPr="00DD30D9">
        <w:rPr>
          <w:lang w:val="en-AU"/>
        </w:rPr>
        <w:t>Rationale</w:t>
      </w:r>
      <w:r w:rsidR="0061030F" w:rsidRPr="00DD30D9">
        <w:rPr>
          <w:lang w:val="en-AU"/>
        </w:rPr>
        <w:t xml:space="preserve"> 10</w:t>
      </w:r>
      <w:bookmarkEnd w:id="132"/>
    </w:p>
    <w:p w14:paraId="5904F3FA" w14:textId="77777777" w:rsidR="0021731C" w:rsidRPr="00720661" w:rsidRDefault="001D5AB6" w:rsidP="001D5AB6">
      <w:pPr>
        <w:pStyle w:val="Normalpara"/>
      </w:pPr>
      <w:r w:rsidRPr="00720661">
        <w:t>The recommendation focuses on ensuring appropriate use and is based on the following observations.</w:t>
      </w:r>
    </w:p>
    <w:p w14:paraId="2E109257" w14:textId="77777777" w:rsidR="00436DE6" w:rsidRPr="00DD30D9" w:rsidRDefault="00A230E6" w:rsidP="00A230E6">
      <w:pPr>
        <w:pStyle w:val="01squarebullet"/>
        <w:rPr>
          <w:lang w:val="en-AU"/>
        </w:rPr>
      </w:pPr>
      <w:r w:rsidRPr="00DD30D9">
        <w:rPr>
          <w:lang w:val="en-AU"/>
        </w:rPr>
        <w:t xml:space="preserve">This item is used to identify genetic abnormalities in products of </w:t>
      </w:r>
      <w:r w:rsidR="001820D2" w:rsidRPr="00DD30D9">
        <w:rPr>
          <w:lang w:val="en-AU"/>
        </w:rPr>
        <w:t>conception</w:t>
      </w:r>
      <w:r w:rsidRPr="00DD30D9">
        <w:rPr>
          <w:lang w:val="en-AU"/>
        </w:rPr>
        <w:t xml:space="preserve">. </w:t>
      </w:r>
      <w:r w:rsidR="001D5AB6" w:rsidRPr="00DD30D9">
        <w:rPr>
          <w:lang w:val="en-AU"/>
        </w:rPr>
        <w:t>The Committee agreed that the</w:t>
      </w:r>
      <w:r w:rsidR="00436DE6" w:rsidRPr="00DD30D9">
        <w:rPr>
          <w:lang w:val="en-AU"/>
        </w:rPr>
        <w:t xml:space="preserve"> medical utility for this item is very low but it does provide support for parents, and is </w:t>
      </w:r>
      <w:r w:rsidRPr="00DD30D9">
        <w:rPr>
          <w:lang w:val="en-AU"/>
        </w:rPr>
        <w:t>more cost effective</w:t>
      </w:r>
      <w:r w:rsidR="00436DE6" w:rsidRPr="00DD30D9">
        <w:rPr>
          <w:lang w:val="en-AU"/>
        </w:rPr>
        <w:t xml:space="preserve"> than karyotyping. The low service volume </w:t>
      </w:r>
      <w:r w:rsidR="001D5AB6" w:rsidRPr="00DD30D9">
        <w:rPr>
          <w:lang w:val="en-AU"/>
        </w:rPr>
        <w:t>may be because</w:t>
      </w:r>
      <w:r w:rsidR="00436DE6" w:rsidRPr="00DD30D9">
        <w:rPr>
          <w:lang w:val="en-AU"/>
        </w:rPr>
        <w:t xml:space="preserve"> the test is being performed in public hospitals or </w:t>
      </w:r>
      <w:r w:rsidR="001820D2" w:rsidRPr="00DD30D9">
        <w:rPr>
          <w:lang w:val="en-AU"/>
        </w:rPr>
        <w:t xml:space="preserve">possibly </w:t>
      </w:r>
      <w:r w:rsidR="00993D5A" w:rsidRPr="00DD30D9">
        <w:rPr>
          <w:lang w:val="en-AU"/>
        </w:rPr>
        <w:t xml:space="preserve">because </w:t>
      </w:r>
      <w:r w:rsidR="00436DE6" w:rsidRPr="00DD30D9">
        <w:rPr>
          <w:lang w:val="en-AU"/>
        </w:rPr>
        <w:t xml:space="preserve">private practice GPs are not offering the MBS service, </w:t>
      </w:r>
      <w:r w:rsidRPr="00DD30D9">
        <w:rPr>
          <w:lang w:val="en-AU"/>
        </w:rPr>
        <w:t xml:space="preserve">in which education to raise awareness is </w:t>
      </w:r>
      <w:r w:rsidR="001820D2" w:rsidRPr="00DD30D9">
        <w:rPr>
          <w:lang w:val="en-AU"/>
        </w:rPr>
        <w:t>warranted</w:t>
      </w:r>
      <w:r w:rsidRPr="00DD30D9">
        <w:rPr>
          <w:lang w:val="en-AU"/>
        </w:rPr>
        <w:t>.</w:t>
      </w:r>
    </w:p>
    <w:p w14:paraId="4CCAE940" w14:textId="77777777" w:rsidR="00436DE6" w:rsidRPr="00DD30D9" w:rsidRDefault="00A230E6" w:rsidP="00436DE6">
      <w:pPr>
        <w:pStyle w:val="01squarebullet"/>
        <w:rPr>
          <w:lang w:val="en-AU"/>
        </w:rPr>
      </w:pPr>
      <w:r w:rsidRPr="00DD30D9">
        <w:rPr>
          <w:lang w:val="en-AU"/>
        </w:rPr>
        <w:t xml:space="preserve">Appropriate use of this item should not include co-claiming a test using karyotyping techniques as described in items </w:t>
      </w:r>
      <w:r w:rsidR="00436DE6" w:rsidRPr="00DD30D9">
        <w:rPr>
          <w:lang w:val="en-AU"/>
        </w:rPr>
        <w:t>73287, 73289 or 73291.</w:t>
      </w:r>
    </w:p>
    <w:p w14:paraId="1F630755" w14:textId="77777777" w:rsidR="0033420E" w:rsidRPr="00DD30D9" w:rsidRDefault="0033420E">
      <w:pPr>
        <w:pStyle w:val="Heading2"/>
      </w:pPr>
      <w:bookmarkStart w:id="133" w:name="_Toc13736005"/>
      <w:r w:rsidRPr="00DD30D9">
        <w:t>No changes</w:t>
      </w:r>
      <w:bookmarkEnd w:id="133"/>
      <w:r w:rsidRPr="00DD30D9">
        <w:t xml:space="preserve"> </w:t>
      </w:r>
    </w:p>
    <w:p w14:paraId="351CFB81" w14:textId="77777777" w:rsidR="0033420E" w:rsidRPr="00DD30D9" w:rsidRDefault="0025372F" w:rsidP="0033420E">
      <w:pPr>
        <w:rPr>
          <w:lang w:val="en-AU"/>
        </w:rPr>
      </w:pPr>
      <w:r w:rsidRPr="00DD30D9">
        <w:rPr>
          <w:lang w:val="en-AU"/>
        </w:rPr>
        <w:t>The Committee recommended</w:t>
      </w:r>
      <w:r w:rsidR="0033420E" w:rsidRPr="00DD30D9">
        <w:rPr>
          <w:lang w:val="en-AU"/>
        </w:rPr>
        <w:t xml:space="preserve"> that the MBS items listed </w:t>
      </w:r>
      <w:r w:rsidR="00677AEE" w:rsidRPr="00DD30D9">
        <w:rPr>
          <w:lang w:val="en-AU"/>
        </w:rPr>
        <w:t xml:space="preserve">in Table </w:t>
      </w:r>
      <w:r w:rsidR="00474F25" w:rsidRPr="00DD30D9">
        <w:rPr>
          <w:lang w:val="en-AU"/>
        </w:rPr>
        <w:t xml:space="preserve">22 </w:t>
      </w:r>
      <w:r w:rsidR="0033420E" w:rsidRPr="00DD30D9">
        <w:rPr>
          <w:lang w:val="en-AU"/>
        </w:rPr>
        <w:t>do not require amendment, as t</w:t>
      </w:r>
      <w:r w:rsidR="00CD3BC5" w:rsidRPr="00DD30D9">
        <w:rPr>
          <w:lang w:val="en-AU"/>
        </w:rPr>
        <w:t>hey are clinically appropriate.</w:t>
      </w:r>
    </w:p>
    <w:p w14:paraId="33E96379" w14:textId="77777777" w:rsidR="00CD3BC5" w:rsidRPr="00DD30D9" w:rsidRDefault="00CD3BC5">
      <w:pPr>
        <w:pStyle w:val="Caption"/>
      </w:pPr>
      <w:bookmarkStart w:id="134" w:name="_Toc482009644"/>
      <w:r w:rsidRPr="00DD30D9">
        <w:t xml:space="preserve">Table </w:t>
      </w:r>
      <w:r w:rsidR="00474F25" w:rsidRPr="00860DE7">
        <w:fldChar w:fldCharType="begin"/>
      </w:r>
      <w:r w:rsidR="00474F25" w:rsidRPr="00720661">
        <w:instrText xml:space="preserve"> AUTONUM  \* Arabic </w:instrText>
      </w:r>
      <w:r w:rsidR="00474F25" w:rsidRPr="00860DE7">
        <w:fldChar w:fldCharType="end"/>
      </w:r>
      <w:r w:rsidRPr="00DD30D9">
        <w:t xml:space="preserve"> MBS items that do not require amendment</w:t>
      </w:r>
      <w:bookmarkEnd w:id="134"/>
    </w:p>
    <w:tbl>
      <w:tblPr>
        <w:tblStyle w:val="TableGrid"/>
        <w:tblW w:w="9322" w:type="dxa"/>
        <w:tblLayout w:type="fixed"/>
        <w:tblLook w:val="04A0" w:firstRow="1" w:lastRow="0" w:firstColumn="1" w:lastColumn="0" w:noHBand="0" w:noVBand="1"/>
        <w:tblCaption w:val="MBS items that do not require amendment"/>
        <w:tblDescription w:val="This table lists the items, descriptors, schedule fees and numbers of services provided in 2014-15 for items that do not require amendment."/>
      </w:tblPr>
      <w:tblGrid>
        <w:gridCol w:w="965"/>
        <w:gridCol w:w="5522"/>
        <w:gridCol w:w="1451"/>
        <w:gridCol w:w="1384"/>
      </w:tblGrid>
      <w:tr w:rsidR="00A6299E" w:rsidRPr="00720661" w14:paraId="7854E44F" w14:textId="77777777" w:rsidTr="004272EB">
        <w:trPr>
          <w:tblHeader/>
        </w:trPr>
        <w:tc>
          <w:tcPr>
            <w:tcW w:w="965" w:type="dxa"/>
            <w:shd w:val="clear" w:color="auto" w:fill="EEECE1" w:themeFill="background2"/>
            <w:vAlign w:val="bottom"/>
          </w:tcPr>
          <w:p w14:paraId="1B99EA1B" w14:textId="77777777" w:rsidR="00A6299E" w:rsidRPr="00DD30D9" w:rsidRDefault="00A6299E" w:rsidP="00DD30D9">
            <w:pPr>
              <w:rPr>
                <w:rFonts w:ascii="Arial" w:hAnsi="Arial" w:cs="Arial"/>
                <w:b/>
                <w:bCs/>
                <w:sz w:val="18"/>
                <w:lang w:val="en-AU"/>
              </w:rPr>
            </w:pPr>
            <w:r w:rsidRPr="00DD30D9">
              <w:rPr>
                <w:rFonts w:ascii="Arial" w:hAnsi="Arial" w:cs="Arial"/>
                <w:b/>
                <w:bCs/>
                <w:sz w:val="18"/>
                <w:lang w:val="en-AU"/>
              </w:rPr>
              <w:t>Item</w:t>
            </w:r>
          </w:p>
        </w:tc>
        <w:tc>
          <w:tcPr>
            <w:tcW w:w="5522" w:type="dxa"/>
            <w:shd w:val="clear" w:color="auto" w:fill="EEECE1" w:themeFill="background2"/>
            <w:vAlign w:val="bottom"/>
          </w:tcPr>
          <w:p w14:paraId="7AB6DCC8" w14:textId="77777777" w:rsidR="00A6299E" w:rsidRPr="00DD30D9" w:rsidRDefault="00A6299E" w:rsidP="00DD30D9">
            <w:pPr>
              <w:rPr>
                <w:rFonts w:ascii="Arial" w:hAnsi="Arial" w:cs="Arial"/>
                <w:b/>
                <w:bCs/>
                <w:sz w:val="18"/>
                <w:lang w:val="en-AU"/>
              </w:rPr>
            </w:pPr>
            <w:r w:rsidRPr="00DD30D9">
              <w:rPr>
                <w:rFonts w:ascii="Arial" w:hAnsi="Arial" w:cs="Arial"/>
                <w:b/>
                <w:bCs/>
                <w:sz w:val="18"/>
                <w:lang w:val="en-AU"/>
              </w:rPr>
              <w:t>Item descriptor</w:t>
            </w:r>
          </w:p>
        </w:tc>
        <w:tc>
          <w:tcPr>
            <w:tcW w:w="1451" w:type="dxa"/>
            <w:shd w:val="clear" w:color="auto" w:fill="EEECE1" w:themeFill="background2"/>
            <w:vAlign w:val="bottom"/>
          </w:tcPr>
          <w:p w14:paraId="5440CFBA" w14:textId="77777777" w:rsidR="00A6299E" w:rsidRPr="00DD30D9" w:rsidRDefault="00A6299E">
            <w:pPr>
              <w:rPr>
                <w:rFonts w:ascii="Arial" w:hAnsi="Arial" w:cs="Arial"/>
                <w:b/>
                <w:bCs/>
                <w:sz w:val="18"/>
                <w:lang w:val="en-AU"/>
              </w:rPr>
            </w:pPr>
            <w:r w:rsidRPr="00DD30D9">
              <w:rPr>
                <w:rFonts w:ascii="Arial" w:hAnsi="Arial" w:cs="Arial"/>
                <w:b/>
                <w:bCs/>
                <w:sz w:val="18"/>
                <w:lang w:val="en-AU"/>
              </w:rPr>
              <w:t xml:space="preserve">Schedule fee </w:t>
            </w:r>
          </w:p>
        </w:tc>
        <w:tc>
          <w:tcPr>
            <w:tcW w:w="1384" w:type="dxa"/>
            <w:shd w:val="clear" w:color="auto" w:fill="EEECE1" w:themeFill="background2"/>
            <w:vAlign w:val="bottom"/>
          </w:tcPr>
          <w:p w14:paraId="556E0223" w14:textId="77777777" w:rsidR="00A6299E" w:rsidRPr="00DD30D9" w:rsidRDefault="00A6299E">
            <w:pPr>
              <w:rPr>
                <w:rFonts w:ascii="Arial" w:hAnsi="Arial" w:cs="Arial"/>
                <w:b/>
                <w:bCs/>
                <w:sz w:val="18"/>
                <w:lang w:val="en-AU"/>
              </w:rPr>
            </w:pPr>
            <w:r w:rsidRPr="00DD30D9">
              <w:rPr>
                <w:rFonts w:ascii="Arial" w:hAnsi="Arial" w:cs="Arial"/>
                <w:b/>
                <w:bCs/>
                <w:sz w:val="18"/>
                <w:lang w:val="en-AU"/>
              </w:rPr>
              <w:t xml:space="preserve">Services </w:t>
            </w:r>
            <w:r w:rsidRPr="00DD30D9">
              <w:rPr>
                <w:rFonts w:ascii="Arial" w:hAnsi="Arial" w:cs="Arial"/>
                <w:b/>
                <w:bCs/>
                <w:sz w:val="18"/>
                <w:lang w:val="en-AU"/>
              </w:rPr>
              <w:br/>
              <w:t>FY 2014–15</w:t>
            </w:r>
          </w:p>
        </w:tc>
      </w:tr>
      <w:tr w:rsidR="00CD3BC5" w:rsidRPr="00720661" w14:paraId="3145D563" w14:textId="77777777" w:rsidTr="005F3166">
        <w:tc>
          <w:tcPr>
            <w:tcW w:w="965" w:type="dxa"/>
          </w:tcPr>
          <w:p w14:paraId="6BC7A49B" w14:textId="77777777" w:rsidR="00CD3BC5" w:rsidRPr="00DD30D9" w:rsidRDefault="00A268DE" w:rsidP="005F3166">
            <w:pPr>
              <w:spacing w:before="140" w:after="40"/>
              <w:rPr>
                <w:rFonts w:ascii="Arial" w:hAnsi="Arial" w:cs="Arial"/>
                <w:sz w:val="18"/>
                <w:szCs w:val="18"/>
                <w:lang w:val="en-AU"/>
              </w:rPr>
            </w:pPr>
            <w:r w:rsidRPr="00DD30D9">
              <w:rPr>
                <w:rFonts w:ascii="Arial" w:hAnsi="Arial" w:cs="Arial"/>
                <w:bCs/>
                <w:sz w:val="18"/>
                <w:szCs w:val="18"/>
                <w:lang w:val="en-AU"/>
              </w:rPr>
              <w:t>732</w:t>
            </w:r>
            <w:r w:rsidR="00CD3BC5" w:rsidRPr="00DD30D9">
              <w:rPr>
                <w:rFonts w:ascii="Arial" w:hAnsi="Arial" w:cs="Arial"/>
                <w:bCs/>
                <w:sz w:val="18"/>
                <w:szCs w:val="18"/>
                <w:lang w:val="en-AU"/>
              </w:rPr>
              <w:t xml:space="preserve">94 </w:t>
            </w:r>
          </w:p>
        </w:tc>
        <w:tc>
          <w:tcPr>
            <w:tcW w:w="5522" w:type="dxa"/>
          </w:tcPr>
          <w:p w14:paraId="6502BC87" w14:textId="77777777" w:rsidR="00CD3BC5" w:rsidRPr="00DD30D9" w:rsidRDefault="00CD3BC5" w:rsidP="005F3166">
            <w:pPr>
              <w:spacing w:before="140" w:after="40"/>
              <w:rPr>
                <w:rFonts w:ascii="Arial" w:hAnsi="Arial" w:cs="Arial"/>
                <w:sz w:val="18"/>
                <w:szCs w:val="18"/>
                <w:lang w:val="en-AU"/>
              </w:rPr>
            </w:pPr>
            <w:r w:rsidRPr="00DD30D9">
              <w:rPr>
                <w:rFonts w:ascii="Arial" w:hAnsi="Arial" w:cs="Arial"/>
                <w:sz w:val="18"/>
                <w:szCs w:val="18"/>
                <w:lang w:val="en-AU"/>
              </w:rPr>
              <w:t xml:space="preserve">Analysis of the </w:t>
            </w:r>
            <w:r w:rsidRPr="00DD30D9">
              <w:rPr>
                <w:rFonts w:ascii="Arial" w:hAnsi="Arial" w:cs="Arial"/>
                <w:i/>
                <w:sz w:val="18"/>
                <w:szCs w:val="18"/>
                <w:lang w:val="en-AU"/>
              </w:rPr>
              <w:t>PMP22</w:t>
            </w:r>
            <w:r w:rsidRPr="00DD30D9">
              <w:rPr>
                <w:rFonts w:ascii="Arial" w:hAnsi="Arial" w:cs="Arial"/>
                <w:sz w:val="18"/>
                <w:szCs w:val="18"/>
                <w:lang w:val="en-AU"/>
              </w:rPr>
              <w:t xml:space="preserve"> gene for constitutional genetic abnormalities causing peripheral neuropathy, either as: (a) diagnostic studies of an affected person; or (b) studies of a relative for an abnormality previously identified in an affected person – 1 or more tests. </w:t>
            </w:r>
          </w:p>
        </w:tc>
        <w:tc>
          <w:tcPr>
            <w:tcW w:w="1451" w:type="dxa"/>
          </w:tcPr>
          <w:p w14:paraId="35076860" w14:textId="77777777" w:rsidR="00CD3BC5" w:rsidRPr="00DD30D9" w:rsidRDefault="00CD3BC5" w:rsidP="004272EB">
            <w:pPr>
              <w:spacing w:before="140" w:after="40"/>
              <w:jc w:val="right"/>
              <w:rPr>
                <w:rFonts w:ascii="Arial" w:hAnsi="Arial" w:cs="Arial"/>
                <w:sz w:val="18"/>
                <w:szCs w:val="18"/>
                <w:lang w:val="en-AU"/>
              </w:rPr>
            </w:pPr>
            <w:r w:rsidRPr="00DD30D9">
              <w:rPr>
                <w:rFonts w:ascii="Arial" w:hAnsi="Arial" w:cs="Arial"/>
                <w:sz w:val="18"/>
                <w:szCs w:val="18"/>
                <w:lang w:val="en-AU"/>
              </w:rPr>
              <w:t xml:space="preserve">$230.95 </w:t>
            </w:r>
          </w:p>
        </w:tc>
        <w:tc>
          <w:tcPr>
            <w:tcW w:w="1384" w:type="dxa"/>
          </w:tcPr>
          <w:p w14:paraId="783C02D6" w14:textId="77777777" w:rsidR="00CD3BC5" w:rsidRPr="00DD30D9" w:rsidRDefault="00CD3BC5" w:rsidP="004272EB">
            <w:pPr>
              <w:spacing w:before="140" w:after="40"/>
              <w:jc w:val="right"/>
              <w:rPr>
                <w:rFonts w:ascii="Arial" w:hAnsi="Arial" w:cs="Arial"/>
                <w:sz w:val="18"/>
                <w:szCs w:val="18"/>
                <w:lang w:val="en-AU"/>
              </w:rPr>
            </w:pPr>
            <w:r w:rsidRPr="00DD30D9">
              <w:rPr>
                <w:rFonts w:ascii="Arial" w:hAnsi="Arial" w:cs="Arial"/>
                <w:sz w:val="18"/>
                <w:szCs w:val="18"/>
                <w:lang w:val="en-AU"/>
              </w:rPr>
              <w:t xml:space="preserve">292 </w:t>
            </w:r>
          </w:p>
        </w:tc>
      </w:tr>
      <w:tr w:rsidR="00A268DE" w:rsidRPr="00720661" w14:paraId="7631419F" w14:textId="77777777" w:rsidTr="005F3166">
        <w:trPr>
          <w:trHeight w:val="300"/>
        </w:trPr>
        <w:tc>
          <w:tcPr>
            <w:tcW w:w="965" w:type="dxa"/>
            <w:noWrap/>
            <w:hideMark/>
          </w:tcPr>
          <w:p w14:paraId="5F18045D"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73309</w:t>
            </w:r>
          </w:p>
        </w:tc>
        <w:tc>
          <w:tcPr>
            <w:tcW w:w="5522" w:type="dxa"/>
            <w:noWrap/>
            <w:hideMark/>
          </w:tcPr>
          <w:p w14:paraId="376C55FA"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A test described in item 73308, if rendered by a receiving APP - 1 or more tests (Item is subject to rule 18)</w:t>
            </w:r>
          </w:p>
        </w:tc>
        <w:tc>
          <w:tcPr>
            <w:tcW w:w="1451" w:type="dxa"/>
            <w:noWrap/>
            <w:hideMark/>
          </w:tcPr>
          <w:p w14:paraId="522B2AC4"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$36.45</w:t>
            </w:r>
          </w:p>
        </w:tc>
        <w:tc>
          <w:tcPr>
            <w:tcW w:w="1384" w:type="dxa"/>
            <w:noWrap/>
            <w:hideMark/>
          </w:tcPr>
          <w:p w14:paraId="5D147DF7"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w:t>
            </w:r>
            <w:r w:rsidR="00FB05E8">
              <w:rPr>
                <w:rFonts w:ascii="Arial" w:hAnsi="Arial" w:cs="Arial"/>
                <w:color w:val="000000"/>
                <w:sz w:val="18"/>
                <w:szCs w:val="18"/>
                <w:lang w:val="en-AU"/>
              </w:rPr>
              <w:t xml:space="preserve"> </w:t>
            </w:r>
            <w:r w:rsidRPr="00720661">
              <w:rPr>
                <w:rFonts w:ascii="Arial" w:hAnsi="Arial" w:cs="Arial"/>
                <w:color w:val="000000"/>
                <w:sz w:val="18"/>
                <w:szCs w:val="18"/>
                <w:lang w:val="en-AU"/>
              </w:rPr>
              <w:t>627</w:t>
            </w:r>
          </w:p>
        </w:tc>
      </w:tr>
      <w:tr w:rsidR="00A268DE" w:rsidRPr="00720661" w14:paraId="57AC4258" w14:textId="77777777" w:rsidTr="005F3166">
        <w:trPr>
          <w:trHeight w:val="300"/>
        </w:trPr>
        <w:tc>
          <w:tcPr>
            <w:tcW w:w="965" w:type="dxa"/>
            <w:noWrap/>
            <w:hideMark/>
          </w:tcPr>
          <w:p w14:paraId="5AAF693F"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73314</w:t>
            </w:r>
          </w:p>
        </w:tc>
        <w:tc>
          <w:tcPr>
            <w:tcW w:w="5522" w:type="dxa"/>
            <w:noWrap/>
            <w:hideMark/>
          </w:tcPr>
          <w:p w14:paraId="166572BA"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Characterisation of gene rearrangement or the identification of mutations within a known gene rearrangement, in the diagnosis and monitoring of patients with laboratory evidence of:(a) acute myeloid leukaemia; or(b) acute promyelocytic leukaemia; or (c) acute lymphoid leukaemia; or (d) chronic myeloid leukaemia;</w:t>
            </w:r>
          </w:p>
        </w:tc>
        <w:tc>
          <w:tcPr>
            <w:tcW w:w="1451" w:type="dxa"/>
            <w:noWrap/>
            <w:hideMark/>
          </w:tcPr>
          <w:p w14:paraId="4CEEFF12"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$230.95</w:t>
            </w:r>
          </w:p>
        </w:tc>
        <w:tc>
          <w:tcPr>
            <w:tcW w:w="1384" w:type="dxa"/>
            <w:noWrap/>
            <w:hideMark/>
          </w:tcPr>
          <w:p w14:paraId="07BC238B"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10</w:t>
            </w:r>
            <w:r w:rsidR="00FB05E8">
              <w:rPr>
                <w:rFonts w:ascii="Arial" w:hAnsi="Arial" w:cs="Arial"/>
                <w:color w:val="000000"/>
                <w:sz w:val="18"/>
                <w:szCs w:val="18"/>
                <w:lang w:val="en-AU"/>
              </w:rPr>
              <w:t xml:space="preserve"> </w:t>
            </w:r>
            <w:r w:rsidRPr="00720661">
              <w:rPr>
                <w:rFonts w:ascii="Arial" w:hAnsi="Arial" w:cs="Arial"/>
                <w:color w:val="000000"/>
                <w:sz w:val="18"/>
                <w:szCs w:val="18"/>
                <w:lang w:val="en-AU"/>
              </w:rPr>
              <w:t>000</w:t>
            </w:r>
          </w:p>
        </w:tc>
      </w:tr>
      <w:tr w:rsidR="00A268DE" w:rsidRPr="00720661" w14:paraId="4648E050" w14:textId="77777777" w:rsidTr="005F3166">
        <w:trPr>
          <w:trHeight w:val="300"/>
        </w:trPr>
        <w:tc>
          <w:tcPr>
            <w:tcW w:w="965" w:type="dxa"/>
            <w:noWrap/>
            <w:hideMark/>
          </w:tcPr>
          <w:p w14:paraId="067A0250"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73315</w:t>
            </w:r>
          </w:p>
        </w:tc>
        <w:tc>
          <w:tcPr>
            <w:tcW w:w="5522" w:type="dxa"/>
            <w:noWrap/>
            <w:hideMark/>
          </w:tcPr>
          <w:p w14:paraId="11B77076"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A test described in item 73314, if rendered by a receiving APP - 1 or more tests</w:t>
            </w:r>
            <w:r w:rsidR="008E577B"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(Item is subject to rule 18)</w:t>
            </w:r>
          </w:p>
        </w:tc>
        <w:tc>
          <w:tcPr>
            <w:tcW w:w="1451" w:type="dxa"/>
            <w:noWrap/>
            <w:hideMark/>
          </w:tcPr>
          <w:p w14:paraId="45621797"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$230.95</w:t>
            </w:r>
          </w:p>
        </w:tc>
        <w:tc>
          <w:tcPr>
            <w:tcW w:w="1384" w:type="dxa"/>
            <w:noWrap/>
            <w:hideMark/>
          </w:tcPr>
          <w:p w14:paraId="5F2FC296"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6</w:t>
            </w:r>
            <w:r w:rsidR="00FB05E8">
              <w:rPr>
                <w:rFonts w:ascii="Arial" w:hAnsi="Arial" w:cs="Arial"/>
                <w:color w:val="000000"/>
                <w:sz w:val="18"/>
                <w:szCs w:val="18"/>
                <w:lang w:val="en-AU"/>
              </w:rPr>
              <w:t xml:space="preserve"> </w:t>
            </w:r>
            <w:r w:rsidRPr="00720661">
              <w:rPr>
                <w:rFonts w:ascii="Arial" w:hAnsi="Arial" w:cs="Arial"/>
                <w:color w:val="000000"/>
                <w:sz w:val="18"/>
                <w:szCs w:val="18"/>
                <w:lang w:val="en-AU"/>
              </w:rPr>
              <w:t>401</w:t>
            </w:r>
          </w:p>
        </w:tc>
      </w:tr>
      <w:tr w:rsidR="00A268DE" w:rsidRPr="00720661" w14:paraId="07348923" w14:textId="77777777" w:rsidTr="005F3166">
        <w:trPr>
          <w:trHeight w:val="300"/>
        </w:trPr>
        <w:tc>
          <w:tcPr>
            <w:tcW w:w="965" w:type="dxa"/>
            <w:noWrap/>
            <w:hideMark/>
          </w:tcPr>
          <w:p w14:paraId="74D24582"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73320</w:t>
            </w:r>
          </w:p>
        </w:tc>
        <w:tc>
          <w:tcPr>
            <w:tcW w:w="5522" w:type="dxa"/>
            <w:noWrap/>
            <w:hideMark/>
          </w:tcPr>
          <w:p w14:paraId="41C1945F" w14:textId="77777777" w:rsidR="00A268DE" w:rsidRPr="00720661" w:rsidRDefault="006E1B5C"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 xml:space="preserve">Detection of </w:t>
            </w:r>
            <w:r w:rsidRPr="00720661">
              <w:rPr>
                <w:rFonts w:ascii="Arial" w:hAnsi="Arial" w:cs="Arial"/>
                <w:i/>
                <w:color w:val="000000"/>
                <w:sz w:val="18"/>
                <w:szCs w:val="18"/>
                <w:lang w:val="en-AU"/>
              </w:rPr>
              <w:t>HLA-B</w:t>
            </w:r>
            <w:r w:rsidR="00A268DE" w:rsidRPr="00720661">
              <w:rPr>
                <w:rFonts w:ascii="Arial" w:hAnsi="Arial" w:cs="Arial"/>
                <w:i/>
                <w:color w:val="000000"/>
                <w:sz w:val="18"/>
                <w:szCs w:val="18"/>
                <w:lang w:val="en-AU"/>
              </w:rPr>
              <w:t>27</w:t>
            </w:r>
            <w:r w:rsidR="00A268DE" w:rsidRPr="00720661">
              <w:rPr>
                <w:rFonts w:ascii="Arial" w:hAnsi="Arial" w:cs="Arial"/>
                <w:color w:val="000000"/>
                <w:sz w:val="18"/>
                <w:szCs w:val="18"/>
                <w:lang w:val="en-AU"/>
              </w:rPr>
              <w:t xml:space="preserve"> by nucleic acid amplification includes a service described in 71147 unless the service in item 73320 is rendered as a pathologist determinable service. (Item is subject to rule 27)</w:t>
            </w:r>
          </w:p>
        </w:tc>
        <w:tc>
          <w:tcPr>
            <w:tcW w:w="1451" w:type="dxa"/>
            <w:noWrap/>
            <w:hideMark/>
          </w:tcPr>
          <w:p w14:paraId="3A65DC00"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$40.55</w:t>
            </w:r>
          </w:p>
        </w:tc>
        <w:tc>
          <w:tcPr>
            <w:tcW w:w="1384" w:type="dxa"/>
            <w:noWrap/>
            <w:hideMark/>
          </w:tcPr>
          <w:p w14:paraId="70B5BD85"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16</w:t>
            </w:r>
            <w:r w:rsidR="00FB05E8">
              <w:rPr>
                <w:rFonts w:ascii="Arial" w:hAnsi="Arial" w:cs="Arial"/>
                <w:color w:val="000000"/>
                <w:sz w:val="18"/>
                <w:szCs w:val="18"/>
                <w:lang w:val="en-AU"/>
              </w:rPr>
              <w:t xml:space="preserve"> </w:t>
            </w:r>
            <w:r w:rsidRPr="00720661">
              <w:rPr>
                <w:rFonts w:ascii="Arial" w:hAnsi="Arial" w:cs="Arial"/>
                <w:color w:val="000000"/>
                <w:sz w:val="18"/>
                <w:szCs w:val="18"/>
                <w:lang w:val="en-AU"/>
              </w:rPr>
              <w:t>973</w:t>
            </w:r>
          </w:p>
        </w:tc>
      </w:tr>
      <w:tr w:rsidR="00A268DE" w:rsidRPr="00720661" w14:paraId="23A69078" w14:textId="77777777" w:rsidTr="005F3166">
        <w:trPr>
          <w:trHeight w:val="300"/>
        </w:trPr>
        <w:tc>
          <w:tcPr>
            <w:tcW w:w="965" w:type="dxa"/>
            <w:noWrap/>
            <w:hideMark/>
          </w:tcPr>
          <w:p w14:paraId="057DB3E6"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73321</w:t>
            </w:r>
          </w:p>
        </w:tc>
        <w:tc>
          <w:tcPr>
            <w:tcW w:w="5522" w:type="dxa"/>
            <w:noWrap/>
            <w:hideMark/>
          </w:tcPr>
          <w:p w14:paraId="426B2A2A"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A test described in item 73320, if rendered by a</w:t>
            </w:r>
            <w:r w:rsidR="00042A71" w:rsidRPr="00720661">
              <w:rPr>
                <w:rFonts w:ascii="Arial" w:hAnsi="Arial" w:cs="Arial"/>
                <w:color w:val="000000"/>
                <w:sz w:val="18"/>
                <w:szCs w:val="18"/>
                <w:lang w:val="en-AU"/>
              </w:rPr>
              <w:t xml:space="preserve"> receiving APP - 1 or more test</w:t>
            </w:r>
            <w:r w:rsidR="00B12FB7"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(Item is subject to rule 18 and 27)</w:t>
            </w:r>
          </w:p>
        </w:tc>
        <w:tc>
          <w:tcPr>
            <w:tcW w:w="1451" w:type="dxa"/>
            <w:noWrap/>
            <w:hideMark/>
          </w:tcPr>
          <w:p w14:paraId="243D5C29"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$40.55</w:t>
            </w:r>
          </w:p>
        </w:tc>
        <w:tc>
          <w:tcPr>
            <w:tcW w:w="1384" w:type="dxa"/>
            <w:noWrap/>
            <w:hideMark/>
          </w:tcPr>
          <w:p w14:paraId="61054EA2"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127</w:t>
            </w:r>
          </w:p>
        </w:tc>
      </w:tr>
      <w:tr w:rsidR="00A268DE" w:rsidRPr="00720661" w14:paraId="0459BAB0" w14:textId="77777777" w:rsidTr="005F3166">
        <w:trPr>
          <w:trHeight w:val="300"/>
        </w:trPr>
        <w:tc>
          <w:tcPr>
            <w:tcW w:w="965" w:type="dxa"/>
            <w:noWrap/>
            <w:hideMark/>
          </w:tcPr>
          <w:p w14:paraId="4801097C"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73323</w:t>
            </w:r>
          </w:p>
        </w:tc>
        <w:tc>
          <w:tcPr>
            <w:tcW w:w="5522" w:type="dxa"/>
            <w:noWrap/>
            <w:hideMark/>
          </w:tcPr>
          <w:p w14:paraId="6AD5B53B" w14:textId="77777777" w:rsidR="00A268DE" w:rsidRPr="00720661" w:rsidRDefault="006E1B5C"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 xml:space="preserve">Determination of </w:t>
            </w:r>
            <w:r w:rsidRPr="00720661">
              <w:rPr>
                <w:rFonts w:ascii="Arial" w:hAnsi="Arial" w:cs="Arial"/>
                <w:i/>
                <w:color w:val="000000"/>
                <w:sz w:val="18"/>
                <w:szCs w:val="18"/>
                <w:lang w:val="en-AU"/>
              </w:rPr>
              <w:t>HLA-B</w:t>
            </w:r>
            <w:r w:rsidR="00A268DE" w:rsidRPr="00720661">
              <w:rPr>
                <w:rFonts w:ascii="Arial" w:hAnsi="Arial" w:cs="Arial"/>
                <w:i/>
                <w:color w:val="000000"/>
                <w:sz w:val="18"/>
                <w:szCs w:val="18"/>
                <w:lang w:val="en-AU"/>
              </w:rPr>
              <w:t>5701</w:t>
            </w:r>
            <w:r w:rsidR="00A268DE" w:rsidRPr="00720661">
              <w:rPr>
                <w:rFonts w:ascii="Arial" w:hAnsi="Arial" w:cs="Arial"/>
                <w:color w:val="000000"/>
                <w:sz w:val="18"/>
                <w:szCs w:val="18"/>
                <w:lang w:val="en-AU"/>
              </w:rPr>
              <w:t xml:space="preserve"> status by molecular techniques prior to the initiation of abacavir therapy including item 71203 if performed.</w:t>
            </w:r>
          </w:p>
        </w:tc>
        <w:tc>
          <w:tcPr>
            <w:tcW w:w="1451" w:type="dxa"/>
            <w:noWrap/>
            <w:hideMark/>
          </w:tcPr>
          <w:p w14:paraId="23969AD0"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$40.55</w:t>
            </w:r>
          </w:p>
        </w:tc>
        <w:tc>
          <w:tcPr>
            <w:tcW w:w="1384" w:type="dxa"/>
            <w:noWrap/>
            <w:hideMark/>
          </w:tcPr>
          <w:p w14:paraId="63BDD322"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905</w:t>
            </w:r>
          </w:p>
        </w:tc>
      </w:tr>
      <w:tr w:rsidR="00A268DE" w:rsidRPr="00720661" w14:paraId="2D64D2A9" w14:textId="77777777" w:rsidTr="005F3166">
        <w:trPr>
          <w:trHeight w:val="300"/>
        </w:trPr>
        <w:tc>
          <w:tcPr>
            <w:tcW w:w="965" w:type="dxa"/>
            <w:noWrap/>
            <w:hideMark/>
          </w:tcPr>
          <w:p w14:paraId="015BA4AB"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73324</w:t>
            </w:r>
          </w:p>
        </w:tc>
        <w:tc>
          <w:tcPr>
            <w:tcW w:w="5522" w:type="dxa"/>
            <w:noWrap/>
            <w:hideMark/>
          </w:tcPr>
          <w:p w14:paraId="33C8E679"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A test described in item 73323 if rendered by a receiving app1 or more tests</w:t>
            </w:r>
            <w:r w:rsidR="008E577B"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(item is subject to rule 18)</w:t>
            </w:r>
          </w:p>
        </w:tc>
        <w:tc>
          <w:tcPr>
            <w:tcW w:w="1451" w:type="dxa"/>
            <w:noWrap/>
            <w:hideMark/>
          </w:tcPr>
          <w:p w14:paraId="3D3E8C32"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$$40.95</w:t>
            </w:r>
          </w:p>
        </w:tc>
        <w:tc>
          <w:tcPr>
            <w:tcW w:w="1384" w:type="dxa"/>
            <w:noWrap/>
            <w:hideMark/>
          </w:tcPr>
          <w:p w14:paraId="23953025"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77</w:t>
            </w:r>
          </w:p>
        </w:tc>
      </w:tr>
      <w:tr w:rsidR="00A268DE" w:rsidRPr="00720661" w14:paraId="494B22EF" w14:textId="77777777" w:rsidTr="005F3166">
        <w:trPr>
          <w:trHeight w:val="300"/>
        </w:trPr>
        <w:tc>
          <w:tcPr>
            <w:tcW w:w="965" w:type="dxa"/>
            <w:noWrap/>
            <w:hideMark/>
          </w:tcPr>
          <w:p w14:paraId="0FF2615C"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lastRenderedPageBreak/>
              <w:t>73326</w:t>
            </w:r>
          </w:p>
        </w:tc>
        <w:tc>
          <w:tcPr>
            <w:tcW w:w="5522" w:type="dxa"/>
            <w:noWrap/>
            <w:hideMark/>
          </w:tcPr>
          <w:p w14:paraId="608DB03B" w14:textId="77777777" w:rsidR="00A268DE" w:rsidRPr="00720661" w:rsidRDefault="005E0B4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C</w:t>
            </w:r>
            <w:r w:rsidR="00A268DE" w:rsidRPr="00720661">
              <w:rPr>
                <w:rFonts w:ascii="Arial" w:hAnsi="Arial" w:cs="Arial"/>
                <w:color w:val="000000"/>
                <w:sz w:val="18"/>
                <w:szCs w:val="18"/>
                <w:lang w:val="en-AU"/>
              </w:rPr>
              <w:t>haracterisati</w:t>
            </w:r>
            <w:r w:rsidR="00042A71" w:rsidRPr="00720661">
              <w:rPr>
                <w:rFonts w:ascii="Arial" w:hAnsi="Arial" w:cs="Arial"/>
                <w:color w:val="000000"/>
                <w:sz w:val="18"/>
                <w:szCs w:val="18"/>
                <w:lang w:val="en-AU"/>
              </w:rPr>
              <w:t xml:space="preserve">on of the gene rearrangement </w:t>
            </w:r>
            <w:r w:rsidR="00042A71" w:rsidRPr="00720661">
              <w:rPr>
                <w:rFonts w:ascii="Arial" w:hAnsi="Arial" w:cs="Arial"/>
                <w:i/>
                <w:color w:val="000000"/>
                <w:sz w:val="18"/>
                <w:szCs w:val="18"/>
                <w:lang w:val="en-AU"/>
              </w:rPr>
              <w:t>FIP</w:t>
            </w:r>
            <w:r w:rsidR="00A268DE" w:rsidRPr="00720661">
              <w:rPr>
                <w:rFonts w:ascii="Arial" w:hAnsi="Arial" w:cs="Arial"/>
                <w:i/>
                <w:color w:val="000000"/>
                <w:sz w:val="18"/>
                <w:szCs w:val="18"/>
                <w:lang w:val="en-AU"/>
              </w:rPr>
              <w:t>1l1-</w:t>
            </w:r>
            <w:r w:rsidR="005670EF" w:rsidRPr="00720661">
              <w:rPr>
                <w:rFonts w:ascii="Arial" w:hAnsi="Arial" w:cs="Arial"/>
                <w:i/>
                <w:color w:val="000000"/>
                <w:sz w:val="18"/>
                <w:szCs w:val="18"/>
                <w:lang w:val="en-AU"/>
              </w:rPr>
              <w:t>PDGFRA</w:t>
            </w:r>
            <w:r w:rsidR="00A268DE" w:rsidRPr="00720661">
              <w:rPr>
                <w:rFonts w:ascii="Arial" w:hAnsi="Arial" w:cs="Arial"/>
                <w:color w:val="000000"/>
                <w:sz w:val="18"/>
                <w:szCs w:val="18"/>
                <w:lang w:val="en-AU"/>
              </w:rPr>
              <w:t xml:space="preserve"> in the diagnostic work-up and management of a patient </w:t>
            </w:r>
            <w:r w:rsidR="00042A71" w:rsidRPr="00720661">
              <w:rPr>
                <w:rFonts w:ascii="Arial" w:hAnsi="Arial" w:cs="Arial"/>
                <w:color w:val="000000"/>
                <w:sz w:val="18"/>
                <w:szCs w:val="18"/>
                <w:lang w:val="en-AU"/>
              </w:rPr>
              <w:t>with laboratory evidence of:</w:t>
            </w:r>
            <w:r w:rsidR="00677AEE" w:rsidRPr="00720661">
              <w:rPr>
                <w:rFonts w:ascii="Arial" w:hAnsi="Arial" w:cs="Arial"/>
                <w:color w:val="000000"/>
                <w:sz w:val="18"/>
                <w:szCs w:val="18"/>
                <w:lang w:val="en-AU"/>
              </w:rPr>
              <w:t xml:space="preserve"> </w:t>
            </w:r>
            <w:r w:rsidR="00042A71" w:rsidRPr="00720661">
              <w:rPr>
                <w:rFonts w:ascii="Arial" w:hAnsi="Arial" w:cs="Arial"/>
                <w:color w:val="000000"/>
                <w:sz w:val="18"/>
                <w:szCs w:val="18"/>
                <w:lang w:val="en-AU"/>
              </w:rPr>
              <w:t xml:space="preserve">a) </w:t>
            </w:r>
            <w:r w:rsidR="00A268DE" w:rsidRPr="00720661">
              <w:rPr>
                <w:rFonts w:ascii="Arial" w:hAnsi="Arial" w:cs="Arial"/>
                <w:color w:val="000000"/>
                <w:sz w:val="18"/>
                <w:szCs w:val="18"/>
                <w:lang w:val="en-AU"/>
              </w:rPr>
              <w:t>mast cell disease; or</w:t>
            </w:r>
            <w:r w:rsidR="00042A71" w:rsidRPr="00720661">
              <w:rPr>
                <w:rFonts w:ascii="Arial" w:hAnsi="Arial" w:cs="Arial"/>
                <w:color w:val="000000"/>
                <w:sz w:val="18"/>
                <w:szCs w:val="18"/>
                <w:lang w:val="en-AU"/>
              </w:rPr>
              <w:t xml:space="preserve"> b) </w:t>
            </w:r>
            <w:r w:rsidR="00A268DE" w:rsidRPr="00720661">
              <w:rPr>
                <w:rFonts w:ascii="Arial" w:hAnsi="Arial" w:cs="Arial"/>
                <w:color w:val="000000"/>
                <w:sz w:val="18"/>
                <w:szCs w:val="18"/>
                <w:lang w:val="en-AU"/>
              </w:rPr>
              <w:t xml:space="preserve">idiopathic </w:t>
            </w:r>
            <w:proofErr w:type="spellStart"/>
            <w:r w:rsidR="00A268DE" w:rsidRPr="00720661">
              <w:rPr>
                <w:rFonts w:ascii="Arial" w:hAnsi="Arial" w:cs="Arial"/>
                <w:color w:val="000000"/>
                <w:sz w:val="18"/>
                <w:szCs w:val="18"/>
                <w:lang w:val="en-AU"/>
              </w:rPr>
              <w:t>hypereosinophilic</w:t>
            </w:r>
            <w:proofErr w:type="spellEnd"/>
            <w:r w:rsidR="00A268DE" w:rsidRPr="00720661">
              <w:rPr>
                <w:rFonts w:ascii="Arial" w:hAnsi="Arial" w:cs="Arial"/>
                <w:color w:val="000000"/>
                <w:sz w:val="18"/>
                <w:szCs w:val="18"/>
                <w:lang w:val="en-AU"/>
              </w:rPr>
              <w:t xml:space="preserve"> syndrome; or</w:t>
            </w:r>
            <w:r w:rsidR="00DD30D9">
              <w:rPr>
                <w:rFonts w:ascii="Arial" w:hAnsi="Arial" w:cs="Arial"/>
                <w:color w:val="000000"/>
                <w:sz w:val="18"/>
                <w:szCs w:val="18"/>
                <w:lang w:val="en-AU"/>
              </w:rPr>
              <w:t xml:space="preserve"> </w:t>
            </w:r>
            <w:r w:rsidR="00A268DE" w:rsidRPr="00720661">
              <w:rPr>
                <w:rFonts w:ascii="Arial" w:hAnsi="Arial" w:cs="Arial"/>
                <w:color w:val="000000"/>
                <w:sz w:val="18"/>
                <w:szCs w:val="18"/>
                <w:lang w:val="en-AU"/>
              </w:rPr>
              <w:t>c)</w:t>
            </w:r>
            <w:r w:rsidR="00807710" w:rsidRPr="00720661">
              <w:rPr>
                <w:rFonts w:ascii="Arial" w:hAnsi="Arial" w:cs="Arial"/>
                <w:color w:val="000000"/>
                <w:sz w:val="18"/>
                <w:szCs w:val="18"/>
                <w:lang w:val="en-AU"/>
              </w:rPr>
              <w:t xml:space="preserve"> </w:t>
            </w:r>
            <w:r w:rsidR="00A268DE" w:rsidRPr="00720661">
              <w:rPr>
                <w:rFonts w:ascii="Arial" w:hAnsi="Arial" w:cs="Arial"/>
                <w:color w:val="000000"/>
                <w:sz w:val="18"/>
                <w:szCs w:val="18"/>
                <w:lang w:val="en-AU"/>
              </w:rPr>
              <w:t>chronic eosinophilic leukaemia; 1 or more tests</w:t>
            </w:r>
          </w:p>
        </w:tc>
        <w:tc>
          <w:tcPr>
            <w:tcW w:w="1451" w:type="dxa"/>
            <w:noWrap/>
            <w:hideMark/>
          </w:tcPr>
          <w:p w14:paraId="36AEAEE9"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$230.95</w:t>
            </w:r>
          </w:p>
        </w:tc>
        <w:tc>
          <w:tcPr>
            <w:tcW w:w="1384" w:type="dxa"/>
            <w:noWrap/>
            <w:hideMark/>
          </w:tcPr>
          <w:p w14:paraId="6678F490"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163</w:t>
            </w:r>
          </w:p>
        </w:tc>
      </w:tr>
      <w:tr w:rsidR="00A268DE" w:rsidRPr="00720661" w14:paraId="702CF226" w14:textId="77777777" w:rsidTr="005F3166">
        <w:trPr>
          <w:trHeight w:val="300"/>
        </w:trPr>
        <w:tc>
          <w:tcPr>
            <w:tcW w:w="965" w:type="dxa"/>
            <w:noWrap/>
            <w:hideMark/>
          </w:tcPr>
          <w:p w14:paraId="628816DE"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73327</w:t>
            </w:r>
          </w:p>
        </w:tc>
        <w:tc>
          <w:tcPr>
            <w:tcW w:w="5522" w:type="dxa"/>
            <w:noWrap/>
            <w:hideMark/>
          </w:tcPr>
          <w:p w14:paraId="19E24002" w14:textId="77777777" w:rsidR="00A268DE" w:rsidRPr="00720661" w:rsidRDefault="005E0B4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D</w:t>
            </w:r>
            <w:r w:rsidR="00A268DE" w:rsidRPr="00720661">
              <w:rPr>
                <w:rFonts w:ascii="Arial" w:hAnsi="Arial" w:cs="Arial"/>
                <w:color w:val="000000"/>
                <w:sz w:val="18"/>
                <w:szCs w:val="18"/>
                <w:lang w:val="en-AU"/>
              </w:rPr>
              <w:t>etection of genetic polymorphisms in the thiopurine s-methyltransferase gene for the prevention of dose-related toxicity during treatment with thiopurine drugs; including (if performed) any servi</w:t>
            </w:r>
            <w:r w:rsidR="00042A71" w:rsidRPr="00720661">
              <w:rPr>
                <w:rFonts w:ascii="Arial" w:hAnsi="Arial" w:cs="Arial"/>
                <w:color w:val="000000"/>
                <w:sz w:val="18"/>
                <w:szCs w:val="18"/>
                <w:lang w:val="en-AU"/>
              </w:rPr>
              <w:t xml:space="preserve">ce described in item 65075. </w:t>
            </w:r>
            <w:r w:rsidR="00A268DE" w:rsidRPr="00720661">
              <w:rPr>
                <w:rFonts w:ascii="Arial" w:hAnsi="Arial" w:cs="Arial"/>
                <w:color w:val="000000"/>
                <w:sz w:val="18"/>
                <w:szCs w:val="18"/>
                <w:lang w:val="en-AU"/>
              </w:rPr>
              <w:t>1 or more tests</w:t>
            </w:r>
          </w:p>
        </w:tc>
        <w:tc>
          <w:tcPr>
            <w:tcW w:w="1451" w:type="dxa"/>
            <w:noWrap/>
            <w:hideMark/>
          </w:tcPr>
          <w:p w14:paraId="17BE3BC9"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$51.95</w:t>
            </w:r>
          </w:p>
        </w:tc>
        <w:tc>
          <w:tcPr>
            <w:tcW w:w="1384" w:type="dxa"/>
            <w:noWrap/>
            <w:hideMark/>
          </w:tcPr>
          <w:p w14:paraId="78084431"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6767</w:t>
            </w:r>
          </w:p>
        </w:tc>
      </w:tr>
      <w:tr w:rsidR="00A268DE" w:rsidRPr="00720661" w14:paraId="344CA226" w14:textId="77777777" w:rsidTr="005F3166">
        <w:trPr>
          <w:trHeight w:val="300"/>
        </w:trPr>
        <w:tc>
          <w:tcPr>
            <w:tcW w:w="965" w:type="dxa"/>
            <w:noWrap/>
            <w:hideMark/>
          </w:tcPr>
          <w:p w14:paraId="0752A0CE"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73333</w:t>
            </w:r>
          </w:p>
        </w:tc>
        <w:tc>
          <w:tcPr>
            <w:tcW w:w="5522" w:type="dxa"/>
            <w:noWrap/>
            <w:hideMark/>
          </w:tcPr>
          <w:p w14:paraId="07EFC233" w14:textId="77777777" w:rsidR="00A268DE" w:rsidRPr="00720661" w:rsidRDefault="005E0B4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D</w:t>
            </w:r>
            <w:r w:rsidR="00A268DE" w:rsidRPr="00720661">
              <w:rPr>
                <w:rFonts w:ascii="Arial" w:hAnsi="Arial" w:cs="Arial"/>
                <w:color w:val="000000"/>
                <w:sz w:val="18"/>
                <w:szCs w:val="18"/>
                <w:lang w:val="en-AU"/>
              </w:rPr>
              <w:t>etection of</w:t>
            </w:r>
            <w:r w:rsidR="00042A71" w:rsidRPr="00720661">
              <w:rPr>
                <w:rFonts w:ascii="Arial" w:hAnsi="Arial" w:cs="Arial"/>
                <w:color w:val="000000"/>
                <w:sz w:val="18"/>
                <w:szCs w:val="18"/>
                <w:lang w:val="en-AU"/>
              </w:rPr>
              <w:t xml:space="preserve"> germline mutations of the von Hippel-Lindau (</w:t>
            </w:r>
            <w:r w:rsidR="00042A71" w:rsidRPr="00720661">
              <w:rPr>
                <w:rFonts w:ascii="Arial" w:hAnsi="Arial" w:cs="Arial"/>
                <w:i/>
                <w:color w:val="000000"/>
                <w:sz w:val="18"/>
                <w:szCs w:val="18"/>
                <w:lang w:val="en-AU"/>
              </w:rPr>
              <w:t>VHL</w:t>
            </w:r>
            <w:r w:rsidR="00A268DE" w:rsidRPr="00720661">
              <w:rPr>
                <w:rFonts w:ascii="Arial" w:hAnsi="Arial" w:cs="Arial"/>
                <w:color w:val="000000"/>
                <w:sz w:val="18"/>
                <w:szCs w:val="18"/>
                <w:lang w:val="en-AU"/>
              </w:rPr>
              <w:t xml:space="preserve">) </w:t>
            </w:r>
            <w:proofErr w:type="spellStart"/>
            <w:r w:rsidR="00A268DE" w:rsidRPr="00720661">
              <w:rPr>
                <w:rFonts w:ascii="Arial" w:hAnsi="Arial" w:cs="Arial"/>
                <w:color w:val="000000"/>
                <w:sz w:val="18"/>
                <w:szCs w:val="18"/>
                <w:lang w:val="en-AU"/>
              </w:rPr>
              <w:t>gene:in</w:t>
            </w:r>
            <w:proofErr w:type="spellEnd"/>
            <w:r w:rsidR="00A268DE" w:rsidRPr="00720661">
              <w:rPr>
                <w:rFonts w:ascii="Arial" w:hAnsi="Arial" w:cs="Arial"/>
                <w:color w:val="000000"/>
                <w:sz w:val="18"/>
                <w:szCs w:val="18"/>
                <w:lang w:val="en-AU"/>
              </w:rPr>
              <w:t xml:space="preserve"> a patient who</w:t>
            </w:r>
            <w:r w:rsidR="00193022" w:rsidRPr="00720661">
              <w:rPr>
                <w:rFonts w:ascii="Arial" w:hAnsi="Arial" w:cs="Arial"/>
                <w:color w:val="000000"/>
                <w:sz w:val="18"/>
                <w:szCs w:val="18"/>
                <w:lang w:val="en-AU"/>
              </w:rPr>
              <w:t xml:space="preserve"> has a clinical diagnosis of VHL</w:t>
            </w:r>
            <w:r w:rsidR="00A268DE" w:rsidRPr="00720661">
              <w:rPr>
                <w:rFonts w:ascii="Arial" w:hAnsi="Arial" w:cs="Arial"/>
                <w:color w:val="000000"/>
                <w:sz w:val="18"/>
                <w:szCs w:val="18"/>
                <w:lang w:val="en-AU"/>
              </w:rPr>
              <w:t xml:space="preserve"> synd</w:t>
            </w:r>
            <w:r w:rsidR="00042A71" w:rsidRPr="00720661">
              <w:rPr>
                <w:rFonts w:ascii="Arial" w:hAnsi="Arial" w:cs="Arial"/>
                <w:color w:val="000000"/>
                <w:sz w:val="18"/>
                <w:szCs w:val="18"/>
                <w:lang w:val="en-AU"/>
              </w:rPr>
              <w:t xml:space="preserve">rome </w:t>
            </w:r>
            <w:proofErr w:type="spellStart"/>
            <w:r w:rsidR="00042A71" w:rsidRPr="00720661">
              <w:rPr>
                <w:rFonts w:ascii="Arial" w:hAnsi="Arial" w:cs="Arial"/>
                <w:color w:val="000000"/>
                <w:sz w:val="18"/>
                <w:szCs w:val="18"/>
                <w:lang w:val="en-AU"/>
              </w:rPr>
              <w:t>and:a</w:t>
            </w:r>
            <w:proofErr w:type="spellEnd"/>
            <w:r w:rsidR="00042A71" w:rsidRPr="00720661">
              <w:rPr>
                <w:rFonts w:ascii="Arial" w:hAnsi="Arial" w:cs="Arial"/>
                <w:color w:val="000000"/>
                <w:sz w:val="18"/>
                <w:szCs w:val="18"/>
                <w:lang w:val="en-AU"/>
              </w:rPr>
              <w:t xml:space="preserve"> family history of </w:t>
            </w:r>
            <w:r w:rsidR="00042A71" w:rsidRPr="00720661">
              <w:rPr>
                <w:rFonts w:ascii="Arial" w:hAnsi="Arial" w:cs="Arial"/>
                <w:i/>
                <w:color w:val="000000"/>
                <w:sz w:val="18"/>
                <w:szCs w:val="18"/>
                <w:lang w:val="en-AU"/>
              </w:rPr>
              <w:t>VHL</w:t>
            </w:r>
            <w:r w:rsidR="00A268DE" w:rsidRPr="00720661">
              <w:rPr>
                <w:rFonts w:ascii="Arial" w:hAnsi="Arial" w:cs="Arial"/>
                <w:color w:val="000000"/>
                <w:sz w:val="18"/>
                <w:szCs w:val="18"/>
                <w:lang w:val="en-AU"/>
              </w:rPr>
              <w:t xml:space="preserve"> syndrome and one of the following: </w:t>
            </w:r>
            <w:proofErr w:type="spellStart"/>
            <w:r w:rsidR="00A268DE" w:rsidRPr="00720661">
              <w:rPr>
                <w:rFonts w:ascii="Arial" w:hAnsi="Arial" w:cs="Arial"/>
                <w:color w:val="000000"/>
                <w:sz w:val="18"/>
                <w:szCs w:val="18"/>
                <w:lang w:val="en-AU"/>
              </w:rPr>
              <w:t>haemangioblastoma</w:t>
            </w:r>
            <w:proofErr w:type="spellEnd"/>
            <w:r w:rsidR="00A268DE" w:rsidRPr="00720661">
              <w:rPr>
                <w:rFonts w:ascii="Arial" w:hAnsi="Arial" w:cs="Arial"/>
                <w:color w:val="000000"/>
                <w:sz w:val="18"/>
                <w:szCs w:val="18"/>
                <w:lang w:val="en-AU"/>
              </w:rPr>
              <w:t xml:space="preserve"> (retinal or central nervous system); phaeochromocytoma; renal cell carcinoma; or2 or more </w:t>
            </w:r>
            <w:proofErr w:type="spellStart"/>
            <w:r w:rsidR="00A268DE" w:rsidRPr="00720661">
              <w:rPr>
                <w:rFonts w:ascii="Arial" w:hAnsi="Arial" w:cs="Arial"/>
                <w:color w:val="000000"/>
                <w:sz w:val="18"/>
                <w:szCs w:val="18"/>
                <w:lang w:val="en-AU"/>
              </w:rPr>
              <w:t>haemangioblastomas</w:t>
            </w:r>
            <w:proofErr w:type="spellEnd"/>
            <w:r w:rsidR="00A268DE" w:rsidRPr="00720661">
              <w:rPr>
                <w:rFonts w:ascii="Arial" w:hAnsi="Arial" w:cs="Arial"/>
                <w:color w:val="000000"/>
                <w:sz w:val="18"/>
                <w:szCs w:val="18"/>
                <w:lang w:val="en-AU"/>
              </w:rPr>
              <w:t>; or</w:t>
            </w:r>
            <w:r w:rsidR="00DD30D9">
              <w:rPr>
                <w:rFonts w:ascii="Arial" w:hAnsi="Arial" w:cs="Arial"/>
                <w:color w:val="000000"/>
                <w:sz w:val="18"/>
                <w:szCs w:val="18"/>
                <w:lang w:val="en-AU"/>
              </w:rPr>
              <w:t xml:space="preserve"> </w:t>
            </w:r>
            <w:r w:rsidR="00A268DE" w:rsidRPr="00720661">
              <w:rPr>
                <w:rFonts w:ascii="Arial" w:hAnsi="Arial" w:cs="Arial"/>
                <w:color w:val="000000"/>
                <w:sz w:val="18"/>
                <w:szCs w:val="18"/>
                <w:lang w:val="en-AU"/>
              </w:rPr>
              <w:t xml:space="preserve">one </w:t>
            </w:r>
            <w:proofErr w:type="spellStart"/>
            <w:r w:rsidR="00A268DE" w:rsidRPr="00720661">
              <w:rPr>
                <w:rFonts w:ascii="Arial" w:hAnsi="Arial" w:cs="Arial"/>
                <w:color w:val="000000"/>
                <w:sz w:val="18"/>
                <w:szCs w:val="18"/>
                <w:lang w:val="en-AU"/>
              </w:rPr>
              <w:t>haemangioblastoma</w:t>
            </w:r>
            <w:proofErr w:type="spellEnd"/>
            <w:r w:rsidR="00A268DE" w:rsidRPr="00720661">
              <w:rPr>
                <w:rFonts w:ascii="Arial" w:hAnsi="Arial" w:cs="Arial"/>
                <w:color w:val="000000"/>
                <w:sz w:val="18"/>
                <w:szCs w:val="18"/>
                <w:lang w:val="en-AU"/>
              </w:rPr>
              <w:t xml:space="preserve"> and a tumour or a cyst of: the adrenal gland; or the kidney; or</w:t>
            </w:r>
            <w:r w:rsidR="00DD30D9">
              <w:rPr>
                <w:rFonts w:ascii="Arial" w:hAnsi="Arial" w:cs="Arial"/>
                <w:color w:val="000000"/>
                <w:sz w:val="18"/>
                <w:szCs w:val="18"/>
                <w:lang w:val="en-AU"/>
              </w:rPr>
              <w:t xml:space="preserve"> </w:t>
            </w:r>
            <w:r w:rsidR="00A268DE" w:rsidRPr="00720661">
              <w:rPr>
                <w:rFonts w:ascii="Arial" w:hAnsi="Arial" w:cs="Arial"/>
                <w:color w:val="000000"/>
                <w:sz w:val="18"/>
                <w:szCs w:val="18"/>
                <w:lang w:val="en-AU"/>
              </w:rPr>
              <w:t>the pancreas; or the epididymis; or a broad ligament (other than epididymal and single renal cysts, which are common in the general population); or</w:t>
            </w:r>
            <w:r w:rsidR="00F435AE">
              <w:rPr>
                <w:rFonts w:ascii="Arial" w:hAnsi="Arial" w:cs="Arial"/>
                <w:color w:val="000000"/>
                <w:sz w:val="18"/>
                <w:szCs w:val="18"/>
                <w:lang w:val="en-AU"/>
              </w:rPr>
              <w:t xml:space="preserve"> </w:t>
            </w:r>
            <w:r w:rsidR="00A268DE" w:rsidRPr="00720661">
              <w:rPr>
                <w:rFonts w:ascii="Arial" w:hAnsi="Arial" w:cs="Arial"/>
                <w:color w:val="000000"/>
                <w:sz w:val="18"/>
                <w:szCs w:val="18"/>
                <w:lang w:val="en-AU"/>
              </w:rPr>
              <w:t>in a patient presenting with one or more of the following cli</w:t>
            </w:r>
            <w:r w:rsidR="00042A71" w:rsidRPr="00720661">
              <w:rPr>
                <w:rFonts w:ascii="Arial" w:hAnsi="Arial" w:cs="Arial"/>
                <w:color w:val="000000"/>
                <w:sz w:val="18"/>
                <w:szCs w:val="18"/>
                <w:lang w:val="en-AU"/>
              </w:rPr>
              <w:t xml:space="preserve">nical features suggestive of </w:t>
            </w:r>
            <w:r w:rsidR="00042A71" w:rsidRPr="00720661">
              <w:rPr>
                <w:rFonts w:ascii="Arial" w:hAnsi="Arial" w:cs="Arial"/>
                <w:i/>
                <w:color w:val="000000"/>
                <w:sz w:val="18"/>
                <w:szCs w:val="18"/>
                <w:lang w:val="en-AU"/>
              </w:rPr>
              <w:t>VH</w:t>
            </w:r>
            <w:r w:rsidR="00042A71" w:rsidRPr="00720661">
              <w:rPr>
                <w:rFonts w:ascii="Arial" w:hAnsi="Arial" w:cs="Arial"/>
                <w:color w:val="000000"/>
                <w:sz w:val="18"/>
                <w:szCs w:val="18"/>
                <w:lang w:val="en-AU"/>
              </w:rPr>
              <w:t>L</w:t>
            </w:r>
            <w:r w:rsidR="00A268DE" w:rsidRPr="00720661">
              <w:rPr>
                <w:rFonts w:ascii="Arial" w:hAnsi="Arial" w:cs="Arial"/>
                <w:color w:val="000000"/>
                <w:sz w:val="18"/>
                <w:szCs w:val="18"/>
                <w:lang w:val="en-AU"/>
              </w:rPr>
              <w:t xml:space="preserve"> syndrome: (</w:t>
            </w:r>
            <w:proofErr w:type="spellStart"/>
            <w:r w:rsidR="00A268DE" w:rsidRPr="00720661">
              <w:rPr>
                <w:rFonts w:ascii="Arial" w:hAnsi="Arial" w:cs="Arial"/>
                <w:color w:val="000000"/>
                <w:sz w:val="18"/>
                <w:szCs w:val="18"/>
                <w:lang w:val="en-AU"/>
              </w:rPr>
              <w:t>i</w:t>
            </w:r>
            <w:proofErr w:type="spellEnd"/>
            <w:r w:rsidR="00A268DE" w:rsidRPr="00720661">
              <w:rPr>
                <w:rFonts w:ascii="Arial" w:hAnsi="Arial" w:cs="Arial"/>
                <w:color w:val="000000"/>
                <w:sz w:val="18"/>
                <w:szCs w:val="18"/>
                <w:lang w:val="en-AU"/>
              </w:rPr>
              <w:t xml:space="preserve">) </w:t>
            </w:r>
            <w:proofErr w:type="spellStart"/>
            <w:r w:rsidR="00A268DE" w:rsidRPr="00720661">
              <w:rPr>
                <w:rFonts w:ascii="Arial" w:hAnsi="Arial" w:cs="Arial"/>
                <w:color w:val="000000"/>
                <w:sz w:val="18"/>
                <w:szCs w:val="18"/>
                <w:lang w:val="en-AU"/>
              </w:rPr>
              <w:t>haemangioblastomas</w:t>
            </w:r>
            <w:proofErr w:type="spellEnd"/>
            <w:r w:rsidR="00A268DE" w:rsidRPr="00720661">
              <w:rPr>
                <w:rFonts w:ascii="Arial" w:hAnsi="Arial" w:cs="Arial"/>
                <w:color w:val="000000"/>
                <w:sz w:val="18"/>
                <w:szCs w:val="18"/>
                <w:lang w:val="en-AU"/>
              </w:rPr>
              <w:t xml:space="preserve"> of the brain, spinal cord, or retina; (ii) phaeochromocytoma; (iii) functional extra-adrenal paraganglioma</w:t>
            </w:r>
          </w:p>
        </w:tc>
        <w:tc>
          <w:tcPr>
            <w:tcW w:w="1451" w:type="dxa"/>
            <w:noWrap/>
            <w:hideMark/>
          </w:tcPr>
          <w:p w14:paraId="13F9DD52"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$600.00</w:t>
            </w:r>
          </w:p>
        </w:tc>
        <w:tc>
          <w:tcPr>
            <w:tcW w:w="1384" w:type="dxa"/>
            <w:noWrap/>
            <w:hideMark/>
          </w:tcPr>
          <w:p w14:paraId="73AC4E81"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w:t>
            </w:r>
          </w:p>
        </w:tc>
      </w:tr>
      <w:tr w:rsidR="00A268DE" w:rsidRPr="00720661" w14:paraId="618889A8" w14:textId="77777777" w:rsidTr="005F3166">
        <w:trPr>
          <w:trHeight w:val="300"/>
        </w:trPr>
        <w:tc>
          <w:tcPr>
            <w:tcW w:w="965" w:type="dxa"/>
            <w:noWrap/>
            <w:hideMark/>
          </w:tcPr>
          <w:p w14:paraId="7AF56C3C"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73334</w:t>
            </w:r>
          </w:p>
        </w:tc>
        <w:tc>
          <w:tcPr>
            <w:tcW w:w="5522" w:type="dxa"/>
            <w:noWrap/>
            <w:hideMark/>
          </w:tcPr>
          <w:p w14:paraId="3446313C"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Detection of</w:t>
            </w:r>
            <w:r w:rsidR="00042A71" w:rsidRPr="00720661">
              <w:rPr>
                <w:rFonts w:ascii="Arial" w:hAnsi="Arial" w:cs="Arial"/>
                <w:color w:val="000000"/>
                <w:sz w:val="18"/>
                <w:szCs w:val="18"/>
                <w:lang w:val="en-AU"/>
              </w:rPr>
              <w:t xml:space="preserve"> germline mutations of the von Hippel-Lindau (</w:t>
            </w:r>
            <w:r w:rsidR="00042A71" w:rsidRPr="00720661">
              <w:rPr>
                <w:rFonts w:ascii="Arial" w:hAnsi="Arial" w:cs="Arial"/>
                <w:i/>
                <w:color w:val="000000"/>
                <w:sz w:val="18"/>
                <w:szCs w:val="18"/>
                <w:lang w:val="en-AU"/>
              </w:rPr>
              <w:t>VHL</w:t>
            </w:r>
            <w:r w:rsidRPr="00720661">
              <w:rPr>
                <w:rFonts w:ascii="Arial" w:hAnsi="Arial" w:cs="Arial"/>
                <w:color w:val="000000"/>
                <w:sz w:val="18"/>
                <w:szCs w:val="18"/>
                <w:lang w:val="en-AU"/>
              </w:rPr>
              <w:t xml:space="preserve">) gene in biological relatives of a patient </w:t>
            </w:r>
            <w:r w:rsidR="00042A71" w:rsidRPr="00720661">
              <w:rPr>
                <w:rFonts w:ascii="Arial" w:hAnsi="Arial" w:cs="Arial"/>
                <w:color w:val="000000"/>
                <w:sz w:val="18"/>
                <w:szCs w:val="18"/>
                <w:lang w:val="en-AU"/>
              </w:rPr>
              <w:t>with a known mutation in the VHL</w:t>
            </w:r>
            <w:r w:rsidRPr="00720661">
              <w:rPr>
                <w:rFonts w:ascii="Arial" w:hAnsi="Arial" w:cs="Arial"/>
                <w:color w:val="000000"/>
                <w:sz w:val="18"/>
                <w:szCs w:val="18"/>
                <w:lang w:val="en-AU"/>
              </w:rPr>
              <w:t xml:space="preserve"> gene</w:t>
            </w:r>
          </w:p>
        </w:tc>
        <w:tc>
          <w:tcPr>
            <w:tcW w:w="1451" w:type="dxa"/>
            <w:noWrap/>
            <w:hideMark/>
          </w:tcPr>
          <w:p w14:paraId="03DB92F5"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$340.00</w:t>
            </w:r>
          </w:p>
        </w:tc>
        <w:tc>
          <w:tcPr>
            <w:tcW w:w="1384" w:type="dxa"/>
            <w:noWrap/>
            <w:hideMark/>
          </w:tcPr>
          <w:p w14:paraId="19A17169"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14</w:t>
            </w:r>
          </w:p>
        </w:tc>
      </w:tr>
      <w:tr w:rsidR="00A268DE" w:rsidRPr="00720661" w14:paraId="2CCF91ED" w14:textId="77777777" w:rsidTr="005F3166">
        <w:trPr>
          <w:trHeight w:val="300"/>
        </w:trPr>
        <w:tc>
          <w:tcPr>
            <w:tcW w:w="965" w:type="dxa"/>
            <w:noWrap/>
            <w:hideMark/>
          </w:tcPr>
          <w:p w14:paraId="4E15DAEE"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73335</w:t>
            </w:r>
          </w:p>
        </w:tc>
        <w:tc>
          <w:tcPr>
            <w:tcW w:w="5522" w:type="dxa"/>
            <w:noWrap/>
            <w:hideMark/>
          </w:tcPr>
          <w:p w14:paraId="377CC1B1" w14:textId="77777777" w:rsidR="00A268DE" w:rsidRPr="00720661" w:rsidRDefault="00A268DE"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Detection o</w:t>
            </w:r>
            <w:r w:rsidR="00042A71" w:rsidRPr="00720661">
              <w:rPr>
                <w:rFonts w:ascii="Arial" w:hAnsi="Arial" w:cs="Arial"/>
                <w:color w:val="000000"/>
                <w:sz w:val="18"/>
                <w:szCs w:val="18"/>
                <w:lang w:val="en-AU"/>
              </w:rPr>
              <w:t xml:space="preserve">f somatic mutations of the von Hippel-Lindau </w:t>
            </w:r>
            <w:r w:rsidR="00042A71" w:rsidRPr="00720661">
              <w:rPr>
                <w:rFonts w:ascii="Arial" w:hAnsi="Arial" w:cs="Arial"/>
                <w:i/>
                <w:color w:val="000000"/>
                <w:sz w:val="18"/>
                <w:szCs w:val="18"/>
                <w:lang w:val="en-AU"/>
              </w:rPr>
              <w:t>(VHL</w:t>
            </w:r>
            <w:r w:rsidRPr="00720661">
              <w:rPr>
                <w:rFonts w:ascii="Arial" w:hAnsi="Arial" w:cs="Arial"/>
                <w:i/>
                <w:color w:val="000000"/>
                <w:sz w:val="18"/>
                <w:szCs w:val="18"/>
                <w:lang w:val="en-AU"/>
              </w:rPr>
              <w:t>)</w:t>
            </w:r>
            <w:r w:rsidRPr="00720661">
              <w:rPr>
                <w:rFonts w:ascii="Arial" w:hAnsi="Arial" w:cs="Arial"/>
                <w:color w:val="000000"/>
                <w:sz w:val="18"/>
                <w:szCs w:val="18"/>
                <w:lang w:val="en-AU"/>
              </w:rPr>
              <w:t xml:space="preserve"> gene in a patient with: 2 or more tumours comprising: 2 or more </w:t>
            </w:r>
            <w:proofErr w:type="spellStart"/>
            <w:r w:rsidRPr="00720661">
              <w:rPr>
                <w:rFonts w:ascii="Arial" w:hAnsi="Arial" w:cs="Arial"/>
                <w:color w:val="000000"/>
                <w:sz w:val="18"/>
                <w:szCs w:val="18"/>
                <w:lang w:val="en-AU"/>
              </w:rPr>
              <w:t>haemangioblastomas</w:t>
            </w:r>
            <w:proofErr w:type="spellEnd"/>
            <w:r w:rsidRPr="00720661">
              <w:rPr>
                <w:rFonts w:ascii="Arial" w:hAnsi="Arial" w:cs="Arial"/>
                <w:color w:val="000000"/>
                <w:sz w:val="18"/>
                <w:szCs w:val="18"/>
                <w:lang w:val="en-AU"/>
              </w:rPr>
              <w:t xml:space="preserve">, or one </w:t>
            </w:r>
            <w:proofErr w:type="spellStart"/>
            <w:r w:rsidRPr="00720661">
              <w:rPr>
                <w:rFonts w:ascii="Arial" w:hAnsi="Arial" w:cs="Arial"/>
                <w:color w:val="000000"/>
                <w:sz w:val="18"/>
                <w:szCs w:val="18"/>
                <w:lang w:val="en-AU"/>
              </w:rPr>
              <w:t>haemangioblastoma</w:t>
            </w:r>
            <w:proofErr w:type="spellEnd"/>
            <w:r w:rsidRPr="00720661">
              <w:rPr>
                <w:rFonts w:ascii="Arial" w:hAnsi="Arial" w:cs="Arial"/>
                <w:color w:val="000000"/>
                <w:sz w:val="18"/>
                <w:szCs w:val="18"/>
                <w:lang w:val="en-AU"/>
              </w:rPr>
              <w:t xml:space="preserve"> and a tumour </w:t>
            </w:r>
            <w:proofErr w:type="spellStart"/>
            <w:r w:rsidRPr="00720661">
              <w:rPr>
                <w:rFonts w:ascii="Arial" w:hAnsi="Arial" w:cs="Arial"/>
                <w:color w:val="000000"/>
                <w:sz w:val="18"/>
                <w:szCs w:val="18"/>
                <w:lang w:val="en-AU"/>
              </w:rPr>
              <w:t>of:the</w:t>
            </w:r>
            <w:proofErr w:type="spellEnd"/>
            <w:r w:rsidRPr="00720661">
              <w:rPr>
                <w:rFonts w:ascii="Arial" w:hAnsi="Arial" w:cs="Arial"/>
                <w:color w:val="000000"/>
                <w:sz w:val="18"/>
                <w:szCs w:val="18"/>
                <w:lang w:val="en-AU"/>
              </w:rPr>
              <w:t xml:space="preserve"> adrenal gland; or</w:t>
            </w:r>
            <w:r w:rsidR="00042A71"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the kidney; or</w:t>
            </w:r>
            <w:r w:rsidR="00042A71"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the pancreas; or</w:t>
            </w:r>
            <w:r w:rsidR="00042A71"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 xml:space="preserve">the epididymis; and no germline mutations of the </w:t>
            </w:r>
            <w:r w:rsidR="00042A71" w:rsidRPr="00720661">
              <w:rPr>
                <w:rFonts w:ascii="Arial" w:hAnsi="Arial" w:cs="Arial"/>
                <w:color w:val="000000"/>
                <w:sz w:val="18"/>
                <w:szCs w:val="18"/>
                <w:lang w:val="en-AU"/>
              </w:rPr>
              <w:t>VHL</w:t>
            </w:r>
            <w:r w:rsidRPr="00720661">
              <w:rPr>
                <w:rFonts w:ascii="Arial" w:hAnsi="Arial" w:cs="Arial"/>
                <w:color w:val="000000"/>
                <w:sz w:val="18"/>
                <w:szCs w:val="18"/>
                <w:lang w:val="en-AU"/>
              </w:rPr>
              <w:t xml:space="preserve"> gene identified by genetic testing</w:t>
            </w:r>
          </w:p>
        </w:tc>
        <w:tc>
          <w:tcPr>
            <w:tcW w:w="1451" w:type="dxa"/>
            <w:noWrap/>
            <w:hideMark/>
          </w:tcPr>
          <w:p w14:paraId="481F65FD"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$470.00</w:t>
            </w:r>
          </w:p>
        </w:tc>
        <w:tc>
          <w:tcPr>
            <w:tcW w:w="1384" w:type="dxa"/>
            <w:noWrap/>
            <w:hideMark/>
          </w:tcPr>
          <w:p w14:paraId="779867B5" w14:textId="77777777" w:rsidR="00A268DE" w:rsidRPr="00720661" w:rsidRDefault="00A268DE"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1</w:t>
            </w:r>
          </w:p>
        </w:tc>
      </w:tr>
      <w:tr w:rsidR="00B47A1F" w:rsidRPr="00720661" w14:paraId="276A0544" w14:textId="77777777" w:rsidTr="005F3166">
        <w:trPr>
          <w:trHeight w:val="300"/>
        </w:trPr>
        <w:tc>
          <w:tcPr>
            <w:tcW w:w="965" w:type="dxa"/>
            <w:noWrap/>
            <w:hideMark/>
          </w:tcPr>
          <w:p w14:paraId="50D1789C" w14:textId="77777777" w:rsidR="00B47A1F" w:rsidRPr="00720661" w:rsidRDefault="00B47A1F"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73339</w:t>
            </w:r>
          </w:p>
        </w:tc>
        <w:tc>
          <w:tcPr>
            <w:tcW w:w="5522" w:type="dxa"/>
            <w:noWrap/>
            <w:hideMark/>
          </w:tcPr>
          <w:p w14:paraId="0F0CE03A" w14:textId="77777777" w:rsidR="00B47A1F" w:rsidRPr="00720661" w:rsidRDefault="00B47A1F"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 xml:space="preserve">Detection of germline mutations in the </w:t>
            </w:r>
            <w:r w:rsidRPr="00720661">
              <w:rPr>
                <w:rFonts w:ascii="Arial" w:hAnsi="Arial" w:cs="Arial"/>
                <w:i/>
                <w:color w:val="000000"/>
                <w:sz w:val="18"/>
                <w:szCs w:val="18"/>
                <w:lang w:val="en-AU"/>
              </w:rPr>
              <w:t>RET</w:t>
            </w:r>
            <w:r w:rsidRPr="00720661">
              <w:rPr>
                <w:rFonts w:ascii="Arial" w:hAnsi="Arial" w:cs="Arial"/>
                <w:color w:val="000000"/>
                <w:sz w:val="18"/>
                <w:szCs w:val="18"/>
                <w:lang w:val="en-AU"/>
              </w:rPr>
              <w:t xml:space="preserve"> gene in patients with a suspected clinical diagnosis of multiple endocrine neoplasia type 2 (MEN2) requested by a specialist or consultant physician who manages the treatment of the patient.one test.</w:t>
            </w:r>
            <w:r w:rsidR="00807710"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(Item is subject to rule 25)</w:t>
            </w:r>
          </w:p>
        </w:tc>
        <w:tc>
          <w:tcPr>
            <w:tcW w:w="1451" w:type="dxa"/>
            <w:noWrap/>
            <w:hideMark/>
          </w:tcPr>
          <w:p w14:paraId="7C02C597" w14:textId="77777777" w:rsidR="00B47A1F" w:rsidRPr="00720661" w:rsidRDefault="00B47A1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$400.00</w:t>
            </w:r>
          </w:p>
        </w:tc>
        <w:tc>
          <w:tcPr>
            <w:tcW w:w="1384" w:type="dxa"/>
            <w:noWrap/>
            <w:hideMark/>
          </w:tcPr>
          <w:p w14:paraId="11633EB9" w14:textId="77777777" w:rsidR="00B47A1F" w:rsidRPr="00720661" w:rsidRDefault="00B47A1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w:t>
            </w:r>
          </w:p>
        </w:tc>
      </w:tr>
      <w:tr w:rsidR="00B47A1F" w:rsidRPr="00720661" w14:paraId="2DACF5D1" w14:textId="77777777" w:rsidTr="005F3166">
        <w:trPr>
          <w:trHeight w:val="300"/>
        </w:trPr>
        <w:tc>
          <w:tcPr>
            <w:tcW w:w="965" w:type="dxa"/>
            <w:noWrap/>
            <w:hideMark/>
          </w:tcPr>
          <w:p w14:paraId="2958D52D" w14:textId="77777777" w:rsidR="00B47A1F" w:rsidRPr="00720661" w:rsidRDefault="00B47A1F"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73340</w:t>
            </w:r>
          </w:p>
        </w:tc>
        <w:tc>
          <w:tcPr>
            <w:tcW w:w="5522" w:type="dxa"/>
            <w:noWrap/>
            <w:hideMark/>
          </w:tcPr>
          <w:p w14:paraId="4FF6E029" w14:textId="77777777" w:rsidR="00B47A1F" w:rsidRPr="00720661" w:rsidRDefault="00B47A1F"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 xml:space="preserve">Detection of a known mutation in the </w:t>
            </w:r>
            <w:r w:rsidRPr="00720661">
              <w:rPr>
                <w:rFonts w:ascii="Arial" w:hAnsi="Arial" w:cs="Arial"/>
                <w:i/>
                <w:color w:val="000000"/>
                <w:sz w:val="18"/>
                <w:szCs w:val="18"/>
                <w:lang w:val="en-AU"/>
              </w:rPr>
              <w:t>RET</w:t>
            </w:r>
            <w:r w:rsidRPr="00720661">
              <w:rPr>
                <w:rFonts w:ascii="Arial" w:hAnsi="Arial" w:cs="Arial"/>
                <w:color w:val="000000"/>
                <w:sz w:val="18"/>
                <w:szCs w:val="18"/>
                <w:lang w:val="en-AU"/>
              </w:rPr>
              <w:t xml:space="preserve"> gene in an asymptomatic relative of a patient with a documented pathogenic germline </w:t>
            </w:r>
            <w:r w:rsidRPr="00720661">
              <w:rPr>
                <w:rFonts w:ascii="Arial" w:hAnsi="Arial" w:cs="Arial"/>
                <w:i/>
                <w:color w:val="000000"/>
                <w:sz w:val="18"/>
                <w:szCs w:val="18"/>
                <w:lang w:val="en-AU"/>
              </w:rPr>
              <w:t>RET</w:t>
            </w:r>
            <w:r w:rsidRPr="00720661">
              <w:rPr>
                <w:rFonts w:ascii="Arial" w:hAnsi="Arial" w:cs="Arial"/>
                <w:color w:val="000000"/>
                <w:sz w:val="18"/>
                <w:szCs w:val="18"/>
                <w:lang w:val="en-AU"/>
              </w:rPr>
              <w:t xml:space="preserve"> mutation requested by a specialist or consultant physician who manages the treatment of the patient.one test.</w:t>
            </w:r>
            <w:r w:rsidR="00807710"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(Item is subject to rule 25)</w:t>
            </w:r>
          </w:p>
        </w:tc>
        <w:tc>
          <w:tcPr>
            <w:tcW w:w="1451" w:type="dxa"/>
            <w:noWrap/>
            <w:hideMark/>
          </w:tcPr>
          <w:p w14:paraId="4D02634E" w14:textId="77777777" w:rsidR="00B47A1F" w:rsidRPr="00720661" w:rsidRDefault="00B47A1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$200.00</w:t>
            </w:r>
          </w:p>
        </w:tc>
        <w:tc>
          <w:tcPr>
            <w:tcW w:w="1384" w:type="dxa"/>
            <w:noWrap/>
            <w:hideMark/>
          </w:tcPr>
          <w:p w14:paraId="6FA87C14" w14:textId="77777777" w:rsidR="00B47A1F" w:rsidRPr="00720661" w:rsidRDefault="00B47A1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0</w:t>
            </w:r>
          </w:p>
        </w:tc>
      </w:tr>
      <w:tr w:rsidR="00B47A1F" w:rsidRPr="00720661" w14:paraId="505BD9E0" w14:textId="77777777" w:rsidTr="005F3166">
        <w:trPr>
          <w:trHeight w:val="300"/>
        </w:trPr>
        <w:tc>
          <w:tcPr>
            <w:tcW w:w="965" w:type="dxa"/>
            <w:noWrap/>
            <w:hideMark/>
          </w:tcPr>
          <w:p w14:paraId="5F5F11CA" w14:textId="77777777" w:rsidR="00B47A1F" w:rsidRPr="00720661" w:rsidRDefault="00B47A1F"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73341</w:t>
            </w:r>
          </w:p>
        </w:tc>
        <w:tc>
          <w:tcPr>
            <w:tcW w:w="5522" w:type="dxa"/>
            <w:noWrap/>
            <w:hideMark/>
          </w:tcPr>
          <w:p w14:paraId="5D3A5B6E" w14:textId="77777777" w:rsidR="00B47A1F" w:rsidRPr="00720661" w:rsidRDefault="00B47A1F" w:rsidP="005F3166">
            <w:pPr>
              <w:spacing w:before="0" w:after="0"/>
              <w:rPr>
                <w:rFonts w:ascii="Arial" w:hAnsi="Arial" w:cs="Arial"/>
                <w:color w:val="000000"/>
                <w:sz w:val="18"/>
                <w:szCs w:val="18"/>
                <w:lang w:val="en-AU"/>
              </w:rPr>
            </w:pPr>
            <w:r w:rsidRPr="00720661">
              <w:rPr>
                <w:rFonts w:ascii="Arial" w:hAnsi="Arial" w:cs="Arial"/>
                <w:color w:val="000000"/>
                <w:sz w:val="18"/>
                <w:szCs w:val="18"/>
                <w:lang w:val="en-AU"/>
              </w:rPr>
              <w:t>Fluorescence in situ hybridisation (FISH) test of tumour tissue from a patient with locally advanced or metastatic non-small cell lung cancer, which is of non-squamous histology or histology not otherwise specified, with documented evidence of anaplastic lymphoma kinase (</w:t>
            </w:r>
            <w:r w:rsidRPr="00720661">
              <w:rPr>
                <w:rFonts w:ascii="Arial" w:hAnsi="Arial" w:cs="Arial"/>
                <w:iCs/>
                <w:color w:val="000000"/>
                <w:sz w:val="18"/>
                <w:szCs w:val="18"/>
                <w:lang w:val="en-AU"/>
              </w:rPr>
              <w:t>ALK</w:t>
            </w:r>
            <w:r w:rsidRPr="00720661">
              <w:rPr>
                <w:rFonts w:ascii="Arial" w:hAnsi="Arial" w:cs="Arial"/>
                <w:color w:val="000000"/>
                <w:sz w:val="18"/>
                <w:szCs w:val="18"/>
                <w:lang w:val="en-AU"/>
              </w:rPr>
              <w:t xml:space="preserve">) immunoreactivity by immunohistochemical (IHC) examination giving a staining intensity score &gt; 0, and with documented absence of activating mutations of the epidermal growth factor receptor </w:t>
            </w:r>
            <w:r w:rsidRPr="00720661">
              <w:rPr>
                <w:rFonts w:ascii="Arial" w:hAnsi="Arial" w:cs="Arial"/>
                <w:i/>
                <w:color w:val="000000"/>
                <w:sz w:val="18"/>
                <w:szCs w:val="18"/>
                <w:lang w:val="en-AU"/>
              </w:rPr>
              <w:t>(</w:t>
            </w:r>
            <w:r w:rsidRPr="00720661">
              <w:rPr>
                <w:rFonts w:ascii="Arial" w:hAnsi="Arial" w:cs="Arial"/>
                <w:i/>
                <w:iCs/>
                <w:color w:val="000000"/>
                <w:sz w:val="18"/>
                <w:szCs w:val="18"/>
                <w:lang w:val="en-AU"/>
              </w:rPr>
              <w:t>EGFR</w:t>
            </w:r>
            <w:r w:rsidRPr="00720661">
              <w:rPr>
                <w:rFonts w:ascii="Arial" w:hAnsi="Arial" w:cs="Arial"/>
                <w:i/>
                <w:color w:val="000000"/>
                <w:sz w:val="18"/>
                <w:szCs w:val="18"/>
                <w:lang w:val="en-AU"/>
              </w:rPr>
              <w:t>)</w:t>
            </w:r>
            <w:r w:rsidRPr="00720661">
              <w:rPr>
                <w:rFonts w:ascii="Arial" w:hAnsi="Arial" w:cs="Arial"/>
                <w:color w:val="000000"/>
                <w:sz w:val="18"/>
                <w:szCs w:val="18"/>
                <w:lang w:val="en-AU"/>
              </w:rPr>
              <w:t xml:space="preserve"> gene, requested by a specialist or consultant physician to determine if requirements relating to </w:t>
            </w:r>
            <w:r w:rsidRPr="00720661">
              <w:rPr>
                <w:rFonts w:ascii="Arial" w:hAnsi="Arial" w:cs="Arial"/>
                <w:iCs/>
                <w:color w:val="000000"/>
                <w:sz w:val="18"/>
                <w:szCs w:val="18"/>
                <w:lang w:val="en-AU"/>
              </w:rPr>
              <w:t>ALK</w:t>
            </w:r>
            <w:r w:rsidRPr="00720661">
              <w:rPr>
                <w:rFonts w:ascii="Arial" w:hAnsi="Arial" w:cs="Arial"/>
                <w:color w:val="000000"/>
                <w:sz w:val="18"/>
                <w:szCs w:val="18"/>
                <w:lang w:val="en-AU"/>
              </w:rPr>
              <w:t xml:space="preserve"> gene rearrangement status for access to </w:t>
            </w:r>
            <w:proofErr w:type="spellStart"/>
            <w:r w:rsidRPr="00720661">
              <w:rPr>
                <w:rFonts w:ascii="Arial" w:hAnsi="Arial" w:cs="Arial"/>
                <w:color w:val="000000"/>
                <w:sz w:val="18"/>
                <w:szCs w:val="18"/>
                <w:lang w:val="en-AU"/>
              </w:rPr>
              <w:t>crizotinib</w:t>
            </w:r>
            <w:proofErr w:type="spellEnd"/>
            <w:r w:rsidRPr="00720661">
              <w:rPr>
                <w:rFonts w:ascii="Arial" w:hAnsi="Arial" w:cs="Arial"/>
                <w:color w:val="000000"/>
                <w:sz w:val="18"/>
                <w:szCs w:val="18"/>
                <w:lang w:val="en-AU"/>
              </w:rPr>
              <w:t xml:space="preserve"> under the Pharmaceutical Benefits Scheme (PBS) are fulfilled.</w:t>
            </w:r>
          </w:p>
        </w:tc>
        <w:tc>
          <w:tcPr>
            <w:tcW w:w="1451" w:type="dxa"/>
            <w:noWrap/>
            <w:hideMark/>
          </w:tcPr>
          <w:p w14:paraId="22D27E21" w14:textId="77777777" w:rsidR="00B47A1F" w:rsidRPr="00720661" w:rsidRDefault="00B47A1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$400.00</w:t>
            </w:r>
          </w:p>
        </w:tc>
        <w:tc>
          <w:tcPr>
            <w:tcW w:w="1384" w:type="dxa"/>
            <w:noWrap/>
            <w:hideMark/>
          </w:tcPr>
          <w:p w14:paraId="003D7270" w14:textId="77777777" w:rsidR="00B47A1F" w:rsidRPr="00720661" w:rsidRDefault="00B47A1F" w:rsidP="004272EB">
            <w:pPr>
              <w:spacing w:before="0" w:after="0"/>
              <w:jc w:val="right"/>
              <w:rPr>
                <w:rFonts w:ascii="Arial" w:hAnsi="Arial" w:cs="Arial"/>
                <w:color w:val="000000"/>
                <w:sz w:val="18"/>
                <w:szCs w:val="18"/>
                <w:lang w:val="en-AU"/>
              </w:rPr>
            </w:pPr>
            <w:r w:rsidRPr="00720661">
              <w:rPr>
                <w:rFonts w:ascii="Arial" w:hAnsi="Arial" w:cs="Arial"/>
                <w:color w:val="000000"/>
                <w:sz w:val="18"/>
                <w:szCs w:val="18"/>
                <w:lang w:val="en-AU"/>
              </w:rPr>
              <w:t>0</w:t>
            </w:r>
          </w:p>
        </w:tc>
      </w:tr>
    </w:tbl>
    <w:p w14:paraId="6EC24023" w14:textId="77777777" w:rsidR="0014321F" w:rsidRPr="00DD30D9" w:rsidRDefault="0014321F" w:rsidP="0033420E">
      <w:pPr>
        <w:rPr>
          <w:lang w:val="en-AU"/>
        </w:rPr>
      </w:pPr>
    </w:p>
    <w:p w14:paraId="2D237E2B" w14:textId="77777777" w:rsidR="00A44920" w:rsidRPr="00DD30D9" w:rsidRDefault="0033420E">
      <w:pPr>
        <w:pStyle w:val="Heading2"/>
      </w:pPr>
      <w:bookmarkStart w:id="135" w:name="_Toc13736006"/>
      <w:r w:rsidRPr="00DD30D9">
        <w:t>M</w:t>
      </w:r>
      <w:r w:rsidR="00A44920" w:rsidRPr="00DD30D9">
        <w:t>inor changes</w:t>
      </w:r>
      <w:bookmarkEnd w:id="135"/>
    </w:p>
    <w:p w14:paraId="45AC1069" w14:textId="77777777" w:rsidR="00436DE6" w:rsidRPr="00DD30D9" w:rsidRDefault="0033420E" w:rsidP="0033420E">
      <w:pPr>
        <w:rPr>
          <w:lang w:val="en-AU"/>
        </w:rPr>
      </w:pPr>
      <w:r w:rsidRPr="00DD30D9">
        <w:rPr>
          <w:lang w:val="en-AU"/>
        </w:rPr>
        <w:t>The Committee has made recommendations for minor changes to the</w:t>
      </w:r>
      <w:r w:rsidR="002926AD" w:rsidRPr="00DD30D9">
        <w:rPr>
          <w:lang w:val="en-AU"/>
        </w:rPr>
        <w:t xml:space="preserve"> items in the following table. </w:t>
      </w:r>
      <w:r w:rsidRPr="00DD30D9">
        <w:rPr>
          <w:lang w:val="en-AU"/>
        </w:rPr>
        <w:t xml:space="preserve">The changes relate to </w:t>
      </w:r>
      <w:r w:rsidR="00930221" w:rsidRPr="00DD30D9">
        <w:rPr>
          <w:lang w:val="en-AU"/>
        </w:rPr>
        <w:t xml:space="preserve">removing redundant </w:t>
      </w:r>
      <w:r w:rsidR="002926AD" w:rsidRPr="00DD30D9">
        <w:rPr>
          <w:lang w:val="en-AU"/>
        </w:rPr>
        <w:t xml:space="preserve">rules and </w:t>
      </w:r>
      <w:r w:rsidR="009F600D" w:rsidRPr="00DD30D9">
        <w:rPr>
          <w:lang w:val="en-AU"/>
        </w:rPr>
        <w:t xml:space="preserve">clarifying descriptors </w:t>
      </w:r>
      <w:r w:rsidR="00436DE6" w:rsidRPr="00DD30D9">
        <w:rPr>
          <w:lang w:val="en-AU"/>
        </w:rPr>
        <w:t>as follows:</w:t>
      </w:r>
    </w:p>
    <w:p w14:paraId="74FE6F59" w14:textId="77777777" w:rsidR="002926AD" w:rsidRPr="00DD30D9" w:rsidRDefault="002926AD" w:rsidP="002926AD">
      <w:pPr>
        <w:pStyle w:val="01squarebullet"/>
        <w:rPr>
          <w:lang w:val="en-AU"/>
        </w:rPr>
      </w:pPr>
      <w:r w:rsidRPr="00DD30D9">
        <w:rPr>
          <w:lang w:val="en-AU"/>
        </w:rPr>
        <w:lastRenderedPageBreak/>
        <w:t xml:space="preserve">Items 73317 and 73318— </w:t>
      </w:r>
      <w:r w:rsidR="001820D2" w:rsidRPr="00DD30D9">
        <w:rPr>
          <w:lang w:val="en-AU"/>
        </w:rPr>
        <w:t xml:space="preserve">remove </w:t>
      </w:r>
      <w:r w:rsidRPr="00DD30D9">
        <w:rPr>
          <w:lang w:val="en-AU"/>
        </w:rPr>
        <w:t>rule 20 (</w:t>
      </w:r>
      <w:r w:rsidRPr="00DD30D9">
        <w:rPr>
          <w:i/>
          <w:lang w:val="en-AU"/>
        </w:rPr>
        <w:t>elevated serum ferritin for a patient, means a level of ferritin above the normal reference range in respect of the particular method of assay used to determine the level</w:t>
      </w:r>
      <w:r w:rsidRPr="00DD30D9">
        <w:rPr>
          <w:lang w:val="en-AU"/>
        </w:rPr>
        <w:t>).</w:t>
      </w:r>
      <w:r w:rsidR="00BE7B83" w:rsidRPr="00DD30D9">
        <w:rPr>
          <w:lang w:val="en-AU"/>
        </w:rPr>
        <w:t xml:space="preserve"> This rule does not add any additional clinical value.</w:t>
      </w:r>
    </w:p>
    <w:p w14:paraId="6002960D" w14:textId="77777777" w:rsidR="0033420E" w:rsidRPr="00DD30D9" w:rsidRDefault="001F4DA1" w:rsidP="009F600D">
      <w:pPr>
        <w:pStyle w:val="01squarebullet"/>
        <w:rPr>
          <w:lang w:val="en-AU"/>
        </w:rPr>
      </w:pPr>
      <w:r w:rsidRPr="00DD30D9">
        <w:rPr>
          <w:lang w:val="en-AU"/>
        </w:rPr>
        <w:t>Items 73336 and 73337</w:t>
      </w:r>
      <w:r w:rsidR="00436DE6" w:rsidRPr="00DD30D9">
        <w:rPr>
          <w:lang w:val="en-AU"/>
        </w:rPr>
        <w:t xml:space="preserve"> are</w:t>
      </w:r>
      <w:r w:rsidR="008E577B" w:rsidRPr="00DD30D9">
        <w:rPr>
          <w:lang w:val="en-AU"/>
        </w:rPr>
        <w:t xml:space="preserve"> </w:t>
      </w:r>
      <w:r w:rsidR="009F600D" w:rsidRPr="00DD30D9">
        <w:rPr>
          <w:lang w:val="en-AU"/>
        </w:rPr>
        <w:t>p</w:t>
      </w:r>
      <w:r w:rsidR="008E577B" w:rsidRPr="00DD30D9">
        <w:rPr>
          <w:lang w:val="en-AU"/>
        </w:rPr>
        <w:t>athologist</w:t>
      </w:r>
      <w:r w:rsidR="00336563" w:rsidRPr="00DD30D9">
        <w:rPr>
          <w:lang w:val="en-AU"/>
        </w:rPr>
        <w:t>-</w:t>
      </w:r>
      <w:r w:rsidR="009F600D" w:rsidRPr="00DD30D9">
        <w:rPr>
          <w:lang w:val="en-AU"/>
        </w:rPr>
        <w:t>d</w:t>
      </w:r>
      <w:r w:rsidR="008E577B" w:rsidRPr="00DD30D9">
        <w:rPr>
          <w:lang w:val="en-AU"/>
        </w:rPr>
        <w:t>eterminable</w:t>
      </w:r>
      <w:r w:rsidR="009F600D" w:rsidRPr="00DD30D9">
        <w:rPr>
          <w:lang w:val="en-AU"/>
        </w:rPr>
        <w:t xml:space="preserve"> </w:t>
      </w:r>
      <w:r w:rsidR="00336563" w:rsidRPr="00DD30D9">
        <w:rPr>
          <w:lang w:val="en-AU"/>
        </w:rPr>
        <w:t>services</w:t>
      </w:r>
      <w:r w:rsidR="009F600D" w:rsidRPr="00DD30D9">
        <w:rPr>
          <w:lang w:val="en-AU"/>
        </w:rPr>
        <w:t>. Amending the</w:t>
      </w:r>
      <w:r w:rsidR="00DF7851" w:rsidRPr="00DD30D9">
        <w:rPr>
          <w:lang w:val="en-AU"/>
        </w:rPr>
        <w:t xml:space="preserve"> item descriptors and/ or </w:t>
      </w:r>
      <w:r w:rsidR="009F600D" w:rsidRPr="00DD30D9">
        <w:rPr>
          <w:lang w:val="en-AU"/>
        </w:rPr>
        <w:t>explanatory notes to clearly stipulate which items are pathologist-determinable</w:t>
      </w:r>
      <w:r w:rsidR="00DF7851" w:rsidRPr="00DD30D9">
        <w:rPr>
          <w:lang w:val="en-AU"/>
        </w:rPr>
        <w:t xml:space="preserve"> will</w:t>
      </w:r>
      <w:r w:rsidR="003631D5" w:rsidRPr="00DD30D9">
        <w:rPr>
          <w:lang w:val="en-AU"/>
        </w:rPr>
        <w:t xml:space="preserve"> help</w:t>
      </w:r>
      <w:r w:rsidR="00DF7851" w:rsidRPr="00DD30D9">
        <w:rPr>
          <w:lang w:val="en-AU"/>
        </w:rPr>
        <w:t xml:space="preserve"> avoid confusion and streamline pathology pathways</w:t>
      </w:r>
      <w:r w:rsidR="003631D5" w:rsidRPr="00DD30D9">
        <w:rPr>
          <w:lang w:val="en-AU"/>
        </w:rPr>
        <w:t xml:space="preserve"> to ensure efficient patient care</w:t>
      </w:r>
      <w:r w:rsidR="00DF7851" w:rsidRPr="00DD30D9">
        <w:rPr>
          <w:lang w:val="en-AU"/>
        </w:rPr>
        <w:t xml:space="preserve">. </w:t>
      </w:r>
    </w:p>
    <w:p w14:paraId="5E436024" w14:textId="77777777" w:rsidR="0033420E" w:rsidRPr="00DD30D9" w:rsidRDefault="005530BA">
      <w:pPr>
        <w:pStyle w:val="Caption"/>
      </w:pPr>
      <w:bookmarkStart w:id="136" w:name="_Toc482009645"/>
      <w:r w:rsidRPr="00DD30D9">
        <w:t xml:space="preserve">Table </w:t>
      </w:r>
      <w:r w:rsidR="00474F25" w:rsidRPr="00860DE7">
        <w:fldChar w:fldCharType="begin"/>
      </w:r>
      <w:r w:rsidR="00474F25" w:rsidRPr="00720661">
        <w:instrText xml:space="preserve"> AUTONUM  \* Arabic </w:instrText>
      </w:r>
      <w:r w:rsidR="00474F25" w:rsidRPr="00860DE7">
        <w:fldChar w:fldCharType="end"/>
      </w:r>
      <w:r w:rsidR="0033420E" w:rsidRPr="00DD30D9">
        <w:t xml:space="preserve"> Minor changes recommended</w:t>
      </w:r>
      <w:bookmarkEnd w:id="136"/>
    </w:p>
    <w:tbl>
      <w:tblPr>
        <w:tblStyle w:val="TableGrid"/>
        <w:tblW w:w="9918" w:type="dxa"/>
        <w:tblLook w:val="04A0" w:firstRow="1" w:lastRow="0" w:firstColumn="1" w:lastColumn="0" w:noHBand="0" w:noVBand="1"/>
        <w:tblCaption w:val="Minor changes recommended"/>
        <w:tblDescription w:val="This table lists the item numbers, item descriptors and proposed amendments for items with minor changes recommended."/>
      </w:tblPr>
      <w:tblGrid>
        <w:gridCol w:w="846"/>
        <w:gridCol w:w="4536"/>
        <w:gridCol w:w="4536"/>
      </w:tblGrid>
      <w:tr w:rsidR="0033420E" w:rsidRPr="00720661" w14:paraId="37366888" w14:textId="77777777" w:rsidTr="00BD03C1">
        <w:trPr>
          <w:tblHeader/>
        </w:trPr>
        <w:tc>
          <w:tcPr>
            <w:tcW w:w="846" w:type="dxa"/>
            <w:shd w:val="clear" w:color="auto" w:fill="EEECE1" w:themeFill="background2"/>
            <w:vAlign w:val="bottom"/>
          </w:tcPr>
          <w:p w14:paraId="59CC22BD" w14:textId="77777777" w:rsidR="0033420E" w:rsidRPr="00DD30D9" w:rsidRDefault="0033420E" w:rsidP="00795693">
            <w:pPr>
              <w:rPr>
                <w:rFonts w:ascii="Arial" w:hAnsi="Arial" w:cs="Arial"/>
                <w:b/>
                <w:sz w:val="18"/>
                <w:szCs w:val="18"/>
                <w:lang w:val="en-AU"/>
              </w:rPr>
            </w:pPr>
            <w:bookmarkStart w:id="137" w:name="_Hlk481925141"/>
            <w:r w:rsidRPr="00DD30D9">
              <w:rPr>
                <w:rFonts w:ascii="Arial" w:hAnsi="Arial" w:cs="Arial"/>
                <w:b/>
                <w:sz w:val="18"/>
                <w:szCs w:val="18"/>
                <w:lang w:val="en-AU"/>
              </w:rPr>
              <w:t>Item</w:t>
            </w:r>
          </w:p>
        </w:tc>
        <w:tc>
          <w:tcPr>
            <w:tcW w:w="4536" w:type="dxa"/>
            <w:shd w:val="clear" w:color="auto" w:fill="EEECE1" w:themeFill="background2"/>
            <w:vAlign w:val="bottom"/>
          </w:tcPr>
          <w:p w14:paraId="075D8873" w14:textId="77777777" w:rsidR="0033420E" w:rsidRPr="00DD30D9" w:rsidRDefault="0033420E" w:rsidP="00795693">
            <w:pPr>
              <w:rPr>
                <w:rFonts w:ascii="Arial" w:hAnsi="Arial" w:cs="Arial"/>
                <w:b/>
                <w:sz w:val="18"/>
                <w:szCs w:val="18"/>
                <w:lang w:val="en-AU"/>
              </w:rPr>
            </w:pPr>
            <w:r w:rsidRPr="00DD30D9">
              <w:rPr>
                <w:rFonts w:ascii="Arial" w:hAnsi="Arial" w:cs="Arial"/>
                <w:b/>
                <w:sz w:val="18"/>
                <w:szCs w:val="18"/>
                <w:lang w:val="en-AU"/>
              </w:rPr>
              <w:t>Item descriptor</w:t>
            </w:r>
          </w:p>
        </w:tc>
        <w:tc>
          <w:tcPr>
            <w:tcW w:w="4536" w:type="dxa"/>
            <w:shd w:val="clear" w:color="auto" w:fill="EEECE1" w:themeFill="background2"/>
            <w:vAlign w:val="bottom"/>
          </w:tcPr>
          <w:p w14:paraId="2A486AD0" w14:textId="77777777" w:rsidR="0033420E" w:rsidRPr="00DD30D9" w:rsidRDefault="0033420E" w:rsidP="00795693">
            <w:pPr>
              <w:rPr>
                <w:rFonts w:ascii="Arial" w:hAnsi="Arial" w:cs="Arial"/>
                <w:b/>
                <w:sz w:val="18"/>
                <w:szCs w:val="18"/>
                <w:lang w:val="en-AU"/>
              </w:rPr>
            </w:pPr>
            <w:r w:rsidRPr="00DD30D9">
              <w:rPr>
                <w:rFonts w:ascii="Arial" w:hAnsi="Arial" w:cs="Arial"/>
                <w:b/>
                <w:sz w:val="18"/>
                <w:szCs w:val="18"/>
                <w:lang w:val="en-AU"/>
              </w:rPr>
              <w:t>Proposed amendment</w:t>
            </w:r>
          </w:p>
        </w:tc>
      </w:tr>
      <w:tr w:rsidR="00436DE6" w:rsidRPr="00720661" w14:paraId="41D8AEC3" w14:textId="77777777" w:rsidTr="00BD03C1">
        <w:trPr>
          <w:trHeight w:val="300"/>
        </w:trPr>
        <w:tc>
          <w:tcPr>
            <w:tcW w:w="846" w:type="dxa"/>
            <w:noWrap/>
          </w:tcPr>
          <w:p w14:paraId="3D55015F" w14:textId="77777777" w:rsidR="00436DE6" w:rsidRPr="00DD30D9" w:rsidRDefault="00436DE6" w:rsidP="00436DE6">
            <w:pPr>
              <w:rPr>
                <w:rFonts w:ascii="Arial" w:hAnsi="Arial" w:cs="Arial"/>
                <w:color w:val="000000"/>
                <w:sz w:val="18"/>
                <w:szCs w:val="18"/>
                <w:lang w:val="en-AU"/>
              </w:rPr>
            </w:pPr>
            <w:r w:rsidRPr="00720661">
              <w:rPr>
                <w:rFonts w:ascii="Arial" w:hAnsi="Arial" w:cs="Arial"/>
                <w:color w:val="000000"/>
                <w:sz w:val="18"/>
                <w:szCs w:val="18"/>
                <w:lang w:val="en-AU"/>
              </w:rPr>
              <w:t>73317</w:t>
            </w:r>
          </w:p>
        </w:tc>
        <w:tc>
          <w:tcPr>
            <w:tcW w:w="4536" w:type="dxa"/>
            <w:noWrap/>
          </w:tcPr>
          <w:p w14:paraId="01227CCC" w14:textId="77777777" w:rsidR="00436DE6" w:rsidRPr="00DD30D9" w:rsidRDefault="00D6184D" w:rsidP="00436DE6">
            <w:pPr>
              <w:rPr>
                <w:rFonts w:ascii="Arial" w:hAnsi="Arial" w:cs="Arial"/>
                <w:color w:val="000000"/>
                <w:sz w:val="18"/>
                <w:szCs w:val="18"/>
                <w:lang w:val="en-AU"/>
              </w:rPr>
            </w:pPr>
            <w:r w:rsidRPr="00720661">
              <w:rPr>
                <w:rFonts w:ascii="Arial" w:hAnsi="Arial" w:cs="Arial"/>
                <w:color w:val="000000"/>
                <w:sz w:val="18"/>
                <w:szCs w:val="18"/>
                <w:lang w:val="en-AU"/>
              </w:rPr>
              <w:t xml:space="preserve">Detection of the </w:t>
            </w:r>
            <w:r w:rsidRPr="00720661">
              <w:rPr>
                <w:rFonts w:ascii="Arial" w:hAnsi="Arial" w:cs="Arial"/>
                <w:i/>
                <w:color w:val="000000"/>
                <w:sz w:val="18"/>
                <w:szCs w:val="18"/>
                <w:lang w:val="en-AU"/>
              </w:rPr>
              <w:t>C282Y</w:t>
            </w:r>
            <w:r w:rsidR="00436DE6" w:rsidRPr="00720661">
              <w:rPr>
                <w:rFonts w:ascii="Arial" w:hAnsi="Arial" w:cs="Arial"/>
                <w:color w:val="000000"/>
                <w:sz w:val="18"/>
                <w:szCs w:val="18"/>
                <w:lang w:val="en-AU"/>
              </w:rPr>
              <w:t xml:space="preserve"> genetic mutation of the </w:t>
            </w:r>
            <w:r w:rsidR="00436DE6" w:rsidRPr="004750A6">
              <w:rPr>
                <w:rFonts w:ascii="Arial" w:hAnsi="Arial" w:cs="Arial"/>
                <w:color w:val="000000"/>
                <w:sz w:val="18"/>
                <w:szCs w:val="18"/>
                <w:lang w:val="en-AU"/>
              </w:rPr>
              <w:t>HFE gene and, if performed, detection of other mutations for haemochromatosis where: (a) the patient has an elevated transferrin saturation or elevate</w:t>
            </w:r>
            <w:r w:rsidR="00436DE6" w:rsidRPr="00720661">
              <w:rPr>
                <w:rFonts w:ascii="Arial" w:hAnsi="Arial" w:cs="Arial"/>
                <w:color w:val="000000"/>
                <w:sz w:val="18"/>
                <w:szCs w:val="18"/>
                <w:lang w:val="en-AU"/>
              </w:rPr>
              <w:t>d serum ferritin on testing of repeated specimens; or (b) the patient has a first degree relative with haemochromatosis; or</w:t>
            </w:r>
            <w:r w:rsidR="00807710" w:rsidRPr="00720661">
              <w:rPr>
                <w:rFonts w:ascii="Arial" w:hAnsi="Arial" w:cs="Arial"/>
                <w:color w:val="000000"/>
                <w:sz w:val="18"/>
                <w:szCs w:val="18"/>
                <w:lang w:val="en-AU"/>
              </w:rPr>
              <w:t xml:space="preserve"> </w:t>
            </w:r>
            <w:r w:rsidR="00436DE6" w:rsidRPr="00720661">
              <w:rPr>
                <w:rFonts w:ascii="Arial" w:hAnsi="Arial" w:cs="Arial"/>
                <w:color w:val="000000"/>
                <w:sz w:val="18"/>
                <w:szCs w:val="18"/>
                <w:lang w:val="en-AU"/>
              </w:rPr>
              <w:t>(c) the patient has a first degree rela</w:t>
            </w:r>
            <w:r w:rsidRPr="00720661">
              <w:rPr>
                <w:rFonts w:ascii="Arial" w:hAnsi="Arial" w:cs="Arial"/>
                <w:color w:val="000000"/>
                <w:sz w:val="18"/>
                <w:szCs w:val="18"/>
                <w:lang w:val="en-AU"/>
              </w:rPr>
              <w:t xml:space="preserve">tive with homozygosity for the </w:t>
            </w:r>
            <w:r w:rsidRPr="00720661">
              <w:rPr>
                <w:rFonts w:ascii="Arial" w:hAnsi="Arial" w:cs="Arial"/>
                <w:i/>
                <w:color w:val="000000"/>
                <w:sz w:val="18"/>
                <w:szCs w:val="18"/>
                <w:lang w:val="en-AU"/>
              </w:rPr>
              <w:t>C282Y</w:t>
            </w:r>
            <w:r w:rsidR="00436DE6" w:rsidRPr="00720661">
              <w:rPr>
                <w:rFonts w:ascii="Arial" w:hAnsi="Arial" w:cs="Arial"/>
                <w:color w:val="000000"/>
                <w:sz w:val="18"/>
                <w:szCs w:val="18"/>
                <w:lang w:val="en-AU"/>
              </w:rPr>
              <w:t xml:space="preserve"> genetic mutation, or with compound heterozygosity for recognised genetic mutations for haemochromatosis (Item is subject to rule 20)</w:t>
            </w:r>
          </w:p>
        </w:tc>
        <w:tc>
          <w:tcPr>
            <w:tcW w:w="4536" w:type="dxa"/>
            <w:noWrap/>
          </w:tcPr>
          <w:p w14:paraId="231A4513"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 xml:space="preserve">Remove </w:t>
            </w:r>
            <w:r w:rsidRPr="00DD30D9">
              <w:rPr>
                <w:rFonts w:ascii="Arial" w:hAnsi="Arial" w:cs="Arial"/>
                <w:color w:val="000000"/>
                <w:sz w:val="18"/>
                <w:szCs w:val="18"/>
                <w:u w:val="single"/>
                <w:lang w:val="en-AU"/>
              </w:rPr>
              <w:t>rule 20</w:t>
            </w:r>
          </w:p>
        </w:tc>
      </w:tr>
      <w:bookmarkEnd w:id="137"/>
      <w:tr w:rsidR="00436DE6" w:rsidRPr="00720661" w14:paraId="0300E1AE" w14:textId="77777777" w:rsidTr="00BD03C1">
        <w:trPr>
          <w:trHeight w:val="300"/>
        </w:trPr>
        <w:tc>
          <w:tcPr>
            <w:tcW w:w="846" w:type="dxa"/>
            <w:noWrap/>
          </w:tcPr>
          <w:p w14:paraId="30B55169" w14:textId="77777777" w:rsidR="00436DE6" w:rsidRPr="00DD30D9" w:rsidRDefault="00436DE6" w:rsidP="00436DE6">
            <w:pPr>
              <w:rPr>
                <w:rFonts w:ascii="Arial" w:hAnsi="Arial" w:cs="Arial"/>
                <w:color w:val="000000"/>
                <w:sz w:val="18"/>
                <w:szCs w:val="18"/>
                <w:lang w:val="en-AU"/>
              </w:rPr>
            </w:pPr>
            <w:r w:rsidRPr="00720661">
              <w:rPr>
                <w:rFonts w:ascii="Arial" w:hAnsi="Arial" w:cs="Arial"/>
                <w:color w:val="000000"/>
                <w:sz w:val="18"/>
                <w:szCs w:val="18"/>
                <w:lang w:val="en-AU"/>
              </w:rPr>
              <w:t>73318</w:t>
            </w:r>
          </w:p>
        </w:tc>
        <w:tc>
          <w:tcPr>
            <w:tcW w:w="4536" w:type="dxa"/>
            <w:noWrap/>
          </w:tcPr>
          <w:p w14:paraId="3700EDC8" w14:textId="77777777" w:rsidR="00436DE6" w:rsidRPr="00DD30D9" w:rsidRDefault="00436DE6" w:rsidP="00436DE6">
            <w:pPr>
              <w:rPr>
                <w:rFonts w:ascii="Arial" w:hAnsi="Arial" w:cs="Arial"/>
                <w:color w:val="000000"/>
                <w:sz w:val="18"/>
                <w:szCs w:val="18"/>
                <w:lang w:val="en-AU"/>
              </w:rPr>
            </w:pPr>
            <w:r w:rsidRPr="00720661">
              <w:rPr>
                <w:rFonts w:ascii="Arial" w:hAnsi="Arial" w:cs="Arial"/>
                <w:color w:val="000000"/>
                <w:sz w:val="18"/>
                <w:szCs w:val="18"/>
                <w:lang w:val="en-AU"/>
              </w:rPr>
              <w:t>A test described in item 73317, if rendered by a receiving APP - 1 or more tests</w:t>
            </w:r>
            <w:r w:rsidRPr="004750A6">
              <w:rPr>
                <w:rFonts w:ascii="Arial" w:hAnsi="Arial" w:cs="Arial"/>
                <w:color w:val="000000"/>
                <w:sz w:val="18"/>
                <w:szCs w:val="18"/>
                <w:lang w:val="en-AU"/>
              </w:rPr>
              <w:t xml:space="preserve"> (Item is subject to rule 18 and 20)</w:t>
            </w:r>
          </w:p>
        </w:tc>
        <w:tc>
          <w:tcPr>
            <w:tcW w:w="4536" w:type="dxa"/>
            <w:noWrap/>
          </w:tcPr>
          <w:p w14:paraId="39AED3D2"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 xml:space="preserve">Remove </w:t>
            </w:r>
            <w:r w:rsidRPr="00DD30D9">
              <w:rPr>
                <w:rFonts w:ascii="Arial" w:hAnsi="Arial" w:cs="Arial"/>
                <w:color w:val="000000"/>
                <w:sz w:val="18"/>
                <w:szCs w:val="18"/>
                <w:u w:val="single"/>
                <w:lang w:val="en-AU"/>
              </w:rPr>
              <w:t>rule 20</w:t>
            </w:r>
          </w:p>
        </w:tc>
      </w:tr>
      <w:tr w:rsidR="00436DE6" w:rsidRPr="00720661" w14:paraId="2DC71F71" w14:textId="77777777" w:rsidTr="00BD03C1">
        <w:trPr>
          <w:trHeight w:val="300"/>
        </w:trPr>
        <w:tc>
          <w:tcPr>
            <w:tcW w:w="846" w:type="dxa"/>
            <w:noWrap/>
          </w:tcPr>
          <w:p w14:paraId="53DE8123"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73336</w:t>
            </w:r>
          </w:p>
        </w:tc>
        <w:tc>
          <w:tcPr>
            <w:tcW w:w="4536" w:type="dxa"/>
            <w:noWrap/>
          </w:tcPr>
          <w:p w14:paraId="1A0D0D03"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 xml:space="preserve">A test of tumour tissue from a patient with unresectable stage iii or stage iv metastatic cutaneous melanoma, requested by, </w:t>
            </w:r>
            <w:r w:rsidRPr="00DD30D9">
              <w:rPr>
                <w:rFonts w:ascii="Arial" w:hAnsi="Arial" w:cs="Arial"/>
                <w:color w:val="000000"/>
                <w:sz w:val="18"/>
                <w:szCs w:val="18"/>
                <w:u w:val="single"/>
                <w:lang w:val="en-AU"/>
              </w:rPr>
              <w:t>or on behalf of, a specialist or consultant physician</w:t>
            </w:r>
            <w:r w:rsidRPr="00DD30D9">
              <w:rPr>
                <w:rFonts w:ascii="Arial" w:hAnsi="Arial" w:cs="Arial"/>
                <w:color w:val="000000"/>
                <w:sz w:val="18"/>
                <w:szCs w:val="18"/>
                <w:lang w:val="en-AU"/>
              </w:rPr>
              <w:t>, to determine if the</w:t>
            </w:r>
            <w:r w:rsidR="00D6184D" w:rsidRPr="00DD30D9">
              <w:rPr>
                <w:rFonts w:ascii="Arial" w:hAnsi="Arial" w:cs="Arial"/>
                <w:color w:val="000000"/>
                <w:sz w:val="18"/>
                <w:szCs w:val="18"/>
                <w:lang w:val="en-AU"/>
              </w:rPr>
              <w:t xml:space="preserve"> requirements relating to </w:t>
            </w:r>
            <w:r w:rsidR="00D6184D" w:rsidRPr="00DD30D9">
              <w:rPr>
                <w:rFonts w:ascii="Arial" w:hAnsi="Arial" w:cs="Arial"/>
                <w:i/>
                <w:color w:val="000000"/>
                <w:sz w:val="18"/>
                <w:szCs w:val="18"/>
                <w:lang w:val="en-AU"/>
              </w:rPr>
              <w:t xml:space="preserve">BRAF </w:t>
            </w:r>
            <w:r w:rsidR="00D6184D" w:rsidRPr="00DD30D9">
              <w:rPr>
                <w:rFonts w:ascii="Arial" w:hAnsi="Arial" w:cs="Arial"/>
                <w:color w:val="000000"/>
                <w:sz w:val="18"/>
                <w:szCs w:val="18"/>
                <w:lang w:val="en-AU"/>
              </w:rPr>
              <w:t>V</w:t>
            </w:r>
            <w:r w:rsidRPr="00DD30D9">
              <w:rPr>
                <w:rFonts w:ascii="Arial" w:hAnsi="Arial" w:cs="Arial"/>
                <w:color w:val="000000"/>
                <w:sz w:val="18"/>
                <w:szCs w:val="18"/>
                <w:lang w:val="en-AU"/>
              </w:rPr>
              <w:t>600 mutation status for access to dabrafenib under Pharmaceutical Benefits Scheme (PBS) are fulfilled.</w:t>
            </w:r>
          </w:p>
        </w:tc>
        <w:tc>
          <w:tcPr>
            <w:tcW w:w="4536" w:type="dxa"/>
            <w:noWrap/>
          </w:tcPr>
          <w:p w14:paraId="01B8E8C9"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A test of tumour tissue from a patient with unresectable stage iii or stage iv metastatic cutaneous melanoma,</w:t>
            </w:r>
            <w:r w:rsidR="00336563" w:rsidRPr="00DD30D9">
              <w:rPr>
                <w:rFonts w:ascii="Arial" w:hAnsi="Arial" w:cs="Arial"/>
                <w:color w:val="000000"/>
                <w:sz w:val="18"/>
                <w:szCs w:val="18"/>
                <w:lang w:val="en-AU"/>
              </w:rPr>
              <w:t xml:space="preserve"> requested by a treating specialist or pathologist,</w:t>
            </w:r>
            <w:r w:rsidRPr="00DD30D9">
              <w:rPr>
                <w:rFonts w:ascii="Arial" w:hAnsi="Arial" w:cs="Arial"/>
                <w:color w:val="000000"/>
                <w:sz w:val="18"/>
                <w:szCs w:val="18"/>
                <w:lang w:val="en-AU"/>
              </w:rPr>
              <w:t xml:space="preserve"> to determine if the</w:t>
            </w:r>
            <w:r w:rsidR="00D6184D" w:rsidRPr="00DD30D9">
              <w:rPr>
                <w:rFonts w:ascii="Arial" w:hAnsi="Arial" w:cs="Arial"/>
                <w:color w:val="000000"/>
                <w:sz w:val="18"/>
                <w:szCs w:val="18"/>
                <w:lang w:val="en-AU"/>
              </w:rPr>
              <w:t xml:space="preserve"> requirements relating to </w:t>
            </w:r>
            <w:r w:rsidR="00D6184D" w:rsidRPr="00DD30D9">
              <w:rPr>
                <w:rFonts w:ascii="Arial" w:hAnsi="Arial" w:cs="Arial"/>
                <w:i/>
                <w:color w:val="000000"/>
                <w:sz w:val="18"/>
                <w:szCs w:val="18"/>
                <w:lang w:val="en-AU"/>
              </w:rPr>
              <w:t>BRAF V</w:t>
            </w:r>
            <w:r w:rsidRPr="00DD30D9">
              <w:rPr>
                <w:rFonts w:ascii="Arial" w:hAnsi="Arial" w:cs="Arial"/>
                <w:i/>
                <w:color w:val="000000"/>
                <w:sz w:val="18"/>
                <w:szCs w:val="18"/>
                <w:lang w:val="en-AU"/>
              </w:rPr>
              <w:t>600</w:t>
            </w:r>
            <w:r w:rsidRPr="00DD30D9">
              <w:rPr>
                <w:rFonts w:ascii="Arial" w:hAnsi="Arial" w:cs="Arial"/>
                <w:color w:val="000000"/>
                <w:sz w:val="18"/>
                <w:szCs w:val="18"/>
                <w:lang w:val="en-AU"/>
              </w:rPr>
              <w:t xml:space="preserve"> mutation status for access to dabrafenib under Pharmaceutical Benefits Scheme (PBS) are fulfilled.</w:t>
            </w:r>
          </w:p>
        </w:tc>
      </w:tr>
      <w:tr w:rsidR="00436DE6" w:rsidRPr="00720661" w14:paraId="06D28C3F" w14:textId="77777777" w:rsidTr="00BD03C1">
        <w:trPr>
          <w:trHeight w:val="300"/>
        </w:trPr>
        <w:tc>
          <w:tcPr>
            <w:tcW w:w="846" w:type="dxa"/>
            <w:noWrap/>
          </w:tcPr>
          <w:p w14:paraId="4B0E0346"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73337</w:t>
            </w:r>
          </w:p>
        </w:tc>
        <w:tc>
          <w:tcPr>
            <w:tcW w:w="4536" w:type="dxa"/>
            <w:noWrap/>
          </w:tcPr>
          <w:p w14:paraId="73A0815F"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 xml:space="preserve">A test of tumour tissue from a patient diagnosed with non-small cell lung cancer, shown to have non-squamous histology or histology not otherwise specified, requested by, </w:t>
            </w:r>
            <w:r w:rsidRPr="00DD30D9">
              <w:rPr>
                <w:rFonts w:ascii="Arial" w:hAnsi="Arial" w:cs="Arial"/>
                <w:color w:val="000000"/>
                <w:sz w:val="18"/>
                <w:szCs w:val="18"/>
                <w:u w:val="single"/>
                <w:lang w:val="en-AU"/>
              </w:rPr>
              <w:t>or on behalf of, a specialist or consultant physician</w:t>
            </w:r>
            <w:r w:rsidRPr="00DD30D9">
              <w:rPr>
                <w:rFonts w:ascii="Arial" w:hAnsi="Arial" w:cs="Arial"/>
                <w:color w:val="000000"/>
                <w:sz w:val="18"/>
                <w:szCs w:val="18"/>
                <w:lang w:val="en-AU"/>
              </w:rPr>
              <w:t xml:space="preserve">, to determine if the requirements relating to epidermal growth factor receptor </w:t>
            </w:r>
            <w:r w:rsidRPr="00DD30D9">
              <w:rPr>
                <w:rFonts w:ascii="Arial" w:hAnsi="Arial" w:cs="Arial"/>
                <w:i/>
                <w:color w:val="000000"/>
                <w:sz w:val="18"/>
                <w:szCs w:val="18"/>
                <w:lang w:val="en-AU"/>
              </w:rPr>
              <w:t>(EGFR)</w:t>
            </w:r>
            <w:r w:rsidRPr="00DD30D9">
              <w:rPr>
                <w:rFonts w:ascii="Arial" w:hAnsi="Arial" w:cs="Arial"/>
                <w:color w:val="000000"/>
                <w:sz w:val="18"/>
                <w:szCs w:val="18"/>
                <w:lang w:val="en-AU"/>
              </w:rPr>
              <w:t xml:space="preserve"> gene status for access to erlotinib or gefitinib under the Pharmaceutical Benefits Scheme (PBS) are fulfilled.</w:t>
            </w:r>
          </w:p>
        </w:tc>
        <w:tc>
          <w:tcPr>
            <w:tcW w:w="4536" w:type="dxa"/>
            <w:noWrap/>
          </w:tcPr>
          <w:p w14:paraId="6F901DC2" w14:textId="77777777" w:rsidR="00436DE6" w:rsidRPr="00DD30D9" w:rsidRDefault="00436DE6" w:rsidP="00436DE6">
            <w:pPr>
              <w:rPr>
                <w:rFonts w:ascii="Arial" w:hAnsi="Arial" w:cs="Arial"/>
                <w:color w:val="000000"/>
                <w:sz w:val="18"/>
                <w:szCs w:val="18"/>
                <w:lang w:val="en-AU"/>
              </w:rPr>
            </w:pPr>
            <w:r w:rsidRPr="00DD30D9">
              <w:rPr>
                <w:rFonts w:ascii="Arial" w:hAnsi="Arial" w:cs="Arial"/>
                <w:color w:val="000000"/>
                <w:sz w:val="18"/>
                <w:szCs w:val="18"/>
                <w:lang w:val="en-AU"/>
              </w:rPr>
              <w:t>A test of tumour tissue from a patient diagnosed with non-small cell lung cancer, shown to have non-squamous histology or histology not otherwise specified,</w:t>
            </w:r>
            <w:r w:rsidR="00FD4E73" w:rsidRPr="00DD30D9">
              <w:rPr>
                <w:rFonts w:ascii="Arial" w:hAnsi="Arial" w:cs="Arial"/>
                <w:color w:val="000000"/>
                <w:sz w:val="18"/>
                <w:szCs w:val="18"/>
                <w:lang w:val="en-AU"/>
              </w:rPr>
              <w:t xml:space="preserve"> requested by </w:t>
            </w:r>
            <w:r w:rsidR="00FD4E73" w:rsidRPr="00DD30D9">
              <w:rPr>
                <w:rFonts w:ascii="Arial" w:hAnsi="Arial" w:cs="Arial"/>
                <w:color w:val="000000"/>
                <w:sz w:val="18"/>
                <w:szCs w:val="18"/>
                <w:u w:val="single"/>
                <w:lang w:val="en-AU"/>
              </w:rPr>
              <w:t>a treating specialist or pathologist</w:t>
            </w:r>
            <w:r w:rsidR="00FD4E73" w:rsidRPr="00DD30D9">
              <w:rPr>
                <w:rFonts w:ascii="Arial" w:hAnsi="Arial" w:cs="Arial"/>
                <w:color w:val="000000"/>
                <w:sz w:val="18"/>
                <w:szCs w:val="18"/>
                <w:lang w:val="en-AU"/>
              </w:rPr>
              <w:t>,</w:t>
            </w:r>
            <w:r w:rsidRPr="00DD30D9">
              <w:rPr>
                <w:rFonts w:ascii="Arial" w:hAnsi="Arial" w:cs="Arial"/>
                <w:color w:val="000000"/>
                <w:sz w:val="18"/>
                <w:szCs w:val="18"/>
                <w:lang w:val="en-AU"/>
              </w:rPr>
              <w:t xml:space="preserve"> to determine if the requirements relating to epidermal growth factor receptor (</w:t>
            </w:r>
            <w:r w:rsidRPr="00DD30D9">
              <w:rPr>
                <w:rFonts w:ascii="Arial" w:hAnsi="Arial" w:cs="Arial"/>
                <w:i/>
                <w:color w:val="000000"/>
                <w:sz w:val="18"/>
                <w:szCs w:val="18"/>
                <w:lang w:val="en-AU"/>
              </w:rPr>
              <w:t>EGFR)</w:t>
            </w:r>
            <w:r w:rsidRPr="00DD30D9">
              <w:rPr>
                <w:rFonts w:ascii="Arial" w:hAnsi="Arial" w:cs="Arial"/>
                <w:color w:val="000000"/>
                <w:sz w:val="18"/>
                <w:szCs w:val="18"/>
                <w:lang w:val="en-AU"/>
              </w:rPr>
              <w:t xml:space="preserve"> gene status for access to erlotinib or gefitinib under the Pharmaceutical Benefits Scheme (PBS) are fulfilled.</w:t>
            </w:r>
          </w:p>
        </w:tc>
      </w:tr>
      <w:tr w:rsidR="009F02F0" w:rsidRPr="00720661" w14:paraId="06FF83F9" w14:textId="77777777" w:rsidTr="00BD03C1">
        <w:trPr>
          <w:trHeight w:val="300"/>
        </w:trPr>
        <w:tc>
          <w:tcPr>
            <w:tcW w:w="846" w:type="dxa"/>
            <w:noWrap/>
          </w:tcPr>
          <w:p w14:paraId="61358E65" w14:textId="29BA317D" w:rsidR="009F02F0" w:rsidRPr="00DD30D9" w:rsidRDefault="009F02F0" w:rsidP="00436DE6">
            <w:pPr>
              <w:rPr>
                <w:rFonts w:ascii="Arial" w:hAnsi="Arial" w:cs="Arial"/>
                <w:color w:val="000000"/>
                <w:sz w:val="18"/>
                <w:szCs w:val="18"/>
                <w:lang w:val="en-AU"/>
              </w:rPr>
            </w:pPr>
            <w:r>
              <w:rPr>
                <w:rFonts w:ascii="Arial" w:hAnsi="Arial" w:cs="Arial"/>
                <w:color w:val="000000"/>
                <w:sz w:val="18"/>
                <w:szCs w:val="18"/>
                <w:lang w:val="en-AU"/>
              </w:rPr>
              <w:t>73338</w:t>
            </w:r>
          </w:p>
        </w:tc>
        <w:tc>
          <w:tcPr>
            <w:tcW w:w="4536" w:type="dxa"/>
            <w:noWrap/>
          </w:tcPr>
          <w:p w14:paraId="5EA4966D" w14:textId="087ED5C2" w:rsidR="009F02F0" w:rsidRPr="00BD03C1" w:rsidRDefault="009F02F0" w:rsidP="00BD03C1">
            <w:pPr>
              <w:spacing w:after="200"/>
              <w:rPr>
                <w:rFonts w:ascii="Arial" w:hAnsi="Arial" w:cs="Arial"/>
                <w:sz w:val="18"/>
                <w:szCs w:val="18"/>
                <w:lang w:val="en-AU"/>
              </w:rPr>
            </w:pPr>
            <w:r w:rsidRPr="00BD03C1">
              <w:rPr>
                <w:rFonts w:ascii="Arial" w:hAnsi="Arial" w:cs="Arial"/>
                <w:sz w:val="18"/>
                <w:szCs w:val="18"/>
                <w:lang w:val="en-AU"/>
              </w:rPr>
              <w:t xml:space="preserve">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(PBS) are fulfilled, if: (a) the test is conducted for all clinically relevant mutations on KRAS exons 2, 3 and 4 and NRAS exons 2, 3, and 4; or (b) a RAS mutation is found. </w:t>
            </w:r>
          </w:p>
        </w:tc>
        <w:tc>
          <w:tcPr>
            <w:tcW w:w="4536" w:type="dxa"/>
            <w:noWrap/>
          </w:tcPr>
          <w:p w14:paraId="6B2BB65A" w14:textId="151C6B30" w:rsidR="009F02F0" w:rsidRPr="00DD30D9" w:rsidRDefault="007C7E52" w:rsidP="00436DE6">
            <w:pPr>
              <w:rPr>
                <w:rFonts w:ascii="Arial" w:hAnsi="Arial" w:cs="Arial"/>
                <w:color w:val="000000"/>
                <w:sz w:val="18"/>
                <w:szCs w:val="18"/>
                <w:lang w:val="en-AU"/>
              </w:rPr>
            </w:pPr>
            <w:r w:rsidRPr="00DD30D9">
              <w:rPr>
                <w:rFonts w:ascii="Arial" w:hAnsi="Arial" w:cs="Arial"/>
                <w:color w:val="000000"/>
                <w:sz w:val="18"/>
                <w:szCs w:val="18"/>
                <w:lang w:val="en-AU"/>
              </w:rPr>
              <w:t xml:space="preserve">A test of tumour tissue from a patient with metastatic colorectal cancer (stage IV), </w:t>
            </w:r>
            <w:r w:rsidRPr="007C7E52">
              <w:rPr>
                <w:rFonts w:ascii="Arial" w:hAnsi="Arial" w:cs="Arial"/>
                <w:color w:val="000000"/>
                <w:sz w:val="18"/>
                <w:szCs w:val="18"/>
                <w:u w:val="single"/>
                <w:lang w:val="en-AU"/>
              </w:rPr>
              <w:t>requested by a treating specialist or pathologist</w:t>
            </w:r>
            <w:r w:rsidRPr="00DD30D9">
              <w:rPr>
                <w:rFonts w:ascii="Arial" w:hAnsi="Arial" w:cs="Arial"/>
                <w:color w:val="000000"/>
                <w:sz w:val="18"/>
                <w:szCs w:val="18"/>
                <w:lang w:val="en-AU"/>
              </w:rPr>
              <w:t>, to determine if the requirements relating to rat sarcoma oncogene (</w:t>
            </w:r>
            <w:r w:rsidRPr="00DD30D9">
              <w:rPr>
                <w:rFonts w:ascii="Arial" w:hAnsi="Arial" w:cs="Arial"/>
                <w:i/>
                <w:color w:val="000000"/>
                <w:sz w:val="18"/>
                <w:szCs w:val="18"/>
                <w:lang w:val="en-AU"/>
              </w:rPr>
              <w:t>RAS</w:t>
            </w:r>
            <w:r w:rsidRPr="00DD30D9">
              <w:rPr>
                <w:rFonts w:ascii="Arial" w:hAnsi="Arial" w:cs="Arial"/>
                <w:color w:val="000000"/>
                <w:sz w:val="18"/>
                <w:szCs w:val="18"/>
                <w:lang w:val="en-AU"/>
              </w:rPr>
              <w:t xml:space="preserve">) gene mutation status for access to cetuximab or panitumumab under the Pharmaceutical Benefits Scheme (PBS) are fulfilled, if:(a) the test is conducted for all clinically relevant mutations on </w:t>
            </w:r>
            <w:r w:rsidRPr="00DD30D9">
              <w:rPr>
                <w:rFonts w:ascii="Arial" w:hAnsi="Arial" w:cs="Arial"/>
                <w:i/>
                <w:color w:val="000000"/>
                <w:sz w:val="18"/>
                <w:szCs w:val="18"/>
                <w:lang w:val="en-AU"/>
              </w:rPr>
              <w:t>KRAS</w:t>
            </w:r>
            <w:r w:rsidRPr="00DD30D9">
              <w:rPr>
                <w:rFonts w:ascii="Arial" w:hAnsi="Arial" w:cs="Arial"/>
                <w:color w:val="000000"/>
                <w:sz w:val="18"/>
                <w:szCs w:val="18"/>
                <w:lang w:val="en-AU"/>
              </w:rPr>
              <w:t xml:space="preserve"> exons 2, 3 and 4 and </w:t>
            </w:r>
            <w:r w:rsidRPr="00DD30D9">
              <w:rPr>
                <w:rFonts w:ascii="Arial" w:hAnsi="Arial" w:cs="Arial"/>
                <w:i/>
                <w:color w:val="000000"/>
                <w:sz w:val="18"/>
                <w:szCs w:val="18"/>
                <w:lang w:val="en-AU"/>
              </w:rPr>
              <w:t>NRAS</w:t>
            </w:r>
            <w:r w:rsidRPr="00DD30D9">
              <w:rPr>
                <w:rFonts w:ascii="Arial" w:hAnsi="Arial" w:cs="Arial"/>
                <w:color w:val="000000"/>
                <w:sz w:val="18"/>
                <w:szCs w:val="18"/>
                <w:lang w:val="en-AU"/>
              </w:rPr>
              <w:t xml:space="preserve"> exons 2, 3, and 4; or (b) a </w:t>
            </w:r>
            <w:r w:rsidRPr="00DD30D9">
              <w:rPr>
                <w:rFonts w:ascii="Arial" w:hAnsi="Arial" w:cs="Arial"/>
                <w:i/>
                <w:color w:val="000000"/>
                <w:sz w:val="18"/>
                <w:szCs w:val="18"/>
                <w:lang w:val="en-AU"/>
              </w:rPr>
              <w:t>RAS</w:t>
            </w:r>
            <w:r w:rsidRPr="00DD30D9">
              <w:rPr>
                <w:rFonts w:ascii="Arial" w:hAnsi="Arial" w:cs="Arial"/>
                <w:color w:val="000000"/>
                <w:sz w:val="18"/>
                <w:szCs w:val="18"/>
                <w:lang w:val="en-AU"/>
              </w:rPr>
              <w:t xml:space="preserve"> mutation is found</w:t>
            </w:r>
          </w:p>
        </w:tc>
      </w:tr>
    </w:tbl>
    <w:p w14:paraId="565B0E99" w14:textId="77777777" w:rsidR="00042A71" w:rsidRPr="00A31D28" w:rsidRDefault="00042A71">
      <w:pPr>
        <w:pStyle w:val="Heading2"/>
      </w:pPr>
      <w:bookmarkStart w:id="138" w:name="_Toc477264447"/>
      <w:bookmarkStart w:id="139" w:name="_Toc13736007"/>
      <w:r w:rsidRPr="00A31D28">
        <w:t>Items to be removed</w:t>
      </w:r>
      <w:bookmarkEnd w:id="138"/>
      <w:bookmarkEnd w:id="139"/>
    </w:p>
    <w:p w14:paraId="7E4BE8E2" w14:textId="77777777" w:rsidR="00042A71" w:rsidRPr="00DD30D9" w:rsidRDefault="00042A71" w:rsidP="00042A71">
      <w:pPr>
        <w:rPr>
          <w:lang w:val="en-AU"/>
        </w:rPr>
      </w:pPr>
      <w:r w:rsidRPr="00DD30D9">
        <w:rPr>
          <w:lang w:val="en-AU" w:eastAsia="en-US"/>
        </w:rPr>
        <w:t xml:space="preserve">The Committee </w:t>
      </w:r>
      <w:r w:rsidR="0025372F" w:rsidRPr="00DD30D9">
        <w:rPr>
          <w:lang w:val="en-AU"/>
        </w:rPr>
        <w:t>recommended</w:t>
      </w:r>
      <w:r w:rsidRPr="00DD30D9">
        <w:rPr>
          <w:lang w:val="en-AU"/>
        </w:rPr>
        <w:t xml:space="preserve"> the MBS items listed </w:t>
      </w:r>
      <w:r w:rsidR="00AB472D" w:rsidRPr="00DD30D9">
        <w:rPr>
          <w:lang w:val="en-AU"/>
        </w:rPr>
        <w:t xml:space="preserve">in Table </w:t>
      </w:r>
      <w:r w:rsidR="002F2A81" w:rsidRPr="00DD30D9">
        <w:rPr>
          <w:lang w:val="en-AU"/>
        </w:rPr>
        <w:t xml:space="preserve">24 </w:t>
      </w:r>
      <w:r w:rsidRPr="00DD30D9">
        <w:rPr>
          <w:lang w:val="en-AU"/>
        </w:rPr>
        <w:t xml:space="preserve">be removed from the </w:t>
      </w:r>
      <w:r w:rsidR="00AD1BA9" w:rsidRPr="00DD30D9">
        <w:rPr>
          <w:lang w:val="en-AU"/>
        </w:rPr>
        <w:t>MBS</w:t>
      </w:r>
      <w:r w:rsidR="0061030F" w:rsidRPr="00DD30D9">
        <w:rPr>
          <w:lang w:val="en-AU"/>
        </w:rPr>
        <w:t>.</w:t>
      </w:r>
    </w:p>
    <w:p w14:paraId="4132161F" w14:textId="77777777" w:rsidR="00042A71" w:rsidRPr="00DD30D9" w:rsidRDefault="00042A71" w:rsidP="00042A71">
      <w:pPr>
        <w:pStyle w:val="01squarebullet"/>
        <w:rPr>
          <w:lang w:val="en-AU"/>
        </w:rPr>
      </w:pPr>
      <w:r w:rsidRPr="00DD30D9">
        <w:rPr>
          <w:lang w:val="en-AU"/>
        </w:rPr>
        <w:t xml:space="preserve">Item </w:t>
      </w:r>
      <w:r w:rsidR="00D8786B" w:rsidRPr="00DD30D9">
        <w:rPr>
          <w:lang w:val="en-AU"/>
        </w:rPr>
        <w:t>73305</w:t>
      </w:r>
      <w:r w:rsidRPr="00DD30D9">
        <w:rPr>
          <w:lang w:val="en-AU"/>
        </w:rPr>
        <w:t xml:space="preserve"> is </w:t>
      </w:r>
      <w:r w:rsidR="00D8786B" w:rsidRPr="00DD30D9">
        <w:rPr>
          <w:lang w:val="en-AU"/>
        </w:rPr>
        <w:t>redundant</w:t>
      </w:r>
      <w:r w:rsidRPr="00DD30D9">
        <w:rPr>
          <w:lang w:val="en-AU"/>
        </w:rPr>
        <w:t xml:space="preserve"> due to the availability of alternate methods</w:t>
      </w:r>
      <w:r w:rsidR="00D8786B" w:rsidRPr="00DD30D9">
        <w:rPr>
          <w:lang w:val="en-AU"/>
        </w:rPr>
        <w:t xml:space="preserve"> (see section 4.6)</w:t>
      </w:r>
    </w:p>
    <w:p w14:paraId="39876C05" w14:textId="77777777" w:rsidR="00042A71" w:rsidRPr="00DD30D9" w:rsidRDefault="00042A71" w:rsidP="00042A71">
      <w:pPr>
        <w:pStyle w:val="01squarebullet"/>
        <w:rPr>
          <w:lang w:val="en-AU"/>
        </w:rPr>
      </w:pPr>
      <w:r w:rsidRPr="00DD30D9">
        <w:rPr>
          <w:lang w:val="en-AU"/>
        </w:rPr>
        <w:lastRenderedPageBreak/>
        <w:t xml:space="preserve">Items </w:t>
      </w:r>
      <w:r w:rsidR="00D8786B" w:rsidRPr="00DD30D9">
        <w:rPr>
          <w:lang w:val="en-AU"/>
        </w:rPr>
        <w:t>73311 and 73312</w:t>
      </w:r>
      <w:r w:rsidRPr="00DD30D9">
        <w:rPr>
          <w:lang w:val="en-AU"/>
        </w:rPr>
        <w:t xml:space="preserve"> have </w:t>
      </w:r>
      <w:r w:rsidR="00D8786B" w:rsidRPr="00DD30D9">
        <w:rPr>
          <w:lang w:val="en-AU"/>
        </w:rPr>
        <w:t>been delete</w:t>
      </w:r>
      <w:r w:rsidR="001E6031" w:rsidRPr="00DD30D9">
        <w:rPr>
          <w:lang w:val="en-AU"/>
        </w:rPr>
        <w:t>d</w:t>
      </w:r>
      <w:r w:rsidR="00D8786B" w:rsidRPr="00DD30D9">
        <w:rPr>
          <w:lang w:val="en-AU"/>
        </w:rPr>
        <w:t xml:space="preserve"> due to lack of evidence supporting their use (see section 4.</w:t>
      </w:r>
      <w:r w:rsidR="00AD1BA9" w:rsidRPr="00DD30D9">
        <w:rPr>
          <w:lang w:val="en-AU"/>
        </w:rPr>
        <w:t>9</w:t>
      </w:r>
      <w:r w:rsidRPr="00DD30D9">
        <w:rPr>
          <w:lang w:val="en-AU"/>
        </w:rPr>
        <w:t>).</w:t>
      </w:r>
    </w:p>
    <w:p w14:paraId="1B47BD9B" w14:textId="77777777" w:rsidR="00042A71" w:rsidRPr="00DC17B1" w:rsidRDefault="00042A71">
      <w:pPr>
        <w:pStyle w:val="Caption"/>
      </w:pPr>
      <w:bookmarkStart w:id="140" w:name="_Toc482009646"/>
      <w:r w:rsidRPr="00DC17B1">
        <w:t xml:space="preserve">Table </w:t>
      </w:r>
      <w:r w:rsidR="00474F25" w:rsidRPr="004272EB">
        <w:fldChar w:fldCharType="begin"/>
      </w:r>
      <w:r w:rsidR="00474F25" w:rsidRPr="00DC17B1">
        <w:instrText xml:space="preserve"> AUTONUM  \* Arabic </w:instrText>
      </w:r>
      <w:r w:rsidR="00474F25" w:rsidRPr="004272EB">
        <w:fldChar w:fldCharType="end"/>
      </w:r>
      <w:r w:rsidRPr="00DC17B1">
        <w:t xml:space="preserve"> Items recommended for removal from the MBS</w:t>
      </w:r>
      <w:bookmarkEnd w:id="140"/>
    </w:p>
    <w:tbl>
      <w:tblPr>
        <w:tblStyle w:val="TableGrid"/>
        <w:tblW w:w="9322" w:type="dxa"/>
        <w:tblLayout w:type="fixed"/>
        <w:tblLook w:val="04A0" w:firstRow="1" w:lastRow="0" w:firstColumn="1" w:lastColumn="0" w:noHBand="0" w:noVBand="1"/>
        <w:tblCaption w:val="Items to be removed"/>
        <w:tblDescription w:val="This table lists the items, descriptors, schedule fees and numbers of services provided in 2014-15 for items recommended to be removed from the MBS."/>
      </w:tblPr>
      <w:tblGrid>
        <w:gridCol w:w="965"/>
        <w:gridCol w:w="5522"/>
        <w:gridCol w:w="1451"/>
        <w:gridCol w:w="1384"/>
      </w:tblGrid>
      <w:tr w:rsidR="00042A71" w:rsidRPr="00720661" w14:paraId="77BA3C91" w14:textId="77777777" w:rsidTr="004272EB">
        <w:trPr>
          <w:tblHeader/>
        </w:trPr>
        <w:tc>
          <w:tcPr>
            <w:tcW w:w="965" w:type="dxa"/>
            <w:shd w:val="clear" w:color="auto" w:fill="EEECE1" w:themeFill="background2"/>
            <w:vAlign w:val="bottom"/>
          </w:tcPr>
          <w:p w14:paraId="2A41A938" w14:textId="77777777" w:rsidR="00042A71" w:rsidRPr="00DD30D9" w:rsidRDefault="00042A71" w:rsidP="008E0495">
            <w:pPr>
              <w:spacing w:before="60" w:after="40"/>
              <w:rPr>
                <w:rFonts w:ascii="Arial" w:hAnsi="Arial" w:cs="Arial"/>
                <w:b/>
                <w:sz w:val="18"/>
                <w:szCs w:val="18"/>
                <w:lang w:val="en-AU"/>
              </w:rPr>
            </w:pPr>
            <w:r w:rsidRPr="00DD30D9">
              <w:rPr>
                <w:rFonts w:ascii="Arial" w:hAnsi="Arial" w:cs="Arial"/>
                <w:b/>
                <w:sz w:val="18"/>
                <w:szCs w:val="18"/>
                <w:lang w:val="en-AU"/>
              </w:rPr>
              <w:t>Item</w:t>
            </w:r>
          </w:p>
        </w:tc>
        <w:tc>
          <w:tcPr>
            <w:tcW w:w="5522" w:type="dxa"/>
            <w:shd w:val="clear" w:color="auto" w:fill="EEECE1" w:themeFill="background2"/>
            <w:vAlign w:val="bottom"/>
          </w:tcPr>
          <w:p w14:paraId="34058EE1" w14:textId="77777777" w:rsidR="00042A71" w:rsidRPr="00DD30D9" w:rsidRDefault="00042A71" w:rsidP="008E0495">
            <w:pPr>
              <w:spacing w:before="60" w:after="40"/>
              <w:rPr>
                <w:rFonts w:ascii="Arial" w:hAnsi="Arial" w:cs="Arial"/>
                <w:sz w:val="18"/>
                <w:szCs w:val="18"/>
                <w:lang w:val="en-AU"/>
              </w:rPr>
            </w:pPr>
            <w:r w:rsidRPr="00DD30D9">
              <w:rPr>
                <w:rFonts w:ascii="Arial" w:hAnsi="Arial" w:cs="Arial"/>
                <w:b/>
                <w:sz w:val="18"/>
                <w:szCs w:val="18"/>
                <w:lang w:val="en-AU"/>
              </w:rPr>
              <w:t>Item descriptor</w:t>
            </w:r>
          </w:p>
        </w:tc>
        <w:tc>
          <w:tcPr>
            <w:tcW w:w="1451" w:type="dxa"/>
            <w:shd w:val="clear" w:color="auto" w:fill="EEECE1" w:themeFill="background2"/>
            <w:vAlign w:val="bottom"/>
          </w:tcPr>
          <w:p w14:paraId="544716CB" w14:textId="77777777" w:rsidR="00042A71" w:rsidRPr="00DD30D9" w:rsidRDefault="00042A71" w:rsidP="008E0495">
            <w:pPr>
              <w:spacing w:before="60" w:after="40"/>
              <w:rPr>
                <w:rFonts w:ascii="Arial" w:hAnsi="Arial" w:cs="Arial"/>
                <w:sz w:val="18"/>
                <w:szCs w:val="18"/>
                <w:lang w:val="en-AU"/>
              </w:rPr>
            </w:pPr>
            <w:r w:rsidRPr="00DD30D9">
              <w:rPr>
                <w:rFonts w:ascii="Arial" w:hAnsi="Arial" w:cs="Arial"/>
                <w:b/>
                <w:sz w:val="18"/>
                <w:szCs w:val="18"/>
                <w:lang w:val="en-AU"/>
              </w:rPr>
              <w:t xml:space="preserve">Schedule fee </w:t>
            </w:r>
          </w:p>
        </w:tc>
        <w:tc>
          <w:tcPr>
            <w:tcW w:w="1384" w:type="dxa"/>
            <w:shd w:val="clear" w:color="auto" w:fill="EEECE1" w:themeFill="background2"/>
            <w:vAlign w:val="bottom"/>
          </w:tcPr>
          <w:p w14:paraId="46424768" w14:textId="77777777" w:rsidR="00042A71" w:rsidRPr="00DD30D9" w:rsidRDefault="00042A71" w:rsidP="008E0495">
            <w:pPr>
              <w:spacing w:before="60" w:after="40"/>
              <w:rPr>
                <w:rFonts w:ascii="Arial" w:hAnsi="Arial" w:cs="Arial"/>
                <w:sz w:val="18"/>
                <w:szCs w:val="18"/>
                <w:lang w:val="en-AU"/>
              </w:rPr>
            </w:pPr>
            <w:r w:rsidRPr="00DD30D9">
              <w:rPr>
                <w:rFonts w:ascii="Arial" w:hAnsi="Arial" w:cs="Arial"/>
                <w:b/>
                <w:sz w:val="18"/>
                <w:szCs w:val="18"/>
                <w:lang w:val="en-AU"/>
              </w:rPr>
              <w:t xml:space="preserve">Services </w:t>
            </w:r>
            <w:r w:rsidRPr="00DD30D9">
              <w:rPr>
                <w:rFonts w:ascii="Arial" w:hAnsi="Arial" w:cs="Arial"/>
                <w:b/>
                <w:sz w:val="18"/>
                <w:szCs w:val="18"/>
                <w:lang w:val="en-AU"/>
              </w:rPr>
              <w:br/>
              <w:t>(FY 2014–15)</w:t>
            </w:r>
          </w:p>
        </w:tc>
      </w:tr>
      <w:tr w:rsidR="004A28B2" w:rsidRPr="00720661" w14:paraId="0945C9C6" w14:textId="77777777" w:rsidTr="008E0495">
        <w:tc>
          <w:tcPr>
            <w:tcW w:w="965" w:type="dxa"/>
          </w:tcPr>
          <w:p w14:paraId="3EB27412" w14:textId="77777777" w:rsidR="004A28B2" w:rsidRPr="00DD30D9" w:rsidRDefault="004A28B2" w:rsidP="004A28B2">
            <w:pPr>
              <w:spacing w:before="140" w:after="40"/>
              <w:rPr>
                <w:rFonts w:ascii="Arial" w:hAnsi="Arial" w:cs="Arial"/>
                <w:b/>
                <w:sz w:val="18"/>
                <w:szCs w:val="18"/>
                <w:lang w:val="en-AU"/>
              </w:rPr>
            </w:pPr>
            <w:r w:rsidRPr="00DD30D9">
              <w:rPr>
                <w:rFonts w:ascii="Arial" w:hAnsi="Arial" w:cs="Arial"/>
                <w:color w:val="000000"/>
                <w:sz w:val="18"/>
                <w:szCs w:val="18"/>
                <w:lang w:val="en-AU"/>
              </w:rPr>
              <w:t>73305</w:t>
            </w:r>
          </w:p>
        </w:tc>
        <w:tc>
          <w:tcPr>
            <w:tcW w:w="5522" w:type="dxa"/>
          </w:tcPr>
          <w:p w14:paraId="5F1BB7DF" w14:textId="77777777" w:rsidR="004A28B2" w:rsidRPr="00DD30D9" w:rsidRDefault="00D8786B" w:rsidP="004A28B2">
            <w:pPr>
              <w:spacing w:before="140" w:after="40"/>
              <w:rPr>
                <w:rFonts w:ascii="Arial" w:hAnsi="Arial" w:cs="Arial"/>
                <w:sz w:val="18"/>
                <w:szCs w:val="18"/>
                <w:lang w:val="en-AU"/>
              </w:rPr>
            </w:pPr>
            <w:r w:rsidRPr="00DD30D9">
              <w:rPr>
                <w:rFonts w:ascii="Arial" w:hAnsi="Arial" w:cs="Arial"/>
                <w:color w:val="000000"/>
                <w:sz w:val="18"/>
                <w:szCs w:val="18"/>
                <w:lang w:val="en-AU"/>
              </w:rPr>
              <w:t xml:space="preserve">Detection of mutation of the </w:t>
            </w:r>
            <w:r w:rsidRPr="00DD30D9">
              <w:rPr>
                <w:rFonts w:ascii="Arial" w:hAnsi="Arial" w:cs="Arial"/>
                <w:i/>
                <w:color w:val="000000"/>
                <w:sz w:val="18"/>
                <w:szCs w:val="18"/>
                <w:lang w:val="en-AU"/>
              </w:rPr>
              <w:t>FMR</w:t>
            </w:r>
            <w:r w:rsidR="004A28B2" w:rsidRPr="00DD30D9">
              <w:rPr>
                <w:rFonts w:ascii="Arial" w:hAnsi="Arial" w:cs="Arial"/>
                <w:i/>
                <w:color w:val="000000"/>
                <w:sz w:val="18"/>
                <w:szCs w:val="18"/>
                <w:lang w:val="en-AU"/>
              </w:rPr>
              <w:t>1</w:t>
            </w:r>
            <w:r w:rsidR="004A28B2" w:rsidRPr="00DD30D9">
              <w:rPr>
                <w:rFonts w:ascii="Arial" w:hAnsi="Arial" w:cs="Arial"/>
                <w:color w:val="000000"/>
                <w:sz w:val="18"/>
                <w:szCs w:val="18"/>
                <w:lang w:val="en-AU"/>
              </w:rPr>
              <w:t xml:space="preserve"> gene by Southern blot analysis where the results in item 73300 are inconclusive</w:t>
            </w:r>
          </w:p>
        </w:tc>
        <w:tc>
          <w:tcPr>
            <w:tcW w:w="1451" w:type="dxa"/>
          </w:tcPr>
          <w:p w14:paraId="4569BDFA" w14:textId="77777777" w:rsidR="004A28B2" w:rsidRPr="00DD30D9" w:rsidRDefault="00D8786B" w:rsidP="004272EB">
            <w:pPr>
              <w:spacing w:before="140" w:after="40"/>
              <w:jc w:val="right"/>
              <w:rPr>
                <w:rFonts w:ascii="Arial" w:hAnsi="Arial" w:cs="Arial"/>
                <w:sz w:val="18"/>
                <w:szCs w:val="18"/>
                <w:lang w:val="en-AU"/>
              </w:rPr>
            </w:pPr>
            <w:r w:rsidRPr="00DD30D9">
              <w:rPr>
                <w:rFonts w:ascii="Arial" w:hAnsi="Arial" w:cs="Arial"/>
                <w:sz w:val="18"/>
                <w:szCs w:val="18"/>
                <w:lang w:val="en-AU"/>
              </w:rPr>
              <w:t>$202.65</w:t>
            </w:r>
          </w:p>
        </w:tc>
        <w:tc>
          <w:tcPr>
            <w:tcW w:w="1384" w:type="dxa"/>
          </w:tcPr>
          <w:p w14:paraId="04AA031B" w14:textId="77777777" w:rsidR="004A28B2" w:rsidRPr="00DD30D9" w:rsidRDefault="00D8786B" w:rsidP="004272EB">
            <w:pPr>
              <w:spacing w:before="140" w:after="40"/>
              <w:jc w:val="right"/>
              <w:rPr>
                <w:rFonts w:ascii="Arial" w:hAnsi="Arial" w:cs="Arial"/>
                <w:sz w:val="18"/>
                <w:szCs w:val="18"/>
                <w:lang w:val="en-AU"/>
              </w:rPr>
            </w:pPr>
            <w:r w:rsidRPr="00DD30D9">
              <w:rPr>
                <w:rFonts w:ascii="Arial" w:hAnsi="Arial" w:cs="Arial"/>
                <w:sz w:val="18"/>
                <w:szCs w:val="18"/>
                <w:lang w:val="en-AU"/>
              </w:rPr>
              <w:t>616</w:t>
            </w:r>
          </w:p>
        </w:tc>
      </w:tr>
      <w:tr w:rsidR="00D8786B" w:rsidRPr="00720661" w14:paraId="30494D36" w14:textId="77777777" w:rsidTr="008E0495">
        <w:tc>
          <w:tcPr>
            <w:tcW w:w="965" w:type="dxa"/>
          </w:tcPr>
          <w:p w14:paraId="555A75CA" w14:textId="77777777" w:rsidR="00D8786B" w:rsidRPr="00720661" w:rsidRDefault="00D8786B" w:rsidP="00D8786B">
            <w:pPr>
              <w:spacing w:before="140" w:after="40"/>
              <w:rPr>
                <w:rFonts w:ascii="Arial" w:hAnsi="Arial" w:cs="Arial"/>
                <w:color w:val="000000"/>
                <w:sz w:val="18"/>
                <w:szCs w:val="18"/>
                <w:lang w:val="en-AU"/>
              </w:rPr>
            </w:pPr>
            <w:r w:rsidRPr="00DD30D9">
              <w:rPr>
                <w:rFonts w:ascii="Arial" w:hAnsi="Arial" w:cs="Arial"/>
                <w:color w:val="000000"/>
                <w:sz w:val="18"/>
                <w:szCs w:val="18"/>
                <w:lang w:val="en-AU"/>
              </w:rPr>
              <w:t>73311</w:t>
            </w:r>
          </w:p>
        </w:tc>
        <w:tc>
          <w:tcPr>
            <w:tcW w:w="5522" w:type="dxa"/>
          </w:tcPr>
          <w:p w14:paraId="0A659D74" w14:textId="77777777" w:rsidR="00D8786B" w:rsidRPr="00720661" w:rsidRDefault="00D8786B" w:rsidP="00D8786B">
            <w:pPr>
              <w:spacing w:before="140" w:after="40"/>
              <w:rPr>
                <w:rFonts w:ascii="Arial" w:hAnsi="Arial" w:cs="Arial"/>
                <w:color w:val="000000"/>
                <w:sz w:val="18"/>
                <w:szCs w:val="18"/>
                <w:lang w:val="en-AU"/>
              </w:rPr>
            </w:pPr>
            <w:r w:rsidRPr="00DD30D9">
              <w:rPr>
                <w:rFonts w:ascii="Arial" w:hAnsi="Arial" w:cs="Arial"/>
                <w:color w:val="000000"/>
                <w:sz w:val="18"/>
                <w:szCs w:val="18"/>
                <w:lang w:val="en-AU"/>
              </w:rPr>
              <w:t>Characterisation of the genotype of a person who is a first degree relative of a person who has proven to have 1 or more abnormal genotypes under item 73308 - 1 or more tests</w:t>
            </w:r>
          </w:p>
        </w:tc>
        <w:tc>
          <w:tcPr>
            <w:tcW w:w="1451" w:type="dxa"/>
          </w:tcPr>
          <w:p w14:paraId="77562129" w14:textId="77777777" w:rsidR="00D8786B" w:rsidRPr="00DD30D9" w:rsidRDefault="00D8786B" w:rsidP="004272EB">
            <w:pPr>
              <w:spacing w:before="140" w:after="40"/>
              <w:jc w:val="right"/>
              <w:rPr>
                <w:rFonts w:ascii="Arial" w:hAnsi="Arial" w:cs="Arial"/>
                <w:sz w:val="18"/>
                <w:szCs w:val="18"/>
                <w:lang w:val="en-AU"/>
              </w:rPr>
            </w:pPr>
            <w:r w:rsidRPr="00DD30D9">
              <w:rPr>
                <w:rFonts w:ascii="Arial" w:hAnsi="Arial" w:cs="Arial"/>
                <w:sz w:val="18"/>
                <w:szCs w:val="18"/>
                <w:lang w:val="en-AU"/>
              </w:rPr>
              <w:t>$36.45</w:t>
            </w:r>
          </w:p>
        </w:tc>
        <w:tc>
          <w:tcPr>
            <w:tcW w:w="1384" w:type="dxa"/>
          </w:tcPr>
          <w:p w14:paraId="3E4320AC" w14:textId="77777777" w:rsidR="00D8786B" w:rsidRPr="00DD30D9" w:rsidRDefault="00D8786B" w:rsidP="004272EB">
            <w:pPr>
              <w:spacing w:before="140" w:after="40"/>
              <w:jc w:val="right"/>
              <w:rPr>
                <w:rFonts w:ascii="Arial" w:hAnsi="Arial" w:cs="Arial"/>
                <w:sz w:val="18"/>
                <w:szCs w:val="18"/>
                <w:lang w:val="en-AU"/>
              </w:rPr>
            </w:pPr>
            <w:r w:rsidRPr="00DD30D9">
              <w:rPr>
                <w:rFonts w:ascii="Arial" w:hAnsi="Arial" w:cs="Arial"/>
                <w:sz w:val="18"/>
                <w:szCs w:val="18"/>
                <w:lang w:val="en-AU"/>
              </w:rPr>
              <w:t>6536</w:t>
            </w:r>
          </w:p>
        </w:tc>
      </w:tr>
      <w:tr w:rsidR="00D8786B" w:rsidRPr="00720661" w14:paraId="4C8869C0" w14:textId="77777777" w:rsidTr="008E0495">
        <w:tc>
          <w:tcPr>
            <w:tcW w:w="965" w:type="dxa"/>
          </w:tcPr>
          <w:p w14:paraId="0723EB95" w14:textId="77777777" w:rsidR="00D8786B" w:rsidRPr="00720661" w:rsidRDefault="00D8786B" w:rsidP="00D8786B">
            <w:pPr>
              <w:spacing w:before="140" w:after="40"/>
              <w:rPr>
                <w:rFonts w:ascii="Arial" w:hAnsi="Arial" w:cs="Arial"/>
                <w:color w:val="000000"/>
                <w:sz w:val="18"/>
                <w:szCs w:val="18"/>
                <w:lang w:val="en-AU"/>
              </w:rPr>
            </w:pPr>
            <w:r w:rsidRPr="00DD30D9">
              <w:rPr>
                <w:rFonts w:ascii="Arial" w:hAnsi="Arial" w:cs="Arial"/>
                <w:color w:val="000000"/>
                <w:sz w:val="18"/>
                <w:szCs w:val="18"/>
                <w:lang w:val="en-AU"/>
              </w:rPr>
              <w:t>73312</w:t>
            </w:r>
          </w:p>
        </w:tc>
        <w:tc>
          <w:tcPr>
            <w:tcW w:w="5522" w:type="dxa"/>
          </w:tcPr>
          <w:p w14:paraId="08117A3D" w14:textId="77777777" w:rsidR="00D8786B" w:rsidRPr="00720661" w:rsidRDefault="00D8786B" w:rsidP="00D8786B">
            <w:pPr>
              <w:spacing w:before="140" w:after="40"/>
              <w:rPr>
                <w:rFonts w:ascii="Arial" w:hAnsi="Arial" w:cs="Arial"/>
                <w:color w:val="000000"/>
                <w:sz w:val="18"/>
                <w:szCs w:val="18"/>
                <w:lang w:val="en-AU"/>
              </w:rPr>
            </w:pPr>
            <w:r w:rsidRPr="00DD30D9">
              <w:rPr>
                <w:rFonts w:ascii="Arial" w:hAnsi="Arial" w:cs="Arial"/>
                <w:color w:val="000000"/>
                <w:sz w:val="18"/>
                <w:szCs w:val="18"/>
                <w:lang w:val="en-AU"/>
              </w:rPr>
              <w:t>A test described in item 73311, if rendered by a receiving APP - 1 or more tests (Item is subject to rule 18)</w:t>
            </w:r>
          </w:p>
        </w:tc>
        <w:tc>
          <w:tcPr>
            <w:tcW w:w="1451" w:type="dxa"/>
          </w:tcPr>
          <w:p w14:paraId="218B3819" w14:textId="77777777" w:rsidR="00D8786B" w:rsidRPr="00DD30D9" w:rsidRDefault="00D8786B" w:rsidP="004272EB">
            <w:pPr>
              <w:spacing w:before="140" w:after="40"/>
              <w:jc w:val="right"/>
              <w:rPr>
                <w:rFonts w:ascii="Arial" w:hAnsi="Arial" w:cs="Arial"/>
                <w:sz w:val="18"/>
                <w:szCs w:val="18"/>
                <w:lang w:val="en-AU"/>
              </w:rPr>
            </w:pPr>
            <w:r w:rsidRPr="00DD30D9">
              <w:rPr>
                <w:rFonts w:ascii="Arial" w:hAnsi="Arial" w:cs="Arial"/>
                <w:sz w:val="18"/>
                <w:szCs w:val="18"/>
                <w:lang w:val="en-AU"/>
              </w:rPr>
              <w:t>$36.45</w:t>
            </w:r>
          </w:p>
        </w:tc>
        <w:tc>
          <w:tcPr>
            <w:tcW w:w="1384" w:type="dxa"/>
          </w:tcPr>
          <w:p w14:paraId="74F3EAED" w14:textId="77777777" w:rsidR="00D8786B" w:rsidRPr="00DD30D9" w:rsidRDefault="00D8786B" w:rsidP="004272EB">
            <w:pPr>
              <w:spacing w:before="140" w:after="40"/>
              <w:jc w:val="right"/>
              <w:rPr>
                <w:rFonts w:ascii="Arial" w:hAnsi="Arial" w:cs="Arial"/>
                <w:sz w:val="18"/>
                <w:szCs w:val="18"/>
                <w:lang w:val="en-AU"/>
              </w:rPr>
            </w:pPr>
            <w:r w:rsidRPr="00DD30D9">
              <w:rPr>
                <w:rFonts w:ascii="Arial" w:hAnsi="Arial" w:cs="Arial"/>
                <w:sz w:val="18"/>
                <w:szCs w:val="18"/>
                <w:lang w:val="en-AU"/>
              </w:rPr>
              <w:t>56</w:t>
            </w:r>
          </w:p>
        </w:tc>
      </w:tr>
    </w:tbl>
    <w:p w14:paraId="284DDB12" w14:textId="77777777" w:rsidR="00042A71" w:rsidRPr="00720661" w:rsidRDefault="00042A71" w:rsidP="00082595">
      <w:pPr>
        <w:rPr>
          <w:lang w:val="en-AU" w:eastAsia="en-US"/>
        </w:rPr>
      </w:pPr>
    </w:p>
    <w:p w14:paraId="4DD9FFBB" w14:textId="77777777" w:rsidR="001136B9" w:rsidRPr="00720661" w:rsidRDefault="001136B9" w:rsidP="00082595">
      <w:pPr>
        <w:rPr>
          <w:rFonts w:eastAsiaTheme="minorHAnsi" w:cs="Arial"/>
          <w:kern w:val="32"/>
          <w:sz w:val="32"/>
          <w:szCs w:val="28"/>
          <w:lang w:val="en-AU" w:eastAsia="en-US"/>
        </w:rPr>
      </w:pPr>
      <w:r w:rsidRPr="00720661">
        <w:rPr>
          <w:lang w:val="en-AU"/>
        </w:rPr>
        <w:br w:type="page"/>
      </w:r>
    </w:p>
    <w:p w14:paraId="3F3479A2" w14:textId="77777777" w:rsidR="00512F2C" w:rsidRPr="00720661" w:rsidRDefault="00962111" w:rsidP="008855E4">
      <w:pPr>
        <w:pStyle w:val="Heading1"/>
        <w:rPr>
          <w:color w:val="auto"/>
          <w:lang w:val="en-AU"/>
        </w:rPr>
      </w:pPr>
      <w:bookmarkStart w:id="141" w:name="_Recommendations_to_other"/>
      <w:bookmarkStart w:id="142" w:name="_Toc459996820"/>
      <w:bookmarkStart w:id="143" w:name="_Toc458167010"/>
      <w:bookmarkStart w:id="144" w:name="_Toc13736008"/>
      <w:bookmarkEnd w:id="141"/>
      <w:r w:rsidRPr="00720661">
        <w:rPr>
          <w:lang w:val="en-AU"/>
        </w:rPr>
        <w:lastRenderedPageBreak/>
        <w:t xml:space="preserve">Recommendations to </w:t>
      </w:r>
      <w:r w:rsidR="003F21C5" w:rsidRPr="00DD30D9">
        <w:rPr>
          <w:lang w:val="en-AU"/>
        </w:rPr>
        <w:t>o</w:t>
      </w:r>
      <w:r w:rsidRPr="00DD30D9">
        <w:rPr>
          <w:lang w:val="en-AU"/>
        </w:rPr>
        <w:t xml:space="preserve">ther </w:t>
      </w:r>
      <w:r w:rsidR="003F21C5" w:rsidRPr="00DD30D9">
        <w:rPr>
          <w:lang w:val="en-AU"/>
        </w:rPr>
        <w:t>c</w:t>
      </w:r>
      <w:r w:rsidRPr="00DD30D9">
        <w:rPr>
          <w:lang w:val="en-AU"/>
        </w:rPr>
        <w:t>ommittees</w:t>
      </w:r>
      <w:bookmarkEnd w:id="142"/>
      <w:bookmarkEnd w:id="143"/>
      <w:bookmarkEnd w:id="144"/>
    </w:p>
    <w:p w14:paraId="5B2B0761" w14:textId="77777777" w:rsidR="00A47923" w:rsidRPr="00720661" w:rsidRDefault="00A47923" w:rsidP="00082595">
      <w:pPr>
        <w:pStyle w:val="Boldhdg"/>
        <w:rPr>
          <w:lang w:val="en-AU"/>
        </w:rPr>
      </w:pPr>
      <w:r w:rsidRPr="00720661">
        <w:rPr>
          <w:lang w:val="en-AU"/>
        </w:rPr>
        <w:t>Introduction</w:t>
      </w:r>
    </w:p>
    <w:p w14:paraId="1CC6F1AD" w14:textId="77777777" w:rsidR="003607B2" w:rsidRPr="00720661" w:rsidRDefault="00D87A11" w:rsidP="00082595">
      <w:pPr>
        <w:rPr>
          <w:lang w:val="en-AU"/>
        </w:rPr>
      </w:pPr>
      <w:r w:rsidRPr="00720661">
        <w:rPr>
          <w:lang w:val="en-AU"/>
        </w:rPr>
        <w:t>T</w:t>
      </w:r>
      <w:r w:rsidR="00153FB2" w:rsidRPr="00720661">
        <w:rPr>
          <w:lang w:val="en-AU"/>
        </w:rPr>
        <w:t xml:space="preserve">he Committee </w:t>
      </w:r>
      <w:r w:rsidR="00826C8F" w:rsidRPr="00720661">
        <w:rPr>
          <w:lang w:val="en-AU"/>
        </w:rPr>
        <w:t xml:space="preserve">has </w:t>
      </w:r>
      <w:r w:rsidR="00063B43" w:rsidRPr="00720661">
        <w:rPr>
          <w:lang w:val="en-AU"/>
        </w:rPr>
        <w:t xml:space="preserve">also </w:t>
      </w:r>
      <w:r w:rsidR="00943A26" w:rsidRPr="00720661">
        <w:rPr>
          <w:lang w:val="en-AU"/>
        </w:rPr>
        <w:t xml:space="preserve">developed </w:t>
      </w:r>
      <w:r w:rsidR="00063B43" w:rsidRPr="00720661">
        <w:rPr>
          <w:lang w:val="en-AU"/>
        </w:rPr>
        <w:t xml:space="preserve">provisional recommendations for the consideration of other </w:t>
      </w:r>
      <w:r w:rsidR="00CF5897" w:rsidRPr="00720661">
        <w:rPr>
          <w:lang w:val="en-AU"/>
        </w:rPr>
        <w:t>c</w:t>
      </w:r>
      <w:r w:rsidR="00063B43" w:rsidRPr="00720661">
        <w:rPr>
          <w:lang w:val="en-AU"/>
        </w:rPr>
        <w:t xml:space="preserve">ommittees. </w:t>
      </w:r>
    </w:p>
    <w:p w14:paraId="173240BC" w14:textId="77777777" w:rsidR="004272EB" w:rsidRDefault="00BB1FBB" w:rsidP="00DD30D9">
      <w:pPr>
        <w:rPr>
          <w:lang w:val="en-AU" w:eastAsia="en-US"/>
        </w:rPr>
      </w:pPr>
      <w:r w:rsidRPr="00720661">
        <w:rPr>
          <w:lang w:val="en-AU" w:eastAsia="en-US"/>
        </w:rPr>
        <w:t>The item</w:t>
      </w:r>
      <w:r w:rsidR="009939E4" w:rsidRPr="00720661">
        <w:rPr>
          <w:lang w:val="en-AU" w:eastAsia="en-US"/>
        </w:rPr>
        <w:t>-</w:t>
      </w:r>
      <w:r w:rsidRPr="00720661">
        <w:rPr>
          <w:lang w:val="en-AU" w:eastAsia="en-US"/>
        </w:rPr>
        <w:t xml:space="preserve">level recommendations can be found below in </w:t>
      </w:r>
      <w:r w:rsidR="00833B19" w:rsidRPr="0017217D">
        <w:rPr>
          <w:lang w:val="en-AU" w:eastAsia="en-US"/>
        </w:rPr>
        <w:t xml:space="preserve">Sections </w:t>
      </w:r>
      <w:r w:rsidR="007E4981" w:rsidRPr="0017217D">
        <w:rPr>
          <w:lang w:val="en-AU" w:eastAsia="en-US"/>
        </w:rPr>
        <w:t>5</w:t>
      </w:r>
      <w:r w:rsidR="00DC2E98" w:rsidRPr="0017217D">
        <w:rPr>
          <w:lang w:val="en-AU" w:eastAsia="en-US"/>
        </w:rPr>
        <w:t>.1</w:t>
      </w:r>
      <w:r w:rsidR="00B91DAE" w:rsidRPr="0017217D">
        <w:rPr>
          <w:lang w:val="en-AU" w:eastAsia="en-US"/>
        </w:rPr>
        <w:t>–</w:t>
      </w:r>
      <w:r w:rsidR="007E4981" w:rsidRPr="0017217D">
        <w:rPr>
          <w:lang w:val="en-AU" w:eastAsia="en-US"/>
        </w:rPr>
        <w:t>5</w:t>
      </w:r>
      <w:r w:rsidR="00BB7357" w:rsidRPr="0017217D">
        <w:rPr>
          <w:lang w:val="en-AU" w:eastAsia="en-US"/>
        </w:rPr>
        <w:t>.2</w:t>
      </w:r>
      <w:r w:rsidR="0043623E" w:rsidRPr="00720661">
        <w:rPr>
          <w:lang w:val="en-AU" w:eastAsia="en-US"/>
        </w:rPr>
        <w:t>,</w:t>
      </w:r>
      <w:r w:rsidR="007F0DD3" w:rsidRPr="00720661">
        <w:rPr>
          <w:lang w:val="en-AU" w:eastAsia="en-US"/>
        </w:rPr>
        <w:t xml:space="preserve"> </w:t>
      </w:r>
      <w:r w:rsidRPr="00720661">
        <w:rPr>
          <w:lang w:val="en-AU" w:eastAsia="en-US"/>
        </w:rPr>
        <w:t xml:space="preserve">and a summary recommendation </w:t>
      </w:r>
      <w:r w:rsidR="000A3CE0" w:rsidRPr="00720661">
        <w:rPr>
          <w:lang w:val="en-AU" w:eastAsia="en-US"/>
        </w:rPr>
        <w:t xml:space="preserve">table can be found in </w:t>
      </w:r>
      <w:hyperlink w:anchor="_Appendix_B:_Additional" w:history="1">
        <w:r w:rsidR="000A3CE0" w:rsidRPr="0017217D">
          <w:rPr>
            <w:rStyle w:val="Hyperlink"/>
            <w:lang w:val="en-AU" w:eastAsia="en-US"/>
          </w:rPr>
          <w:t xml:space="preserve">Appendix </w:t>
        </w:r>
        <w:r w:rsidR="00690EF1" w:rsidRPr="0017217D">
          <w:rPr>
            <w:rStyle w:val="Hyperlink"/>
            <w:lang w:val="en-AU" w:eastAsia="en-US"/>
          </w:rPr>
          <w:t>B</w:t>
        </w:r>
      </w:hyperlink>
      <w:r w:rsidRPr="0017217D">
        <w:rPr>
          <w:lang w:val="en-AU" w:eastAsia="en-US"/>
        </w:rPr>
        <w:t xml:space="preserve">. </w:t>
      </w:r>
    </w:p>
    <w:p w14:paraId="7DEA1953" w14:textId="77777777" w:rsidR="00760059" w:rsidRPr="00DD30D9" w:rsidRDefault="00760059" w:rsidP="004272EB">
      <w:pPr>
        <w:pStyle w:val="Heading2"/>
      </w:pPr>
      <w:bookmarkStart w:id="145" w:name="_Toc13736009"/>
      <w:r w:rsidRPr="00DD30D9">
        <w:t>Recommendations to Medical Services Advisory Committee</w:t>
      </w:r>
      <w:bookmarkEnd w:id="145"/>
      <w:r w:rsidR="00E07D8D" w:rsidRPr="00DD30D9">
        <w:t xml:space="preserve"> </w:t>
      </w:r>
    </w:p>
    <w:p w14:paraId="18DA8BBA" w14:textId="77777777" w:rsidR="00760059" w:rsidRPr="00DD30D9" w:rsidRDefault="00760059" w:rsidP="001742A7">
      <w:pPr>
        <w:pStyle w:val="Heading3"/>
        <w:rPr>
          <w:lang w:val="en-AU"/>
        </w:rPr>
      </w:pPr>
      <w:bookmarkStart w:id="146" w:name="_Toc13736010"/>
      <w:r w:rsidRPr="00DD30D9">
        <w:rPr>
          <w:lang w:val="en-AU"/>
        </w:rPr>
        <w:t xml:space="preserve">Extension of </w:t>
      </w:r>
      <w:r w:rsidR="00E07D8D" w:rsidRPr="00DD30D9">
        <w:rPr>
          <w:lang w:val="en-AU"/>
        </w:rPr>
        <w:t>item 73292</w:t>
      </w:r>
      <w:r w:rsidR="00CE7D84" w:rsidRPr="00DD30D9">
        <w:rPr>
          <w:lang w:val="en-AU"/>
        </w:rPr>
        <w:t xml:space="preserve"> microarray</w:t>
      </w:r>
      <w:r w:rsidR="001D088A" w:rsidRPr="00DD30D9">
        <w:rPr>
          <w:lang w:val="en-AU"/>
        </w:rPr>
        <w:t>: include new populations</w:t>
      </w:r>
      <w:bookmarkEnd w:id="146"/>
      <w:r w:rsidR="001274B2" w:rsidRPr="00DD30D9">
        <w:rPr>
          <w:lang w:val="en-AU"/>
        </w:rPr>
        <w:t xml:space="preserve">  </w:t>
      </w:r>
    </w:p>
    <w:p w14:paraId="132F1ABE" w14:textId="77777777" w:rsidR="00826F1D" w:rsidRPr="00DD30D9" w:rsidRDefault="00826F1D" w:rsidP="00826F1D">
      <w:pPr>
        <w:pStyle w:val="Heading3"/>
        <w:numPr>
          <w:ilvl w:val="0"/>
          <w:numId w:val="0"/>
        </w:numPr>
        <w:ind w:left="720" w:hanging="720"/>
        <w:rPr>
          <w:sz w:val="22"/>
          <w:szCs w:val="22"/>
          <w:lang w:val="en-AU"/>
        </w:rPr>
      </w:pPr>
      <w:bookmarkStart w:id="147" w:name="_Toc13736011"/>
      <w:r w:rsidRPr="00DD30D9">
        <w:rPr>
          <w:sz w:val="22"/>
          <w:szCs w:val="22"/>
          <w:lang w:val="en-AU"/>
        </w:rPr>
        <w:t>Recommendation</w:t>
      </w:r>
      <w:r w:rsidR="006873F8" w:rsidRPr="00DD30D9">
        <w:rPr>
          <w:sz w:val="22"/>
          <w:szCs w:val="22"/>
          <w:lang w:val="en-AU"/>
        </w:rPr>
        <w:t xml:space="preserve"> 11</w:t>
      </w:r>
      <w:bookmarkEnd w:id="147"/>
    </w:p>
    <w:p w14:paraId="11219908" w14:textId="77777777" w:rsidR="00826F1D" w:rsidRPr="00DD30D9" w:rsidRDefault="00130EAF" w:rsidP="00C20FE5">
      <w:pPr>
        <w:pStyle w:val="01squarebullet"/>
        <w:rPr>
          <w:rFonts w:cs="Calibri"/>
          <w:szCs w:val="22"/>
          <w:lang w:val="en-AU"/>
        </w:rPr>
      </w:pPr>
      <w:r w:rsidRPr="00DD30D9">
        <w:rPr>
          <w:bCs/>
          <w:color w:val="000000"/>
          <w:szCs w:val="22"/>
          <w:lang w:val="en-AU"/>
        </w:rPr>
        <w:t>The Committee</w:t>
      </w:r>
      <w:r w:rsidRPr="00DD30D9">
        <w:rPr>
          <w:b/>
          <w:bCs/>
          <w:color w:val="000000"/>
          <w:szCs w:val="22"/>
          <w:lang w:val="en-AU"/>
        </w:rPr>
        <w:t xml:space="preserve"> </w:t>
      </w:r>
      <w:r w:rsidR="000A3319" w:rsidRPr="00DD30D9">
        <w:rPr>
          <w:szCs w:val="22"/>
          <w:lang w:val="en-AU"/>
        </w:rPr>
        <w:t>seeks to brief the MSAC Executive and obtain its advice on</w:t>
      </w:r>
      <w:r w:rsidR="00C20FE5" w:rsidRPr="00DD30D9">
        <w:rPr>
          <w:szCs w:val="22"/>
          <w:lang w:val="en-AU"/>
        </w:rPr>
        <w:t xml:space="preserve"> t</w:t>
      </w:r>
      <w:r w:rsidR="000A3319" w:rsidRPr="00DD30D9">
        <w:rPr>
          <w:rFonts w:cs="Calibri"/>
          <w:szCs w:val="22"/>
          <w:lang w:val="en-AU"/>
        </w:rPr>
        <w:t>he next steps for an application to MSAC to extend access to genome-wide microarray testing to additional populations beyond those currently specified in item 73292</w:t>
      </w:r>
      <w:r w:rsidR="00C20FE5" w:rsidRPr="00DD30D9">
        <w:rPr>
          <w:rFonts w:cs="Calibri"/>
          <w:szCs w:val="22"/>
          <w:lang w:val="en-AU"/>
        </w:rPr>
        <w:t>.</w:t>
      </w:r>
    </w:p>
    <w:p w14:paraId="50F88F9D" w14:textId="77777777" w:rsidR="00826F1D" w:rsidRPr="00720661" w:rsidRDefault="00826F1D">
      <w:pPr>
        <w:pStyle w:val="Caption"/>
      </w:pPr>
      <w:bookmarkStart w:id="148" w:name="_Toc482009647"/>
      <w:r w:rsidRPr="00DD30D9">
        <w:rPr>
          <w:rFonts w:cs="Calibri"/>
        </w:rPr>
        <w:t xml:space="preserve">Table </w:t>
      </w:r>
      <w:r w:rsidR="00474F25" w:rsidRPr="00860DE7">
        <w:fldChar w:fldCharType="begin"/>
      </w:r>
      <w:r w:rsidR="00474F25" w:rsidRPr="00720661">
        <w:instrText xml:space="preserve"> AUTONUM  \* Arabic </w:instrText>
      </w:r>
      <w:r w:rsidR="00474F25" w:rsidRPr="00860DE7">
        <w:fldChar w:fldCharType="end"/>
      </w:r>
      <w:r w:rsidRPr="00720661">
        <w:t xml:space="preserve"> Item introduction table for item 73292</w:t>
      </w:r>
      <w:bookmarkEnd w:id="148"/>
    </w:p>
    <w:tbl>
      <w:tblPr>
        <w:tblStyle w:val="TableGrid1"/>
        <w:tblW w:w="8802" w:type="dxa"/>
        <w:tblLayout w:type="fixed"/>
        <w:tblLook w:val="04A0" w:firstRow="1" w:lastRow="0" w:firstColumn="1" w:lastColumn="0" w:noHBand="0" w:noVBand="1"/>
        <w:tblCaption w:val="Item introduction table for item 73292"/>
        <w:tblDescription w:val="This table contains Medicare Benefits Schedule data for item 73292 for the finanical year 2014–2015. The data include item numbers, long item descriptors, schedule fee, total volume of services, benefits paid, patient count and services annual average growth."/>
      </w:tblPr>
      <w:tblGrid>
        <w:gridCol w:w="738"/>
        <w:gridCol w:w="2757"/>
        <w:gridCol w:w="1022"/>
        <w:gridCol w:w="1203"/>
        <w:gridCol w:w="1246"/>
        <w:gridCol w:w="924"/>
        <w:gridCol w:w="912"/>
      </w:tblGrid>
      <w:tr w:rsidR="004A4BD6" w:rsidRPr="00720661" w14:paraId="77776A9E" w14:textId="77777777" w:rsidTr="004272EB">
        <w:trPr>
          <w:trHeight w:val="729"/>
          <w:tblHeader/>
        </w:trPr>
        <w:tc>
          <w:tcPr>
            <w:tcW w:w="738" w:type="dxa"/>
            <w:shd w:val="clear" w:color="auto" w:fill="EEECE1" w:themeFill="background2"/>
            <w:vAlign w:val="bottom"/>
            <w:hideMark/>
          </w:tcPr>
          <w:p w14:paraId="6AAA4D5A"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Item</w:t>
            </w:r>
          </w:p>
        </w:tc>
        <w:tc>
          <w:tcPr>
            <w:tcW w:w="2757" w:type="dxa"/>
            <w:shd w:val="clear" w:color="auto" w:fill="EEECE1" w:themeFill="background2"/>
            <w:vAlign w:val="bottom"/>
            <w:hideMark/>
          </w:tcPr>
          <w:p w14:paraId="2266754D"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Long item descriptor</w:t>
            </w:r>
          </w:p>
        </w:tc>
        <w:tc>
          <w:tcPr>
            <w:tcW w:w="1022" w:type="dxa"/>
            <w:shd w:val="clear" w:color="auto" w:fill="EEECE1" w:themeFill="background2"/>
            <w:vAlign w:val="bottom"/>
            <w:hideMark/>
          </w:tcPr>
          <w:p w14:paraId="4FAECB43"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Schedule fee</w:t>
            </w:r>
          </w:p>
        </w:tc>
        <w:tc>
          <w:tcPr>
            <w:tcW w:w="1203" w:type="dxa"/>
            <w:shd w:val="clear" w:color="auto" w:fill="EEECE1" w:themeFill="background2"/>
            <w:vAlign w:val="bottom"/>
          </w:tcPr>
          <w:p w14:paraId="7FB89D55"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Services FY 2014–15</w:t>
            </w:r>
          </w:p>
        </w:tc>
        <w:tc>
          <w:tcPr>
            <w:tcW w:w="1246" w:type="dxa"/>
            <w:shd w:val="clear" w:color="auto" w:fill="EEECE1" w:themeFill="background2"/>
            <w:vAlign w:val="bottom"/>
          </w:tcPr>
          <w:p w14:paraId="6878B778"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Benefits FY 2014–15</w:t>
            </w:r>
          </w:p>
        </w:tc>
        <w:tc>
          <w:tcPr>
            <w:tcW w:w="924" w:type="dxa"/>
            <w:shd w:val="clear" w:color="auto" w:fill="EEECE1" w:themeFill="background2"/>
            <w:vAlign w:val="bottom"/>
            <w:hideMark/>
          </w:tcPr>
          <w:p w14:paraId="7A235E84"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Patient count 2014–15</w:t>
            </w:r>
          </w:p>
        </w:tc>
        <w:tc>
          <w:tcPr>
            <w:tcW w:w="912" w:type="dxa"/>
            <w:shd w:val="clear" w:color="auto" w:fill="EEECE1" w:themeFill="background2"/>
            <w:vAlign w:val="bottom"/>
            <w:hideMark/>
          </w:tcPr>
          <w:p w14:paraId="39EDEBAF" w14:textId="77777777" w:rsidR="004A4BD6" w:rsidRPr="00DD30D9" w:rsidRDefault="004A4BD6" w:rsidP="002243CB">
            <w:pPr>
              <w:rPr>
                <w:rFonts w:ascii="Arial" w:hAnsi="Arial" w:cs="Arial"/>
                <w:b/>
                <w:color w:val="000000"/>
                <w:sz w:val="18"/>
                <w:szCs w:val="18"/>
                <w:lang w:val="en-AU"/>
              </w:rPr>
            </w:pPr>
            <w:r w:rsidRPr="00DD30D9">
              <w:rPr>
                <w:rFonts w:ascii="Arial" w:hAnsi="Arial" w:cs="Arial"/>
                <w:b/>
                <w:color w:val="000000"/>
                <w:sz w:val="18"/>
                <w:szCs w:val="18"/>
                <w:lang w:val="en-AU"/>
              </w:rPr>
              <w:t>5-year service change (CAGR)</w:t>
            </w:r>
          </w:p>
        </w:tc>
      </w:tr>
      <w:tr w:rsidR="004A4BD6" w:rsidRPr="00720661" w14:paraId="168D0D1C" w14:textId="77777777" w:rsidTr="004272EB">
        <w:trPr>
          <w:trHeight w:val="300"/>
        </w:trPr>
        <w:tc>
          <w:tcPr>
            <w:tcW w:w="738" w:type="dxa"/>
            <w:noWrap/>
            <w:hideMark/>
          </w:tcPr>
          <w:p w14:paraId="3B422BA1" w14:textId="77777777" w:rsidR="004A4BD6" w:rsidRPr="00DD30D9" w:rsidRDefault="004A4BD6" w:rsidP="002243CB">
            <w:pPr>
              <w:rPr>
                <w:rFonts w:ascii="Arial" w:hAnsi="Arial" w:cs="Arial"/>
                <w:color w:val="000000"/>
                <w:sz w:val="18"/>
                <w:szCs w:val="18"/>
                <w:lang w:val="en-AU"/>
              </w:rPr>
            </w:pPr>
            <w:r w:rsidRPr="00DD30D9">
              <w:rPr>
                <w:rFonts w:ascii="Arial" w:hAnsi="Arial" w:cs="Arial"/>
                <w:sz w:val="18"/>
                <w:szCs w:val="18"/>
                <w:lang w:val="en-AU"/>
              </w:rPr>
              <w:t xml:space="preserve">73292 </w:t>
            </w:r>
          </w:p>
        </w:tc>
        <w:tc>
          <w:tcPr>
            <w:tcW w:w="2757" w:type="dxa"/>
            <w:noWrap/>
            <w:hideMark/>
          </w:tcPr>
          <w:p w14:paraId="74909F9E" w14:textId="77777777" w:rsidR="004A4BD6" w:rsidRPr="00DD30D9" w:rsidRDefault="004A4BD6" w:rsidP="002243CB">
            <w:pPr>
              <w:rPr>
                <w:rFonts w:ascii="Arial" w:hAnsi="Arial" w:cs="Arial"/>
                <w:color w:val="000000"/>
                <w:sz w:val="18"/>
                <w:szCs w:val="18"/>
                <w:lang w:val="en-AU"/>
              </w:rPr>
            </w:pPr>
            <w:r w:rsidRPr="00DD30D9">
              <w:rPr>
                <w:rFonts w:ascii="Arial" w:hAnsi="Arial" w:cs="Arial"/>
                <w:sz w:val="18"/>
                <w:szCs w:val="18"/>
                <w:lang w:val="en-AU"/>
              </w:rPr>
              <w:t xml:space="preserve">Analysis of chromosomes by genome-wide micro-array including targeted assessment of specific regions for constitutional genetic abnormalities in </w:t>
            </w:r>
            <w:bookmarkStart w:id="149" w:name="_Hlk481935516"/>
            <w:r w:rsidRPr="00DD30D9">
              <w:rPr>
                <w:rFonts w:ascii="Arial" w:hAnsi="Arial" w:cs="Arial"/>
                <w:sz w:val="18"/>
                <w:szCs w:val="18"/>
                <w:lang w:val="en-AU"/>
              </w:rPr>
              <w:t>diagnostic studies of a person with developmental delay, intellectual disability, autism</w:t>
            </w:r>
            <w:bookmarkEnd w:id="149"/>
            <w:r w:rsidRPr="00DD30D9">
              <w:rPr>
                <w:rFonts w:ascii="Arial" w:hAnsi="Arial" w:cs="Arial"/>
                <w:sz w:val="18"/>
                <w:szCs w:val="18"/>
                <w:lang w:val="en-AU"/>
              </w:rPr>
              <w:t xml:space="preserve">, or at least two congenital abnormalities (including a service in items 73287, 73289 or 73291, if performed) – 1 or more tests. </w:t>
            </w:r>
          </w:p>
        </w:tc>
        <w:tc>
          <w:tcPr>
            <w:tcW w:w="1022" w:type="dxa"/>
            <w:noWrap/>
            <w:hideMark/>
          </w:tcPr>
          <w:p w14:paraId="6B487252" w14:textId="77777777" w:rsidR="004A4BD6" w:rsidRPr="00DD30D9" w:rsidRDefault="004A4BD6" w:rsidP="004272EB">
            <w:pPr>
              <w:jc w:val="right"/>
              <w:rPr>
                <w:rFonts w:ascii="Arial" w:hAnsi="Arial" w:cs="Arial"/>
                <w:color w:val="000000"/>
                <w:sz w:val="18"/>
                <w:szCs w:val="18"/>
                <w:lang w:val="en-AU"/>
              </w:rPr>
            </w:pPr>
            <w:r w:rsidRPr="00DD30D9">
              <w:rPr>
                <w:rFonts w:ascii="Arial" w:hAnsi="Arial" w:cs="Arial"/>
                <w:sz w:val="18"/>
                <w:szCs w:val="18"/>
                <w:lang w:val="en-AU"/>
              </w:rPr>
              <w:t xml:space="preserve">$589.90 </w:t>
            </w:r>
          </w:p>
        </w:tc>
        <w:tc>
          <w:tcPr>
            <w:tcW w:w="1203" w:type="dxa"/>
            <w:noWrap/>
            <w:hideMark/>
          </w:tcPr>
          <w:p w14:paraId="5556B2CB" w14:textId="77777777" w:rsidR="004A4BD6" w:rsidRPr="00DD30D9" w:rsidRDefault="004A4BD6" w:rsidP="004272EB">
            <w:pPr>
              <w:jc w:val="right"/>
              <w:rPr>
                <w:rFonts w:ascii="Arial" w:hAnsi="Arial" w:cs="Arial"/>
                <w:color w:val="000000"/>
                <w:sz w:val="18"/>
                <w:szCs w:val="18"/>
                <w:lang w:val="en-AU"/>
              </w:rPr>
            </w:pPr>
            <w:r w:rsidRPr="00DD30D9">
              <w:rPr>
                <w:rFonts w:ascii="Arial" w:hAnsi="Arial" w:cs="Arial"/>
                <w:sz w:val="18"/>
                <w:szCs w:val="18"/>
                <w:lang w:val="en-AU"/>
              </w:rPr>
              <w:t>14,189</w:t>
            </w:r>
          </w:p>
        </w:tc>
        <w:tc>
          <w:tcPr>
            <w:tcW w:w="1246" w:type="dxa"/>
          </w:tcPr>
          <w:p w14:paraId="7A15EB16" w14:textId="77777777" w:rsidR="004A4BD6" w:rsidRPr="00DD30D9" w:rsidRDefault="004A4BD6" w:rsidP="004272EB">
            <w:pPr>
              <w:jc w:val="right"/>
              <w:rPr>
                <w:rFonts w:ascii="Arial" w:hAnsi="Arial" w:cs="Arial"/>
                <w:color w:val="000000"/>
                <w:sz w:val="18"/>
                <w:szCs w:val="18"/>
                <w:lang w:val="en-AU"/>
              </w:rPr>
            </w:pPr>
            <w:r w:rsidRPr="00DD30D9">
              <w:rPr>
                <w:rFonts w:ascii="Arial" w:hAnsi="Arial" w:cs="Arial"/>
                <w:sz w:val="18"/>
                <w:szCs w:val="18"/>
                <w:lang w:val="en-AU"/>
              </w:rPr>
              <w:t>$7,378,284</w:t>
            </w:r>
          </w:p>
        </w:tc>
        <w:tc>
          <w:tcPr>
            <w:tcW w:w="924" w:type="dxa"/>
            <w:noWrap/>
            <w:hideMark/>
          </w:tcPr>
          <w:p w14:paraId="35E8A6ED" w14:textId="77777777" w:rsidR="004A4BD6" w:rsidRPr="00DD30D9" w:rsidRDefault="004A4BD6" w:rsidP="004272EB">
            <w:pPr>
              <w:jc w:val="right"/>
              <w:rPr>
                <w:rFonts w:ascii="Arial" w:hAnsi="Arial" w:cs="Arial"/>
                <w:color w:val="000000"/>
                <w:sz w:val="18"/>
                <w:szCs w:val="18"/>
                <w:lang w:val="en-AU"/>
              </w:rPr>
            </w:pPr>
            <w:r w:rsidRPr="00DD30D9">
              <w:rPr>
                <w:rFonts w:ascii="Arial" w:hAnsi="Arial" w:cs="Arial"/>
                <w:sz w:val="18"/>
                <w:szCs w:val="18"/>
                <w:lang w:val="en-AU"/>
              </w:rPr>
              <w:t xml:space="preserve">14,058 </w:t>
            </w:r>
          </w:p>
        </w:tc>
        <w:tc>
          <w:tcPr>
            <w:tcW w:w="912" w:type="dxa"/>
            <w:noWrap/>
            <w:hideMark/>
          </w:tcPr>
          <w:p w14:paraId="3958965C" w14:textId="77777777" w:rsidR="004A4BD6" w:rsidRPr="00DD30D9" w:rsidRDefault="004A4BD6" w:rsidP="004272EB">
            <w:pPr>
              <w:jc w:val="right"/>
              <w:rPr>
                <w:rFonts w:ascii="Arial" w:hAnsi="Arial" w:cs="Arial"/>
                <w:color w:val="000000"/>
                <w:sz w:val="18"/>
                <w:szCs w:val="18"/>
                <w:lang w:val="en-AU"/>
              </w:rPr>
            </w:pPr>
            <w:r w:rsidRPr="00DD30D9">
              <w:rPr>
                <w:rFonts w:ascii="Arial" w:hAnsi="Arial" w:cs="Arial"/>
                <w:sz w:val="18"/>
                <w:szCs w:val="18"/>
                <w:lang w:val="en-AU"/>
              </w:rPr>
              <w:t xml:space="preserve">184.6% </w:t>
            </w:r>
          </w:p>
        </w:tc>
      </w:tr>
    </w:tbl>
    <w:p w14:paraId="3C3C9BCD" w14:textId="77777777" w:rsidR="00C20FE5" w:rsidRPr="00DD30D9" w:rsidRDefault="00C20FE5" w:rsidP="00C20FE5">
      <w:pPr>
        <w:pStyle w:val="Heading3"/>
        <w:numPr>
          <w:ilvl w:val="0"/>
          <w:numId w:val="0"/>
        </w:numPr>
        <w:rPr>
          <w:color w:val="auto"/>
          <w:sz w:val="22"/>
          <w:lang w:val="en-AU"/>
        </w:rPr>
      </w:pPr>
      <w:bookmarkStart w:id="150" w:name="_Toc13736012"/>
      <w:r w:rsidRPr="00DD30D9">
        <w:rPr>
          <w:lang w:val="en-AU"/>
        </w:rPr>
        <w:t>Rationale</w:t>
      </w:r>
      <w:r w:rsidR="006873F8" w:rsidRPr="00DD30D9">
        <w:rPr>
          <w:lang w:val="en-AU"/>
        </w:rPr>
        <w:t xml:space="preserve"> 11</w:t>
      </w:r>
      <w:bookmarkEnd w:id="150"/>
    </w:p>
    <w:p w14:paraId="7C31DCE3" w14:textId="77777777" w:rsidR="000A3319" w:rsidRPr="00DD30D9" w:rsidRDefault="00C20FE5" w:rsidP="001D088A">
      <w:pPr>
        <w:pStyle w:val="01squarebullet"/>
        <w:rPr>
          <w:rFonts w:cs="Calibri"/>
          <w:color w:val="000000"/>
          <w:lang w:val="en-AU"/>
        </w:rPr>
      </w:pPr>
      <w:r w:rsidRPr="00DD30D9">
        <w:rPr>
          <w:lang w:val="en-AU"/>
        </w:rPr>
        <w:t>I</w:t>
      </w:r>
      <w:r w:rsidR="000A3319" w:rsidRPr="00DD30D9">
        <w:rPr>
          <w:lang w:val="en-AU"/>
        </w:rPr>
        <w:t>tem 73292 was added to the MBS approximately 10 years ago, after peer-reviewed and best</w:t>
      </w:r>
      <w:r w:rsidR="002B2971">
        <w:rPr>
          <w:lang w:val="en-AU"/>
        </w:rPr>
        <w:t>-</w:t>
      </w:r>
      <w:r w:rsidR="000A3319" w:rsidRPr="00DD30D9">
        <w:rPr>
          <w:lang w:val="en-AU"/>
        </w:rPr>
        <w:t>practice guidelines provided evidence of the clinical utility of genome-wide micro-array as a first line investigation, in</w:t>
      </w:r>
      <w:r w:rsidR="001D088A" w:rsidRPr="00DD30D9">
        <w:rPr>
          <w:lang w:val="en-AU"/>
        </w:rPr>
        <w:t xml:space="preserve"> </w:t>
      </w:r>
      <w:r w:rsidR="001D088A" w:rsidRPr="00DD30D9">
        <w:rPr>
          <w:szCs w:val="22"/>
          <w:lang w:val="en-AU"/>
        </w:rPr>
        <w:t>diagnostic studies of a person with developmental delay, intellectual disability or autism</w:t>
      </w:r>
      <w:r w:rsidR="000A3319" w:rsidRPr="00DD30D9">
        <w:rPr>
          <w:lang w:val="en-AU"/>
        </w:rPr>
        <w:t xml:space="preserve">. </w:t>
      </w:r>
      <w:r w:rsidR="001D088A" w:rsidRPr="00DD30D9">
        <w:rPr>
          <w:lang w:val="en-AU"/>
        </w:rPr>
        <w:t xml:space="preserve">This item has been reviewed in </w:t>
      </w:r>
      <w:r w:rsidR="00151381" w:rsidRPr="00DD30D9">
        <w:rPr>
          <w:lang w:val="en-AU"/>
        </w:rPr>
        <w:t>s</w:t>
      </w:r>
      <w:r w:rsidR="001D088A" w:rsidRPr="00DD30D9">
        <w:rPr>
          <w:lang w:val="en-AU"/>
        </w:rPr>
        <w:t>ection 4.5 of this report.</w:t>
      </w:r>
    </w:p>
    <w:p w14:paraId="1FF3F35E" w14:textId="77777777" w:rsidR="000A3319" w:rsidRPr="00DD30D9" w:rsidRDefault="000A3319" w:rsidP="00C20FE5">
      <w:pPr>
        <w:pStyle w:val="01squarebullet"/>
        <w:rPr>
          <w:lang w:val="en-AU"/>
        </w:rPr>
      </w:pPr>
      <w:r w:rsidRPr="00DD30D9">
        <w:rPr>
          <w:lang w:val="en-AU"/>
        </w:rPr>
        <w:t xml:space="preserve">The </w:t>
      </w:r>
      <w:r w:rsidR="00C20FE5" w:rsidRPr="00DD30D9">
        <w:rPr>
          <w:lang w:val="en-AU"/>
        </w:rPr>
        <w:t xml:space="preserve">Committee </w:t>
      </w:r>
      <w:r w:rsidRPr="00DD30D9">
        <w:rPr>
          <w:lang w:val="en-AU"/>
        </w:rPr>
        <w:t xml:space="preserve">concluded that there is sufficient clinical evidence of clinical utility to support an application or applications to MSAC to extend this intervention to </w:t>
      </w:r>
      <w:r w:rsidR="00C20FE5" w:rsidRPr="00DD30D9">
        <w:rPr>
          <w:lang w:val="en-AU"/>
        </w:rPr>
        <w:t xml:space="preserve">include the </w:t>
      </w:r>
      <w:r w:rsidRPr="00DD30D9">
        <w:rPr>
          <w:lang w:val="en-AU"/>
        </w:rPr>
        <w:t>use in two additional populations and settings:</w:t>
      </w:r>
    </w:p>
    <w:p w14:paraId="6CCC1D36" w14:textId="77777777" w:rsidR="000A3319" w:rsidRPr="00DD30D9" w:rsidRDefault="000A3319" w:rsidP="00C20FE5">
      <w:pPr>
        <w:pStyle w:val="02dash"/>
        <w:rPr>
          <w:lang w:val="en-AU"/>
        </w:rPr>
      </w:pPr>
      <w:r w:rsidRPr="00DD30D9">
        <w:rPr>
          <w:lang w:val="en-AU"/>
        </w:rPr>
        <w:t xml:space="preserve">The </w:t>
      </w:r>
      <w:r w:rsidR="00FD5C37" w:rsidRPr="00DD30D9">
        <w:rPr>
          <w:lang w:val="en-AU"/>
        </w:rPr>
        <w:t xml:space="preserve">prenatal </w:t>
      </w:r>
      <w:r w:rsidRPr="00DD30D9">
        <w:rPr>
          <w:lang w:val="en-AU"/>
        </w:rPr>
        <w:t xml:space="preserve">setting, when invasive testing is undertaken in pregnancy to investigate a pregnancy </w:t>
      </w:r>
      <w:r w:rsidR="001870BC">
        <w:rPr>
          <w:lang w:val="en-AU"/>
        </w:rPr>
        <w:t xml:space="preserve">in which </w:t>
      </w:r>
      <w:r w:rsidRPr="00DD30D9">
        <w:rPr>
          <w:lang w:val="en-AU"/>
        </w:rPr>
        <w:t xml:space="preserve">there are major </w:t>
      </w:r>
      <w:proofErr w:type="spellStart"/>
      <w:r w:rsidRPr="00DD30D9">
        <w:rPr>
          <w:lang w:val="en-AU"/>
        </w:rPr>
        <w:t>fetal</w:t>
      </w:r>
      <w:proofErr w:type="spellEnd"/>
      <w:r w:rsidRPr="00DD30D9">
        <w:rPr>
          <w:lang w:val="en-AU"/>
        </w:rPr>
        <w:t xml:space="preserve"> ultrasound abnormalities (in preference to karyotype testing). </w:t>
      </w:r>
    </w:p>
    <w:p w14:paraId="6D898611" w14:textId="77777777" w:rsidR="00C20FE5" w:rsidRPr="00DD30D9" w:rsidRDefault="000A3319" w:rsidP="009F39EC">
      <w:pPr>
        <w:pStyle w:val="02dash"/>
        <w:rPr>
          <w:lang w:val="en-AU"/>
        </w:rPr>
      </w:pPr>
      <w:r w:rsidRPr="00DD30D9">
        <w:rPr>
          <w:lang w:val="en-AU"/>
        </w:rPr>
        <w:lastRenderedPageBreak/>
        <w:t xml:space="preserve">For two specific chronic haematological malignancies, chronic lymphocytic leukaemia (CLL) and multiple myeloma (MM), often as an adjunct or alternative testing method to current investigations. </w:t>
      </w:r>
    </w:p>
    <w:p w14:paraId="4FE93848" w14:textId="77777777" w:rsidR="000A3319" w:rsidRPr="00281AA7" w:rsidRDefault="000A3319" w:rsidP="00DD30D9">
      <w:pPr>
        <w:pStyle w:val="01squarebullet"/>
      </w:pPr>
      <w:r w:rsidRPr="00281AA7">
        <w:t xml:space="preserve">MSAC consideration of the use of this test in </w:t>
      </w:r>
      <w:r w:rsidR="008C21AA" w:rsidRPr="00281AA7">
        <w:t>CLL and MM</w:t>
      </w:r>
      <w:r w:rsidRPr="00281AA7">
        <w:t xml:space="preserve"> is also supported by the </w:t>
      </w:r>
      <w:proofErr w:type="spellStart"/>
      <w:r w:rsidRPr="00281AA7">
        <w:t>Haematology</w:t>
      </w:r>
      <w:proofErr w:type="spellEnd"/>
      <w:r w:rsidRPr="00281AA7">
        <w:t xml:space="preserve"> Working Group of the</w:t>
      </w:r>
      <w:r w:rsidR="00281AA7">
        <w:t xml:space="preserve"> Committee</w:t>
      </w:r>
      <w:r w:rsidRPr="00281AA7">
        <w:t>.</w:t>
      </w:r>
    </w:p>
    <w:p w14:paraId="4120F09B" w14:textId="77777777" w:rsidR="00FD5C37" w:rsidRPr="00DD30D9" w:rsidRDefault="000A3319" w:rsidP="00DA4C10">
      <w:pPr>
        <w:pStyle w:val="01squarebullet"/>
        <w:rPr>
          <w:szCs w:val="22"/>
          <w:lang w:val="en-AU"/>
        </w:rPr>
      </w:pPr>
      <w:r w:rsidRPr="00DD30D9">
        <w:rPr>
          <w:lang w:val="en-AU"/>
        </w:rPr>
        <w:t>In the prenatal setting</w:t>
      </w:r>
      <w:r w:rsidR="00FD5C37" w:rsidRPr="00DD30D9">
        <w:rPr>
          <w:lang w:val="en-AU"/>
        </w:rPr>
        <w:t>, the Committee proposed</w:t>
      </w:r>
      <w:r w:rsidR="004A4BD6" w:rsidRPr="00DD30D9">
        <w:rPr>
          <w:u w:val="single"/>
          <w:lang w:val="en-AU"/>
        </w:rPr>
        <w:t xml:space="preserve"> </w:t>
      </w:r>
      <w:r w:rsidR="00FD5C37" w:rsidRPr="00DD30D9">
        <w:rPr>
          <w:lang w:val="en-AU"/>
        </w:rPr>
        <w:t xml:space="preserve">the population would be restricted to pregnancies with major </w:t>
      </w:r>
      <w:proofErr w:type="spellStart"/>
      <w:r w:rsidR="00FD5C37" w:rsidRPr="00DD30D9">
        <w:rPr>
          <w:lang w:val="en-AU"/>
        </w:rPr>
        <w:t>fetal</w:t>
      </w:r>
      <w:proofErr w:type="spellEnd"/>
      <w:r w:rsidR="00FD5C37" w:rsidRPr="00DD30D9">
        <w:rPr>
          <w:lang w:val="en-AU"/>
        </w:rPr>
        <w:t xml:space="preserve"> structural abnormalities detected on ultrasound, whe</w:t>
      </w:r>
      <w:r w:rsidR="001870BC">
        <w:rPr>
          <w:lang w:val="en-AU"/>
        </w:rPr>
        <w:t>n</w:t>
      </w:r>
      <w:r w:rsidR="00FD5C37" w:rsidRPr="00DD30D9">
        <w:rPr>
          <w:lang w:val="en-AU"/>
        </w:rPr>
        <w:t xml:space="preserve"> chromosome microarray could be performed in lieu of karyotype. In this setting chromosome microarrays have been found to have a superior diagnostic yield over karyotyping, without increasing unexpected diagnoses. In this clinical population, karyotyping as a standalone test is no longer considered an appropriate diagnostic approach, with many clinical societies’ recommendations incorporating guidelines on the use of chromosome microarrays</w:t>
      </w:r>
      <w:r w:rsidR="00DC5BEF">
        <w:rPr>
          <w:lang w:val="en-AU"/>
        </w:rPr>
        <w:t>.</w:t>
      </w:r>
      <w:r w:rsidR="00FD5C37" w:rsidRPr="00DD30D9">
        <w:rPr>
          <w:lang w:val="en-AU"/>
        </w:rPr>
        <w:t xml:space="preserve"> </w:t>
      </w:r>
      <w:r w:rsidR="00FC005D" w:rsidRPr="00DD30D9">
        <w:rPr>
          <w:rFonts w:cs="Calibri"/>
          <w:lang w:val="en-AU"/>
        </w:rPr>
        <w:fldChar w:fldCharType="begin"/>
      </w:r>
      <w:r w:rsidR="00FC005D" w:rsidRPr="00DD30D9">
        <w:rPr>
          <w:rFonts w:cs="Calibri"/>
          <w:lang w:val="en-AU"/>
        </w:rPr>
        <w:instrText xml:space="preserve"> REF _Ref488827078 \r \h </w:instrText>
      </w:r>
      <w:r w:rsidR="00FC005D" w:rsidRPr="00DD30D9">
        <w:rPr>
          <w:rFonts w:cs="Calibri"/>
          <w:lang w:val="en-AU"/>
        </w:rPr>
      </w:r>
      <w:r w:rsidR="00FC005D" w:rsidRPr="00DD30D9">
        <w:rPr>
          <w:rFonts w:cs="Calibri"/>
          <w:lang w:val="en-AU"/>
        </w:rPr>
        <w:fldChar w:fldCharType="separate"/>
      </w:r>
      <w:r w:rsidR="00CA1CA9" w:rsidRPr="00DD30D9">
        <w:rPr>
          <w:rFonts w:cs="Calibri"/>
          <w:lang w:val="en-AU"/>
        </w:rPr>
        <w:t>[8]</w:t>
      </w:r>
      <w:r w:rsidR="00FC005D" w:rsidRPr="00DD30D9">
        <w:rPr>
          <w:rFonts w:cs="Calibri"/>
          <w:lang w:val="en-AU"/>
        </w:rPr>
        <w:fldChar w:fldCharType="end"/>
      </w:r>
      <w:r w:rsidR="00FC005D" w:rsidRPr="00DD30D9">
        <w:rPr>
          <w:rFonts w:cs="Calibri"/>
          <w:lang w:val="en-AU"/>
        </w:rPr>
        <w:t xml:space="preserve">, </w:t>
      </w:r>
      <w:r w:rsidR="00FC005D" w:rsidRPr="00DD30D9">
        <w:rPr>
          <w:rFonts w:cs="Calibri"/>
          <w:lang w:val="en-AU"/>
        </w:rPr>
        <w:fldChar w:fldCharType="begin"/>
      </w:r>
      <w:r w:rsidR="00FC005D" w:rsidRPr="00DD30D9">
        <w:rPr>
          <w:rFonts w:cs="Calibri"/>
          <w:lang w:val="en-AU"/>
        </w:rPr>
        <w:instrText xml:space="preserve"> REF _Ref488827122 \r \h </w:instrText>
      </w:r>
      <w:r w:rsidR="00FC005D" w:rsidRPr="00DD30D9">
        <w:rPr>
          <w:rFonts w:cs="Calibri"/>
          <w:lang w:val="en-AU"/>
        </w:rPr>
      </w:r>
      <w:r w:rsidR="00FC005D" w:rsidRPr="00DD30D9">
        <w:rPr>
          <w:rFonts w:cs="Calibri"/>
          <w:lang w:val="en-AU"/>
        </w:rPr>
        <w:fldChar w:fldCharType="separate"/>
      </w:r>
      <w:r w:rsidR="00CA1CA9" w:rsidRPr="00DD30D9">
        <w:rPr>
          <w:rFonts w:cs="Calibri"/>
          <w:lang w:val="en-AU"/>
        </w:rPr>
        <w:t>[9]</w:t>
      </w:r>
      <w:r w:rsidR="00FC005D" w:rsidRPr="00DD30D9">
        <w:rPr>
          <w:rFonts w:cs="Calibri"/>
          <w:lang w:val="en-AU"/>
        </w:rPr>
        <w:fldChar w:fldCharType="end"/>
      </w:r>
      <w:r w:rsidR="00A027EF" w:rsidRPr="00DD30D9">
        <w:rPr>
          <w:rFonts w:cs="Calibri"/>
          <w:lang w:val="en-AU"/>
        </w:rPr>
        <w:t>,</w:t>
      </w:r>
      <w:r w:rsidR="00286B4C" w:rsidRPr="00DD30D9">
        <w:rPr>
          <w:rFonts w:cs="Calibri"/>
          <w:lang w:val="en-AU"/>
        </w:rPr>
        <w:t xml:space="preserve"> </w:t>
      </w:r>
      <w:r w:rsidR="00FC005D" w:rsidRPr="00DD30D9">
        <w:rPr>
          <w:rFonts w:cs="Calibri"/>
          <w:lang w:val="en-AU"/>
        </w:rPr>
        <w:fldChar w:fldCharType="begin"/>
      </w:r>
      <w:r w:rsidR="00FC005D" w:rsidRPr="00DD30D9">
        <w:rPr>
          <w:rFonts w:cs="Calibri"/>
          <w:lang w:val="en-AU"/>
        </w:rPr>
        <w:instrText xml:space="preserve"> REF _Ref488827148 \r \h </w:instrText>
      </w:r>
      <w:r w:rsidR="00FC005D" w:rsidRPr="00DD30D9">
        <w:rPr>
          <w:rFonts w:cs="Calibri"/>
          <w:lang w:val="en-AU"/>
        </w:rPr>
      </w:r>
      <w:r w:rsidR="00FC005D" w:rsidRPr="00DD30D9">
        <w:rPr>
          <w:rFonts w:cs="Calibri"/>
          <w:lang w:val="en-AU"/>
        </w:rPr>
        <w:fldChar w:fldCharType="separate"/>
      </w:r>
      <w:r w:rsidR="00CA1CA9" w:rsidRPr="00DD30D9">
        <w:rPr>
          <w:rFonts w:cs="Calibri"/>
          <w:lang w:val="en-AU"/>
        </w:rPr>
        <w:t>[10]</w:t>
      </w:r>
      <w:r w:rsidR="00FC005D" w:rsidRPr="00DD30D9">
        <w:rPr>
          <w:rFonts w:cs="Calibri"/>
          <w:lang w:val="en-AU"/>
        </w:rPr>
        <w:fldChar w:fldCharType="end"/>
      </w:r>
      <w:r w:rsidR="00A027EF" w:rsidRPr="00DD30D9">
        <w:rPr>
          <w:rFonts w:cs="Calibri"/>
          <w:lang w:val="en-AU"/>
        </w:rPr>
        <w:t xml:space="preserve">, </w:t>
      </w:r>
      <w:r w:rsidR="00FC005D" w:rsidRPr="00DD30D9">
        <w:rPr>
          <w:rFonts w:cs="Calibri"/>
          <w:lang w:val="en-AU"/>
        </w:rPr>
        <w:fldChar w:fldCharType="begin"/>
      </w:r>
      <w:r w:rsidR="00FC005D" w:rsidRPr="00DD30D9">
        <w:rPr>
          <w:rFonts w:cs="Calibri"/>
          <w:lang w:val="en-AU"/>
        </w:rPr>
        <w:instrText xml:space="preserve"> REF _Ref488827173 \r \h </w:instrText>
      </w:r>
      <w:r w:rsidR="00FC005D" w:rsidRPr="00DD30D9">
        <w:rPr>
          <w:rFonts w:cs="Calibri"/>
          <w:lang w:val="en-AU"/>
        </w:rPr>
      </w:r>
      <w:r w:rsidR="00FC005D" w:rsidRPr="00DD30D9">
        <w:rPr>
          <w:rFonts w:cs="Calibri"/>
          <w:lang w:val="en-AU"/>
        </w:rPr>
        <w:fldChar w:fldCharType="separate"/>
      </w:r>
      <w:r w:rsidR="00CA1CA9" w:rsidRPr="00DD30D9">
        <w:rPr>
          <w:rFonts w:cs="Calibri"/>
          <w:lang w:val="en-AU"/>
        </w:rPr>
        <w:t>[11]</w:t>
      </w:r>
      <w:r w:rsidR="00FC005D" w:rsidRPr="00DD30D9">
        <w:rPr>
          <w:rFonts w:cs="Calibri"/>
          <w:lang w:val="en-AU"/>
        </w:rPr>
        <w:fldChar w:fldCharType="end"/>
      </w:r>
      <w:r w:rsidR="00286B4C" w:rsidRPr="00DD30D9">
        <w:rPr>
          <w:lang w:val="en-AU"/>
        </w:rPr>
        <w:t>,</w:t>
      </w:r>
      <w:r w:rsidR="009F4DCC" w:rsidRPr="00DD30D9">
        <w:rPr>
          <w:lang w:val="en-AU"/>
        </w:rPr>
        <w:t xml:space="preserve"> </w:t>
      </w:r>
      <w:r w:rsidR="00FC005D" w:rsidRPr="00DD30D9">
        <w:rPr>
          <w:rFonts w:cs="Calibri"/>
          <w:lang w:val="en-AU"/>
        </w:rPr>
        <w:fldChar w:fldCharType="begin"/>
      </w:r>
      <w:r w:rsidR="00FC005D" w:rsidRPr="00DD30D9">
        <w:rPr>
          <w:rFonts w:cs="Calibri"/>
          <w:lang w:val="en-AU"/>
        </w:rPr>
        <w:instrText xml:space="preserve"> REF _Ref488827201 \r \h </w:instrText>
      </w:r>
      <w:r w:rsidR="00FC005D" w:rsidRPr="00DD30D9">
        <w:rPr>
          <w:rFonts w:cs="Calibri"/>
          <w:lang w:val="en-AU"/>
        </w:rPr>
      </w:r>
      <w:r w:rsidR="00FC005D" w:rsidRPr="00DD30D9">
        <w:rPr>
          <w:rFonts w:cs="Calibri"/>
          <w:lang w:val="en-AU"/>
        </w:rPr>
        <w:fldChar w:fldCharType="separate"/>
      </w:r>
      <w:r w:rsidR="00CA1CA9" w:rsidRPr="00DD30D9">
        <w:rPr>
          <w:rFonts w:cs="Calibri"/>
          <w:lang w:val="en-AU"/>
        </w:rPr>
        <w:t>[12]</w:t>
      </w:r>
      <w:r w:rsidR="00FC005D" w:rsidRPr="00DD30D9">
        <w:rPr>
          <w:rFonts w:cs="Calibri"/>
          <w:lang w:val="en-AU"/>
        </w:rPr>
        <w:fldChar w:fldCharType="end"/>
      </w:r>
    </w:p>
    <w:p w14:paraId="27BB4AF8" w14:textId="77777777" w:rsidR="00DA4C10" w:rsidRPr="00DD30D9" w:rsidRDefault="000A3319" w:rsidP="00DA4C10">
      <w:pPr>
        <w:pStyle w:val="01squarebullet"/>
        <w:rPr>
          <w:lang w:val="en-AU"/>
        </w:rPr>
      </w:pPr>
      <w:r w:rsidRPr="00DD30D9">
        <w:rPr>
          <w:lang w:val="en-AU"/>
        </w:rPr>
        <w:t>In the setting of haematological malignancies</w:t>
      </w:r>
      <w:r w:rsidR="00FD5C37" w:rsidRPr="00DD30D9">
        <w:rPr>
          <w:lang w:val="en-AU"/>
        </w:rPr>
        <w:t>, the Committee proposed t</w:t>
      </w:r>
      <w:r w:rsidRPr="00DD30D9">
        <w:rPr>
          <w:lang w:val="en-AU"/>
        </w:rPr>
        <w:t xml:space="preserve">he population would be restricted to chronic haematological malignancies – specifically chronic lymphocytic leukaemia, and multiple myeloma, </w:t>
      </w:r>
      <w:r w:rsidR="001870BC">
        <w:rPr>
          <w:lang w:val="en-AU"/>
        </w:rPr>
        <w:t xml:space="preserve">for which </w:t>
      </w:r>
      <w:r w:rsidRPr="00DD30D9">
        <w:rPr>
          <w:lang w:val="en-AU"/>
        </w:rPr>
        <w:t xml:space="preserve">strongest evidence for clinical utility exists. </w:t>
      </w:r>
      <w:r w:rsidR="001870BC" w:rsidRPr="00DD30D9">
        <w:rPr>
          <w:lang w:val="en-AU"/>
        </w:rPr>
        <w:t>The</w:t>
      </w:r>
      <w:r w:rsidR="001870BC">
        <w:rPr>
          <w:lang w:val="en-AU"/>
        </w:rPr>
        <w:t> </w:t>
      </w:r>
      <w:r w:rsidRPr="00DD30D9">
        <w:rPr>
          <w:lang w:val="en-AU"/>
        </w:rPr>
        <w:t xml:space="preserve">evidence to incorporate the use of chromosome microarrays in these haematological malignancies has been emerging in the scientific literature in the last </w:t>
      </w:r>
      <w:r w:rsidR="001870BC">
        <w:rPr>
          <w:lang w:val="en-AU"/>
        </w:rPr>
        <w:t>eight</w:t>
      </w:r>
      <w:r w:rsidR="001870BC" w:rsidRPr="00DD30D9">
        <w:rPr>
          <w:lang w:val="en-AU"/>
        </w:rPr>
        <w:t xml:space="preserve"> </w:t>
      </w:r>
      <w:r w:rsidRPr="00DD30D9">
        <w:rPr>
          <w:lang w:val="en-AU"/>
        </w:rPr>
        <w:t>years</w:t>
      </w:r>
      <w:r w:rsidR="00FD5C37" w:rsidRPr="00DD30D9">
        <w:rPr>
          <w:lang w:val="en-AU"/>
        </w:rPr>
        <w:t xml:space="preserve"> (</w:t>
      </w:r>
      <w:r w:rsidR="00DA4C10" w:rsidRPr="00DD30D9">
        <w:rPr>
          <w:lang w:val="en-AU"/>
        </w:rPr>
        <w:t>for CLL</w:t>
      </w:r>
      <w:r w:rsidR="00AC6652" w:rsidRPr="00DD30D9">
        <w:rPr>
          <w:lang w:val="en-AU"/>
        </w:rPr>
        <w:t xml:space="preserve"> </w:t>
      </w:r>
      <w:r w:rsidR="00FC005D" w:rsidRPr="00DD30D9">
        <w:rPr>
          <w:lang w:val="en-AU"/>
        </w:rPr>
        <w:fldChar w:fldCharType="begin"/>
      </w:r>
      <w:r w:rsidR="00FC005D" w:rsidRPr="00DD30D9">
        <w:rPr>
          <w:lang w:val="en-AU"/>
        </w:rPr>
        <w:instrText xml:space="preserve"> REF _Ref488827233 \r \h </w:instrText>
      </w:r>
      <w:r w:rsidR="00FC005D" w:rsidRPr="00DD30D9">
        <w:rPr>
          <w:lang w:val="en-AU"/>
        </w:rPr>
      </w:r>
      <w:r w:rsidR="00FC005D" w:rsidRPr="00DD30D9">
        <w:rPr>
          <w:lang w:val="en-AU"/>
        </w:rPr>
        <w:fldChar w:fldCharType="separate"/>
      </w:r>
      <w:r w:rsidR="00CA1CA9" w:rsidRPr="00DD30D9">
        <w:rPr>
          <w:lang w:val="en-AU"/>
        </w:rPr>
        <w:t>[13]</w:t>
      </w:r>
      <w:r w:rsidR="00FC005D" w:rsidRPr="00DD30D9">
        <w:rPr>
          <w:lang w:val="en-AU"/>
        </w:rPr>
        <w:fldChar w:fldCharType="end"/>
      </w:r>
      <w:r w:rsidR="00DA4C10" w:rsidRPr="00DD30D9">
        <w:rPr>
          <w:lang w:val="en-AU"/>
        </w:rPr>
        <w:t xml:space="preserve">, </w:t>
      </w:r>
      <w:r w:rsidR="00FC005D" w:rsidRPr="00DD30D9">
        <w:rPr>
          <w:lang w:val="en-AU"/>
        </w:rPr>
        <w:fldChar w:fldCharType="begin"/>
      </w:r>
      <w:r w:rsidR="00FC005D" w:rsidRPr="00DD30D9">
        <w:rPr>
          <w:lang w:val="en-AU"/>
        </w:rPr>
        <w:instrText xml:space="preserve"> REF _Ref488827266 \r \h </w:instrText>
      </w:r>
      <w:r w:rsidR="00FC005D" w:rsidRPr="00DD30D9">
        <w:rPr>
          <w:lang w:val="en-AU"/>
        </w:rPr>
      </w:r>
      <w:r w:rsidR="00FC005D" w:rsidRPr="00DD30D9">
        <w:rPr>
          <w:lang w:val="en-AU"/>
        </w:rPr>
        <w:fldChar w:fldCharType="separate"/>
      </w:r>
      <w:r w:rsidR="00CA1CA9" w:rsidRPr="00DD30D9">
        <w:rPr>
          <w:lang w:val="en-AU"/>
        </w:rPr>
        <w:t>[14]</w:t>
      </w:r>
      <w:r w:rsidR="00FC005D" w:rsidRPr="00DD30D9">
        <w:rPr>
          <w:lang w:val="en-AU"/>
        </w:rPr>
        <w:fldChar w:fldCharType="end"/>
      </w:r>
      <w:r w:rsidR="00DA4C10" w:rsidRPr="00DD30D9">
        <w:rPr>
          <w:lang w:val="en-AU"/>
        </w:rPr>
        <w:t xml:space="preserve">, </w:t>
      </w:r>
      <w:r w:rsidR="00FC005D" w:rsidRPr="00DD30D9">
        <w:rPr>
          <w:lang w:val="en-AU"/>
        </w:rPr>
        <w:fldChar w:fldCharType="begin"/>
      </w:r>
      <w:r w:rsidR="00FC005D" w:rsidRPr="00DD30D9">
        <w:rPr>
          <w:lang w:val="en-AU"/>
        </w:rPr>
        <w:instrText xml:space="preserve"> REF _Ref488827294 \r \h </w:instrText>
      </w:r>
      <w:r w:rsidR="00FC005D" w:rsidRPr="00DD30D9">
        <w:rPr>
          <w:lang w:val="en-AU"/>
        </w:rPr>
      </w:r>
      <w:r w:rsidR="00FC005D" w:rsidRPr="00DD30D9">
        <w:rPr>
          <w:lang w:val="en-AU"/>
        </w:rPr>
        <w:fldChar w:fldCharType="separate"/>
      </w:r>
      <w:r w:rsidR="00CA1CA9" w:rsidRPr="00DD30D9">
        <w:rPr>
          <w:lang w:val="en-AU"/>
        </w:rPr>
        <w:t>[15]</w:t>
      </w:r>
      <w:r w:rsidR="00FC005D" w:rsidRPr="00DD30D9">
        <w:rPr>
          <w:lang w:val="en-AU"/>
        </w:rPr>
        <w:fldChar w:fldCharType="end"/>
      </w:r>
      <w:r w:rsidR="00DA4C10" w:rsidRPr="00DD30D9">
        <w:rPr>
          <w:lang w:val="en-AU"/>
        </w:rPr>
        <w:t xml:space="preserve">, </w:t>
      </w:r>
      <w:r w:rsidR="00FC005D" w:rsidRPr="00DD30D9">
        <w:rPr>
          <w:lang w:val="en-AU"/>
        </w:rPr>
        <w:fldChar w:fldCharType="begin"/>
      </w:r>
      <w:r w:rsidR="00FC005D" w:rsidRPr="00DD30D9">
        <w:rPr>
          <w:lang w:val="en-AU"/>
        </w:rPr>
        <w:instrText xml:space="preserve"> REF _Ref488827332 \r \h </w:instrText>
      </w:r>
      <w:r w:rsidR="00FC005D" w:rsidRPr="00DD30D9">
        <w:rPr>
          <w:lang w:val="en-AU"/>
        </w:rPr>
      </w:r>
      <w:r w:rsidR="00FC005D" w:rsidRPr="00DD30D9">
        <w:rPr>
          <w:lang w:val="en-AU"/>
        </w:rPr>
        <w:fldChar w:fldCharType="separate"/>
      </w:r>
      <w:r w:rsidR="00CA1CA9" w:rsidRPr="00DD30D9">
        <w:rPr>
          <w:lang w:val="en-AU"/>
        </w:rPr>
        <w:t>[16]</w:t>
      </w:r>
      <w:r w:rsidR="00FC005D" w:rsidRPr="00DD30D9">
        <w:rPr>
          <w:lang w:val="en-AU"/>
        </w:rPr>
        <w:fldChar w:fldCharType="end"/>
      </w:r>
      <w:r w:rsidR="00FC005D" w:rsidRPr="00DD30D9">
        <w:rPr>
          <w:lang w:val="en-AU"/>
        </w:rPr>
        <w:t xml:space="preserve"> </w:t>
      </w:r>
      <w:r w:rsidR="002F6F23" w:rsidRPr="00DD30D9">
        <w:rPr>
          <w:lang w:val="en-AU"/>
        </w:rPr>
        <w:t>and f</w:t>
      </w:r>
      <w:r w:rsidR="00DA4C10" w:rsidRPr="00DD30D9">
        <w:rPr>
          <w:lang w:val="en-AU"/>
        </w:rPr>
        <w:t>or MM</w:t>
      </w:r>
      <w:r w:rsidR="00AC6652" w:rsidRPr="00DD30D9">
        <w:rPr>
          <w:lang w:val="en-AU"/>
        </w:rPr>
        <w:t xml:space="preserve"> </w:t>
      </w:r>
      <w:r w:rsidR="00FC005D" w:rsidRPr="00DD30D9">
        <w:rPr>
          <w:lang w:val="en-AU"/>
        </w:rPr>
        <w:fldChar w:fldCharType="begin"/>
      </w:r>
      <w:r w:rsidR="00FC005D" w:rsidRPr="00DD30D9">
        <w:rPr>
          <w:lang w:val="en-AU"/>
        </w:rPr>
        <w:instrText xml:space="preserve"> REF _Ref488827373 \r \h </w:instrText>
      </w:r>
      <w:r w:rsidR="00FC005D" w:rsidRPr="00DD30D9">
        <w:rPr>
          <w:lang w:val="en-AU"/>
        </w:rPr>
      </w:r>
      <w:r w:rsidR="00FC005D" w:rsidRPr="00DD30D9">
        <w:rPr>
          <w:lang w:val="en-AU"/>
        </w:rPr>
        <w:fldChar w:fldCharType="separate"/>
      </w:r>
      <w:r w:rsidR="00CA1CA9" w:rsidRPr="00DD30D9">
        <w:rPr>
          <w:lang w:val="en-AU"/>
        </w:rPr>
        <w:t>[17]</w:t>
      </w:r>
      <w:r w:rsidR="00FC005D" w:rsidRPr="00DD30D9">
        <w:rPr>
          <w:lang w:val="en-AU"/>
        </w:rPr>
        <w:fldChar w:fldCharType="end"/>
      </w:r>
      <w:r w:rsidR="00DA4C10" w:rsidRPr="00DD30D9">
        <w:rPr>
          <w:lang w:val="en-AU"/>
        </w:rPr>
        <w:t xml:space="preserve">, </w:t>
      </w:r>
      <w:r w:rsidR="00FC005D" w:rsidRPr="00DD30D9">
        <w:rPr>
          <w:lang w:val="en-AU"/>
        </w:rPr>
        <w:fldChar w:fldCharType="begin"/>
      </w:r>
      <w:r w:rsidR="00FC005D" w:rsidRPr="00DD30D9">
        <w:rPr>
          <w:lang w:val="en-AU"/>
        </w:rPr>
        <w:instrText xml:space="preserve"> REF _Ref488827396 \r \h </w:instrText>
      </w:r>
      <w:r w:rsidR="00FC005D" w:rsidRPr="00DD30D9">
        <w:rPr>
          <w:lang w:val="en-AU"/>
        </w:rPr>
      </w:r>
      <w:r w:rsidR="00FC005D" w:rsidRPr="00DD30D9">
        <w:rPr>
          <w:lang w:val="en-AU"/>
        </w:rPr>
        <w:fldChar w:fldCharType="separate"/>
      </w:r>
      <w:r w:rsidR="00CA1CA9" w:rsidRPr="00DD30D9">
        <w:rPr>
          <w:lang w:val="en-AU"/>
        </w:rPr>
        <w:t>[18]</w:t>
      </w:r>
      <w:r w:rsidR="00FC005D" w:rsidRPr="00DD30D9">
        <w:rPr>
          <w:lang w:val="en-AU"/>
        </w:rPr>
        <w:fldChar w:fldCharType="end"/>
      </w:r>
      <w:r w:rsidR="00DA4C10" w:rsidRPr="00DD30D9">
        <w:rPr>
          <w:lang w:val="en-AU"/>
        </w:rPr>
        <w:t>,</w:t>
      </w:r>
      <w:r w:rsidR="00A027EF" w:rsidRPr="00DD30D9">
        <w:rPr>
          <w:lang w:val="en-AU"/>
        </w:rPr>
        <w:t xml:space="preserve"> </w:t>
      </w:r>
      <w:r w:rsidR="006376CA" w:rsidRPr="00DD30D9">
        <w:rPr>
          <w:lang w:val="en-AU"/>
        </w:rPr>
        <w:fldChar w:fldCharType="begin"/>
      </w:r>
      <w:r w:rsidR="006376CA" w:rsidRPr="00DD30D9">
        <w:rPr>
          <w:lang w:val="en-AU"/>
        </w:rPr>
        <w:instrText xml:space="preserve"> REF _Ref488829265 \r \h </w:instrText>
      </w:r>
      <w:r w:rsidR="006376CA" w:rsidRPr="00DD30D9">
        <w:rPr>
          <w:lang w:val="en-AU"/>
        </w:rPr>
      </w:r>
      <w:r w:rsidR="006376CA" w:rsidRPr="00DD30D9">
        <w:rPr>
          <w:lang w:val="en-AU"/>
        </w:rPr>
        <w:fldChar w:fldCharType="separate"/>
      </w:r>
      <w:r w:rsidR="00CA1CA9" w:rsidRPr="00DD30D9">
        <w:rPr>
          <w:lang w:val="en-AU"/>
        </w:rPr>
        <w:t>[19]</w:t>
      </w:r>
      <w:r w:rsidR="006376CA" w:rsidRPr="00DD30D9">
        <w:rPr>
          <w:lang w:val="en-AU"/>
        </w:rPr>
        <w:fldChar w:fldCharType="end"/>
      </w:r>
      <w:r w:rsidR="00DA4C10" w:rsidRPr="00DD30D9">
        <w:rPr>
          <w:lang w:val="en-AU"/>
        </w:rPr>
        <w:t xml:space="preserve">, </w:t>
      </w:r>
      <w:r w:rsidR="000D533F" w:rsidRPr="00DD30D9">
        <w:rPr>
          <w:lang w:val="en-AU"/>
        </w:rPr>
        <w:fldChar w:fldCharType="begin"/>
      </w:r>
      <w:r w:rsidR="000D533F" w:rsidRPr="00DD30D9">
        <w:rPr>
          <w:lang w:val="en-AU"/>
        </w:rPr>
        <w:instrText xml:space="preserve"> REF _Ref488829295 \r \h </w:instrText>
      </w:r>
      <w:r w:rsidR="000D533F" w:rsidRPr="00DD30D9">
        <w:rPr>
          <w:lang w:val="en-AU"/>
        </w:rPr>
      </w:r>
      <w:r w:rsidR="000D533F" w:rsidRPr="00DD30D9">
        <w:rPr>
          <w:lang w:val="en-AU"/>
        </w:rPr>
        <w:fldChar w:fldCharType="separate"/>
      </w:r>
      <w:r w:rsidR="00CA1CA9" w:rsidRPr="00DD30D9">
        <w:rPr>
          <w:lang w:val="en-AU"/>
        </w:rPr>
        <w:t>[19]</w:t>
      </w:r>
      <w:r w:rsidR="000D533F" w:rsidRPr="00DD30D9">
        <w:rPr>
          <w:lang w:val="en-AU"/>
        </w:rPr>
        <w:fldChar w:fldCharType="end"/>
      </w:r>
      <w:r w:rsidR="00A027EF" w:rsidRPr="00DD30D9">
        <w:rPr>
          <w:lang w:val="en-AU"/>
        </w:rPr>
        <w:t xml:space="preserve">, </w:t>
      </w:r>
      <w:r w:rsidR="000D533F" w:rsidRPr="00DD30D9">
        <w:rPr>
          <w:lang w:val="en-AU"/>
        </w:rPr>
        <w:fldChar w:fldCharType="begin"/>
      </w:r>
      <w:r w:rsidR="000D533F" w:rsidRPr="00DD30D9">
        <w:rPr>
          <w:lang w:val="en-AU"/>
        </w:rPr>
        <w:instrText xml:space="preserve"> REF _Ref488829318 \r \h </w:instrText>
      </w:r>
      <w:r w:rsidR="000D533F" w:rsidRPr="00DD30D9">
        <w:rPr>
          <w:lang w:val="en-AU"/>
        </w:rPr>
      </w:r>
      <w:r w:rsidR="000D533F" w:rsidRPr="00DD30D9">
        <w:rPr>
          <w:lang w:val="en-AU"/>
        </w:rPr>
        <w:fldChar w:fldCharType="separate"/>
      </w:r>
      <w:r w:rsidR="00CA1CA9" w:rsidRPr="00DD30D9">
        <w:rPr>
          <w:lang w:val="en-AU"/>
        </w:rPr>
        <w:t>[21]</w:t>
      </w:r>
      <w:r w:rsidR="000D533F" w:rsidRPr="00DD30D9">
        <w:rPr>
          <w:lang w:val="en-AU"/>
        </w:rPr>
        <w:fldChar w:fldCharType="end"/>
      </w:r>
      <w:r w:rsidR="00A027EF" w:rsidRPr="00DD30D9">
        <w:rPr>
          <w:lang w:val="en-AU"/>
        </w:rPr>
        <w:t xml:space="preserve">, </w:t>
      </w:r>
      <w:r w:rsidR="000D533F" w:rsidRPr="00DD30D9">
        <w:rPr>
          <w:lang w:val="en-AU"/>
        </w:rPr>
        <w:fldChar w:fldCharType="begin"/>
      </w:r>
      <w:r w:rsidR="000D533F" w:rsidRPr="00DD30D9">
        <w:rPr>
          <w:lang w:val="en-AU"/>
        </w:rPr>
        <w:instrText xml:space="preserve"> REF _Ref488829352 \r \h </w:instrText>
      </w:r>
      <w:r w:rsidR="000D533F" w:rsidRPr="00DD30D9">
        <w:rPr>
          <w:lang w:val="en-AU"/>
        </w:rPr>
      </w:r>
      <w:r w:rsidR="000D533F" w:rsidRPr="00DD30D9">
        <w:rPr>
          <w:lang w:val="en-AU"/>
        </w:rPr>
        <w:fldChar w:fldCharType="separate"/>
      </w:r>
      <w:r w:rsidR="00CA1CA9" w:rsidRPr="00DD30D9">
        <w:rPr>
          <w:lang w:val="en-AU"/>
        </w:rPr>
        <w:t>[22]</w:t>
      </w:r>
      <w:r w:rsidR="000D533F" w:rsidRPr="00DD30D9">
        <w:rPr>
          <w:lang w:val="en-AU"/>
        </w:rPr>
        <w:fldChar w:fldCharType="end"/>
      </w:r>
      <w:r w:rsidR="00044946">
        <w:rPr>
          <w:lang w:val="en-AU"/>
        </w:rPr>
        <w:t>).</w:t>
      </w:r>
    </w:p>
    <w:p w14:paraId="5737CBB5" w14:textId="77777777" w:rsidR="00FD5C37" w:rsidRPr="00DD30D9" w:rsidRDefault="000A3319" w:rsidP="00DA4C10">
      <w:pPr>
        <w:pStyle w:val="01squarebullet"/>
        <w:rPr>
          <w:lang w:val="en-AU"/>
        </w:rPr>
      </w:pPr>
      <w:r w:rsidRPr="00DD30D9">
        <w:rPr>
          <w:lang w:val="en-AU"/>
        </w:rPr>
        <w:t>The clinical utility of analysis of chromosomes by genome-wide microarray in this setting has been further recognised by the incorporation of this technique into current technical standards for cytogenetic studies in haematological malignancies</w:t>
      </w:r>
      <w:r w:rsidR="007E5CE2">
        <w:rPr>
          <w:lang w:val="en-AU"/>
        </w:rPr>
        <w:t>.</w:t>
      </w:r>
      <w:r w:rsidR="000D533F" w:rsidRPr="00DD30D9">
        <w:rPr>
          <w:lang w:val="en-AU"/>
        </w:rPr>
        <w:t xml:space="preserve"> </w:t>
      </w:r>
      <w:r w:rsidR="000D533F" w:rsidRPr="00DD30D9">
        <w:rPr>
          <w:lang w:val="en-AU"/>
        </w:rPr>
        <w:fldChar w:fldCharType="begin"/>
      </w:r>
      <w:r w:rsidR="000D533F" w:rsidRPr="00DD30D9">
        <w:rPr>
          <w:lang w:val="en-AU"/>
        </w:rPr>
        <w:instrText xml:space="preserve"> REF _Ref488829399 \r \h </w:instrText>
      </w:r>
      <w:r w:rsidR="000D533F" w:rsidRPr="00DD30D9">
        <w:rPr>
          <w:lang w:val="en-AU"/>
        </w:rPr>
      </w:r>
      <w:r w:rsidR="000D533F" w:rsidRPr="00DD30D9">
        <w:rPr>
          <w:lang w:val="en-AU"/>
        </w:rPr>
        <w:fldChar w:fldCharType="separate"/>
      </w:r>
      <w:r w:rsidR="00CA1CA9" w:rsidRPr="00DD30D9">
        <w:rPr>
          <w:lang w:val="en-AU"/>
        </w:rPr>
        <w:t>[7]</w:t>
      </w:r>
      <w:r w:rsidR="000D533F" w:rsidRPr="00DD30D9">
        <w:rPr>
          <w:lang w:val="en-AU"/>
        </w:rPr>
        <w:fldChar w:fldCharType="end"/>
      </w:r>
    </w:p>
    <w:p w14:paraId="128EC0C3" w14:textId="77777777" w:rsidR="00DF2E4E" w:rsidRPr="00DD30D9" w:rsidRDefault="00694E18" w:rsidP="008C21AA">
      <w:pPr>
        <w:pStyle w:val="01squarebullet"/>
        <w:rPr>
          <w:lang w:val="en-AU"/>
        </w:rPr>
      </w:pPr>
      <w:r w:rsidRPr="00DD30D9">
        <w:rPr>
          <w:lang w:val="en-AU"/>
        </w:rPr>
        <w:t xml:space="preserve">The Committee proposed the </w:t>
      </w:r>
      <w:r w:rsidR="00DF2E4E" w:rsidRPr="00DD30D9">
        <w:rPr>
          <w:lang w:val="en-AU"/>
        </w:rPr>
        <w:t>MBS item descriptors (to either amend MBS item 73292 or create one or two new MBS items)</w:t>
      </w:r>
      <w:r w:rsidRPr="00DD30D9">
        <w:rPr>
          <w:lang w:val="en-AU"/>
        </w:rPr>
        <w:t xml:space="preserve"> as follows in Table </w:t>
      </w:r>
      <w:r w:rsidR="0053130E" w:rsidRPr="00DD30D9">
        <w:rPr>
          <w:lang w:val="en-AU"/>
        </w:rPr>
        <w:t>26</w:t>
      </w:r>
      <w:r w:rsidR="00DF2E4E" w:rsidRPr="00DD30D9">
        <w:rPr>
          <w:lang w:val="en-AU"/>
        </w:rPr>
        <w:t>:</w:t>
      </w:r>
    </w:p>
    <w:p w14:paraId="0985C2CC" w14:textId="77777777" w:rsidR="00FD5C37" w:rsidRPr="00DD30D9" w:rsidRDefault="00694E18">
      <w:pPr>
        <w:pStyle w:val="Caption"/>
      </w:pPr>
      <w:bookmarkStart w:id="151" w:name="_Toc482009648"/>
      <w:r w:rsidRPr="00DD30D9">
        <w:t xml:space="preserve">Table </w:t>
      </w:r>
      <w:r w:rsidR="00474F25" w:rsidRPr="00860DE7">
        <w:fldChar w:fldCharType="begin"/>
      </w:r>
      <w:r w:rsidR="00474F25" w:rsidRPr="00720661">
        <w:instrText xml:space="preserve"> AUTONUM  \* Arabic </w:instrText>
      </w:r>
      <w:r w:rsidR="00474F25" w:rsidRPr="00860DE7">
        <w:fldChar w:fldCharType="end"/>
      </w:r>
      <w:r w:rsidRPr="00DD30D9">
        <w:t xml:space="preserve"> Proposed descriptors for new item</w:t>
      </w:r>
      <w:r w:rsidR="008C21AA" w:rsidRPr="00DD30D9">
        <w:t>s for microarray</w:t>
      </w:r>
      <w:bookmarkEnd w:id="151"/>
    </w:p>
    <w:tbl>
      <w:tblPr>
        <w:tblStyle w:val="TableGrid"/>
        <w:tblW w:w="9209" w:type="dxa"/>
        <w:tblLook w:val="04A0" w:firstRow="1" w:lastRow="0" w:firstColumn="1" w:lastColumn="0" w:noHBand="0" w:noVBand="1"/>
        <w:tblCaption w:val="Proposed descriptors for new items for microarray"/>
        <w:tblDescription w:val="This table shows the proposed changes to item 73392 descriptor and the proposed new item descriptors for microarray for the two new populations- (1) prenatal, and (2) chronic lymphocytic leukaemia (CLL) and multiple myeloma (MM)."/>
      </w:tblPr>
      <w:tblGrid>
        <w:gridCol w:w="987"/>
        <w:gridCol w:w="3970"/>
        <w:gridCol w:w="4252"/>
      </w:tblGrid>
      <w:tr w:rsidR="00FD5C37" w:rsidRPr="00720661" w14:paraId="3DE9D666" w14:textId="77777777" w:rsidTr="00BE443E">
        <w:trPr>
          <w:tblHeader/>
        </w:trPr>
        <w:tc>
          <w:tcPr>
            <w:tcW w:w="987" w:type="dxa"/>
            <w:shd w:val="clear" w:color="auto" w:fill="EEECE1" w:themeFill="background2"/>
            <w:vAlign w:val="bottom"/>
          </w:tcPr>
          <w:p w14:paraId="6B8ECA4C" w14:textId="77777777" w:rsidR="00FD5C37" w:rsidRPr="00DD30D9" w:rsidRDefault="00FD5C37" w:rsidP="002243CB">
            <w:pPr>
              <w:rPr>
                <w:rFonts w:ascii="Arial" w:hAnsi="Arial" w:cs="Arial"/>
                <w:b/>
                <w:sz w:val="18"/>
                <w:szCs w:val="18"/>
                <w:lang w:val="en-AU"/>
              </w:rPr>
            </w:pPr>
            <w:r w:rsidRPr="00DD30D9">
              <w:rPr>
                <w:rFonts w:ascii="Arial" w:hAnsi="Arial" w:cs="Arial"/>
                <w:b/>
                <w:sz w:val="18"/>
                <w:szCs w:val="18"/>
                <w:lang w:val="en-AU"/>
              </w:rPr>
              <w:t>Item</w:t>
            </w:r>
          </w:p>
        </w:tc>
        <w:tc>
          <w:tcPr>
            <w:tcW w:w="3970" w:type="dxa"/>
            <w:shd w:val="clear" w:color="auto" w:fill="EEECE1" w:themeFill="background2"/>
            <w:vAlign w:val="bottom"/>
          </w:tcPr>
          <w:p w14:paraId="5FF3BCAB" w14:textId="77777777" w:rsidR="00FD5C37" w:rsidRPr="00DD30D9" w:rsidRDefault="00694E18" w:rsidP="008673DD">
            <w:pPr>
              <w:rPr>
                <w:rFonts w:ascii="Arial" w:hAnsi="Arial" w:cs="Arial"/>
                <w:b/>
                <w:sz w:val="18"/>
                <w:szCs w:val="18"/>
                <w:lang w:val="en-AU"/>
              </w:rPr>
            </w:pPr>
            <w:r w:rsidRPr="00DD30D9">
              <w:rPr>
                <w:rFonts w:ascii="Arial" w:hAnsi="Arial" w:cs="Arial"/>
                <w:b/>
                <w:sz w:val="18"/>
                <w:szCs w:val="18"/>
                <w:lang w:val="en-AU"/>
              </w:rPr>
              <w:t>Proposed changes to</w:t>
            </w:r>
            <w:r w:rsidR="00FD5C37" w:rsidRPr="00DD30D9">
              <w:rPr>
                <w:rFonts w:ascii="Arial" w:hAnsi="Arial" w:cs="Arial"/>
                <w:b/>
                <w:sz w:val="18"/>
                <w:szCs w:val="18"/>
                <w:lang w:val="en-AU"/>
              </w:rPr>
              <w:t xml:space="preserve"> </w:t>
            </w:r>
            <w:r w:rsidRPr="00DD30D9">
              <w:rPr>
                <w:rFonts w:ascii="Arial" w:hAnsi="Arial" w:cs="Arial"/>
                <w:b/>
                <w:sz w:val="18"/>
                <w:szCs w:val="18"/>
                <w:lang w:val="en-AU"/>
              </w:rPr>
              <w:t>item 73</w:t>
            </w:r>
            <w:r w:rsidR="008673DD">
              <w:rPr>
                <w:rFonts w:ascii="Arial" w:hAnsi="Arial" w:cs="Arial"/>
                <w:b/>
                <w:sz w:val="18"/>
                <w:szCs w:val="18"/>
                <w:lang w:val="en-AU"/>
              </w:rPr>
              <w:t>2</w:t>
            </w:r>
            <w:r w:rsidRPr="00DD30D9">
              <w:rPr>
                <w:rFonts w:ascii="Arial" w:hAnsi="Arial" w:cs="Arial"/>
                <w:b/>
                <w:sz w:val="18"/>
                <w:szCs w:val="18"/>
                <w:lang w:val="en-AU"/>
              </w:rPr>
              <w:t xml:space="preserve">92 </w:t>
            </w:r>
            <w:r w:rsidR="00FD5C37" w:rsidRPr="00DD30D9">
              <w:rPr>
                <w:rFonts w:ascii="Arial" w:hAnsi="Arial" w:cs="Arial"/>
                <w:b/>
                <w:sz w:val="18"/>
                <w:szCs w:val="18"/>
                <w:lang w:val="en-AU"/>
              </w:rPr>
              <w:t>descriptor</w:t>
            </w:r>
          </w:p>
        </w:tc>
        <w:tc>
          <w:tcPr>
            <w:tcW w:w="4252" w:type="dxa"/>
            <w:shd w:val="clear" w:color="auto" w:fill="EEECE1" w:themeFill="background2"/>
            <w:vAlign w:val="bottom"/>
          </w:tcPr>
          <w:p w14:paraId="2499DE17" w14:textId="77777777" w:rsidR="00FD5C37" w:rsidRPr="00DD30D9" w:rsidRDefault="00FD5C37" w:rsidP="002243CB">
            <w:pPr>
              <w:rPr>
                <w:rFonts w:ascii="Arial" w:hAnsi="Arial" w:cs="Arial"/>
                <w:b/>
                <w:sz w:val="18"/>
                <w:szCs w:val="18"/>
                <w:lang w:val="en-AU"/>
              </w:rPr>
            </w:pPr>
            <w:r w:rsidRPr="00DD30D9">
              <w:rPr>
                <w:rFonts w:ascii="Arial" w:hAnsi="Arial" w:cs="Arial"/>
                <w:b/>
                <w:sz w:val="18"/>
                <w:szCs w:val="18"/>
                <w:lang w:val="en-AU"/>
              </w:rPr>
              <w:t>Proposed new item descriptor</w:t>
            </w:r>
            <w:r w:rsidR="00FC410F" w:rsidRPr="00DD30D9">
              <w:rPr>
                <w:rFonts w:ascii="Arial" w:hAnsi="Arial" w:cs="Arial"/>
                <w:b/>
                <w:sz w:val="18"/>
                <w:szCs w:val="18"/>
                <w:lang w:val="en-AU"/>
              </w:rPr>
              <w:t>s</w:t>
            </w:r>
          </w:p>
        </w:tc>
      </w:tr>
      <w:tr w:rsidR="00FD5C37" w:rsidRPr="00720661" w14:paraId="1D5C8826" w14:textId="77777777" w:rsidTr="00BE443E">
        <w:trPr>
          <w:trHeight w:val="300"/>
        </w:trPr>
        <w:tc>
          <w:tcPr>
            <w:tcW w:w="987" w:type="dxa"/>
            <w:noWrap/>
          </w:tcPr>
          <w:p w14:paraId="4ED2C9D1" w14:textId="77777777" w:rsidR="00FD5C37" w:rsidRPr="00DD30D9" w:rsidRDefault="00DF2E4E" w:rsidP="008673DD">
            <w:pPr>
              <w:rPr>
                <w:rFonts w:ascii="Arial" w:hAnsi="Arial" w:cs="Arial"/>
                <w:color w:val="000000"/>
                <w:sz w:val="18"/>
                <w:szCs w:val="18"/>
                <w:lang w:val="en-AU"/>
              </w:rPr>
            </w:pPr>
            <w:r w:rsidRPr="00DD30D9">
              <w:rPr>
                <w:rFonts w:ascii="Arial" w:hAnsi="Arial" w:cs="Arial"/>
                <w:color w:val="000000"/>
                <w:sz w:val="18"/>
                <w:szCs w:val="18"/>
                <w:lang w:val="en-AU"/>
              </w:rPr>
              <w:t>73</w:t>
            </w:r>
            <w:r w:rsidR="008673DD">
              <w:rPr>
                <w:rFonts w:ascii="Arial" w:hAnsi="Arial" w:cs="Arial"/>
                <w:color w:val="000000"/>
                <w:sz w:val="18"/>
                <w:szCs w:val="18"/>
                <w:lang w:val="en-AU"/>
              </w:rPr>
              <w:t>2</w:t>
            </w:r>
            <w:r w:rsidRPr="00DD30D9">
              <w:rPr>
                <w:rFonts w:ascii="Arial" w:hAnsi="Arial" w:cs="Arial"/>
                <w:color w:val="000000"/>
                <w:sz w:val="18"/>
                <w:szCs w:val="18"/>
                <w:lang w:val="en-AU"/>
              </w:rPr>
              <w:t>92</w:t>
            </w:r>
          </w:p>
        </w:tc>
        <w:tc>
          <w:tcPr>
            <w:tcW w:w="3970" w:type="dxa"/>
            <w:noWrap/>
          </w:tcPr>
          <w:p w14:paraId="07952AB3" w14:textId="7BF2FE7E" w:rsidR="00FD5C37" w:rsidRPr="00DD30D9" w:rsidRDefault="00DF2E4E" w:rsidP="002243CB">
            <w:pPr>
              <w:rPr>
                <w:rFonts w:ascii="Arial" w:hAnsi="Arial" w:cs="Arial"/>
                <w:bCs/>
                <w:sz w:val="18"/>
                <w:lang w:val="en-AU"/>
              </w:rPr>
            </w:pPr>
            <w:r w:rsidRPr="00DD30D9">
              <w:rPr>
                <w:rFonts w:ascii="Arial" w:hAnsi="Arial" w:cs="Arial"/>
                <w:bCs/>
                <w:sz w:val="18"/>
                <w:lang w:val="en-AU"/>
              </w:rPr>
              <w:t xml:space="preserve">The study of the whole of every chromosome to detect a constitutional genetic abnormality that is at </w:t>
            </w:r>
            <w:r w:rsidRPr="007C7E52">
              <w:rPr>
                <w:rFonts w:ascii="Arial" w:hAnsi="Arial" w:cs="Arial"/>
                <w:bCs/>
                <w:sz w:val="18"/>
                <w:lang w:val="en-AU"/>
              </w:rPr>
              <w:t>least 10 kb in size, in</w:t>
            </w:r>
            <w:r w:rsidRPr="00DD30D9">
              <w:rPr>
                <w:rFonts w:ascii="Arial" w:hAnsi="Arial" w:cs="Arial"/>
                <w:bCs/>
                <w:sz w:val="18"/>
                <w:lang w:val="en-AU"/>
              </w:rPr>
              <w:t xml:space="preserve"> diagnostic studies of a person with developmental delay, intellectual disability, autism, or at least 2 congenital abnormalities (including a service in items 73287, 73289 or 73291, if performed) – 1 or more tests.</w:t>
            </w:r>
          </w:p>
          <w:p w14:paraId="0093CB5B" w14:textId="77777777" w:rsidR="008C21AA" w:rsidRPr="00DD30D9" w:rsidRDefault="008C21AA" w:rsidP="002243CB">
            <w:pPr>
              <w:rPr>
                <w:rFonts w:ascii="Arial" w:hAnsi="Arial" w:cs="Arial"/>
                <w:color w:val="000000"/>
                <w:sz w:val="18"/>
                <w:szCs w:val="18"/>
                <w:lang w:val="en-AU"/>
              </w:rPr>
            </w:pPr>
            <w:r w:rsidRPr="00DD30D9">
              <w:rPr>
                <w:rFonts w:ascii="Arial" w:hAnsi="Arial" w:cs="Arial"/>
                <w:bCs/>
                <w:sz w:val="18"/>
                <w:lang w:val="en-AU"/>
              </w:rPr>
              <w:t>(refer to Section 4.5)</w:t>
            </w:r>
          </w:p>
        </w:tc>
        <w:tc>
          <w:tcPr>
            <w:tcW w:w="4252" w:type="dxa"/>
            <w:noWrap/>
          </w:tcPr>
          <w:p w14:paraId="40ED099F" w14:textId="77777777" w:rsidR="00FD5C37" w:rsidRPr="009F02F0" w:rsidRDefault="00694E18" w:rsidP="002243CB">
            <w:pPr>
              <w:rPr>
                <w:rFonts w:ascii="Arial" w:hAnsi="Arial" w:cs="Arial"/>
                <w:color w:val="000000"/>
                <w:sz w:val="18"/>
                <w:szCs w:val="18"/>
                <w:lang w:val="en-AU"/>
              </w:rPr>
            </w:pPr>
            <w:r w:rsidRPr="009F02F0">
              <w:rPr>
                <w:rFonts w:ascii="Arial" w:hAnsi="Arial" w:cs="Arial"/>
                <w:color w:val="000000"/>
                <w:sz w:val="18"/>
                <w:szCs w:val="18"/>
                <w:lang w:val="en-AU"/>
              </w:rPr>
              <w:t>Population 1: prenatal</w:t>
            </w:r>
          </w:p>
          <w:p w14:paraId="6096EF01" w14:textId="20D7DBF6" w:rsidR="00E161F5" w:rsidRPr="009F02F0" w:rsidRDefault="007C7E52" w:rsidP="00E161F5">
            <w:pPr>
              <w:rPr>
                <w:rFonts w:ascii="Arial" w:hAnsi="Arial" w:cs="Arial"/>
                <w:color w:val="000000"/>
                <w:sz w:val="18"/>
                <w:szCs w:val="18"/>
                <w:lang w:val="en-AU"/>
              </w:rPr>
            </w:pPr>
            <w:r>
              <w:rPr>
                <w:rFonts w:ascii="Arial" w:hAnsi="Arial" w:cs="Arial"/>
                <w:sz w:val="18"/>
                <w:szCs w:val="18"/>
              </w:rPr>
              <w:t>T</w:t>
            </w:r>
            <w:r w:rsidR="009F02F0" w:rsidRPr="009F02F0">
              <w:rPr>
                <w:rFonts w:ascii="Arial" w:hAnsi="Arial" w:cs="Arial"/>
                <w:sz w:val="18"/>
                <w:szCs w:val="18"/>
              </w:rPr>
              <w:t xml:space="preserve">he study of the whole of every </w:t>
            </w:r>
            <w:r w:rsidR="009F02F0" w:rsidRPr="007C7E52">
              <w:rPr>
                <w:rFonts w:ascii="Arial" w:hAnsi="Arial" w:cs="Arial"/>
                <w:sz w:val="18"/>
                <w:szCs w:val="18"/>
              </w:rPr>
              <w:t>chromosome</w:t>
            </w:r>
            <w:r>
              <w:rPr>
                <w:rFonts w:ascii="Arial" w:hAnsi="Arial" w:cs="Arial"/>
                <w:sz w:val="18"/>
                <w:szCs w:val="18"/>
              </w:rPr>
              <w:t xml:space="preserve"> </w:t>
            </w:r>
            <w:r w:rsidRPr="007C7E52">
              <w:rPr>
                <w:rFonts w:ascii="Arial" w:hAnsi="Arial" w:cs="Arial"/>
                <w:sz w:val="18"/>
                <w:szCs w:val="18"/>
              </w:rPr>
              <w:t>to detect a constitutional genetic abnormality that is at least 10 kb in size</w:t>
            </w:r>
            <w:r w:rsidR="009F02F0" w:rsidRPr="007C7E52">
              <w:rPr>
                <w:rFonts w:ascii="Arial" w:hAnsi="Arial" w:cs="Arial"/>
                <w:color w:val="000000"/>
                <w:sz w:val="18"/>
                <w:szCs w:val="18"/>
                <w:lang w:val="en-AU"/>
              </w:rPr>
              <w:t xml:space="preserve"> </w:t>
            </w:r>
            <w:r w:rsidR="00BE7B83" w:rsidRPr="007C7E52">
              <w:rPr>
                <w:rFonts w:ascii="Arial" w:hAnsi="Arial" w:cs="Arial"/>
                <w:color w:val="000000"/>
                <w:sz w:val="18"/>
                <w:szCs w:val="18"/>
                <w:lang w:val="en-AU"/>
              </w:rPr>
              <w:t>in</w:t>
            </w:r>
            <w:r w:rsidR="00BE7B83" w:rsidRPr="009F02F0">
              <w:rPr>
                <w:rFonts w:ascii="Arial" w:hAnsi="Arial" w:cs="Arial"/>
                <w:color w:val="000000"/>
                <w:sz w:val="18"/>
                <w:szCs w:val="18"/>
                <w:lang w:val="en-AU"/>
              </w:rPr>
              <w:t xml:space="preserve"> diagnostic studies of a pregnancy where one or more </w:t>
            </w:r>
            <w:r w:rsidR="00E161F5" w:rsidRPr="009F02F0">
              <w:rPr>
                <w:rFonts w:ascii="Arial" w:hAnsi="Arial" w:cs="Arial"/>
                <w:color w:val="000000"/>
                <w:sz w:val="18"/>
                <w:szCs w:val="18"/>
                <w:lang w:val="en-AU"/>
              </w:rPr>
              <w:t xml:space="preserve">major </w:t>
            </w:r>
            <w:proofErr w:type="spellStart"/>
            <w:r w:rsidR="00E161F5" w:rsidRPr="009F02F0">
              <w:rPr>
                <w:rFonts w:ascii="Arial" w:hAnsi="Arial" w:cs="Arial"/>
                <w:color w:val="000000"/>
                <w:sz w:val="18"/>
                <w:szCs w:val="18"/>
                <w:lang w:val="en-AU"/>
              </w:rPr>
              <w:t>fetal</w:t>
            </w:r>
            <w:proofErr w:type="spellEnd"/>
            <w:r w:rsidR="00E161F5" w:rsidRPr="009F02F0">
              <w:rPr>
                <w:rFonts w:ascii="Arial" w:hAnsi="Arial" w:cs="Arial"/>
                <w:color w:val="000000"/>
                <w:sz w:val="18"/>
                <w:szCs w:val="18"/>
                <w:lang w:val="en-AU"/>
              </w:rPr>
              <w:t xml:space="preserve"> structural abnormalities have been detected on ultrasound (including a service in item 73287, if performed) - 1 or more tests</w:t>
            </w:r>
          </w:p>
          <w:p w14:paraId="195BE14B" w14:textId="77777777" w:rsidR="00694E18" w:rsidRPr="009F02F0" w:rsidRDefault="00694E18" w:rsidP="002243CB">
            <w:pPr>
              <w:rPr>
                <w:rFonts w:ascii="Arial" w:hAnsi="Arial" w:cs="Arial"/>
                <w:color w:val="000000"/>
                <w:sz w:val="18"/>
                <w:szCs w:val="18"/>
                <w:lang w:val="en-AU"/>
              </w:rPr>
            </w:pPr>
            <w:r w:rsidRPr="009F02F0">
              <w:rPr>
                <w:rFonts w:ascii="Arial" w:hAnsi="Arial" w:cs="Arial"/>
                <w:color w:val="000000"/>
                <w:sz w:val="18"/>
                <w:szCs w:val="18"/>
                <w:lang w:val="en-AU"/>
              </w:rPr>
              <w:t>Population 2: CLL and MM</w:t>
            </w:r>
          </w:p>
          <w:p w14:paraId="74DEAB3F" w14:textId="77777777" w:rsidR="00694E18" w:rsidRPr="009F02F0" w:rsidRDefault="00E161F5" w:rsidP="002243CB">
            <w:pPr>
              <w:rPr>
                <w:rFonts w:ascii="Arial" w:hAnsi="Arial" w:cs="Arial"/>
                <w:color w:val="000000"/>
                <w:sz w:val="18"/>
                <w:szCs w:val="18"/>
                <w:lang w:val="en-AU"/>
              </w:rPr>
            </w:pPr>
            <w:r w:rsidRPr="009F02F0">
              <w:rPr>
                <w:rFonts w:ascii="Arial" w:hAnsi="Arial" w:cs="Arial"/>
                <w:color w:val="000000"/>
                <w:sz w:val="18"/>
                <w:szCs w:val="18"/>
                <w:lang w:val="en-AU"/>
              </w:rPr>
              <w:t>Analysis of chromosomes by genome-wide micro-array in diagnostic studies of a patient with chronic lymphocytic leukaemia or multiple myeloma (including a service in item 73290, if performed) - 1 or more tests</w:t>
            </w:r>
          </w:p>
        </w:tc>
      </w:tr>
    </w:tbl>
    <w:p w14:paraId="01DFE1D1" w14:textId="77777777" w:rsidR="001C0F63" w:rsidRPr="00DD30D9" w:rsidRDefault="001C0F63" w:rsidP="00E07D8D">
      <w:pPr>
        <w:rPr>
          <w:lang w:val="en-AU" w:eastAsia="en-US"/>
        </w:rPr>
      </w:pPr>
    </w:p>
    <w:p w14:paraId="04E6B166" w14:textId="77777777" w:rsidR="00760059" w:rsidRPr="00DD30D9" w:rsidRDefault="00760059" w:rsidP="00760059">
      <w:pPr>
        <w:pStyle w:val="Heading3"/>
        <w:rPr>
          <w:lang w:val="en-AU"/>
        </w:rPr>
      </w:pPr>
      <w:bookmarkStart w:id="152" w:name="_Toc13736013"/>
      <w:r w:rsidRPr="00DD30D9">
        <w:rPr>
          <w:lang w:val="en-AU"/>
        </w:rPr>
        <w:lastRenderedPageBreak/>
        <w:t xml:space="preserve">Extension of item </w:t>
      </w:r>
      <w:r w:rsidR="00E07D8D" w:rsidRPr="00DD30D9">
        <w:rPr>
          <w:lang w:val="en-AU"/>
        </w:rPr>
        <w:t>73325</w:t>
      </w:r>
      <w:r w:rsidR="00605D80" w:rsidRPr="00DD30D9">
        <w:rPr>
          <w:lang w:val="en-AU"/>
        </w:rPr>
        <w:t>:</w:t>
      </w:r>
      <w:r w:rsidR="00FC2B54" w:rsidRPr="00DD30D9">
        <w:rPr>
          <w:lang w:val="en-AU"/>
        </w:rPr>
        <w:t xml:space="preserve"> include an additional population and </w:t>
      </w:r>
      <w:r w:rsidR="00FD4E73" w:rsidRPr="00DD30D9">
        <w:rPr>
          <w:lang w:val="en-AU"/>
        </w:rPr>
        <w:t xml:space="preserve">a new </w:t>
      </w:r>
      <w:r w:rsidR="00FC2B54" w:rsidRPr="00DD30D9">
        <w:rPr>
          <w:lang w:val="en-AU"/>
        </w:rPr>
        <w:t>mutation</w:t>
      </w:r>
      <w:bookmarkEnd w:id="152"/>
    </w:p>
    <w:p w14:paraId="21303874" w14:textId="77777777" w:rsidR="007002C4" w:rsidRPr="00DD30D9" w:rsidRDefault="007002C4" w:rsidP="007002C4">
      <w:pPr>
        <w:pStyle w:val="Heading3"/>
        <w:numPr>
          <w:ilvl w:val="0"/>
          <w:numId w:val="0"/>
        </w:numPr>
        <w:ind w:left="720" w:hanging="720"/>
        <w:rPr>
          <w:lang w:val="en-AU"/>
        </w:rPr>
      </w:pPr>
      <w:bookmarkStart w:id="153" w:name="_Toc13736014"/>
      <w:r w:rsidRPr="00DD30D9">
        <w:rPr>
          <w:lang w:val="en-AU"/>
        </w:rPr>
        <w:t>Recommendation</w:t>
      </w:r>
      <w:r w:rsidR="00534F8D" w:rsidRPr="00DD30D9">
        <w:rPr>
          <w:lang w:val="en-AU"/>
        </w:rPr>
        <w:t xml:space="preserve"> 12</w:t>
      </w:r>
      <w:bookmarkEnd w:id="153"/>
    </w:p>
    <w:p w14:paraId="51F26C8F" w14:textId="77777777" w:rsidR="00EF0ECE" w:rsidRPr="00DD30D9" w:rsidRDefault="007002C4" w:rsidP="002D7EDE">
      <w:pPr>
        <w:pStyle w:val="01squarebullet"/>
        <w:rPr>
          <w:color w:val="000000"/>
          <w:lang w:val="en-AU"/>
        </w:rPr>
      </w:pPr>
      <w:r w:rsidRPr="00720661">
        <w:rPr>
          <w:rFonts w:cstheme="minorHAnsi"/>
          <w:szCs w:val="22"/>
          <w:lang w:val="en-AU"/>
        </w:rPr>
        <w:t xml:space="preserve">The Committee seeks to brief the MSAC Executive and obtain its advice on </w:t>
      </w:r>
      <w:r w:rsidRPr="00DD30D9">
        <w:rPr>
          <w:lang w:val="en-AU"/>
        </w:rPr>
        <w:t xml:space="preserve">the next steps for an application to MSAC to extensively review item 73325 to include additional populations and mutations beyond those currently specified, as well as undertake a costing review of this item. </w:t>
      </w:r>
    </w:p>
    <w:p w14:paraId="5C3B7DE8" w14:textId="77777777" w:rsidR="00EF0ECE" w:rsidRPr="00DD30D9" w:rsidRDefault="00EF0ECE">
      <w:pPr>
        <w:pStyle w:val="Caption"/>
      </w:pPr>
      <w:bookmarkStart w:id="154" w:name="_Toc482009649"/>
      <w:r w:rsidRPr="00DD30D9">
        <w:t xml:space="preserve">Table </w:t>
      </w:r>
      <w:r w:rsidR="00474F25" w:rsidRPr="00860DE7">
        <w:fldChar w:fldCharType="begin"/>
      </w:r>
      <w:r w:rsidR="00474F25" w:rsidRPr="00720661">
        <w:instrText xml:space="preserve"> AUTONUM  \* Arabic </w:instrText>
      </w:r>
      <w:r w:rsidR="00474F25" w:rsidRPr="00860DE7">
        <w:fldChar w:fldCharType="end"/>
      </w:r>
      <w:r w:rsidRPr="00DD30D9">
        <w:t xml:space="preserve"> </w:t>
      </w:r>
      <w:r w:rsidRPr="00720661">
        <w:t xml:space="preserve">Item introduction </w:t>
      </w:r>
      <w:r w:rsidRPr="00DD30D9">
        <w:t>table</w:t>
      </w:r>
      <w:r w:rsidRPr="00720661">
        <w:t xml:space="preserve"> for item 73325</w:t>
      </w:r>
      <w:bookmarkEnd w:id="154"/>
    </w:p>
    <w:tbl>
      <w:tblPr>
        <w:tblStyle w:val="TableGrid3"/>
        <w:tblW w:w="9016" w:type="dxa"/>
        <w:tblLook w:val="04A0" w:firstRow="1" w:lastRow="0" w:firstColumn="1" w:lastColumn="0" w:noHBand="0" w:noVBand="1"/>
        <w:tblCaption w:val="Item introduction table for item 73325"/>
        <w:tblDescription w:val="This table contains Medicare Benefits Schedule data for item 73325 for the finanical year 2014–2015. The data include item numbers, long item descriptors, schedule fee, total volume of services, benefits paid, patient count and services annual average growth."/>
      </w:tblPr>
      <w:tblGrid>
        <w:gridCol w:w="818"/>
        <w:gridCol w:w="2108"/>
        <w:gridCol w:w="1161"/>
        <w:gridCol w:w="1428"/>
        <w:gridCol w:w="1433"/>
        <w:gridCol w:w="1079"/>
        <w:gridCol w:w="989"/>
      </w:tblGrid>
      <w:tr w:rsidR="00981A3E" w:rsidRPr="00720661" w14:paraId="2356B8B4" w14:textId="77777777" w:rsidTr="005A054A">
        <w:trPr>
          <w:cnfStyle w:val="100000000000" w:firstRow="1" w:lastRow="0" w:firstColumn="0" w:lastColumn="0" w:oddVBand="0" w:evenVBand="0" w:oddHBand="0" w:evenHBand="0" w:firstRowFirstColumn="0" w:firstRowLastColumn="0" w:lastRowFirstColumn="0" w:lastRowLastColumn="0"/>
          <w:trHeight w:val="300"/>
          <w:tblHeader/>
        </w:trPr>
        <w:tc>
          <w:tcPr>
            <w:tcW w:w="0" w:type="dxa"/>
            <w:shd w:val="clear" w:color="auto" w:fill="EEECE1" w:themeFill="background2"/>
            <w:noWrap/>
            <w:vAlign w:val="bottom"/>
          </w:tcPr>
          <w:p w14:paraId="715A083E" w14:textId="77777777" w:rsidR="00EF0ECE" w:rsidRPr="00DD30D9" w:rsidRDefault="00EF0ECE" w:rsidP="002243CB">
            <w:pPr>
              <w:spacing w:after="0"/>
              <w:jc w:val="left"/>
              <w:rPr>
                <w:rFonts w:ascii="Arial" w:hAnsi="Arial" w:cs="Arial"/>
                <w:b w:val="0"/>
                <w:sz w:val="18"/>
                <w:szCs w:val="18"/>
                <w:lang w:val="en-AU"/>
              </w:rPr>
            </w:pPr>
            <w:r w:rsidRPr="00DD30D9">
              <w:rPr>
                <w:rFonts w:ascii="Arial" w:hAnsi="Arial" w:cs="Arial"/>
                <w:sz w:val="18"/>
                <w:szCs w:val="18"/>
                <w:lang w:val="en-AU"/>
              </w:rPr>
              <w:t>Item</w:t>
            </w:r>
          </w:p>
        </w:tc>
        <w:tc>
          <w:tcPr>
            <w:tcW w:w="0" w:type="dxa"/>
            <w:shd w:val="clear" w:color="auto" w:fill="EEECE1" w:themeFill="background2"/>
            <w:noWrap/>
            <w:vAlign w:val="bottom"/>
          </w:tcPr>
          <w:p w14:paraId="25FB1FFF" w14:textId="77777777" w:rsidR="00EF0ECE" w:rsidRPr="00DD30D9" w:rsidRDefault="00EF0ECE" w:rsidP="002243CB">
            <w:pPr>
              <w:spacing w:after="0"/>
              <w:jc w:val="left"/>
              <w:rPr>
                <w:rFonts w:ascii="Arial" w:hAnsi="Arial" w:cs="Arial"/>
                <w:b w:val="0"/>
                <w:sz w:val="18"/>
                <w:szCs w:val="18"/>
                <w:lang w:val="en-AU"/>
              </w:rPr>
            </w:pPr>
            <w:r w:rsidRPr="00DD30D9">
              <w:rPr>
                <w:rFonts w:ascii="Arial" w:hAnsi="Arial" w:cs="Arial"/>
                <w:sz w:val="18"/>
                <w:szCs w:val="18"/>
                <w:lang w:val="en-AU"/>
              </w:rPr>
              <w:t>Long item descriptor</w:t>
            </w:r>
          </w:p>
        </w:tc>
        <w:tc>
          <w:tcPr>
            <w:tcW w:w="1017" w:type="dxa"/>
            <w:shd w:val="clear" w:color="auto" w:fill="EEECE1" w:themeFill="background2"/>
            <w:noWrap/>
            <w:vAlign w:val="bottom"/>
          </w:tcPr>
          <w:p w14:paraId="2E073BA6" w14:textId="77777777" w:rsidR="00EF0ECE" w:rsidRPr="00DD30D9" w:rsidRDefault="00EF0ECE">
            <w:pPr>
              <w:spacing w:after="0"/>
              <w:jc w:val="left"/>
              <w:rPr>
                <w:rFonts w:ascii="Arial" w:hAnsi="Arial" w:cs="Arial"/>
                <w:b w:val="0"/>
                <w:sz w:val="18"/>
                <w:szCs w:val="18"/>
                <w:lang w:val="en-AU"/>
              </w:rPr>
            </w:pPr>
            <w:r w:rsidRPr="00DD30D9">
              <w:rPr>
                <w:rFonts w:ascii="Arial" w:hAnsi="Arial" w:cs="Arial"/>
                <w:sz w:val="18"/>
                <w:szCs w:val="18"/>
                <w:lang w:val="en-AU"/>
              </w:rPr>
              <w:t>Schedule fee</w:t>
            </w:r>
          </w:p>
        </w:tc>
        <w:tc>
          <w:tcPr>
            <w:tcW w:w="1251" w:type="dxa"/>
            <w:shd w:val="clear" w:color="auto" w:fill="EEECE1" w:themeFill="background2"/>
            <w:noWrap/>
            <w:vAlign w:val="bottom"/>
          </w:tcPr>
          <w:p w14:paraId="66882A1E" w14:textId="77777777" w:rsidR="00EF0ECE" w:rsidRPr="00DD30D9" w:rsidRDefault="00EF0ECE">
            <w:pPr>
              <w:spacing w:after="0"/>
              <w:jc w:val="left"/>
              <w:rPr>
                <w:rFonts w:ascii="Arial" w:hAnsi="Arial" w:cs="Arial"/>
                <w:b w:val="0"/>
                <w:sz w:val="18"/>
                <w:szCs w:val="18"/>
                <w:lang w:val="en-AU"/>
              </w:rPr>
            </w:pPr>
            <w:r w:rsidRPr="00DD30D9">
              <w:rPr>
                <w:rFonts w:ascii="Arial" w:hAnsi="Arial" w:cs="Arial"/>
                <w:sz w:val="18"/>
                <w:szCs w:val="18"/>
                <w:lang w:val="en-AU"/>
              </w:rPr>
              <w:t xml:space="preserve">Services </w:t>
            </w:r>
            <w:r w:rsidR="001870BC" w:rsidRPr="00DD30D9">
              <w:rPr>
                <w:rFonts w:ascii="Arial" w:hAnsi="Arial" w:cs="Arial"/>
                <w:sz w:val="18"/>
                <w:szCs w:val="18"/>
                <w:lang w:val="en-AU"/>
              </w:rPr>
              <w:t>FY</w:t>
            </w:r>
            <w:r w:rsidR="001870BC">
              <w:rPr>
                <w:rFonts w:ascii="Arial" w:hAnsi="Arial" w:cs="Arial"/>
                <w:sz w:val="18"/>
                <w:szCs w:val="18"/>
                <w:lang w:val="en-AU"/>
              </w:rPr>
              <w:t> </w:t>
            </w:r>
            <w:r w:rsidRPr="00DD30D9">
              <w:rPr>
                <w:rFonts w:ascii="Arial" w:hAnsi="Arial" w:cs="Arial"/>
                <w:sz w:val="18"/>
                <w:szCs w:val="18"/>
                <w:lang w:val="en-AU"/>
              </w:rPr>
              <w:t>2014–15</w:t>
            </w:r>
          </w:p>
        </w:tc>
        <w:tc>
          <w:tcPr>
            <w:tcW w:w="1255" w:type="dxa"/>
            <w:shd w:val="clear" w:color="auto" w:fill="EEECE1" w:themeFill="background2"/>
            <w:vAlign w:val="bottom"/>
          </w:tcPr>
          <w:p w14:paraId="10C4A06F" w14:textId="77777777" w:rsidR="00EF0ECE" w:rsidRPr="00DD30D9" w:rsidRDefault="00EF0ECE" w:rsidP="00BE443E">
            <w:pPr>
              <w:spacing w:after="0"/>
              <w:jc w:val="left"/>
              <w:rPr>
                <w:rFonts w:ascii="Arial" w:hAnsi="Arial" w:cs="Arial"/>
                <w:sz w:val="18"/>
                <w:szCs w:val="18"/>
                <w:lang w:val="en-AU"/>
              </w:rPr>
            </w:pPr>
            <w:r w:rsidRPr="00DD30D9">
              <w:rPr>
                <w:rFonts w:ascii="Arial" w:hAnsi="Arial" w:cs="Arial"/>
                <w:sz w:val="18"/>
                <w:szCs w:val="18"/>
                <w:lang w:val="en-AU"/>
              </w:rPr>
              <w:t xml:space="preserve">Benefits paid </w:t>
            </w:r>
            <w:r w:rsidR="00981A3E" w:rsidRPr="00DD30D9">
              <w:rPr>
                <w:rFonts w:ascii="Arial" w:hAnsi="Arial" w:cs="Arial"/>
                <w:sz w:val="18"/>
                <w:szCs w:val="18"/>
                <w:lang w:val="en-AU"/>
              </w:rPr>
              <w:t>FY</w:t>
            </w:r>
            <w:r w:rsidR="00981A3E">
              <w:rPr>
                <w:rFonts w:ascii="Arial" w:hAnsi="Arial" w:cs="Arial"/>
                <w:sz w:val="18"/>
                <w:szCs w:val="18"/>
                <w:lang w:val="en-AU"/>
              </w:rPr>
              <w:t> </w:t>
            </w:r>
            <w:r w:rsidRPr="00DD30D9">
              <w:rPr>
                <w:rFonts w:ascii="Arial" w:hAnsi="Arial" w:cs="Arial"/>
                <w:sz w:val="18"/>
                <w:szCs w:val="18"/>
                <w:lang w:val="en-AU"/>
              </w:rPr>
              <w:t>2014–15</w:t>
            </w:r>
          </w:p>
        </w:tc>
        <w:tc>
          <w:tcPr>
            <w:tcW w:w="945" w:type="dxa"/>
            <w:shd w:val="clear" w:color="auto" w:fill="EEECE1" w:themeFill="background2"/>
            <w:noWrap/>
            <w:vAlign w:val="bottom"/>
          </w:tcPr>
          <w:p w14:paraId="624B8C80" w14:textId="77777777" w:rsidR="00EF0ECE" w:rsidRPr="00DD30D9" w:rsidRDefault="00EF0ECE">
            <w:pPr>
              <w:spacing w:after="0"/>
              <w:jc w:val="left"/>
              <w:rPr>
                <w:rFonts w:ascii="Arial" w:hAnsi="Arial" w:cs="Arial"/>
                <w:b w:val="0"/>
                <w:sz w:val="18"/>
                <w:szCs w:val="18"/>
                <w:lang w:val="en-AU"/>
              </w:rPr>
            </w:pPr>
            <w:r w:rsidRPr="00DD30D9">
              <w:rPr>
                <w:rFonts w:ascii="Arial" w:hAnsi="Arial" w:cs="Arial"/>
                <w:sz w:val="18"/>
                <w:szCs w:val="18"/>
                <w:lang w:val="en-AU"/>
              </w:rPr>
              <w:t>Patient count 2014–15</w:t>
            </w:r>
          </w:p>
        </w:tc>
        <w:tc>
          <w:tcPr>
            <w:tcW w:w="0" w:type="dxa"/>
            <w:shd w:val="clear" w:color="auto" w:fill="EEECE1" w:themeFill="background2"/>
            <w:noWrap/>
            <w:vAlign w:val="bottom"/>
          </w:tcPr>
          <w:p w14:paraId="075A03F6" w14:textId="77777777" w:rsidR="00EF0ECE" w:rsidRPr="00DD30D9" w:rsidRDefault="00EF0ECE">
            <w:pPr>
              <w:spacing w:after="0"/>
              <w:jc w:val="left"/>
              <w:rPr>
                <w:rFonts w:ascii="Arial" w:hAnsi="Arial" w:cs="Arial"/>
                <w:b w:val="0"/>
                <w:sz w:val="18"/>
                <w:szCs w:val="18"/>
                <w:lang w:val="en-AU"/>
              </w:rPr>
            </w:pPr>
            <w:r w:rsidRPr="00DD30D9">
              <w:rPr>
                <w:rFonts w:ascii="Arial" w:hAnsi="Arial" w:cs="Arial"/>
                <w:sz w:val="18"/>
                <w:szCs w:val="18"/>
                <w:lang w:val="en-AU"/>
              </w:rPr>
              <w:t>5-year service change (CAGR)</w:t>
            </w:r>
          </w:p>
        </w:tc>
      </w:tr>
      <w:tr w:rsidR="00981A3E" w:rsidRPr="00720661" w14:paraId="3787634D" w14:textId="77777777" w:rsidTr="00BE443E">
        <w:trPr>
          <w:trHeight w:val="1933"/>
        </w:trPr>
        <w:tc>
          <w:tcPr>
            <w:tcW w:w="0" w:type="dxa"/>
            <w:shd w:val="clear" w:color="auto" w:fill="auto"/>
            <w:noWrap/>
            <w:hideMark/>
          </w:tcPr>
          <w:p w14:paraId="50F89E0B" w14:textId="77777777" w:rsidR="00EF0ECE" w:rsidRPr="00DD30D9" w:rsidRDefault="00EF0ECE" w:rsidP="002243CB">
            <w:pPr>
              <w:spacing w:after="0"/>
              <w:rPr>
                <w:rFonts w:ascii="Arial" w:hAnsi="Arial" w:cs="Arial"/>
                <w:sz w:val="18"/>
                <w:szCs w:val="18"/>
                <w:lang w:val="en-AU"/>
              </w:rPr>
            </w:pPr>
            <w:r w:rsidRPr="00DD30D9">
              <w:rPr>
                <w:rFonts w:ascii="Arial" w:hAnsi="Arial" w:cs="Arial"/>
                <w:sz w:val="18"/>
                <w:szCs w:val="18"/>
                <w:lang w:val="en-AU"/>
              </w:rPr>
              <w:t>73325</w:t>
            </w:r>
          </w:p>
        </w:tc>
        <w:tc>
          <w:tcPr>
            <w:tcW w:w="0" w:type="dxa"/>
            <w:shd w:val="clear" w:color="auto" w:fill="auto"/>
            <w:noWrap/>
            <w:hideMark/>
          </w:tcPr>
          <w:p w14:paraId="6CD3DEDD" w14:textId="77777777" w:rsidR="00EF0ECE" w:rsidRPr="00DD30D9" w:rsidRDefault="00EF0ECE" w:rsidP="00BE443E">
            <w:pPr>
              <w:rPr>
                <w:rFonts w:ascii="Arial" w:hAnsi="Arial" w:cs="Arial"/>
                <w:sz w:val="18"/>
                <w:szCs w:val="18"/>
                <w:lang w:val="en-AU"/>
              </w:rPr>
            </w:pPr>
            <w:r w:rsidRPr="00DD30D9">
              <w:rPr>
                <w:rFonts w:ascii="Arial" w:hAnsi="Arial" w:cs="Arial"/>
                <w:sz w:val="18"/>
                <w:szCs w:val="18"/>
                <w:lang w:val="en-AU"/>
              </w:rPr>
              <w:t xml:space="preserve">Characterisation of mutations in:(a) the </w:t>
            </w:r>
            <w:r w:rsidRPr="00DD30D9">
              <w:rPr>
                <w:rFonts w:ascii="Arial" w:hAnsi="Arial" w:cs="Arial"/>
                <w:i/>
                <w:sz w:val="18"/>
                <w:szCs w:val="18"/>
                <w:lang w:val="en-AU"/>
              </w:rPr>
              <w:t>JAK2</w:t>
            </w:r>
            <w:r w:rsidRPr="00DD30D9">
              <w:rPr>
                <w:rFonts w:ascii="Arial" w:hAnsi="Arial" w:cs="Arial"/>
                <w:sz w:val="18"/>
                <w:szCs w:val="18"/>
                <w:lang w:val="en-AU"/>
              </w:rPr>
              <w:t xml:space="preserve"> gene; or (b) the </w:t>
            </w:r>
            <w:r w:rsidRPr="00DD30D9">
              <w:rPr>
                <w:rFonts w:ascii="Arial" w:hAnsi="Arial" w:cs="Arial"/>
                <w:i/>
                <w:sz w:val="18"/>
                <w:szCs w:val="18"/>
                <w:lang w:val="en-AU"/>
              </w:rPr>
              <w:t>MPL</w:t>
            </w:r>
            <w:r w:rsidRPr="00DD30D9">
              <w:rPr>
                <w:rFonts w:ascii="Arial" w:hAnsi="Arial" w:cs="Arial"/>
                <w:sz w:val="18"/>
                <w:szCs w:val="18"/>
                <w:lang w:val="en-AU"/>
              </w:rPr>
              <w:t xml:space="preserve"> gene; or (c) both genes; in the diagnostic work-up, by, or on behalf of, the specialist or consultant physician, of a patient with clinical and laboratory evidence of: a) polycythaemia vera; or b) essential thrombocythaemia;1 or more tests</w:t>
            </w:r>
          </w:p>
        </w:tc>
        <w:tc>
          <w:tcPr>
            <w:tcW w:w="1017" w:type="dxa"/>
            <w:shd w:val="clear" w:color="auto" w:fill="auto"/>
            <w:noWrap/>
            <w:hideMark/>
          </w:tcPr>
          <w:p w14:paraId="1719C072" w14:textId="77777777" w:rsidR="00EF0ECE" w:rsidRPr="00DD30D9" w:rsidRDefault="00EF0ECE" w:rsidP="00BE443E">
            <w:pPr>
              <w:spacing w:after="0"/>
              <w:jc w:val="right"/>
              <w:rPr>
                <w:rFonts w:ascii="Arial" w:hAnsi="Arial" w:cs="Arial"/>
                <w:sz w:val="18"/>
                <w:szCs w:val="18"/>
                <w:lang w:val="en-AU"/>
              </w:rPr>
            </w:pPr>
            <w:r w:rsidRPr="00DD30D9">
              <w:rPr>
                <w:rFonts w:ascii="Arial" w:hAnsi="Arial" w:cs="Arial"/>
                <w:sz w:val="18"/>
                <w:szCs w:val="18"/>
                <w:lang w:val="en-AU"/>
              </w:rPr>
              <w:t>$74.50</w:t>
            </w:r>
          </w:p>
        </w:tc>
        <w:tc>
          <w:tcPr>
            <w:tcW w:w="1251" w:type="dxa"/>
            <w:shd w:val="clear" w:color="auto" w:fill="auto"/>
            <w:noWrap/>
            <w:hideMark/>
          </w:tcPr>
          <w:p w14:paraId="51F88824" w14:textId="77777777" w:rsidR="00EF0ECE" w:rsidRPr="00DD30D9" w:rsidRDefault="00EF0ECE" w:rsidP="00BE443E">
            <w:pPr>
              <w:spacing w:after="0"/>
              <w:jc w:val="right"/>
              <w:rPr>
                <w:rFonts w:ascii="Arial" w:hAnsi="Arial" w:cs="Arial"/>
                <w:sz w:val="18"/>
                <w:szCs w:val="18"/>
                <w:lang w:val="en-AU"/>
              </w:rPr>
            </w:pPr>
            <w:r w:rsidRPr="00DD30D9">
              <w:rPr>
                <w:rFonts w:ascii="Arial" w:hAnsi="Arial" w:cs="Arial"/>
                <w:sz w:val="18"/>
                <w:szCs w:val="18"/>
                <w:lang w:val="en-AU"/>
              </w:rPr>
              <w:t>9170</w:t>
            </w:r>
          </w:p>
        </w:tc>
        <w:tc>
          <w:tcPr>
            <w:tcW w:w="1255" w:type="dxa"/>
          </w:tcPr>
          <w:p w14:paraId="468BA5CB" w14:textId="77777777" w:rsidR="00EF0ECE" w:rsidRPr="00DD30D9" w:rsidRDefault="00EF0ECE" w:rsidP="00BE443E">
            <w:pPr>
              <w:spacing w:after="0"/>
              <w:jc w:val="right"/>
              <w:rPr>
                <w:rFonts w:ascii="Arial" w:hAnsi="Arial" w:cs="Arial"/>
                <w:sz w:val="18"/>
                <w:szCs w:val="18"/>
                <w:lang w:val="en-AU"/>
              </w:rPr>
            </w:pPr>
            <w:r w:rsidRPr="00DD30D9">
              <w:rPr>
                <w:rFonts w:ascii="Arial" w:hAnsi="Arial" w:cs="Arial"/>
                <w:sz w:val="18"/>
                <w:szCs w:val="18"/>
                <w:lang w:val="en-AU"/>
              </w:rPr>
              <w:t>$580,129</w:t>
            </w:r>
          </w:p>
        </w:tc>
        <w:tc>
          <w:tcPr>
            <w:tcW w:w="945" w:type="dxa"/>
            <w:shd w:val="clear" w:color="auto" w:fill="auto"/>
            <w:noWrap/>
            <w:hideMark/>
          </w:tcPr>
          <w:p w14:paraId="766438FB" w14:textId="77777777" w:rsidR="00EF0ECE" w:rsidRPr="00DD30D9" w:rsidRDefault="00EF0ECE" w:rsidP="00BE443E">
            <w:pPr>
              <w:spacing w:after="0"/>
              <w:jc w:val="right"/>
              <w:rPr>
                <w:rFonts w:ascii="Arial" w:hAnsi="Arial" w:cs="Arial"/>
                <w:sz w:val="18"/>
                <w:szCs w:val="18"/>
                <w:lang w:val="en-AU"/>
              </w:rPr>
            </w:pPr>
            <w:r w:rsidRPr="00DD30D9">
              <w:rPr>
                <w:rFonts w:ascii="Arial" w:hAnsi="Arial" w:cs="Arial"/>
                <w:sz w:val="18"/>
                <w:szCs w:val="18"/>
                <w:lang w:val="en-AU"/>
              </w:rPr>
              <w:t>8685</w:t>
            </w:r>
          </w:p>
        </w:tc>
        <w:tc>
          <w:tcPr>
            <w:tcW w:w="0" w:type="dxa"/>
            <w:shd w:val="clear" w:color="auto" w:fill="auto"/>
            <w:noWrap/>
            <w:hideMark/>
          </w:tcPr>
          <w:p w14:paraId="7DEAE606" w14:textId="77777777" w:rsidR="00EF0ECE" w:rsidRPr="00DD30D9" w:rsidRDefault="002D0013" w:rsidP="00BE443E">
            <w:pPr>
              <w:spacing w:after="0"/>
              <w:jc w:val="center"/>
              <w:rPr>
                <w:rFonts w:ascii="Arial" w:hAnsi="Arial" w:cs="Arial"/>
                <w:sz w:val="18"/>
                <w:szCs w:val="18"/>
                <w:lang w:val="en-AU"/>
              </w:rPr>
            </w:pPr>
            <w:r>
              <w:rPr>
                <w:rFonts w:ascii="Arial" w:hAnsi="Arial" w:cs="Arial"/>
                <w:sz w:val="18"/>
                <w:szCs w:val="18"/>
                <w:lang w:val="en-AU"/>
              </w:rPr>
              <w:t>—</w:t>
            </w:r>
          </w:p>
        </w:tc>
      </w:tr>
    </w:tbl>
    <w:p w14:paraId="5FF942D5" w14:textId="77777777" w:rsidR="00FC2B54" w:rsidRPr="00DD30D9" w:rsidRDefault="003469A3" w:rsidP="002D7EDE">
      <w:pPr>
        <w:pStyle w:val="Heading3"/>
        <w:numPr>
          <w:ilvl w:val="0"/>
          <w:numId w:val="0"/>
        </w:numPr>
        <w:rPr>
          <w:sz w:val="22"/>
          <w:lang w:val="en-AU"/>
        </w:rPr>
      </w:pPr>
      <w:bookmarkStart w:id="155" w:name="_Toc13736015"/>
      <w:r w:rsidRPr="00DD30D9">
        <w:rPr>
          <w:lang w:val="en-AU"/>
        </w:rPr>
        <w:t>Rationale</w:t>
      </w:r>
      <w:r w:rsidR="00534F8D" w:rsidRPr="00DD30D9">
        <w:rPr>
          <w:lang w:val="en-AU"/>
        </w:rPr>
        <w:t xml:space="preserve"> 12</w:t>
      </w:r>
      <w:bookmarkEnd w:id="155"/>
    </w:p>
    <w:p w14:paraId="7885D89E" w14:textId="77777777" w:rsidR="00EF0ECE" w:rsidRPr="00DD30D9" w:rsidRDefault="00FC2B54" w:rsidP="002D7EDE">
      <w:pPr>
        <w:pStyle w:val="01squarebullet"/>
        <w:rPr>
          <w:lang w:val="en-AU"/>
        </w:rPr>
      </w:pPr>
      <w:r w:rsidRPr="00DD30D9">
        <w:rPr>
          <w:lang w:val="en-AU"/>
        </w:rPr>
        <w:t xml:space="preserve">Item 73325 was added to the MBS in 2011 after the emergence of peer-reviewed evidence for prognostic and therapeutic clinical utility of specific mutation testing (in </w:t>
      </w:r>
      <w:r w:rsidRPr="00DD30D9">
        <w:rPr>
          <w:i/>
          <w:lang w:val="en-AU"/>
        </w:rPr>
        <w:t>JAK2</w:t>
      </w:r>
      <w:r w:rsidRPr="00DD30D9">
        <w:rPr>
          <w:lang w:val="en-AU"/>
        </w:rPr>
        <w:t xml:space="preserve"> and </w:t>
      </w:r>
      <w:r w:rsidRPr="00DD30D9">
        <w:rPr>
          <w:i/>
          <w:lang w:val="en-AU"/>
        </w:rPr>
        <w:t>MPL</w:t>
      </w:r>
      <w:r w:rsidRPr="00DD30D9">
        <w:rPr>
          <w:lang w:val="en-AU"/>
        </w:rPr>
        <w:t xml:space="preserve"> genes) in the clinical stratification of two specific (non-CML) myeloproliferative neoplasms — polycythaemia vera (PV), and essential </w:t>
      </w:r>
      <w:proofErr w:type="spellStart"/>
      <w:r w:rsidRPr="00DD30D9">
        <w:rPr>
          <w:lang w:val="en-AU"/>
        </w:rPr>
        <w:t>thrombocythaemia</w:t>
      </w:r>
      <w:proofErr w:type="spellEnd"/>
      <w:r w:rsidRPr="00DD30D9">
        <w:rPr>
          <w:lang w:val="en-AU"/>
        </w:rPr>
        <w:t xml:space="preserve"> (ET). </w:t>
      </w:r>
    </w:p>
    <w:p w14:paraId="41D40D2D" w14:textId="77777777" w:rsidR="00EF0ECE" w:rsidRPr="00DD30D9" w:rsidRDefault="00EF0ECE" w:rsidP="002D7EDE">
      <w:pPr>
        <w:pStyle w:val="01squarebullet"/>
        <w:rPr>
          <w:lang w:val="en-AU"/>
        </w:rPr>
      </w:pPr>
      <w:r w:rsidRPr="00DD30D9">
        <w:rPr>
          <w:lang w:val="en-AU"/>
        </w:rPr>
        <w:t>The Committee concluded that there is sufficient evidence of clinical utility to support an application to MSAC to extend this intervention to include:</w:t>
      </w:r>
    </w:p>
    <w:p w14:paraId="7F0A40D9" w14:textId="77777777" w:rsidR="00EF0ECE" w:rsidRPr="00DD30D9" w:rsidRDefault="00001D4A" w:rsidP="002D7EDE">
      <w:pPr>
        <w:pStyle w:val="02dash"/>
        <w:rPr>
          <w:lang w:val="en-AU"/>
        </w:rPr>
      </w:pPr>
      <w:r w:rsidRPr="00DD30D9">
        <w:rPr>
          <w:lang w:val="en-AU"/>
        </w:rPr>
        <w:t>t</w:t>
      </w:r>
      <w:r w:rsidR="00EF0ECE" w:rsidRPr="00DD30D9">
        <w:rPr>
          <w:lang w:val="en-AU"/>
        </w:rPr>
        <w:t>he characterisation of mutations in the calreticulin (</w:t>
      </w:r>
      <w:r w:rsidR="00EF0ECE" w:rsidRPr="00DD30D9">
        <w:rPr>
          <w:i/>
          <w:lang w:val="en-AU"/>
        </w:rPr>
        <w:t>CALR</w:t>
      </w:r>
      <w:r w:rsidR="00EF0ECE" w:rsidRPr="00DD30D9">
        <w:rPr>
          <w:lang w:val="en-AU"/>
        </w:rPr>
        <w:t>) gene</w:t>
      </w:r>
      <w:r w:rsidR="00BE443E">
        <w:rPr>
          <w:lang w:val="en-AU"/>
        </w:rPr>
        <w:t>, and</w:t>
      </w:r>
    </w:p>
    <w:p w14:paraId="4766CC4D" w14:textId="77777777" w:rsidR="00EF0ECE" w:rsidRPr="00720661" w:rsidRDefault="00EF0ECE" w:rsidP="00FD4E73">
      <w:pPr>
        <w:pStyle w:val="02dash"/>
        <w:rPr>
          <w:rFonts w:cstheme="minorHAnsi"/>
          <w:color w:val="000000"/>
          <w:szCs w:val="22"/>
          <w:lang w:val="en-AU"/>
        </w:rPr>
      </w:pPr>
      <w:r w:rsidRPr="00DD30D9">
        <w:rPr>
          <w:lang w:val="en-AU"/>
        </w:rPr>
        <w:t xml:space="preserve">a third myeloproliferative neoplasm population—patients with clinical and laboratory evidence of primary myelofibrosis (PMF). </w:t>
      </w:r>
    </w:p>
    <w:p w14:paraId="4DB88F65" w14:textId="77777777" w:rsidR="00EF0ECE" w:rsidRPr="00720661" w:rsidRDefault="00EF0ECE" w:rsidP="00DD30D9">
      <w:pPr>
        <w:pStyle w:val="01squarebullet"/>
      </w:pPr>
      <w:r w:rsidRPr="00720661">
        <w:t xml:space="preserve">This additional population would extend appropriate testing to include all appropriate populations as per current clinical guidelines. </w:t>
      </w:r>
    </w:p>
    <w:p w14:paraId="3C620556" w14:textId="77777777" w:rsidR="00EF0ECE" w:rsidRPr="00DD30D9" w:rsidRDefault="00EF0ECE" w:rsidP="002D7EDE">
      <w:pPr>
        <w:pStyle w:val="01squarebullet"/>
        <w:rPr>
          <w:lang w:val="en-AU"/>
        </w:rPr>
      </w:pPr>
      <w:r w:rsidRPr="00DD30D9">
        <w:rPr>
          <w:lang w:val="en-AU"/>
        </w:rPr>
        <w:t>The diagnostic workup for myeloproliferative disorders can include testing for a combination of one, two or possibly three genes and multiple mutations</w:t>
      </w:r>
      <w:r w:rsidR="0020092B">
        <w:rPr>
          <w:lang w:val="en-AU"/>
        </w:rPr>
        <w:t>,</w:t>
      </w:r>
      <w:r w:rsidRPr="00DD30D9">
        <w:rPr>
          <w:lang w:val="en-AU"/>
        </w:rPr>
        <w:t xml:space="preserve"> depending on the clinical circumstances. The addition of </w:t>
      </w:r>
      <w:r w:rsidRPr="00DD30D9">
        <w:rPr>
          <w:i/>
          <w:lang w:val="en-AU"/>
        </w:rPr>
        <w:t>CALR</w:t>
      </w:r>
      <w:r w:rsidRPr="00DD30D9">
        <w:rPr>
          <w:lang w:val="en-AU"/>
        </w:rPr>
        <w:t xml:space="preserve"> mutations to the test is recommended clinical practice; however, identification of </w:t>
      </w:r>
      <w:r w:rsidRPr="00DD30D9">
        <w:rPr>
          <w:i/>
          <w:lang w:val="en-AU"/>
        </w:rPr>
        <w:t>CALR</w:t>
      </w:r>
      <w:r w:rsidRPr="00DD30D9">
        <w:rPr>
          <w:lang w:val="en-AU"/>
        </w:rPr>
        <w:t xml:space="preserve"> requires a different and more costly method than those used for the other genes and will thus increase the cost of performing the test. Therefore, a cost review for this item is also proposed. This application is also supported by the Haematology Working Group of the P</w:t>
      </w:r>
      <w:r w:rsidR="00BE443E">
        <w:rPr>
          <w:lang w:val="en-AU"/>
        </w:rPr>
        <w:t>athology Clinical Committee.</w:t>
      </w:r>
    </w:p>
    <w:p w14:paraId="17738072" w14:textId="77777777" w:rsidR="001742A7" w:rsidRPr="00DD30D9" w:rsidRDefault="001742A7" w:rsidP="001742A7">
      <w:pPr>
        <w:pStyle w:val="01squarebullet"/>
        <w:rPr>
          <w:rFonts w:cstheme="minorHAnsi"/>
          <w:szCs w:val="22"/>
          <w:lang w:val="en-AU"/>
        </w:rPr>
      </w:pPr>
      <w:bookmarkStart w:id="156" w:name="_Hlk481924143"/>
      <w:r w:rsidRPr="00DD30D9">
        <w:rPr>
          <w:rFonts w:cstheme="minorHAnsi"/>
          <w:szCs w:val="22"/>
          <w:lang w:val="en-AU"/>
        </w:rPr>
        <w:t xml:space="preserve">Primary myelofibrosis (PMF), like PV and ET, is a non-CML myeloproliferative neoplasm and shares with these clinical entities driver mutations in </w:t>
      </w:r>
      <w:r w:rsidRPr="00DD30D9">
        <w:rPr>
          <w:rFonts w:cstheme="minorHAnsi"/>
          <w:i/>
          <w:szCs w:val="22"/>
          <w:lang w:val="en-AU"/>
        </w:rPr>
        <w:t>JAK2, CALR</w:t>
      </w:r>
      <w:r w:rsidRPr="00DD30D9">
        <w:rPr>
          <w:rFonts w:cstheme="minorHAnsi"/>
          <w:szCs w:val="22"/>
          <w:lang w:val="en-AU"/>
        </w:rPr>
        <w:t xml:space="preserve">, and </w:t>
      </w:r>
      <w:r w:rsidRPr="00DD30D9">
        <w:rPr>
          <w:rFonts w:cstheme="minorHAnsi"/>
          <w:i/>
          <w:szCs w:val="22"/>
          <w:lang w:val="en-AU"/>
        </w:rPr>
        <w:t>MPL</w:t>
      </w:r>
      <w:r w:rsidRPr="00DD30D9">
        <w:rPr>
          <w:rFonts w:cstheme="minorHAnsi"/>
          <w:szCs w:val="22"/>
          <w:lang w:val="en-AU"/>
        </w:rPr>
        <w:t xml:space="preserve">. These mutations help to stratify likelihoods for patient survival, outcomes, and potential complications such as the development of anaemia and thrombocytopenia. </w:t>
      </w:r>
    </w:p>
    <w:p w14:paraId="451364D7" w14:textId="77777777" w:rsidR="001742A7" w:rsidRPr="00DD30D9" w:rsidRDefault="001742A7" w:rsidP="001742A7">
      <w:pPr>
        <w:pStyle w:val="01squarebullet"/>
        <w:rPr>
          <w:rFonts w:cstheme="minorHAnsi"/>
          <w:szCs w:val="22"/>
          <w:lang w:val="en-AU"/>
        </w:rPr>
      </w:pPr>
      <w:r w:rsidRPr="00DD30D9">
        <w:rPr>
          <w:lang w:val="en-AU"/>
        </w:rPr>
        <w:lastRenderedPageBreak/>
        <w:t xml:space="preserve">Extensive evidence is available to support the clinical utility of testing for </w:t>
      </w:r>
      <w:r w:rsidRPr="00DD30D9">
        <w:rPr>
          <w:i/>
          <w:lang w:val="en-AU"/>
        </w:rPr>
        <w:t>CALR, JAK2</w:t>
      </w:r>
      <w:r w:rsidRPr="00DD30D9">
        <w:rPr>
          <w:lang w:val="en-AU"/>
        </w:rPr>
        <w:t xml:space="preserve"> and </w:t>
      </w:r>
      <w:r w:rsidRPr="00DD30D9">
        <w:rPr>
          <w:i/>
          <w:lang w:val="en-AU"/>
        </w:rPr>
        <w:t xml:space="preserve">MPL </w:t>
      </w:r>
      <w:r w:rsidRPr="00DD30D9">
        <w:rPr>
          <w:lang w:val="en-AU"/>
        </w:rPr>
        <w:t xml:space="preserve">in the diagnosis of </w:t>
      </w:r>
      <w:proofErr w:type="spellStart"/>
      <w:r w:rsidR="0020092B" w:rsidRPr="00DD30D9">
        <w:rPr>
          <w:lang w:val="en-AU"/>
        </w:rPr>
        <w:t>myeloprol</w:t>
      </w:r>
      <w:r w:rsidR="0020092B">
        <w:rPr>
          <w:lang w:val="en-AU"/>
        </w:rPr>
        <w:t>if</w:t>
      </w:r>
      <w:r w:rsidR="0020092B" w:rsidRPr="00DD30D9">
        <w:rPr>
          <w:lang w:val="en-AU"/>
        </w:rPr>
        <w:t>ic</w:t>
      </w:r>
      <w:proofErr w:type="spellEnd"/>
      <w:r w:rsidR="0020092B" w:rsidRPr="00DD30D9">
        <w:rPr>
          <w:lang w:val="en-AU"/>
        </w:rPr>
        <w:t xml:space="preserve"> </w:t>
      </w:r>
      <w:r w:rsidRPr="00DD30D9">
        <w:rPr>
          <w:lang w:val="en-AU"/>
        </w:rPr>
        <w:t>neoplasms PV, ET and PMF</w:t>
      </w:r>
      <w:r w:rsidR="00AC6652" w:rsidRPr="00DD30D9">
        <w:rPr>
          <w:lang w:val="en-AU"/>
        </w:rPr>
        <w:t>.</w:t>
      </w:r>
      <w:r w:rsidRPr="00DD30D9">
        <w:rPr>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_Ref488829617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[23]</w:t>
      </w:r>
      <w:r w:rsidR="00137B58" w:rsidRPr="00DD30D9">
        <w:rPr>
          <w:rFonts w:cstheme="minorHAnsi"/>
          <w:szCs w:val="22"/>
          <w:lang w:val="en-AU"/>
        </w:rPr>
        <w:fldChar w:fldCharType="end"/>
      </w:r>
      <w:r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_Ref488829644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[24]</w:t>
      </w:r>
      <w:r w:rsidR="00137B58" w:rsidRPr="00DD30D9">
        <w:rPr>
          <w:rFonts w:cstheme="minorHAnsi"/>
          <w:szCs w:val="22"/>
          <w:lang w:val="en-AU"/>
        </w:rPr>
        <w:fldChar w:fldCharType="end"/>
      </w:r>
      <w:r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_Ref488829669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[25]</w:t>
      </w:r>
      <w:r w:rsidR="00137B58" w:rsidRPr="00DD30D9">
        <w:rPr>
          <w:rFonts w:cstheme="minorHAnsi"/>
          <w:szCs w:val="22"/>
          <w:lang w:val="en-AU"/>
        </w:rPr>
        <w:fldChar w:fldCharType="end"/>
      </w:r>
      <w:r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_Ref488829695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[26]</w:t>
      </w:r>
      <w:r w:rsidR="00137B58" w:rsidRPr="00DD30D9">
        <w:rPr>
          <w:rFonts w:cstheme="minorHAnsi"/>
          <w:szCs w:val="22"/>
          <w:lang w:val="en-AU"/>
        </w:rPr>
        <w:fldChar w:fldCharType="end"/>
      </w:r>
      <w:r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_Ref488829718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[27]</w:t>
      </w:r>
      <w:r w:rsidR="00137B58" w:rsidRPr="00DD30D9">
        <w:rPr>
          <w:rFonts w:cstheme="minorHAnsi"/>
          <w:szCs w:val="22"/>
          <w:lang w:val="en-AU"/>
        </w:rPr>
        <w:fldChar w:fldCharType="end"/>
      </w:r>
      <w:r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_Ref488829741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[28]</w:t>
      </w:r>
      <w:r w:rsidR="00137B58" w:rsidRPr="00DD30D9">
        <w:rPr>
          <w:rFonts w:cstheme="minorHAnsi"/>
          <w:szCs w:val="22"/>
          <w:lang w:val="en-AU"/>
        </w:rPr>
        <w:fldChar w:fldCharType="end"/>
      </w:r>
      <w:r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_Ref488829764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[29]</w:t>
      </w:r>
      <w:r w:rsidR="00137B58" w:rsidRPr="00DD30D9">
        <w:rPr>
          <w:rFonts w:cstheme="minorHAnsi"/>
          <w:szCs w:val="22"/>
          <w:lang w:val="en-AU"/>
        </w:rPr>
        <w:fldChar w:fldCharType="end"/>
      </w:r>
      <w:r w:rsidRPr="00DD30D9">
        <w:rPr>
          <w:rFonts w:cstheme="minorHAnsi"/>
          <w:szCs w:val="22"/>
          <w:lang w:val="en-AU"/>
        </w:rPr>
        <w:t>,</w:t>
      </w:r>
      <w:r w:rsidR="00137B58" w:rsidRPr="00DD30D9">
        <w:rPr>
          <w:rFonts w:cstheme="minorHAnsi"/>
          <w:szCs w:val="22"/>
          <w:lang w:val="en-AU"/>
        </w:rPr>
        <w:t xml:space="preserve"> </w:t>
      </w:r>
      <w:r w:rsidR="00137B58" w:rsidRPr="00DD30D9">
        <w:rPr>
          <w:rFonts w:cstheme="minorHAnsi"/>
          <w:szCs w:val="22"/>
          <w:lang w:val="en-AU"/>
        </w:rPr>
        <w:fldChar w:fldCharType="begin"/>
      </w:r>
      <w:r w:rsidR="00137B58" w:rsidRPr="00DD30D9">
        <w:rPr>
          <w:rFonts w:cstheme="minorHAnsi"/>
          <w:szCs w:val="22"/>
          <w:lang w:val="en-AU"/>
        </w:rPr>
        <w:instrText xml:space="preserve"> REF _Ref488829787 \r \h </w:instrText>
      </w:r>
      <w:r w:rsidR="00137B58" w:rsidRPr="00DD30D9">
        <w:rPr>
          <w:rFonts w:cstheme="minorHAnsi"/>
          <w:szCs w:val="22"/>
          <w:lang w:val="en-AU"/>
        </w:rPr>
      </w:r>
      <w:r w:rsidR="00137B58" w:rsidRPr="00DD30D9">
        <w:rPr>
          <w:rFonts w:cstheme="minorHAnsi"/>
          <w:szCs w:val="22"/>
          <w:lang w:val="en-AU"/>
        </w:rPr>
        <w:fldChar w:fldCharType="separate"/>
      </w:r>
      <w:r w:rsidR="00CA1CA9" w:rsidRPr="00DD30D9">
        <w:rPr>
          <w:rFonts w:cstheme="minorHAnsi"/>
          <w:szCs w:val="22"/>
          <w:lang w:val="en-AU"/>
        </w:rPr>
        <w:t>[30]</w:t>
      </w:r>
      <w:r w:rsidR="00137B58" w:rsidRPr="00DD30D9">
        <w:rPr>
          <w:rFonts w:cstheme="minorHAnsi"/>
          <w:szCs w:val="22"/>
          <w:lang w:val="en-AU"/>
        </w:rPr>
        <w:fldChar w:fldCharType="end"/>
      </w:r>
    </w:p>
    <w:p w14:paraId="14105444" w14:textId="77777777" w:rsidR="007002C4" w:rsidRPr="00DD30D9" w:rsidRDefault="00474A66">
      <w:pPr>
        <w:pStyle w:val="Caption"/>
      </w:pPr>
      <w:bookmarkStart w:id="157" w:name="_Toc482009650"/>
      <w:bookmarkEnd w:id="156"/>
      <w:r w:rsidRPr="00DD30D9">
        <w:t xml:space="preserve">Table </w:t>
      </w:r>
      <w:r w:rsidR="00474F25" w:rsidRPr="00860DE7">
        <w:fldChar w:fldCharType="begin"/>
      </w:r>
      <w:r w:rsidR="00474F25" w:rsidRPr="00720661">
        <w:instrText xml:space="preserve"> AUTONUM  \* Arabic </w:instrText>
      </w:r>
      <w:r w:rsidR="00474F25" w:rsidRPr="00860DE7">
        <w:fldChar w:fldCharType="end"/>
      </w:r>
      <w:r w:rsidRPr="00DD30D9">
        <w:t xml:space="preserve"> Proposed changes to item 73325</w:t>
      </w:r>
      <w:bookmarkEnd w:id="157"/>
    </w:p>
    <w:tbl>
      <w:tblPr>
        <w:tblStyle w:val="TableGrid"/>
        <w:tblW w:w="9209" w:type="dxa"/>
        <w:tblLook w:val="04A0" w:firstRow="1" w:lastRow="0" w:firstColumn="1" w:lastColumn="0" w:noHBand="0" w:noVBand="1"/>
        <w:tblCaption w:val="Proposed changes to item 73325"/>
        <w:tblDescription w:val="This table shows the current item descriptor and proposed new item descriptor for item 73325. "/>
      </w:tblPr>
      <w:tblGrid>
        <w:gridCol w:w="987"/>
        <w:gridCol w:w="4253"/>
        <w:gridCol w:w="3969"/>
      </w:tblGrid>
      <w:tr w:rsidR="007002C4" w:rsidRPr="00720661" w14:paraId="65B55C2F" w14:textId="77777777" w:rsidTr="008A0D36">
        <w:trPr>
          <w:tblHeader/>
        </w:trPr>
        <w:tc>
          <w:tcPr>
            <w:tcW w:w="987" w:type="dxa"/>
            <w:shd w:val="clear" w:color="auto" w:fill="EEECE1" w:themeFill="background2"/>
            <w:vAlign w:val="bottom"/>
          </w:tcPr>
          <w:p w14:paraId="517D651B" w14:textId="77777777" w:rsidR="007002C4" w:rsidRPr="00DD30D9" w:rsidRDefault="007002C4" w:rsidP="002243CB">
            <w:pPr>
              <w:rPr>
                <w:rFonts w:ascii="Arial" w:hAnsi="Arial" w:cs="Arial"/>
                <w:b/>
                <w:sz w:val="18"/>
                <w:szCs w:val="18"/>
                <w:lang w:val="en-AU"/>
              </w:rPr>
            </w:pPr>
            <w:bookmarkStart w:id="158" w:name="_Hlk481933843"/>
            <w:r w:rsidRPr="00DD30D9">
              <w:rPr>
                <w:rFonts w:ascii="Arial" w:hAnsi="Arial" w:cs="Arial"/>
                <w:b/>
                <w:sz w:val="18"/>
                <w:szCs w:val="18"/>
                <w:lang w:val="en-AU"/>
              </w:rPr>
              <w:t>Item</w:t>
            </w:r>
          </w:p>
        </w:tc>
        <w:tc>
          <w:tcPr>
            <w:tcW w:w="4253" w:type="dxa"/>
            <w:shd w:val="clear" w:color="auto" w:fill="EEECE1" w:themeFill="background2"/>
            <w:vAlign w:val="bottom"/>
          </w:tcPr>
          <w:p w14:paraId="529CA3AF" w14:textId="77777777" w:rsidR="007002C4" w:rsidRPr="00DD30D9" w:rsidRDefault="007002C4" w:rsidP="002243CB">
            <w:pPr>
              <w:rPr>
                <w:rFonts w:ascii="Arial" w:hAnsi="Arial" w:cs="Arial"/>
                <w:b/>
                <w:sz w:val="18"/>
                <w:szCs w:val="18"/>
                <w:lang w:val="en-AU"/>
              </w:rPr>
            </w:pPr>
            <w:r w:rsidRPr="00DD30D9">
              <w:rPr>
                <w:rFonts w:ascii="Arial" w:hAnsi="Arial" w:cs="Arial"/>
                <w:b/>
                <w:sz w:val="18"/>
                <w:szCs w:val="18"/>
                <w:lang w:val="en-AU"/>
              </w:rPr>
              <w:t>Item descriptor</w:t>
            </w:r>
          </w:p>
        </w:tc>
        <w:tc>
          <w:tcPr>
            <w:tcW w:w="3969" w:type="dxa"/>
            <w:shd w:val="clear" w:color="auto" w:fill="EEECE1" w:themeFill="background2"/>
            <w:vAlign w:val="bottom"/>
          </w:tcPr>
          <w:p w14:paraId="5E405979" w14:textId="77777777" w:rsidR="007002C4" w:rsidRPr="00DD30D9" w:rsidRDefault="007002C4" w:rsidP="002243CB">
            <w:pPr>
              <w:rPr>
                <w:rFonts w:ascii="Arial" w:hAnsi="Arial" w:cs="Arial"/>
                <w:b/>
                <w:sz w:val="18"/>
                <w:szCs w:val="18"/>
                <w:lang w:val="en-AU"/>
              </w:rPr>
            </w:pPr>
            <w:r w:rsidRPr="00DD30D9">
              <w:rPr>
                <w:rFonts w:ascii="Arial" w:hAnsi="Arial" w:cs="Arial"/>
                <w:b/>
                <w:sz w:val="18"/>
                <w:szCs w:val="18"/>
                <w:lang w:val="en-AU"/>
              </w:rPr>
              <w:t xml:space="preserve">Proposed </w:t>
            </w:r>
            <w:r w:rsidR="00474A66" w:rsidRPr="00DD30D9">
              <w:rPr>
                <w:rFonts w:ascii="Arial" w:hAnsi="Arial" w:cs="Arial"/>
                <w:b/>
                <w:sz w:val="18"/>
                <w:szCs w:val="18"/>
                <w:lang w:val="en-AU"/>
              </w:rPr>
              <w:t>new item descriptor</w:t>
            </w:r>
          </w:p>
        </w:tc>
      </w:tr>
      <w:tr w:rsidR="007002C4" w:rsidRPr="00720661" w14:paraId="2BE01934" w14:textId="77777777" w:rsidTr="002243CB">
        <w:trPr>
          <w:trHeight w:val="300"/>
        </w:trPr>
        <w:tc>
          <w:tcPr>
            <w:tcW w:w="987" w:type="dxa"/>
            <w:noWrap/>
          </w:tcPr>
          <w:p w14:paraId="799E601F" w14:textId="77777777" w:rsidR="007002C4" w:rsidRPr="00DD30D9" w:rsidRDefault="008F79F3" w:rsidP="008A0D36">
            <w:pPr>
              <w:spacing w:before="60"/>
              <w:rPr>
                <w:rFonts w:ascii="Arial" w:hAnsi="Arial" w:cs="Arial"/>
                <w:color w:val="000000"/>
                <w:sz w:val="18"/>
                <w:szCs w:val="18"/>
                <w:lang w:val="en-AU"/>
              </w:rPr>
            </w:pPr>
            <w:r w:rsidRPr="00720661">
              <w:rPr>
                <w:rFonts w:ascii="Arial" w:hAnsi="Arial" w:cs="Arial"/>
                <w:color w:val="000000"/>
                <w:sz w:val="18"/>
                <w:szCs w:val="18"/>
                <w:lang w:val="en-AU"/>
              </w:rPr>
              <w:t>73325</w:t>
            </w:r>
          </w:p>
        </w:tc>
        <w:tc>
          <w:tcPr>
            <w:tcW w:w="4253" w:type="dxa"/>
            <w:noWrap/>
          </w:tcPr>
          <w:p w14:paraId="4BDA786D" w14:textId="77777777" w:rsidR="007002C4" w:rsidRPr="00DD30D9" w:rsidRDefault="007002C4" w:rsidP="008A0D36">
            <w:pPr>
              <w:spacing w:before="60"/>
              <w:rPr>
                <w:rFonts w:ascii="Arial" w:hAnsi="Arial" w:cs="Arial"/>
                <w:color w:val="000000"/>
                <w:sz w:val="18"/>
                <w:szCs w:val="18"/>
                <w:lang w:val="en-AU"/>
              </w:rPr>
            </w:pPr>
            <w:r w:rsidRPr="00DD30D9">
              <w:rPr>
                <w:rFonts w:ascii="Arial" w:hAnsi="Arial" w:cs="Arial"/>
                <w:sz w:val="18"/>
                <w:szCs w:val="18"/>
                <w:lang w:val="en-AU"/>
              </w:rPr>
              <w:t xml:space="preserve">Characterisation of mutations in:(a) the </w:t>
            </w:r>
            <w:r w:rsidRPr="00DD30D9">
              <w:rPr>
                <w:rFonts w:ascii="Arial" w:hAnsi="Arial" w:cs="Arial"/>
                <w:i/>
                <w:sz w:val="18"/>
                <w:szCs w:val="18"/>
                <w:lang w:val="en-AU"/>
              </w:rPr>
              <w:t>JAK2</w:t>
            </w:r>
            <w:r w:rsidRPr="00DD30D9">
              <w:rPr>
                <w:rFonts w:ascii="Arial" w:hAnsi="Arial" w:cs="Arial"/>
                <w:sz w:val="18"/>
                <w:szCs w:val="18"/>
                <w:lang w:val="en-AU"/>
              </w:rPr>
              <w:t xml:space="preserve"> gene; or (b) the </w:t>
            </w:r>
            <w:r w:rsidRPr="00DD30D9">
              <w:rPr>
                <w:rFonts w:ascii="Arial" w:hAnsi="Arial" w:cs="Arial"/>
                <w:i/>
                <w:sz w:val="18"/>
                <w:szCs w:val="18"/>
                <w:lang w:val="en-AU"/>
              </w:rPr>
              <w:t>MPL</w:t>
            </w:r>
            <w:r w:rsidRPr="00DD30D9">
              <w:rPr>
                <w:rFonts w:ascii="Arial" w:hAnsi="Arial" w:cs="Arial"/>
                <w:sz w:val="18"/>
                <w:szCs w:val="18"/>
                <w:lang w:val="en-AU"/>
              </w:rPr>
              <w:t xml:space="preserve"> gene; or (c) both genes; in the diagnostic work-up, by, or on behalf of, the specialist or consultant physician, of a patient with clinical and laboratory evidence of: a) polycythaemia vera; or b) essential thrombocythaemia;1 or more tests</w:t>
            </w:r>
          </w:p>
        </w:tc>
        <w:tc>
          <w:tcPr>
            <w:tcW w:w="3969" w:type="dxa"/>
            <w:noWrap/>
          </w:tcPr>
          <w:p w14:paraId="174ACE7C" w14:textId="77777777" w:rsidR="007002C4" w:rsidRPr="00DD30D9" w:rsidRDefault="00474A66" w:rsidP="008A0D36">
            <w:pPr>
              <w:spacing w:before="60"/>
              <w:rPr>
                <w:rFonts w:ascii="Arial" w:hAnsi="Arial" w:cs="Arial"/>
                <w:color w:val="000000"/>
                <w:sz w:val="18"/>
                <w:szCs w:val="18"/>
                <w:lang w:val="en-AU"/>
              </w:rPr>
            </w:pPr>
            <w:r w:rsidRPr="00720661">
              <w:rPr>
                <w:rFonts w:ascii="Arial" w:hAnsi="Arial" w:cs="Arial"/>
                <w:color w:val="000000"/>
                <w:sz w:val="18"/>
                <w:szCs w:val="18"/>
                <w:lang w:val="en-AU"/>
              </w:rPr>
              <w:t xml:space="preserve">Characterisation of mutations in: (a) the </w:t>
            </w:r>
            <w:r w:rsidRPr="00720661">
              <w:rPr>
                <w:rFonts w:ascii="Arial" w:hAnsi="Arial" w:cs="Arial"/>
                <w:i/>
                <w:color w:val="000000"/>
                <w:sz w:val="18"/>
                <w:szCs w:val="18"/>
                <w:lang w:val="en-AU"/>
              </w:rPr>
              <w:t>JAK2</w:t>
            </w:r>
            <w:r w:rsidRPr="00720661">
              <w:rPr>
                <w:rFonts w:ascii="Arial" w:hAnsi="Arial" w:cs="Arial"/>
                <w:color w:val="000000"/>
                <w:sz w:val="18"/>
                <w:szCs w:val="18"/>
                <w:lang w:val="en-AU"/>
              </w:rPr>
              <w:t xml:space="preserve"> gene; or (b) the </w:t>
            </w:r>
            <w:r w:rsidRPr="00720661">
              <w:rPr>
                <w:rFonts w:ascii="Arial" w:hAnsi="Arial" w:cs="Arial"/>
                <w:i/>
                <w:color w:val="000000"/>
                <w:sz w:val="18"/>
                <w:szCs w:val="18"/>
                <w:lang w:val="en-AU"/>
              </w:rPr>
              <w:t>MPL</w:t>
            </w:r>
            <w:r w:rsidRPr="00720661">
              <w:rPr>
                <w:rFonts w:ascii="Arial" w:hAnsi="Arial" w:cs="Arial"/>
                <w:color w:val="000000"/>
                <w:sz w:val="18"/>
                <w:szCs w:val="18"/>
                <w:lang w:val="en-AU"/>
              </w:rPr>
              <w:t xml:space="preserve"> gene; or (c) the </w:t>
            </w:r>
            <w:r w:rsidRPr="00720661">
              <w:rPr>
                <w:rFonts w:ascii="Arial" w:hAnsi="Arial" w:cs="Arial"/>
                <w:i/>
                <w:color w:val="000000"/>
                <w:sz w:val="18"/>
                <w:szCs w:val="18"/>
                <w:lang w:val="en-AU"/>
              </w:rPr>
              <w:t xml:space="preserve">CALR </w:t>
            </w:r>
            <w:r w:rsidRPr="00720661">
              <w:rPr>
                <w:rFonts w:ascii="Arial" w:hAnsi="Arial" w:cs="Arial"/>
                <w:color w:val="000000"/>
                <w:sz w:val="18"/>
                <w:szCs w:val="18"/>
                <w:lang w:val="en-AU"/>
              </w:rPr>
              <w:t xml:space="preserve">gene or (d) </w:t>
            </w:r>
            <w:r w:rsidR="00E161F5" w:rsidRPr="00720661">
              <w:rPr>
                <w:rFonts w:ascii="Arial" w:hAnsi="Arial" w:cs="Arial"/>
                <w:color w:val="000000"/>
                <w:sz w:val="18"/>
                <w:szCs w:val="18"/>
                <w:lang w:val="en-AU"/>
              </w:rPr>
              <w:t xml:space="preserve">up to </w:t>
            </w:r>
            <w:r w:rsidRPr="00720661">
              <w:rPr>
                <w:rFonts w:ascii="Arial" w:hAnsi="Arial" w:cs="Arial"/>
                <w:color w:val="000000"/>
                <w:sz w:val="18"/>
                <w:szCs w:val="18"/>
                <w:lang w:val="en-AU"/>
              </w:rPr>
              <w:t xml:space="preserve">all three genes; in the diagnostic work-up of a patient with clinical and laboratory evidence of: a) polycythaemia vera; or b) essential </w:t>
            </w:r>
            <w:proofErr w:type="spellStart"/>
            <w:r w:rsidRPr="00720661">
              <w:rPr>
                <w:rFonts w:ascii="Arial" w:hAnsi="Arial" w:cs="Arial"/>
                <w:color w:val="000000"/>
                <w:sz w:val="18"/>
                <w:szCs w:val="18"/>
                <w:lang w:val="en-AU"/>
              </w:rPr>
              <w:t>thrombocythaemia</w:t>
            </w:r>
            <w:proofErr w:type="spellEnd"/>
            <w:r w:rsidRPr="00720661">
              <w:rPr>
                <w:rFonts w:ascii="Arial" w:hAnsi="Arial" w:cs="Arial"/>
                <w:color w:val="000000"/>
                <w:sz w:val="18"/>
                <w:szCs w:val="18"/>
                <w:lang w:val="en-AU"/>
              </w:rPr>
              <w:t xml:space="preserve">; or c) primary myelofibrosis, </w:t>
            </w:r>
            <w:r w:rsidR="00AE12C8" w:rsidRPr="00720661">
              <w:rPr>
                <w:rFonts w:ascii="Arial" w:hAnsi="Arial" w:cs="Arial"/>
                <w:color w:val="000000"/>
                <w:sz w:val="18"/>
                <w:szCs w:val="18"/>
                <w:lang w:val="en-AU"/>
              </w:rPr>
              <w:t>requested by</w:t>
            </w:r>
            <w:r w:rsidRPr="00720661">
              <w:rPr>
                <w:rFonts w:ascii="Arial" w:hAnsi="Arial" w:cs="Arial"/>
                <w:color w:val="000000"/>
                <w:sz w:val="18"/>
                <w:szCs w:val="18"/>
                <w:lang w:val="en-AU"/>
              </w:rPr>
              <w:t xml:space="preserve"> </w:t>
            </w:r>
            <w:r w:rsidR="00AE12C8" w:rsidRPr="00720661">
              <w:rPr>
                <w:rFonts w:ascii="Arial" w:hAnsi="Arial" w:cs="Arial"/>
                <w:color w:val="000000"/>
                <w:sz w:val="18"/>
                <w:szCs w:val="18"/>
                <w:lang w:val="en-AU"/>
              </w:rPr>
              <w:t>a</w:t>
            </w:r>
            <w:r w:rsidRPr="00720661">
              <w:rPr>
                <w:rFonts w:ascii="Arial" w:hAnsi="Arial" w:cs="Arial"/>
                <w:color w:val="000000"/>
                <w:sz w:val="18"/>
                <w:szCs w:val="18"/>
                <w:lang w:val="en-AU"/>
              </w:rPr>
              <w:t xml:space="preserve"> treating specialist</w:t>
            </w:r>
            <w:r w:rsidR="00054FC0" w:rsidRPr="00720661">
              <w:rPr>
                <w:rFonts w:ascii="Arial" w:hAnsi="Arial" w:cs="Arial"/>
                <w:color w:val="000000"/>
                <w:sz w:val="18"/>
                <w:szCs w:val="18"/>
                <w:lang w:val="en-AU"/>
              </w:rPr>
              <w:t xml:space="preserve"> </w:t>
            </w:r>
            <w:r w:rsidRPr="00720661">
              <w:rPr>
                <w:rFonts w:ascii="Arial" w:hAnsi="Arial" w:cs="Arial"/>
                <w:color w:val="000000"/>
                <w:sz w:val="18"/>
                <w:szCs w:val="18"/>
                <w:lang w:val="en-AU"/>
              </w:rPr>
              <w:t>- 1 or more tests</w:t>
            </w:r>
          </w:p>
        </w:tc>
      </w:tr>
      <w:bookmarkEnd w:id="158"/>
    </w:tbl>
    <w:p w14:paraId="4F33B588" w14:textId="77777777" w:rsidR="00EF0ECE" w:rsidRPr="00720661" w:rsidRDefault="00EF0ECE" w:rsidP="00EF0ECE">
      <w:pPr>
        <w:autoSpaceDE w:val="0"/>
        <w:autoSpaceDN w:val="0"/>
        <w:adjustRightInd w:val="0"/>
        <w:spacing w:before="0" w:after="160" w:line="259" w:lineRule="auto"/>
        <w:rPr>
          <w:rFonts w:cstheme="minorHAnsi"/>
          <w:b/>
          <w:bCs/>
          <w:color w:val="000000"/>
          <w:szCs w:val="22"/>
          <w:lang w:val="en-AU"/>
        </w:rPr>
      </w:pPr>
    </w:p>
    <w:p w14:paraId="0DC813DA" w14:textId="77777777" w:rsidR="008915E8" w:rsidRPr="00DD30D9" w:rsidRDefault="00EF0ECE" w:rsidP="002D7EDE">
      <w:pPr>
        <w:pStyle w:val="01squarebullet"/>
        <w:rPr>
          <w:lang w:val="en-AU"/>
        </w:rPr>
      </w:pPr>
      <w:r w:rsidRPr="00DD30D9">
        <w:rPr>
          <w:lang w:val="en-AU"/>
        </w:rPr>
        <w:t xml:space="preserve">The annual incidence of primary myelofibrosis is 1 per 100,000 population (Leukaemia Foundation). This would therefore increase the rate of current testing by </w:t>
      </w:r>
      <w:r w:rsidR="001D7B44">
        <w:rPr>
          <w:lang w:val="en-AU"/>
        </w:rPr>
        <w:t xml:space="preserve">about </w:t>
      </w:r>
      <w:r w:rsidRPr="00DD30D9">
        <w:rPr>
          <w:lang w:val="en-AU"/>
        </w:rPr>
        <w:t xml:space="preserve">250 tests annually. </w:t>
      </w:r>
    </w:p>
    <w:p w14:paraId="4FAE45D2" w14:textId="77777777" w:rsidR="00151381" w:rsidRPr="00DD30D9" w:rsidRDefault="004A4BD6" w:rsidP="004A4BD6">
      <w:pPr>
        <w:pStyle w:val="Heading3"/>
        <w:rPr>
          <w:lang w:val="en-AU"/>
        </w:rPr>
      </w:pPr>
      <w:bookmarkStart w:id="159" w:name="_Toc13736016"/>
      <w:bookmarkStart w:id="160" w:name="_Hlk482079761"/>
      <w:r w:rsidRPr="00DD30D9">
        <w:rPr>
          <w:lang w:val="en-AU"/>
        </w:rPr>
        <w:t>Review of recently listed item 73342: ISH test for HER2 for PBS trastuzumab for gastric cancer</w:t>
      </w:r>
      <w:bookmarkEnd w:id="159"/>
    </w:p>
    <w:bookmarkEnd w:id="160"/>
    <w:p w14:paraId="6BB968E5" w14:textId="77777777" w:rsidR="00EF6FBA" w:rsidRPr="00DD30D9" w:rsidRDefault="00EF6FBA" w:rsidP="00EF6FBA">
      <w:pPr>
        <w:rPr>
          <w:lang w:val="en-AU" w:eastAsia="en-US"/>
        </w:rPr>
      </w:pPr>
      <w:r w:rsidRPr="00DD30D9">
        <w:rPr>
          <w:lang w:val="en-AU" w:eastAsia="en-US"/>
        </w:rPr>
        <w:t>In reviewing this item</w:t>
      </w:r>
      <w:r w:rsidR="00FD4E73" w:rsidRPr="00DD30D9">
        <w:rPr>
          <w:lang w:val="en-AU" w:eastAsia="en-US"/>
        </w:rPr>
        <w:t xml:space="preserve"> (see section </w:t>
      </w:r>
      <w:r w:rsidR="00151381" w:rsidRPr="00DD30D9">
        <w:rPr>
          <w:lang w:val="en-AU" w:eastAsia="en-US"/>
        </w:rPr>
        <w:t>4.8)</w:t>
      </w:r>
      <w:r w:rsidRPr="00DD30D9">
        <w:rPr>
          <w:lang w:val="en-AU" w:eastAsia="en-US"/>
        </w:rPr>
        <w:t>, the Committee noted that it was not a pathologist-determinable service as had been advised by MSAC</w:t>
      </w:r>
      <w:r w:rsidR="00CD0822" w:rsidRPr="00DD30D9">
        <w:rPr>
          <w:lang w:val="en-AU" w:eastAsia="en-US"/>
        </w:rPr>
        <w:t>.</w:t>
      </w:r>
      <w:r w:rsidR="00BA2998" w:rsidRPr="00DD30D9">
        <w:rPr>
          <w:lang w:val="en-AU" w:eastAsia="en-US"/>
        </w:rPr>
        <w:t xml:space="preserve"> </w:t>
      </w:r>
      <w:r w:rsidR="00454C77" w:rsidRPr="00DD30D9">
        <w:rPr>
          <w:lang w:val="en-AU" w:eastAsia="en-US"/>
        </w:rPr>
        <w:fldChar w:fldCharType="begin"/>
      </w:r>
      <w:r w:rsidR="00454C77" w:rsidRPr="00DD30D9">
        <w:rPr>
          <w:lang w:val="en-AU" w:eastAsia="en-US"/>
        </w:rPr>
        <w:instrText xml:space="preserve"> REF _Ref488829877 \r \h </w:instrText>
      </w:r>
      <w:r w:rsidR="00454C77" w:rsidRPr="00DD30D9">
        <w:rPr>
          <w:lang w:val="en-AU" w:eastAsia="en-US"/>
        </w:rPr>
      </w:r>
      <w:r w:rsidR="00454C77" w:rsidRPr="00DD30D9">
        <w:rPr>
          <w:lang w:val="en-AU" w:eastAsia="en-US"/>
        </w:rPr>
        <w:fldChar w:fldCharType="separate"/>
      </w:r>
      <w:r w:rsidR="00CA1CA9" w:rsidRPr="00DD30D9">
        <w:rPr>
          <w:lang w:val="en-AU" w:eastAsia="en-US"/>
        </w:rPr>
        <w:t>[31]</w:t>
      </w:r>
      <w:r w:rsidR="00454C77" w:rsidRPr="00DD30D9">
        <w:rPr>
          <w:lang w:val="en-AU" w:eastAsia="en-US"/>
        </w:rPr>
        <w:fldChar w:fldCharType="end"/>
      </w:r>
      <w:r w:rsidR="00BA2998" w:rsidRPr="00DD30D9">
        <w:rPr>
          <w:lang w:val="en-AU" w:eastAsia="en-US"/>
        </w:rPr>
        <w:t xml:space="preserve">, </w:t>
      </w:r>
      <w:r w:rsidR="00CB672A" w:rsidRPr="00DD30D9">
        <w:rPr>
          <w:lang w:val="en-AU" w:eastAsia="en-US"/>
        </w:rPr>
        <w:fldChar w:fldCharType="begin"/>
      </w:r>
      <w:r w:rsidR="00CB672A" w:rsidRPr="00DD30D9">
        <w:rPr>
          <w:lang w:val="en-AU" w:eastAsia="en-US"/>
        </w:rPr>
        <w:instrText xml:space="preserve"> REF _Ref488829901 \r \h </w:instrText>
      </w:r>
      <w:r w:rsidR="00CB672A" w:rsidRPr="00DD30D9">
        <w:rPr>
          <w:lang w:val="en-AU" w:eastAsia="en-US"/>
        </w:rPr>
      </w:r>
      <w:r w:rsidR="00CB672A" w:rsidRPr="00DD30D9">
        <w:rPr>
          <w:lang w:val="en-AU" w:eastAsia="en-US"/>
        </w:rPr>
        <w:fldChar w:fldCharType="separate"/>
      </w:r>
      <w:r w:rsidR="00CA1CA9" w:rsidRPr="00DD30D9">
        <w:rPr>
          <w:lang w:val="en-AU" w:eastAsia="en-US"/>
        </w:rPr>
        <w:t>[32]</w:t>
      </w:r>
      <w:r w:rsidR="00CB672A" w:rsidRPr="00DD30D9">
        <w:rPr>
          <w:lang w:val="en-AU" w:eastAsia="en-US"/>
        </w:rPr>
        <w:fldChar w:fldCharType="end"/>
      </w:r>
      <w:r w:rsidRPr="00DD30D9">
        <w:rPr>
          <w:lang w:val="en-AU" w:eastAsia="en-US"/>
        </w:rPr>
        <w:t xml:space="preserve"> The Committee noted that MSAC’s rationale was that:</w:t>
      </w:r>
    </w:p>
    <w:p w14:paraId="42FA10B4" w14:textId="77777777" w:rsidR="00EF6FBA" w:rsidRPr="00DD30D9" w:rsidRDefault="00EF6FBA" w:rsidP="00EF6FBA">
      <w:pPr>
        <w:pStyle w:val="01squarebullet"/>
        <w:rPr>
          <w:lang w:val="en-AU"/>
        </w:rPr>
      </w:pPr>
      <w:r w:rsidRPr="00DD30D9">
        <w:rPr>
          <w:lang w:val="en-AU"/>
        </w:rPr>
        <w:t xml:space="preserve">the proposed MBS item descriptor should require that </w:t>
      </w:r>
      <w:r w:rsidRPr="00612C95">
        <w:rPr>
          <w:i/>
          <w:lang w:val="en-AU"/>
        </w:rPr>
        <w:t>HER2</w:t>
      </w:r>
      <w:r w:rsidRPr="00DD30D9">
        <w:rPr>
          <w:lang w:val="en-AU"/>
        </w:rPr>
        <w:t xml:space="preserve"> ISH testing in the context of metastatic gastric cancer be performed on the same specimen in the same laboratory and only when prerequisite immunohistochemistry (IHC) testing for </w:t>
      </w:r>
      <w:r w:rsidRPr="00612C95">
        <w:rPr>
          <w:i/>
          <w:lang w:val="en-AU"/>
        </w:rPr>
        <w:t>HER2</w:t>
      </w:r>
      <w:r w:rsidRPr="00DD30D9">
        <w:rPr>
          <w:lang w:val="en-AU"/>
        </w:rPr>
        <w:t xml:space="preserve"> overexpression is scored at 2+ or 3+ using scoring guidelines reflecting the approach which was standardised for the </w:t>
      </w:r>
      <w:r w:rsidR="00BA2998" w:rsidRPr="00DD30D9">
        <w:rPr>
          <w:lang w:val="en-AU"/>
        </w:rPr>
        <w:t xml:space="preserve">Trastuzumab for Gastric Cancer </w:t>
      </w:r>
      <w:r w:rsidRPr="00DD30D9">
        <w:rPr>
          <w:lang w:val="en-AU"/>
        </w:rPr>
        <w:t>trial of trastuzumab</w:t>
      </w:r>
      <w:r w:rsidR="00BA2998" w:rsidRPr="00DD30D9">
        <w:rPr>
          <w:lang w:val="en-AU"/>
        </w:rPr>
        <w:t>.</w:t>
      </w:r>
    </w:p>
    <w:p w14:paraId="0E5F9871" w14:textId="77777777" w:rsidR="00EF6FBA" w:rsidRPr="00DD30D9" w:rsidRDefault="00EF6FBA" w:rsidP="00EF6FBA">
      <w:pPr>
        <w:pStyle w:val="01squarebullet"/>
        <w:rPr>
          <w:lang w:val="en-AU"/>
        </w:rPr>
      </w:pPr>
      <w:r w:rsidRPr="00DD30D9">
        <w:rPr>
          <w:lang w:val="en-AU"/>
        </w:rPr>
        <w:t>the proposed MBS item should therefore be made a pathologist</w:t>
      </w:r>
      <w:r w:rsidR="002D7EDE" w:rsidRPr="00DD30D9">
        <w:rPr>
          <w:lang w:val="en-AU"/>
        </w:rPr>
        <w:t>-</w:t>
      </w:r>
      <w:r w:rsidRPr="00DD30D9">
        <w:rPr>
          <w:lang w:val="en-AU"/>
        </w:rPr>
        <w:t xml:space="preserve">determinable service to allow </w:t>
      </w:r>
      <w:r w:rsidRPr="00811224">
        <w:rPr>
          <w:lang w:val="en-AU"/>
        </w:rPr>
        <w:t xml:space="preserve">HER2 </w:t>
      </w:r>
      <w:r w:rsidRPr="00DD30D9">
        <w:rPr>
          <w:lang w:val="en-AU"/>
        </w:rPr>
        <w:t xml:space="preserve">ISH testing to be guided by the </w:t>
      </w:r>
      <w:r w:rsidR="001D7B44">
        <w:rPr>
          <w:lang w:val="en-AU"/>
        </w:rPr>
        <w:t>‘</w:t>
      </w:r>
      <w:r w:rsidRPr="00DD30D9">
        <w:rPr>
          <w:lang w:val="en-AU"/>
        </w:rPr>
        <w:t>hot spots</w:t>
      </w:r>
      <w:r w:rsidR="001D7B44">
        <w:rPr>
          <w:lang w:val="en-AU"/>
        </w:rPr>
        <w:t>’</w:t>
      </w:r>
      <w:r w:rsidRPr="00DD30D9">
        <w:rPr>
          <w:lang w:val="en-AU"/>
        </w:rPr>
        <w:t xml:space="preserve"> revealed by the prerequisite IHC test result (the heterogeneity of IHC staining across a sample of tumour and the difficulty of scanning a slide for positive cells using ISH alone), rather than the pathologist being interrupted to get a referral from a clinician to do so.</w:t>
      </w:r>
    </w:p>
    <w:p w14:paraId="0467F2BB" w14:textId="77777777" w:rsidR="00EF6FBA" w:rsidRPr="00DD30D9" w:rsidRDefault="00EF6FBA" w:rsidP="00EF6FBA">
      <w:pPr>
        <w:pStyle w:val="01squarebullet"/>
        <w:numPr>
          <w:ilvl w:val="0"/>
          <w:numId w:val="0"/>
        </w:numPr>
        <w:rPr>
          <w:lang w:val="en-AU"/>
        </w:rPr>
      </w:pPr>
      <w:r w:rsidRPr="00DD30D9">
        <w:rPr>
          <w:lang w:val="en-AU"/>
        </w:rPr>
        <w:t xml:space="preserve">Given the importance assigned by MSAC to ensuring optimal testing performance, the Committee </w:t>
      </w:r>
      <w:r w:rsidR="002D7EDE" w:rsidRPr="00DD30D9">
        <w:rPr>
          <w:lang w:val="en-AU"/>
        </w:rPr>
        <w:t>recommended</w:t>
      </w:r>
      <w:r w:rsidRPr="00DD30D9">
        <w:rPr>
          <w:lang w:val="en-AU"/>
        </w:rPr>
        <w:t xml:space="preserve"> that this implementation of the MBS listing be drawn to the attention of MSAC through the MSAC Executive. The low uptake of laboratories billing Medicare for this item to date suggests that those rendering this service are likely to be aware of the importance of adopting the optimal approach to testing in the context of this item. However, this may not be sustained if uptake extends beyond MSAC’s preference for a centralised approach to testing in the context of this item.</w:t>
      </w:r>
    </w:p>
    <w:p w14:paraId="22D7B4F2" w14:textId="77777777" w:rsidR="00EF6FBA" w:rsidRPr="00DD30D9" w:rsidRDefault="00EF6FBA" w:rsidP="000A3319">
      <w:pPr>
        <w:pStyle w:val="01squarebullet"/>
        <w:numPr>
          <w:ilvl w:val="0"/>
          <w:numId w:val="0"/>
        </w:numPr>
        <w:rPr>
          <w:lang w:val="en-AU"/>
        </w:rPr>
      </w:pPr>
      <w:r w:rsidRPr="00DD30D9">
        <w:rPr>
          <w:lang w:val="en-AU"/>
        </w:rPr>
        <w:t>The Committee suggested that the Department provide MSAC with the rationale for why this aspect of MSAC advice had not been implemented and check with those rendering the service whether the current situation is an impediment to this aspect of optimal testing in practice. The Committee noted that it was possibly relevant that the MBS item for immunohistochemistry (IHC) testing of HER2 (72848) makes no reference to the staging of the cancer of the patient from whom the biopsy was taken, and so the first time that the pathology laboratory would need confirmation of this staging (which could not be determined by the pathologist) would be when proceeding to the ISH test if so justified by the IHC test.</w:t>
      </w:r>
    </w:p>
    <w:p w14:paraId="4845668E" w14:textId="77777777" w:rsidR="00A95E5C" w:rsidRPr="003B31BB" w:rsidRDefault="001274B2">
      <w:pPr>
        <w:pStyle w:val="Heading2"/>
      </w:pPr>
      <w:bookmarkStart w:id="161" w:name="_Toc13736017"/>
      <w:r w:rsidRPr="003B31BB">
        <w:lastRenderedPageBreak/>
        <w:t>Referral to the</w:t>
      </w:r>
      <w:r w:rsidR="00A95E5C" w:rsidRPr="003B31BB">
        <w:t xml:space="preserve"> Department</w:t>
      </w:r>
      <w:bookmarkEnd w:id="161"/>
    </w:p>
    <w:p w14:paraId="297C29BB" w14:textId="77777777" w:rsidR="00996E28" w:rsidRPr="003B31BB" w:rsidRDefault="00996E28" w:rsidP="00996E28">
      <w:pPr>
        <w:pStyle w:val="Heading3"/>
        <w:rPr>
          <w:lang w:val="en-AU"/>
        </w:rPr>
      </w:pPr>
      <w:bookmarkStart w:id="162" w:name="_Toc13736018"/>
      <w:bookmarkStart w:id="163" w:name="_Hlk482079852"/>
      <w:r w:rsidRPr="003B31BB">
        <w:rPr>
          <w:lang w:val="en-AU"/>
        </w:rPr>
        <w:t xml:space="preserve">Definition of </w:t>
      </w:r>
      <w:r w:rsidR="00CB1A8E" w:rsidRPr="003B31BB">
        <w:rPr>
          <w:lang w:val="en-AU"/>
        </w:rPr>
        <w:t xml:space="preserve">tumour </w:t>
      </w:r>
      <w:r w:rsidRPr="003B31BB">
        <w:rPr>
          <w:lang w:val="en-AU"/>
        </w:rPr>
        <w:t>tissue relevant to items 73336 BRAF, 73337 EGFR and 73338 RAS</w:t>
      </w:r>
      <w:bookmarkEnd w:id="162"/>
    </w:p>
    <w:bookmarkEnd w:id="163"/>
    <w:p w14:paraId="1B59C41A" w14:textId="77777777" w:rsidR="00996E28" w:rsidRPr="003B31BB" w:rsidRDefault="00996E28" w:rsidP="00996E28">
      <w:pPr>
        <w:pStyle w:val="01squarebullet"/>
        <w:rPr>
          <w:lang w:val="en-AU"/>
        </w:rPr>
      </w:pPr>
      <w:r w:rsidRPr="003B31BB">
        <w:rPr>
          <w:lang w:val="en-AU"/>
        </w:rPr>
        <w:t xml:space="preserve">The Committee is aware that there is a current practical issue affecting patients requiring testing for </w:t>
      </w:r>
      <w:r w:rsidRPr="003B31BB">
        <w:rPr>
          <w:i/>
          <w:lang w:val="en-AU"/>
        </w:rPr>
        <w:t>BRAF, EGFR</w:t>
      </w:r>
      <w:r w:rsidRPr="003B31BB">
        <w:rPr>
          <w:lang w:val="en-AU"/>
        </w:rPr>
        <w:t xml:space="preserve"> and </w:t>
      </w:r>
      <w:r w:rsidRPr="003B31BB">
        <w:rPr>
          <w:i/>
          <w:lang w:val="en-AU"/>
        </w:rPr>
        <w:t>RAS</w:t>
      </w:r>
      <w:r w:rsidRPr="003B31BB">
        <w:rPr>
          <w:lang w:val="en-AU"/>
        </w:rPr>
        <w:t xml:space="preserve"> gene mutations. </w:t>
      </w:r>
      <w:r w:rsidR="00372AED" w:rsidRPr="003B31BB">
        <w:rPr>
          <w:lang w:val="en-AU"/>
        </w:rPr>
        <w:t xml:space="preserve">The </w:t>
      </w:r>
      <w:r w:rsidR="00812EE5" w:rsidRPr="003B31BB">
        <w:rPr>
          <w:lang w:val="en-AU"/>
        </w:rPr>
        <w:t>Anatomical and Cytology Working Group (</w:t>
      </w:r>
      <w:r w:rsidR="00372AED" w:rsidRPr="003B31BB">
        <w:rPr>
          <w:lang w:val="en-AU"/>
        </w:rPr>
        <w:t>ACWG</w:t>
      </w:r>
      <w:r w:rsidR="00812EE5" w:rsidRPr="003B31BB">
        <w:rPr>
          <w:lang w:val="en-AU"/>
        </w:rPr>
        <w:t>)</w:t>
      </w:r>
      <w:r w:rsidR="00372AED" w:rsidRPr="003B31BB">
        <w:rPr>
          <w:lang w:val="en-AU"/>
        </w:rPr>
        <w:t xml:space="preserve"> proposes there is a lack of clarity around the</w:t>
      </w:r>
      <w:r w:rsidRPr="003B31BB">
        <w:rPr>
          <w:lang w:val="en-AU"/>
        </w:rPr>
        <w:t xml:space="preserve"> definition of </w:t>
      </w:r>
      <w:r w:rsidR="001D7B44">
        <w:rPr>
          <w:lang w:val="en-AU"/>
        </w:rPr>
        <w:t>‘</w:t>
      </w:r>
      <w:r w:rsidRPr="003B31BB">
        <w:rPr>
          <w:lang w:val="en-AU"/>
        </w:rPr>
        <w:t>tissue</w:t>
      </w:r>
      <w:r w:rsidR="001D7B44">
        <w:rPr>
          <w:lang w:val="en-AU"/>
        </w:rPr>
        <w:t>’</w:t>
      </w:r>
      <w:r w:rsidRPr="003B31BB">
        <w:rPr>
          <w:lang w:val="en-AU"/>
        </w:rPr>
        <w:t xml:space="preserve"> used </w:t>
      </w:r>
      <w:r w:rsidR="003F22F2" w:rsidRPr="003B31BB">
        <w:rPr>
          <w:lang w:val="en-AU"/>
        </w:rPr>
        <w:t xml:space="preserve">in </w:t>
      </w:r>
      <w:r w:rsidRPr="003B31BB">
        <w:rPr>
          <w:lang w:val="en-AU"/>
        </w:rPr>
        <w:t xml:space="preserve">the MBS, </w:t>
      </w:r>
      <w:r w:rsidR="00372AED" w:rsidRPr="003B31BB">
        <w:rPr>
          <w:lang w:val="en-AU"/>
        </w:rPr>
        <w:t xml:space="preserve">and this </w:t>
      </w:r>
      <w:r w:rsidR="00A95E5C" w:rsidRPr="003B31BB">
        <w:rPr>
          <w:lang w:val="en-AU"/>
        </w:rPr>
        <w:t>excludes</w:t>
      </w:r>
      <w:r w:rsidRPr="003B31BB">
        <w:rPr>
          <w:lang w:val="en-AU"/>
        </w:rPr>
        <w:t xml:space="preserve"> the ability for </w:t>
      </w:r>
      <w:r w:rsidR="003F22F2" w:rsidRPr="003B31BB">
        <w:rPr>
          <w:lang w:val="en-AU"/>
        </w:rPr>
        <w:t>p</w:t>
      </w:r>
      <w:r w:rsidRPr="003B31BB">
        <w:rPr>
          <w:lang w:val="en-AU"/>
        </w:rPr>
        <w:t xml:space="preserve">athologists to be able to retrieve and use existing cytology slides </w:t>
      </w:r>
      <w:r w:rsidR="00BC0F8D" w:rsidRPr="003B31BB">
        <w:rPr>
          <w:lang w:val="en-AU"/>
        </w:rPr>
        <w:t xml:space="preserve">as a </w:t>
      </w:r>
      <w:r w:rsidRPr="003B31BB">
        <w:rPr>
          <w:lang w:val="en-AU"/>
        </w:rPr>
        <w:t xml:space="preserve">tissue of last resort. </w:t>
      </w:r>
      <w:r w:rsidR="00372AED" w:rsidRPr="003B31BB">
        <w:rPr>
          <w:lang w:val="en-AU"/>
        </w:rPr>
        <w:t xml:space="preserve">They suggested that this </w:t>
      </w:r>
      <w:r w:rsidRPr="003B31BB">
        <w:rPr>
          <w:lang w:val="en-AU"/>
        </w:rPr>
        <w:t xml:space="preserve">is particularly relevant for testing for </w:t>
      </w:r>
      <w:r w:rsidRPr="003B31BB">
        <w:rPr>
          <w:i/>
          <w:lang w:val="en-AU"/>
        </w:rPr>
        <w:t>EGFR</w:t>
      </w:r>
      <w:r w:rsidRPr="003B31BB">
        <w:rPr>
          <w:lang w:val="en-AU"/>
        </w:rPr>
        <w:t xml:space="preserve"> in patients with non-small cell lung cancer. Feedback from the </w:t>
      </w:r>
      <w:r w:rsidR="00812EE5" w:rsidRPr="003B31BB">
        <w:rPr>
          <w:lang w:val="en-AU"/>
        </w:rPr>
        <w:t>ACWG</w:t>
      </w:r>
      <w:r w:rsidRPr="003B31BB">
        <w:rPr>
          <w:lang w:val="en-AU"/>
        </w:rPr>
        <w:t xml:space="preserve"> indicated that</w:t>
      </w:r>
      <w:r w:rsidR="00812EE5" w:rsidRPr="003B31BB">
        <w:rPr>
          <w:lang w:val="en-AU"/>
        </w:rPr>
        <w:t>,</w:t>
      </w:r>
      <w:r w:rsidRPr="003B31BB">
        <w:rPr>
          <w:lang w:val="en-AU"/>
        </w:rPr>
        <w:t xml:space="preserve"> while this is a rare event, enabling the use of existing cytology slides would prevent these patient</w:t>
      </w:r>
      <w:r w:rsidR="00E07D8D" w:rsidRPr="003B31BB">
        <w:rPr>
          <w:lang w:val="en-AU"/>
        </w:rPr>
        <w:t>s</w:t>
      </w:r>
      <w:r w:rsidRPr="003B31BB">
        <w:rPr>
          <w:lang w:val="en-AU"/>
        </w:rPr>
        <w:t xml:space="preserve"> having to have another invasive procedure. </w:t>
      </w:r>
    </w:p>
    <w:p w14:paraId="5DC4D2C4" w14:textId="77777777" w:rsidR="00B23819" w:rsidRPr="003B31BB" w:rsidRDefault="00996E28" w:rsidP="00082595">
      <w:pPr>
        <w:pStyle w:val="01squarebullet"/>
        <w:rPr>
          <w:lang w:val="en-AU"/>
        </w:rPr>
      </w:pPr>
      <w:r w:rsidRPr="003B31BB">
        <w:rPr>
          <w:lang w:val="en-AU"/>
        </w:rPr>
        <w:t xml:space="preserve">The Committee supported the proposal </w:t>
      </w:r>
      <w:r w:rsidR="00372AED" w:rsidRPr="003B31BB">
        <w:rPr>
          <w:lang w:val="en-AU"/>
        </w:rPr>
        <w:t xml:space="preserve">from the ACWG </w:t>
      </w:r>
      <w:r w:rsidRPr="003B31BB">
        <w:rPr>
          <w:lang w:val="en-AU"/>
        </w:rPr>
        <w:t xml:space="preserve">to define a </w:t>
      </w:r>
      <w:r w:rsidR="000A3319" w:rsidRPr="003B31BB">
        <w:rPr>
          <w:lang w:val="en-AU"/>
        </w:rPr>
        <w:t xml:space="preserve">tumour </w:t>
      </w:r>
      <w:r w:rsidRPr="003B31BB">
        <w:rPr>
          <w:lang w:val="en-AU"/>
        </w:rPr>
        <w:t>tissue as ‘</w:t>
      </w:r>
      <w:r w:rsidR="000A3319" w:rsidRPr="003B31BB">
        <w:rPr>
          <w:lang w:val="en-AU"/>
        </w:rPr>
        <w:t xml:space="preserve">tumour </w:t>
      </w:r>
      <w:r w:rsidRPr="003B31BB">
        <w:rPr>
          <w:lang w:val="en-AU"/>
        </w:rPr>
        <w:t xml:space="preserve">tissue that has been assessed by a </w:t>
      </w:r>
      <w:r w:rsidR="00812EE5" w:rsidRPr="003B31BB">
        <w:rPr>
          <w:lang w:val="en-AU"/>
        </w:rPr>
        <w:t xml:space="preserve">pathologist </w:t>
      </w:r>
      <w:r w:rsidRPr="003B31BB">
        <w:rPr>
          <w:lang w:val="en-AU"/>
        </w:rPr>
        <w:t>to contain sufficient</w:t>
      </w:r>
      <w:r w:rsidR="000A3319" w:rsidRPr="003B31BB">
        <w:rPr>
          <w:lang w:val="en-AU"/>
        </w:rPr>
        <w:t xml:space="preserve"> intact </w:t>
      </w:r>
      <w:r w:rsidRPr="003B31BB">
        <w:rPr>
          <w:lang w:val="en-AU"/>
        </w:rPr>
        <w:t>tumour cells for testing’ or words similar. The Committee proposed that the addition of an explanatory note to the relevant items, such as ‘this does not include cell free DNA’ would help define these rare situations.</w:t>
      </w:r>
    </w:p>
    <w:p w14:paraId="62D68151" w14:textId="77777777" w:rsidR="000A3319" w:rsidRPr="003B31BB" w:rsidRDefault="000A3319" w:rsidP="00082595">
      <w:pPr>
        <w:pStyle w:val="01squarebullet"/>
        <w:rPr>
          <w:lang w:val="en-AU"/>
        </w:rPr>
      </w:pPr>
      <w:r w:rsidRPr="003B31BB">
        <w:rPr>
          <w:lang w:val="en-AU"/>
        </w:rPr>
        <w:t>The Committee recommended</w:t>
      </w:r>
      <w:r w:rsidR="003A35A5" w:rsidRPr="003B31BB">
        <w:rPr>
          <w:lang w:val="en-AU"/>
        </w:rPr>
        <w:t xml:space="preserve"> that</w:t>
      </w:r>
      <w:r w:rsidRPr="003B31BB">
        <w:rPr>
          <w:lang w:val="en-AU"/>
        </w:rPr>
        <w:t xml:space="preserve"> </w:t>
      </w:r>
      <w:r w:rsidR="003A35A5" w:rsidRPr="003B31BB">
        <w:rPr>
          <w:lang w:val="en-AU"/>
        </w:rPr>
        <w:t xml:space="preserve">there should be </w:t>
      </w:r>
      <w:r w:rsidRPr="003B31BB">
        <w:rPr>
          <w:lang w:val="en-AU"/>
        </w:rPr>
        <w:t>further consultation with relevant clinical experts on the definitional terminology</w:t>
      </w:r>
      <w:r w:rsidR="003A35A5" w:rsidRPr="003B31BB">
        <w:rPr>
          <w:lang w:val="en-AU"/>
        </w:rPr>
        <w:t>,</w:t>
      </w:r>
      <w:r w:rsidRPr="003B31BB">
        <w:rPr>
          <w:lang w:val="en-AU"/>
        </w:rPr>
        <w:t xml:space="preserve"> and </w:t>
      </w:r>
      <w:r w:rsidR="003A35A5" w:rsidRPr="003B31BB">
        <w:rPr>
          <w:lang w:val="en-AU"/>
        </w:rPr>
        <w:t xml:space="preserve">consideration </w:t>
      </w:r>
      <w:r w:rsidRPr="003B31BB">
        <w:rPr>
          <w:lang w:val="en-AU"/>
        </w:rPr>
        <w:t>with</w:t>
      </w:r>
      <w:r w:rsidR="003A35A5" w:rsidRPr="003B31BB">
        <w:rPr>
          <w:lang w:val="en-AU"/>
        </w:rPr>
        <w:t>in</w:t>
      </w:r>
      <w:r w:rsidRPr="003B31BB">
        <w:rPr>
          <w:lang w:val="en-AU"/>
        </w:rPr>
        <w:t xml:space="preserve"> the Department regarding the application of the definition in practice in terms of the MBS.</w:t>
      </w:r>
    </w:p>
    <w:p w14:paraId="5A2BF1A4" w14:textId="77777777" w:rsidR="00690EF1" w:rsidRPr="003B31BB" w:rsidRDefault="00690EF1" w:rsidP="00996E28">
      <w:pPr>
        <w:pStyle w:val="Heading3"/>
        <w:rPr>
          <w:lang w:val="en-AU"/>
        </w:rPr>
      </w:pPr>
      <w:bookmarkStart w:id="164" w:name="_Toc13736019"/>
      <w:r w:rsidRPr="003B31BB">
        <w:rPr>
          <w:lang w:val="en-AU"/>
        </w:rPr>
        <w:t xml:space="preserve">Discussion regarding use of </w:t>
      </w:r>
      <w:r w:rsidR="00996E28" w:rsidRPr="003B31BB">
        <w:rPr>
          <w:lang w:val="en-AU"/>
        </w:rPr>
        <w:t xml:space="preserve">genetics </w:t>
      </w:r>
      <w:r w:rsidRPr="003B31BB">
        <w:rPr>
          <w:lang w:val="en-AU"/>
        </w:rPr>
        <w:t xml:space="preserve">items for </w:t>
      </w:r>
      <w:r w:rsidR="001E6031" w:rsidRPr="003B31BB">
        <w:rPr>
          <w:lang w:val="en-AU"/>
        </w:rPr>
        <w:t>‘</w:t>
      </w:r>
      <w:r w:rsidRPr="003B31BB">
        <w:rPr>
          <w:lang w:val="en-AU"/>
        </w:rPr>
        <w:t>screening</w:t>
      </w:r>
      <w:r w:rsidR="001E6031" w:rsidRPr="003B31BB">
        <w:rPr>
          <w:lang w:val="en-AU"/>
        </w:rPr>
        <w:t>’ purposes</w:t>
      </w:r>
      <w:bookmarkEnd w:id="164"/>
    </w:p>
    <w:p w14:paraId="62E20C06" w14:textId="77777777" w:rsidR="00690EF1" w:rsidRPr="003B31BB" w:rsidRDefault="00690EF1" w:rsidP="00996E28">
      <w:pPr>
        <w:pStyle w:val="01squarebullet"/>
        <w:rPr>
          <w:lang w:val="en-AU"/>
        </w:rPr>
      </w:pPr>
      <w:r w:rsidRPr="003B31BB">
        <w:rPr>
          <w:lang w:val="en-AU"/>
        </w:rPr>
        <w:t>To prevent</w:t>
      </w:r>
      <w:r w:rsidR="00996E28" w:rsidRPr="003B31BB">
        <w:rPr>
          <w:lang w:val="en-AU"/>
        </w:rPr>
        <w:t xml:space="preserve"> genetic</w:t>
      </w:r>
      <w:r w:rsidR="00811224">
        <w:rPr>
          <w:lang w:val="en-AU"/>
        </w:rPr>
        <w:t>s</w:t>
      </w:r>
      <w:r w:rsidRPr="003B31BB">
        <w:rPr>
          <w:lang w:val="en-AU"/>
        </w:rPr>
        <w:t xml:space="preserve"> items being used for screening</w:t>
      </w:r>
      <w:r w:rsidR="00996E28" w:rsidRPr="003B31BB">
        <w:rPr>
          <w:lang w:val="en-AU"/>
        </w:rPr>
        <w:t xml:space="preserve"> purposes</w:t>
      </w:r>
      <w:r w:rsidRPr="003B31BB">
        <w:rPr>
          <w:lang w:val="en-AU"/>
        </w:rPr>
        <w:t xml:space="preserve">, the </w:t>
      </w:r>
      <w:r w:rsidR="00996E28" w:rsidRPr="003B31BB">
        <w:rPr>
          <w:lang w:val="en-AU"/>
        </w:rPr>
        <w:t>Committee</w:t>
      </w:r>
      <w:r w:rsidRPr="003B31BB">
        <w:rPr>
          <w:lang w:val="en-AU"/>
        </w:rPr>
        <w:t xml:space="preserve"> </w:t>
      </w:r>
      <w:r w:rsidR="00637DFC" w:rsidRPr="003B31BB">
        <w:rPr>
          <w:lang w:val="en-AU"/>
        </w:rPr>
        <w:t xml:space="preserve">has </w:t>
      </w:r>
      <w:r w:rsidRPr="003B31BB">
        <w:rPr>
          <w:lang w:val="en-AU"/>
        </w:rPr>
        <w:t xml:space="preserve">recommended to include the words </w:t>
      </w:r>
      <w:r w:rsidR="001D7B44">
        <w:rPr>
          <w:i/>
          <w:lang w:val="en-AU"/>
        </w:rPr>
        <w:t>‘</w:t>
      </w:r>
      <w:r w:rsidRPr="003B31BB">
        <w:rPr>
          <w:i/>
          <w:lang w:val="en-AU"/>
        </w:rPr>
        <w:t xml:space="preserve">in a person with specific risk indicated by personal or family history’ </w:t>
      </w:r>
      <w:r w:rsidRPr="003B31BB">
        <w:rPr>
          <w:lang w:val="en-AU"/>
        </w:rPr>
        <w:t>to items where</w:t>
      </w:r>
      <w:r w:rsidRPr="003B31BB">
        <w:rPr>
          <w:i/>
          <w:lang w:val="en-AU"/>
        </w:rPr>
        <w:t xml:space="preserve"> </w:t>
      </w:r>
      <w:r w:rsidRPr="003B31BB">
        <w:rPr>
          <w:lang w:val="en-AU"/>
        </w:rPr>
        <w:t>this is a risk.</w:t>
      </w:r>
      <w:r w:rsidR="00996E28" w:rsidRPr="003B31BB">
        <w:rPr>
          <w:lang w:val="en-AU"/>
        </w:rPr>
        <w:t xml:space="preserve"> </w:t>
      </w:r>
      <w:r w:rsidR="000A3319" w:rsidRPr="003B31BB">
        <w:rPr>
          <w:lang w:val="en-AU"/>
        </w:rPr>
        <w:t>Within the c</w:t>
      </w:r>
      <w:r w:rsidR="00637DFC" w:rsidRPr="003B31BB">
        <w:rPr>
          <w:lang w:val="en-AU"/>
        </w:rPr>
        <w:t>urrent genetics table</w:t>
      </w:r>
      <w:r w:rsidR="000A3319" w:rsidRPr="003B31BB">
        <w:rPr>
          <w:lang w:val="en-AU"/>
        </w:rPr>
        <w:t>, this applies to items</w:t>
      </w:r>
      <w:r w:rsidR="003A35A5" w:rsidRPr="003B31BB">
        <w:rPr>
          <w:lang w:val="en-AU"/>
        </w:rPr>
        <w:t xml:space="preserve"> 73287 and 73289</w:t>
      </w:r>
      <w:r w:rsidR="00335051" w:rsidRPr="003B31BB">
        <w:rPr>
          <w:lang w:val="en-AU"/>
        </w:rPr>
        <w:t xml:space="preserve"> (see section 4.1 and 4.2). The Committee noted that t</w:t>
      </w:r>
      <w:r w:rsidR="00996E28" w:rsidRPr="003B31BB">
        <w:rPr>
          <w:lang w:val="en-AU"/>
        </w:rPr>
        <w:t xml:space="preserve">his may be </w:t>
      </w:r>
      <w:r w:rsidR="00335051" w:rsidRPr="003B31BB">
        <w:rPr>
          <w:lang w:val="en-AU"/>
        </w:rPr>
        <w:t xml:space="preserve">a broader consideration </w:t>
      </w:r>
      <w:r w:rsidR="00996E28" w:rsidRPr="003B31BB">
        <w:rPr>
          <w:lang w:val="en-AU"/>
        </w:rPr>
        <w:t>relevant</w:t>
      </w:r>
      <w:r w:rsidR="003A35A5" w:rsidRPr="003B31BB">
        <w:rPr>
          <w:lang w:val="en-AU"/>
        </w:rPr>
        <w:t xml:space="preserve"> to other items</w:t>
      </w:r>
      <w:r w:rsidR="00996E28" w:rsidRPr="003B31BB">
        <w:rPr>
          <w:lang w:val="en-AU"/>
        </w:rPr>
        <w:t xml:space="preserve"> across the</w:t>
      </w:r>
      <w:r w:rsidR="0061030F" w:rsidRPr="003B31BB">
        <w:rPr>
          <w:lang w:val="en-AU"/>
        </w:rPr>
        <w:t xml:space="preserve"> </w:t>
      </w:r>
      <w:r w:rsidR="00AD1BA9" w:rsidRPr="003B31BB">
        <w:rPr>
          <w:lang w:val="en-AU"/>
        </w:rPr>
        <w:t>MBS</w:t>
      </w:r>
      <w:r w:rsidR="00996E28" w:rsidRPr="003B31BB">
        <w:rPr>
          <w:lang w:val="en-AU"/>
        </w:rPr>
        <w:t xml:space="preserve"> where tests </w:t>
      </w:r>
      <w:r w:rsidR="00637DFC" w:rsidRPr="003B31BB">
        <w:rPr>
          <w:lang w:val="en-AU"/>
        </w:rPr>
        <w:t xml:space="preserve">may be </w:t>
      </w:r>
      <w:r w:rsidR="00996E28" w:rsidRPr="003B31BB">
        <w:rPr>
          <w:lang w:val="en-AU"/>
        </w:rPr>
        <w:t>at risk of being inappropriately used for screening.</w:t>
      </w:r>
    </w:p>
    <w:p w14:paraId="14F42E28" w14:textId="77777777" w:rsidR="001136B9" w:rsidRPr="0017217D" w:rsidRDefault="001136B9" w:rsidP="00082595">
      <w:pPr>
        <w:rPr>
          <w:rFonts w:eastAsiaTheme="minorHAnsi" w:cs="Arial"/>
          <w:kern w:val="32"/>
          <w:sz w:val="32"/>
          <w:szCs w:val="28"/>
          <w:lang w:val="en-AU" w:eastAsia="en-US"/>
        </w:rPr>
      </w:pPr>
      <w:r w:rsidRPr="00720661">
        <w:rPr>
          <w:lang w:val="en-AU"/>
        </w:rPr>
        <w:br w:type="page"/>
      </w:r>
    </w:p>
    <w:p w14:paraId="769B5E30" w14:textId="77777777" w:rsidR="000607EE" w:rsidRPr="00720661" w:rsidRDefault="0059491E" w:rsidP="00D220C9">
      <w:pPr>
        <w:pStyle w:val="Heading1"/>
        <w:rPr>
          <w:color w:val="FF0000"/>
          <w:lang w:val="en-AU"/>
        </w:rPr>
      </w:pPr>
      <w:bookmarkStart w:id="165" w:name="_Toc459996829"/>
      <w:bookmarkStart w:id="166" w:name="_Toc13736020"/>
      <w:bookmarkStart w:id="167" w:name="_Toc458167022"/>
      <w:r w:rsidRPr="00720661">
        <w:rPr>
          <w:lang w:val="en-AU"/>
        </w:rPr>
        <w:lastRenderedPageBreak/>
        <w:t>References</w:t>
      </w:r>
      <w:bookmarkEnd w:id="165"/>
      <w:bookmarkEnd w:id="166"/>
      <w:r w:rsidR="008C21AA" w:rsidRPr="00720661">
        <w:rPr>
          <w:lang w:val="en-AU"/>
        </w:rPr>
        <w:t xml:space="preserve"> </w:t>
      </w:r>
    </w:p>
    <w:p w14:paraId="41795757" w14:textId="77777777" w:rsidR="00CA1CA9" w:rsidRPr="003B31BB" w:rsidRDefault="00CA1CA9" w:rsidP="00F13BE2">
      <w:pPr>
        <w:pStyle w:val="ListParagraph"/>
        <w:numPr>
          <w:ilvl w:val="0"/>
          <w:numId w:val="25"/>
        </w:numPr>
        <w:rPr>
          <w:lang w:val="en-AU"/>
        </w:rPr>
      </w:pPr>
      <w:bookmarkStart w:id="168" w:name="_Ref488823012"/>
      <w:proofErr w:type="spellStart"/>
      <w:r w:rsidRPr="003B31BB">
        <w:rPr>
          <w:lang w:val="en-AU"/>
        </w:rPr>
        <w:t>Elshaug</w:t>
      </w:r>
      <w:proofErr w:type="spellEnd"/>
      <w:r w:rsidRPr="003B31BB">
        <w:rPr>
          <w:lang w:val="en-AU"/>
        </w:rPr>
        <w:t xml:space="preserve">, AG, AM Watt, L Mundy and CD Willis. Over 150 potentially low-value health care practices: an Australian study. </w:t>
      </w:r>
      <w:r w:rsidRPr="00811224">
        <w:rPr>
          <w:i/>
          <w:lang w:val="en-AU"/>
        </w:rPr>
        <w:t>Med J Aust</w:t>
      </w:r>
      <w:r w:rsidRPr="003B31BB">
        <w:rPr>
          <w:lang w:val="en-AU"/>
        </w:rPr>
        <w:t xml:space="preserve"> 2012;197(10):556-60.</w:t>
      </w:r>
    </w:p>
    <w:p w14:paraId="671880D7" w14:textId="77777777" w:rsidR="00C249A6" w:rsidRPr="003B31BB" w:rsidRDefault="00F96E8A" w:rsidP="00F13BE2">
      <w:pPr>
        <w:pStyle w:val="ListParagraph"/>
        <w:numPr>
          <w:ilvl w:val="0"/>
          <w:numId w:val="25"/>
        </w:numPr>
        <w:spacing w:before="120"/>
        <w:ind w:left="426" w:hanging="426"/>
        <w:rPr>
          <w:lang w:val="en-AU"/>
        </w:rPr>
      </w:pPr>
      <w:bookmarkStart w:id="169" w:name="_Ref488758275"/>
      <w:bookmarkEnd w:id="168"/>
      <w:r w:rsidRPr="003B31BB">
        <w:rPr>
          <w:lang w:val="en-AU"/>
        </w:rPr>
        <w:t xml:space="preserve">Medicare Benefits Schedule. </w:t>
      </w:r>
      <w:r w:rsidRPr="003B31BB">
        <w:rPr>
          <w:i/>
          <w:lang w:val="en-AU"/>
        </w:rPr>
        <w:t>MBS 2014–15 data.</w:t>
      </w:r>
      <w:r w:rsidRPr="003B31BB">
        <w:rPr>
          <w:lang w:val="en-AU"/>
        </w:rPr>
        <w:t xml:space="preserve"> Canberra: Australian Government Department of Health, </w:t>
      </w:r>
      <w:r w:rsidR="00CA1CA9" w:rsidRPr="003B31BB">
        <w:rPr>
          <w:lang w:val="en-AU"/>
        </w:rPr>
        <w:t>2016</w:t>
      </w:r>
      <w:r w:rsidRPr="003B31BB">
        <w:rPr>
          <w:lang w:val="en-AU"/>
        </w:rPr>
        <w:t>.</w:t>
      </w:r>
      <w:bookmarkEnd w:id="169"/>
    </w:p>
    <w:p w14:paraId="3213A8F3" w14:textId="77777777" w:rsidR="00C249A6" w:rsidRPr="003B31BB" w:rsidRDefault="00C249A6" w:rsidP="00F13BE2">
      <w:pPr>
        <w:pStyle w:val="ListParagraph"/>
        <w:numPr>
          <w:ilvl w:val="0"/>
          <w:numId w:val="25"/>
        </w:numPr>
        <w:spacing w:before="120"/>
        <w:ind w:left="426" w:hanging="426"/>
        <w:rPr>
          <w:lang w:val="en-AU"/>
        </w:rPr>
      </w:pPr>
      <w:bookmarkStart w:id="170" w:name="_Ref488823254"/>
      <w:r w:rsidRPr="00720661">
        <w:rPr>
          <w:lang w:val="en-AU"/>
        </w:rPr>
        <w:t xml:space="preserve">Miller, D. </w:t>
      </w:r>
      <w:r w:rsidRPr="00551F4D">
        <w:rPr>
          <w:iCs/>
          <w:lang w:val="en-AU"/>
        </w:rPr>
        <w:t xml:space="preserve">Consensus </w:t>
      </w:r>
      <w:r w:rsidR="00B7702D" w:rsidRPr="00551F4D">
        <w:rPr>
          <w:iCs/>
          <w:lang w:val="en-AU"/>
        </w:rPr>
        <w:t>s</w:t>
      </w:r>
      <w:r w:rsidRPr="00551F4D">
        <w:rPr>
          <w:iCs/>
          <w:lang w:val="en-AU"/>
        </w:rPr>
        <w:t xml:space="preserve">tatement: Chromosomal </w:t>
      </w:r>
      <w:r w:rsidR="00B7702D" w:rsidRPr="00551F4D">
        <w:rPr>
          <w:iCs/>
          <w:lang w:val="en-AU"/>
        </w:rPr>
        <w:t>microarray is a first-tier diagnostic test for individuals with developmental disabilities of congenital anomalies</w:t>
      </w:r>
      <w:r w:rsidRPr="00720661">
        <w:rPr>
          <w:iCs/>
          <w:lang w:val="en-AU"/>
        </w:rPr>
        <w:t>.</w:t>
      </w:r>
      <w:r w:rsidRPr="00720661">
        <w:rPr>
          <w:lang w:val="en-AU"/>
        </w:rPr>
        <w:t xml:space="preserve"> </w:t>
      </w:r>
      <w:r w:rsidRPr="00720661">
        <w:rPr>
          <w:i/>
          <w:lang w:val="en-AU"/>
        </w:rPr>
        <w:t>Am</w:t>
      </w:r>
      <w:r w:rsidR="00557362" w:rsidRPr="00720661">
        <w:rPr>
          <w:i/>
          <w:lang w:val="en-AU"/>
        </w:rPr>
        <w:t>erican</w:t>
      </w:r>
      <w:r w:rsidRPr="00720661">
        <w:rPr>
          <w:i/>
          <w:lang w:val="en-AU"/>
        </w:rPr>
        <w:t xml:space="preserve"> J</w:t>
      </w:r>
      <w:r w:rsidR="00557362" w:rsidRPr="00720661">
        <w:rPr>
          <w:i/>
          <w:lang w:val="en-AU"/>
        </w:rPr>
        <w:t>ournal of</w:t>
      </w:r>
      <w:r w:rsidRPr="00720661">
        <w:rPr>
          <w:i/>
          <w:lang w:val="en-AU"/>
        </w:rPr>
        <w:t xml:space="preserve"> Hum</w:t>
      </w:r>
      <w:r w:rsidR="00557362" w:rsidRPr="00720661">
        <w:rPr>
          <w:i/>
          <w:lang w:val="en-AU"/>
        </w:rPr>
        <w:t>an</w:t>
      </w:r>
      <w:r w:rsidRPr="00720661">
        <w:rPr>
          <w:i/>
          <w:lang w:val="en-AU"/>
        </w:rPr>
        <w:t xml:space="preserve"> Genet</w:t>
      </w:r>
      <w:r w:rsidR="00557362" w:rsidRPr="00720661">
        <w:rPr>
          <w:i/>
          <w:lang w:val="en-AU"/>
        </w:rPr>
        <w:t>ics</w:t>
      </w:r>
      <w:r w:rsidRPr="00720661">
        <w:rPr>
          <w:i/>
          <w:lang w:val="en-AU"/>
        </w:rPr>
        <w:t>.</w:t>
      </w:r>
      <w:r w:rsidRPr="00720661">
        <w:rPr>
          <w:lang w:val="en-AU"/>
        </w:rPr>
        <w:t xml:space="preserve"> 2010</w:t>
      </w:r>
      <w:r w:rsidR="00557362" w:rsidRPr="00720661">
        <w:rPr>
          <w:lang w:val="en-AU"/>
        </w:rPr>
        <w:t>,</w:t>
      </w:r>
      <w:r w:rsidRPr="00720661">
        <w:rPr>
          <w:lang w:val="en-AU"/>
        </w:rPr>
        <w:t xml:space="preserve"> </w:t>
      </w:r>
      <w:r w:rsidR="00557362" w:rsidRPr="00720661">
        <w:rPr>
          <w:lang w:val="en-AU"/>
        </w:rPr>
        <w:t xml:space="preserve">vol. </w:t>
      </w:r>
      <w:r w:rsidRPr="00720661">
        <w:rPr>
          <w:lang w:val="en-AU"/>
        </w:rPr>
        <w:t>86</w:t>
      </w:r>
      <w:r w:rsidR="00557362" w:rsidRPr="00720661">
        <w:rPr>
          <w:lang w:val="en-AU"/>
        </w:rPr>
        <w:t xml:space="preserve">, no. </w:t>
      </w:r>
      <w:r w:rsidRPr="00720661">
        <w:rPr>
          <w:lang w:val="en-AU"/>
        </w:rPr>
        <w:t>5</w:t>
      </w:r>
      <w:r w:rsidR="00372CB3" w:rsidRPr="00720661">
        <w:rPr>
          <w:lang w:val="en-AU"/>
        </w:rPr>
        <w:t xml:space="preserve">, pp. </w:t>
      </w:r>
      <w:r w:rsidRPr="00720661">
        <w:rPr>
          <w:lang w:val="en-AU"/>
        </w:rPr>
        <w:t>749</w:t>
      </w:r>
      <w:r w:rsidR="0072634B">
        <w:rPr>
          <w:lang w:val="en-AU"/>
        </w:rPr>
        <w:t>-</w:t>
      </w:r>
      <w:r w:rsidR="00162A08" w:rsidRPr="00720661">
        <w:rPr>
          <w:lang w:val="en-AU"/>
        </w:rPr>
        <w:t>7</w:t>
      </w:r>
      <w:r w:rsidRPr="00720661">
        <w:rPr>
          <w:lang w:val="en-AU"/>
        </w:rPr>
        <w:t>64.</w:t>
      </w:r>
      <w:bookmarkEnd w:id="170"/>
    </w:p>
    <w:p w14:paraId="37453AE2" w14:textId="77777777" w:rsidR="00C249A6" w:rsidRPr="00720661" w:rsidRDefault="00C249A6" w:rsidP="00F13BE2">
      <w:pPr>
        <w:pStyle w:val="ListParagraph"/>
        <w:numPr>
          <w:ilvl w:val="0"/>
          <w:numId w:val="25"/>
        </w:numPr>
        <w:spacing w:before="120"/>
        <w:ind w:left="426" w:hanging="426"/>
        <w:rPr>
          <w:lang w:val="en-AU"/>
        </w:rPr>
      </w:pPr>
      <w:bookmarkStart w:id="171" w:name="_Ref488823301"/>
      <w:r w:rsidRPr="00720661">
        <w:rPr>
          <w:lang w:val="en-AU"/>
        </w:rPr>
        <w:t>Human Genetics</w:t>
      </w:r>
      <w:r w:rsidR="006F6581" w:rsidRPr="00551F4D">
        <w:rPr>
          <w:lang w:val="en-AU"/>
        </w:rPr>
        <w:t xml:space="preserve"> Society of Australasia</w:t>
      </w:r>
      <w:r w:rsidR="00162A08" w:rsidRPr="00551F4D">
        <w:rPr>
          <w:lang w:val="en-AU"/>
        </w:rPr>
        <w:t xml:space="preserve">. </w:t>
      </w:r>
      <w:r w:rsidRPr="00551F4D">
        <w:rPr>
          <w:i/>
          <w:lang w:val="en-AU"/>
        </w:rPr>
        <w:t>Best Practice Fragile X Testing and Analysis Guidelines for Australasian Laboratories</w:t>
      </w:r>
      <w:r w:rsidR="00162A08" w:rsidRPr="00720661">
        <w:rPr>
          <w:lang w:val="en-AU"/>
        </w:rPr>
        <w:t>.</w:t>
      </w:r>
      <w:r w:rsidRPr="00720661">
        <w:rPr>
          <w:lang w:val="en-AU"/>
        </w:rPr>
        <w:t xml:space="preserve"> </w:t>
      </w:r>
      <w:r w:rsidR="00162A08" w:rsidRPr="00720661">
        <w:rPr>
          <w:lang w:val="en-AU"/>
        </w:rPr>
        <w:t>HGSA fragile X guidelines (only available to members):</w:t>
      </w:r>
      <w:r w:rsidRPr="00720661">
        <w:rPr>
          <w:lang w:val="en-AU"/>
        </w:rPr>
        <w:t xml:space="preserve"> document 2012 GL01.</w:t>
      </w:r>
      <w:bookmarkEnd w:id="171"/>
      <w:r w:rsidR="00162A08" w:rsidRPr="00720661">
        <w:rPr>
          <w:lang w:val="en-AU"/>
        </w:rPr>
        <w:t xml:space="preserve"> </w:t>
      </w:r>
      <w:r w:rsidR="006F6581" w:rsidRPr="003B31BB">
        <w:rPr>
          <w:lang w:val="en-AU"/>
        </w:rPr>
        <w:t>Sydney</w:t>
      </w:r>
      <w:r w:rsidR="00162A08" w:rsidRPr="003B31BB">
        <w:rPr>
          <w:lang w:val="en-AU"/>
        </w:rPr>
        <w:t xml:space="preserve">: </w:t>
      </w:r>
      <w:r w:rsidR="00162A08" w:rsidRPr="00720661">
        <w:rPr>
          <w:lang w:val="en-AU"/>
        </w:rPr>
        <w:t>HGSA</w:t>
      </w:r>
      <w:r w:rsidR="00162A08" w:rsidRPr="00551F4D">
        <w:rPr>
          <w:lang w:val="en-AU"/>
        </w:rPr>
        <w:t xml:space="preserve">, </w:t>
      </w:r>
      <w:r w:rsidR="006F6581" w:rsidRPr="003B31BB">
        <w:rPr>
          <w:lang w:val="en-AU"/>
        </w:rPr>
        <w:t>2012</w:t>
      </w:r>
      <w:r w:rsidR="00162A08" w:rsidRPr="003B31BB">
        <w:rPr>
          <w:lang w:val="en-AU"/>
        </w:rPr>
        <w:t>.</w:t>
      </w:r>
    </w:p>
    <w:p w14:paraId="75F0CA50" w14:textId="77777777" w:rsidR="00C249A6" w:rsidRPr="003B31BB" w:rsidRDefault="00C249A6" w:rsidP="00F13BE2">
      <w:pPr>
        <w:pStyle w:val="ListParagraph"/>
        <w:numPr>
          <w:ilvl w:val="0"/>
          <w:numId w:val="25"/>
        </w:numPr>
        <w:spacing w:before="120"/>
        <w:ind w:left="426" w:hanging="426"/>
        <w:rPr>
          <w:lang w:val="en-AU"/>
        </w:rPr>
      </w:pPr>
      <w:bookmarkStart w:id="172" w:name="_Ref488823350"/>
      <w:r w:rsidRPr="00720661">
        <w:rPr>
          <w:lang w:val="en-AU"/>
        </w:rPr>
        <w:t xml:space="preserve">Morey, AL, </w:t>
      </w:r>
      <w:r w:rsidR="00A13898" w:rsidRPr="00720661">
        <w:rPr>
          <w:lang w:val="en-AU"/>
        </w:rPr>
        <w:t>B Brown</w:t>
      </w:r>
      <w:r w:rsidRPr="00720661">
        <w:rPr>
          <w:lang w:val="en-AU"/>
        </w:rPr>
        <w:t xml:space="preserve">, </w:t>
      </w:r>
      <w:r w:rsidR="00A13898" w:rsidRPr="00720661">
        <w:rPr>
          <w:lang w:val="en-AU"/>
        </w:rPr>
        <w:t xml:space="preserve">G </w:t>
      </w:r>
      <w:r w:rsidRPr="00720661">
        <w:rPr>
          <w:lang w:val="en-AU"/>
        </w:rPr>
        <w:t xml:space="preserve">Farshid, </w:t>
      </w:r>
      <w:r w:rsidR="00A13898" w:rsidRPr="00720661">
        <w:rPr>
          <w:lang w:val="en-AU"/>
        </w:rPr>
        <w:t xml:space="preserve">SB </w:t>
      </w:r>
      <w:r w:rsidRPr="00720661">
        <w:rPr>
          <w:lang w:val="en-AU"/>
        </w:rPr>
        <w:t xml:space="preserve">Fox, </w:t>
      </w:r>
      <w:r w:rsidR="00A13898" w:rsidRPr="00720661">
        <w:rPr>
          <w:lang w:val="en-AU"/>
        </w:rPr>
        <w:t xml:space="preserve">GD </w:t>
      </w:r>
      <w:r w:rsidRPr="00720661">
        <w:rPr>
          <w:lang w:val="en-AU"/>
        </w:rPr>
        <w:t xml:space="preserve">Francis, </w:t>
      </w:r>
      <w:r w:rsidR="00A13898" w:rsidRPr="00720661">
        <w:rPr>
          <w:lang w:val="en-AU"/>
        </w:rPr>
        <w:t xml:space="preserve">G </w:t>
      </w:r>
      <w:r w:rsidRPr="00720661">
        <w:rPr>
          <w:lang w:val="en-AU"/>
        </w:rPr>
        <w:t xml:space="preserve">McCue, </w:t>
      </w:r>
      <w:r w:rsidR="00A13898" w:rsidRPr="00720661">
        <w:rPr>
          <w:lang w:val="en-AU"/>
        </w:rPr>
        <w:t xml:space="preserve">V </w:t>
      </w:r>
      <w:r w:rsidRPr="00720661">
        <w:rPr>
          <w:lang w:val="en-AU"/>
        </w:rPr>
        <w:t>von Neumann-</w:t>
      </w:r>
      <w:proofErr w:type="spellStart"/>
      <w:r w:rsidRPr="00720661">
        <w:rPr>
          <w:lang w:val="en-AU"/>
        </w:rPr>
        <w:t>Cosel</w:t>
      </w:r>
      <w:proofErr w:type="spellEnd"/>
      <w:r w:rsidR="00327E58" w:rsidRPr="00720661">
        <w:rPr>
          <w:lang w:val="en-AU"/>
        </w:rPr>
        <w:t xml:space="preserve"> and</w:t>
      </w:r>
      <w:r w:rsidRPr="00720661">
        <w:rPr>
          <w:lang w:val="en-AU"/>
        </w:rPr>
        <w:t xml:space="preserve"> </w:t>
      </w:r>
      <w:r w:rsidR="0062006B" w:rsidRPr="00720661">
        <w:rPr>
          <w:lang w:val="en-AU"/>
        </w:rPr>
        <w:t>M</w:t>
      </w:r>
      <w:r w:rsidR="0062006B">
        <w:rPr>
          <w:lang w:val="en-AU"/>
        </w:rPr>
        <w:t> </w:t>
      </w:r>
      <w:proofErr w:type="spellStart"/>
      <w:r w:rsidRPr="00720661">
        <w:rPr>
          <w:lang w:val="en-AU"/>
        </w:rPr>
        <w:t>Bilous</w:t>
      </w:r>
      <w:proofErr w:type="spellEnd"/>
      <w:r w:rsidRPr="00720661">
        <w:rPr>
          <w:lang w:val="en-AU"/>
        </w:rPr>
        <w:t xml:space="preserve">. Determining </w:t>
      </w:r>
      <w:r w:rsidRPr="00720661">
        <w:rPr>
          <w:i/>
          <w:iCs/>
          <w:lang w:val="en-AU"/>
        </w:rPr>
        <w:t>HER2</w:t>
      </w:r>
      <w:r w:rsidRPr="00720661">
        <w:rPr>
          <w:lang w:val="en-AU"/>
        </w:rPr>
        <w:t xml:space="preserve"> (ERBB2) amplification status in women with breast cancer: </w:t>
      </w:r>
      <w:proofErr w:type="gramStart"/>
      <w:r w:rsidRPr="00720661">
        <w:rPr>
          <w:lang w:val="en-AU"/>
        </w:rPr>
        <w:t>final results</w:t>
      </w:r>
      <w:proofErr w:type="gramEnd"/>
      <w:r w:rsidRPr="00720661">
        <w:rPr>
          <w:lang w:val="en-AU"/>
        </w:rPr>
        <w:t xml:space="preserve"> from the Australian </w:t>
      </w:r>
      <w:r w:rsidRPr="00720661">
        <w:rPr>
          <w:iCs/>
          <w:lang w:val="en-AU"/>
        </w:rPr>
        <w:t>in situ</w:t>
      </w:r>
      <w:r w:rsidRPr="00720661">
        <w:rPr>
          <w:lang w:val="en-AU"/>
        </w:rPr>
        <w:t xml:space="preserve"> hybridisation program. </w:t>
      </w:r>
      <w:r w:rsidRPr="003B31BB">
        <w:rPr>
          <w:i/>
          <w:lang w:val="en-AU"/>
        </w:rPr>
        <w:t>Pathology</w:t>
      </w:r>
      <w:r w:rsidR="0068737E" w:rsidRPr="003B31BB">
        <w:rPr>
          <w:i/>
          <w:lang w:val="en-AU"/>
        </w:rPr>
        <w:t>.</w:t>
      </w:r>
      <w:r w:rsidRPr="003B31BB">
        <w:rPr>
          <w:lang w:val="en-AU"/>
        </w:rPr>
        <w:t xml:space="preserve"> 2016</w:t>
      </w:r>
      <w:r w:rsidR="0068737E" w:rsidRPr="003B31BB">
        <w:rPr>
          <w:lang w:val="en-AU"/>
        </w:rPr>
        <w:t>,</w:t>
      </w:r>
      <w:r w:rsidRPr="003B31BB">
        <w:rPr>
          <w:lang w:val="en-AU"/>
        </w:rPr>
        <w:t xml:space="preserve"> </w:t>
      </w:r>
      <w:r w:rsidR="0068737E" w:rsidRPr="003B31BB">
        <w:rPr>
          <w:lang w:val="en-AU"/>
        </w:rPr>
        <w:t xml:space="preserve">vol. </w:t>
      </w:r>
      <w:r w:rsidRPr="003B31BB">
        <w:rPr>
          <w:lang w:val="en-AU"/>
        </w:rPr>
        <w:t>48</w:t>
      </w:r>
      <w:r w:rsidR="0068737E" w:rsidRPr="003B31BB">
        <w:rPr>
          <w:lang w:val="en-AU"/>
        </w:rPr>
        <w:t>, no.</w:t>
      </w:r>
      <w:r w:rsidRPr="003B31BB">
        <w:rPr>
          <w:lang w:val="en-AU"/>
        </w:rPr>
        <w:t xml:space="preserve"> 6</w:t>
      </w:r>
      <w:r w:rsidR="0068737E" w:rsidRPr="003B31BB">
        <w:rPr>
          <w:lang w:val="en-AU"/>
        </w:rPr>
        <w:t xml:space="preserve">, pp. </w:t>
      </w:r>
      <w:r w:rsidRPr="003B31BB">
        <w:rPr>
          <w:lang w:val="en-AU"/>
        </w:rPr>
        <w:t>535</w:t>
      </w:r>
      <w:r w:rsidR="0072634B">
        <w:rPr>
          <w:lang w:val="en-AU"/>
        </w:rPr>
        <w:t>-</w:t>
      </w:r>
      <w:r w:rsidRPr="003B31BB">
        <w:rPr>
          <w:lang w:val="en-AU"/>
        </w:rPr>
        <w:t>542.</w:t>
      </w:r>
      <w:bookmarkEnd w:id="172"/>
    </w:p>
    <w:p w14:paraId="318E5394" w14:textId="77777777" w:rsidR="00C249A6" w:rsidRPr="003B31BB" w:rsidRDefault="00C249A6" w:rsidP="00F13BE2">
      <w:pPr>
        <w:pStyle w:val="ListParagraph"/>
        <w:numPr>
          <w:ilvl w:val="0"/>
          <w:numId w:val="25"/>
        </w:numPr>
        <w:spacing w:before="120"/>
        <w:ind w:left="426" w:hanging="426"/>
        <w:rPr>
          <w:lang w:val="en-AU"/>
        </w:rPr>
      </w:pPr>
      <w:bookmarkStart w:id="173" w:name="_Ref488826228"/>
      <w:r w:rsidRPr="003B31BB">
        <w:rPr>
          <w:lang w:val="en-AU"/>
        </w:rPr>
        <w:t xml:space="preserve">NPS MedicineWise. </w:t>
      </w:r>
      <w:r w:rsidRPr="003B31BB">
        <w:rPr>
          <w:i/>
          <w:lang w:val="en-AU"/>
        </w:rPr>
        <w:t>Genetic testing for mutations in people who have had a venous thromboembolism.</w:t>
      </w:r>
      <w:r w:rsidRPr="003B31BB">
        <w:rPr>
          <w:lang w:val="en-AU"/>
        </w:rPr>
        <w:t xml:space="preserve"> A rapid review of the literature for the MBS Pathology Clinical Committee-Genetics Working Group. </w:t>
      </w:r>
      <w:r w:rsidR="00400C5D" w:rsidRPr="003B31BB">
        <w:rPr>
          <w:lang w:val="en-AU"/>
        </w:rPr>
        <w:t xml:space="preserve">Sydney: NPS, </w:t>
      </w:r>
      <w:r w:rsidRPr="003B31BB">
        <w:rPr>
          <w:lang w:val="en-AU"/>
        </w:rPr>
        <w:t>Sept</w:t>
      </w:r>
      <w:r w:rsidR="00400C5D" w:rsidRPr="003B31BB">
        <w:rPr>
          <w:lang w:val="en-AU"/>
        </w:rPr>
        <w:t>ember</w:t>
      </w:r>
      <w:r w:rsidRPr="003B31BB">
        <w:rPr>
          <w:lang w:val="en-AU"/>
        </w:rPr>
        <w:t xml:space="preserve"> 2016.</w:t>
      </w:r>
      <w:bookmarkEnd w:id="173"/>
    </w:p>
    <w:p w14:paraId="3C2919A0" w14:textId="77777777" w:rsidR="00BF7C65" w:rsidRPr="0072634B" w:rsidRDefault="006772E3" w:rsidP="00F13BE2">
      <w:pPr>
        <w:pStyle w:val="ListParagraph"/>
        <w:numPr>
          <w:ilvl w:val="0"/>
          <w:numId w:val="25"/>
        </w:numPr>
        <w:spacing w:before="120"/>
        <w:rPr>
          <w:u w:val="single"/>
          <w:lang w:val="en-AU"/>
        </w:rPr>
      </w:pPr>
      <w:bookmarkStart w:id="174" w:name="_Ref488829399"/>
      <w:r w:rsidRPr="0072634B">
        <w:rPr>
          <w:lang w:val="en-AU"/>
        </w:rPr>
        <w:t>Cooley, LD, CC Morton,</w:t>
      </w:r>
      <w:r w:rsidR="00343D5C" w:rsidRPr="0072634B">
        <w:rPr>
          <w:lang w:val="en-AU"/>
        </w:rPr>
        <w:t xml:space="preserve"> </w:t>
      </w:r>
      <w:r w:rsidRPr="0072634B">
        <w:rPr>
          <w:lang w:val="en-AU"/>
        </w:rPr>
        <w:t xml:space="preserve">WG Sanger, DF Saxe and FM Mikhail; on behalf of the American College of Medical Genetics and Genomics (ACMG) Laboratory Quality Assurance Committee. Section E6.5–6.8 of the ACMG technical standards and guidelines: chromosome studies of lymph node and solid </w:t>
      </w:r>
      <w:proofErr w:type="spellStart"/>
      <w:r w:rsidRPr="0072634B">
        <w:rPr>
          <w:lang w:val="en-AU"/>
        </w:rPr>
        <w:t>tumor</w:t>
      </w:r>
      <w:proofErr w:type="spellEnd"/>
      <w:r w:rsidR="00343D5C" w:rsidRPr="0072634B">
        <w:rPr>
          <w:lang w:val="en-AU"/>
        </w:rPr>
        <w:t>-</w:t>
      </w:r>
      <w:r w:rsidRPr="0072634B">
        <w:rPr>
          <w:lang w:val="en-AU"/>
        </w:rPr>
        <w:t xml:space="preserve">acquired chromosomal abnormalities. </w:t>
      </w:r>
      <w:r w:rsidRPr="0072634B">
        <w:rPr>
          <w:i/>
          <w:lang w:val="en-AU"/>
        </w:rPr>
        <w:t>Genetics in Medicine</w:t>
      </w:r>
      <w:r w:rsidR="00343D5C" w:rsidRPr="0072634B">
        <w:rPr>
          <w:lang w:val="en-AU"/>
        </w:rPr>
        <w:t xml:space="preserve"> [online]. </w:t>
      </w:r>
      <w:r w:rsidRPr="0072634B">
        <w:rPr>
          <w:lang w:val="en-AU"/>
        </w:rPr>
        <w:t>2016</w:t>
      </w:r>
      <w:r w:rsidR="00343D5C" w:rsidRPr="0072634B">
        <w:rPr>
          <w:lang w:val="en-AU"/>
        </w:rPr>
        <w:t>,</w:t>
      </w:r>
      <w:r w:rsidRPr="0072634B">
        <w:rPr>
          <w:lang w:val="en-AU"/>
        </w:rPr>
        <w:t xml:space="preserve"> </w:t>
      </w:r>
      <w:r w:rsidR="00343D5C" w:rsidRPr="0072634B">
        <w:rPr>
          <w:lang w:val="en-AU"/>
        </w:rPr>
        <w:t xml:space="preserve">vol. </w:t>
      </w:r>
      <w:r w:rsidRPr="0072634B">
        <w:rPr>
          <w:lang w:val="en-AU"/>
        </w:rPr>
        <w:t>18,</w:t>
      </w:r>
      <w:r w:rsidR="00343D5C" w:rsidRPr="0072634B">
        <w:rPr>
          <w:lang w:val="en-AU"/>
        </w:rPr>
        <w:t xml:space="preserve"> no.</w:t>
      </w:r>
      <w:r w:rsidRPr="0072634B">
        <w:rPr>
          <w:lang w:val="en-AU"/>
        </w:rPr>
        <w:t xml:space="preserve"> </w:t>
      </w:r>
      <w:r w:rsidR="006F6581" w:rsidRPr="0072634B">
        <w:rPr>
          <w:lang w:val="en-AU"/>
        </w:rPr>
        <w:t>6</w:t>
      </w:r>
      <w:r w:rsidR="00020ABB" w:rsidRPr="0072634B">
        <w:rPr>
          <w:lang w:val="en-AU"/>
        </w:rPr>
        <w:t>,</w:t>
      </w:r>
      <w:r w:rsidR="00343D5C" w:rsidRPr="0072634B">
        <w:rPr>
          <w:lang w:val="en-AU"/>
        </w:rPr>
        <w:t xml:space="preserve"> </w:t>
      </w:r>
      <w:r w:rsidR="00020ABB" w:rsidRPr="0072634B">
        <w:rPr>
          <w:lang w:val="en-AU"/>
        </w:rPr>
        <w:t xml:space="preserve">pp. </w:t>
      </w:r>
      <w:r w:rsidRPr="0072634B">
        <w:rPr>
          <w:lang w:val="en-AU"/>
        </w:rPr>
        <w:t>643–648</w:t>
      </w:r>
      <w:r w:rsidR="00343D5C" w:rsidRPr="0072634B">
        <w:rPr>
          <w:lang w:val="en-AU"/>
        </w:rPr>
        <w:t xml:space="preserve">. ACMG, 2016 [accessed </w:t>
      </w:r>
      <w:r w:rsidR="006F6581" w:rsidRPr="0072634B">
        <w:rPr>
          <w:lang w:val="en-AU"/>
        </w:rPr>
        <w:t>8 May 2017</w:t>
      </w:r>
      <w:r w:rsidR="00343D5C" w:rsidRPr="0072634B">
        <w:rPr>
          <w:lang w:val="en-AU"/>
        </w:rPr>
        <w:t>]. Retrieved:</w:t>
      </w:r>
      <w:r w:rsidRPr="0072634B">
        <w:rPr>
          <w:lang w:val="en-AU"/>
        </w:rPr>
        <w:t xml:space="preserve"> </w:t>
      </w:r>
      <w:bookmarkEnd w:id="174"/>
      <w:r w:rsidR="0072634B">
        <w:fldChar w:fldCharType="begin"/>
      </w:r>
      <w:r w:rsidR="005A054A">
        <w:instrText>HYPERLINK "http://www.nature.com/gim/journal/v18/n6/full/gim201651a.html?WT.ec_id=GIM-201606&amp;spMailingID=51615649&amp;spUserID=NzQ3OTA1MzgyMDUS1&amp;spJobID=942201724&amp;spReportId=OTQyMjAxNzI0S0"</w:instrText>
      </w:r>
      <w:r w:rsidR="0072634B">
        <w:fldChar w:fldCharType="separate"/>
      </w:r>
      <w:r w:rsidR="005A054A">
        <w:rPr>
          <w:rStyle w:val="Hyperlink"/>
          <w:lang w:val="en-AU"/>
        </w:rPr>
        <w:t>at http://www.nature.com/gim/journal/v18/n6/full/gim201651a.html?WT.ec_id=GIM-201606&amp;spMailingID=51615649&amp;spUserID=NzQ3OTA1MzgyMDUS1&amp;spJobID=942201724&amp;spReportId=OTQyMjAxNzI0S0</w:t>
      </w:r>
      <w:r w:rsidR="0072634B">
        <w:rPr>
          <w:rStyle w:val="Hyperlink"/>
          <w:lang w:val="en-AU"/>
        </w:rPr>
        <w:fldChar w:fldCharType="end"/>
      </w:r>
    </w:p>
    <w:p w14:paraId="0FC8E632" w14:textId="77777777" w:rsidR="00596362" w:rsidRPr="003B31BB" w:rsidRDefault="00596362" w:rsidP="00F13BE2">
      <w:pPr>
        <w:pStyle w:val="ListParagraph"/>
        <w:numPr>
          <w:ilvl w:val="0"/>
          <w:numId w:val="25"/>
        </w:numPr>
        <w:autoSpaceDE w:val="0"/>
        <w:autoSpaceDN w:val="0"/>
        <w:adjustRightInd w:val="0"/>
        <w:spacing w:before="120"/>
        <w:rPr>
          <w:rFonts w:ascii="Calibri" w:hAnsi="Calibri" w:cs="Calibri"/>
          <w:color w:val="000000"/>
          <w:lang w:val="en-AU"/>
        </w:rPr>
      </w:pPr>
      <w:bookmarkStart w:id="175" w:name="_Ref488827078"/>
      <w:r w:rsidRPr="003B31BB">
        <w:rPr>
          <w:rFonts w:ascii="Calibri" w:hAnsi="Calibri" w:cs="Calibri"/>
          <w:color w:val="000000"/>
          <w:lang w:val="en-AU"/>
        </w:rPr>
        <w:t>Buchanan</w:t>
      </w:r>
      <w:r w:rsidR="00061B44" w:rsidRPr="003B31BB">
        <w:rPr>
          <w:rFonts w:ascii="Calibri" w:hAnsi="Calibri" w:cs="Calibri"/>
          <w:color w:val="000000"/>
          <w:lang w:val="en-AU"/>
        </w:rPr>
        <w:t>,</w:t>
      </w:r>
      <w:r w:rsidRPr="003B31BB">
        <w:rPr>
          <w:rFonts w:ascii="Calibri" w:hAnsi="Calibri" w:cs="Calibri"/>
          <w:color w:val="000000"/>
          <w:lang w:val="en-AU"/>
        </w:rPr>
        <w:t xml:space="preserve"> JA</w:t>
      </w:r>
      <w:r w:rsidR="00061B44" w:rsidRPr="003B31BB">
        <w:rPr>
          <w:rFonts w:ascii="Calibri" w:hAnsi="Calibri" w:cs="Calibri"/>
          <w:color w:val="000000"/>
          <w:lang w:val="en-AU"/>
        </w:rPr>
        <w:t>,</w:t>
      </w:r>
      <w:r w:rsidRPr="003B31BB">
        <w:rPr>
          <w:rFonts w:ascii="Calibri" w:hAnsi="Calibri" w:cs="Calibri"/>
          <w:color w:val="000000"/>
          <w:lang w:val="en-AU"/>
        </w:rPr>
        <w:t xml:space="preserve"> </w:t>
      </w:r>
      <w:r w:rsidR="006F6581" w:rsidRPr="003B31BB">
        <w:rPr>
          <w:rFonts w:ascii="Calibri" w:hAnsi="Calibri" w:cs="Calibri"/>
          <w:color w:val="000000"/>
          <w:lang w:val="en-AU"/>
        </w:rPr>
        <w:t xml:space="preserve">D </w:t>
      </w:r>
      <w:proofErr w:type="spellStart"/>
      <w:r w:rsidR="006F6581" w:rsidRPr="003B31BB">
        <w:rPr>
          <w:rFonts w:ascii="Calibri" w:hAnsi="Calibri" w:cs="Calibri"/>
          <w:color w:val="000000"/>
          <w:lang w:val="en-AU"/>
        </w:rPr>
        <w:t>Chitayat</w:t>
      </w:r>
      <w:proofErr w:type="spellEnd"/>
      <w:r w:rsidR="006F6581" w:rsidRPr="003B31BB">
        <w:rPr>
          <w:rFonts w:ascii="Calibri" w:hAnsi="Calibri" w:cs="Calibri"/>
          <w:color w:val="000000"/>
          <w:lang w:val="en-AU"/>
        </w:rPr>
        <w:t xml:space="preserve">, E </w:t>
      </w:r>
      <w:proofErr w:type="spellStart"/>
      <w:r w:rsidR="006F6581" w:rsidRPr="003B31BB">
        <w:rPr>
          <w:rFonts w:ascii="Calibri" w:hAnsi="Calibri" w:cs="Calibri"/>
          <w:color w:val="000000"/>
          <w:lang w:val="en-AU"/>
        </w:rPr>
        <w:t>Kolomietz</w:t>
      </w:r>
      <w:proofErr w:type="spellEnd"/>
      <w:r w:rsidR="006F6581" w:rsidRPr="003B31BB">
        <w:rPr>
          <w:rFonts w:ascii="Calibri" w:hAnsi="Calibri" w:cs="Calibri"/>
          <w:color w:val="000000"/>
          <w:lang w:val="en-AU"/>
        </w:rPr>
        <w:t xml:space="preserve">, HC Lee, SW Scherer, MD </w:t>
      </w:r>
      <w:proofErr w:type="spellStart"/>
      <w:r w:rsidR="006F6581" w:rsidRPr="003B31BB">
        <w:rPr>
          <w:rFonts w:ascii="Calibri" w:hAnsi="Calibri" w:cs="Calibri"/>
          <w:color w:val="000000"/>
          <w:lang w:val="en-AU"/>
        </w:rPr>
        <w:t>Speevak</w:t>
      </w:r>
      <w:proofErr w:type="spellEnd"/>
      <w:r w:rsidR="006F6581" w:rsidRPr="003B31BB">
        <w:rPr>
          <w:rFonts w:ascii="Calibri" w:hAnsi="Calibri" w:cs="Calibri"/>
          <w:color w:val="000000"/>
          <w:lang w:val="en-AU"/>
        </w:rPr>
        <w:t xml:space="preserve">, H </w:t>
      </w:r>
      <w:proofErr w:type="spellStart"/>
      <w:r w:rsidR="006F6581" w:rsidRPr="003B31BB">
        <w:rPr>
          <w:rFonts w:ascii="Calibri" w:hAnsi="Calibri" w:cs="Calibri"/>
          <w:color w:val="000000"/>
          <w:lang w:val="en-AU"/>
        </w:rPr>
        <w:t>Sroka</w:t>
      </w:r>
      <w:proofErr w:type="spellEnd"/>
      <w:r w:rsidR="006F6581" w:rsidRPr="003B31BB">
        <w:rPr>
          <w:rFonts w:ascii="Calibri" w:hAnsi="Calibri" w:cs="Calibri"/>
          <w:color w:val="000000"/>
          <w:lang w:val="en-AU"/>
        </w:rPr>
        <w:t xml:space="preserve"> and DJ</w:t>
      </w:r>
      <w:r w:rsidR="0072634B">
        <w:rPr>
          <w:rFonts w:ascii="Calibri" w:hAnsi="Calibri" w:cs="Calibri"/>
          <w:color w:val="000000"/>
          <w:lang w:val="en-AU"/>
        </w:rPr>
        <w:t> </w:t>
      </w:r>
      <w:r w:rsidR="006F6581" w:rsidRPr="003B31BB">
        <w:rPr>
          <w:rFonts w:ascii="Calibri" w:hAnsi="Calibri" w:cs="Calibri"/>
          <w:color w:val="000000"/>
          <w:lang w:val="en-AU"/>
        </w:rPr>
        <w:t>Stavropoulos</w:t>
      </w:r>
      <w:r w:rsidRPr="003B31BB">
        <w:rPr>
          <w:rFonts w:ascii="Calibri" w:hAnsi="Calibri" w:cs="Calibri"/>
          <w:color w:val="000000"/>
          <w:lang w:val="en-AU"/>
        </w:rPr>
        <w:t>. Prenatal genomic microarray and sequencing in Canadian medical practice: towards consensus</w:t>
      </w:r>
      <w:r w:rsidR="00061B44" w:rsidRPr="003B31BB">
        <w:rPr>
          <w:rFonts w:ascii="Calibri" w:hAnsi="Calibri" w:cs="Calibri"/>
          <w:color w:val="000000"/>
          <w:lang w:val="en-AU"/>
        </w:rPr>
        <w:t>.</w:t>
      </w:r>
      <w:r w:rsidRPr="003B31BB">
        <w:rPr>
          <w:rFonts w:ascii="Calibri" w:hAnsi="Calibri" w:cs="Calibri"/>
          <w:color w:val="000000"/>
          <w:lang w:val="en-AU"/>
        </w:rPr>
        <w:t xml:space="preserve"> </w:t>
      </w:r>
      <w:r w:rsidRPr="003B31BB">
        <w:rPr>
          <w:rFonts w:ascii="Calibri" w:hAnsi="Calibri" w:cs="Calibri"/>
          <w:i/>
          <w:color w:val="000000"/>
          <w:lang w:val="en-AU"/>
        </w:rPr>
        <w:t>J</w:t>
      </w:r>
      <w:r w:rsidR="00061B44" w:rsidRPr="003B31BB">
        <w:rPr>
          <w:rFonts w:ascii="Calibri" w:hAnsi="Calibri" w:cs="Calibri"/>
          <w:i/>
          <w:color w:val="000000"/>
          <w:lang w:val="en-AU"/>
        </w:rPr>
        <w:t>ournal of</w:t>
      </w:r>
      <w:r w:rsidRPr="003B31BB">
        <w:rPr>
          <w:rFonts w:ascii="Calibri" w:hAnsi="Calibri" w:cs="Calibri"/>
          <w:i/>
          <w:color w:val="000000"/>
          <w:lang w:val="en-AU"/>
        </w:rPr>
        <w:t xml:space="preserve"> Med</w:t>
      </w:r>
      <w:r w:rsidR="00061B44" w:rsidRPr="003B31BB">
        <w:rPr>
          <w:rFonts w:ascii="Calibri" w:hAnsi="Calibri" w:cs="Calibri"/>
          <w:i/>
          <w:color w:val="000000"/>
          <w:lang w:val="en-AU"/>
        </w:rPr>
        <w:t>ical</w:t>
      </w:r>
      <w:r w:rsidRPr="003B31BB">
        <w:rPr>
          <w:rFonts w:ascii="Calibri" w:hAnsi="Calibri" w:cs="Calibri"/>
          <w:i/>
          <w:color w:val="000000"/>
          <w:lang w:val="en-AU"/>
        </w:rPr>
        <w:t xml:space="preserve"> Genet</w:t>
      </w:r>
      <w:r w:rsidR="00061B44" w:rsidRPr="003B31BB">
        <w:rPr>
          <w:rFonts w:ascii="Calibri" w:hAnsi="Calibri" w:cs="Calibri"/>
          <w:i/>
          <w:color w:val="000000"/>
          <w:lang w:val="en-AU"/>
        </w:rPr>
        <w:t>ics.</w:t>
      </w:r>
      <w:r w:rsidRPr="003B31BB">
        <w:rPr>
          <w:rFonts w:ascii="Calibri" w:hAnsi="Calibri" w:cs="Calibri"/>
          <w:color w:val="000000"/>
          <w:lang w:val="en-AU"/>
        </w:rPr>
        <w:t xml:space="preserve"> 2015</w:t>
      </w:r>
      <w:r w:rsidR="00061B44" w:rsidRPr="003B31BB">
        <w:rPr>
          <w:rFonts w:ascii="Calibri" w:hAnsi="Calibri" w:cs="Calibri"/>
          <w:color w:val="000000"/>
          <w:lang w:val="en-AU"/>
        </w:rPr>
        <w:t>,</w:t>
      </w:r>
      <w:r w:rsidRPr="003B31BB">
        <w:rPr>
          <w:rFonts w:ascii="Calibri" w:hAnsi="Calibri" w:cs="Calibri"/>
          <w:color w:val="000000"/>
          <w:lang w:val="en-AU"/>
        </w:rPr>
        <w:t xml:space="preserve"> </w:t>
      </w:r>
      <w:r w:rsidR="00061B44" w:rsidRPr="003B31BB">
        <w:rPr>
          <w:rFonts w:ascii="Calibri" w:hAnsi="Calibri" w:cs="Calibri"/>
          <w:color w:val="000000"/>
          <w:lang w:val="en-AU"/>
        </w:rPr>
        <w:t>vol.</w:t>
      </w:r>
      <w:r w:rsidRPr="003B31BB">
        <w:rPr>
          <w:rFonts w:ascii="Calibri" w:hAnsi="Calibri" w:cs="Calibri"/>
          <w:color w:val="000000"/>
          <w:lang w:val="en-AU"/>
        </w:rPr>
        <w:t xml:space="preserve"> 52</w:t>
      </w:r>
      <w:r w:rsidR="00061B44" w:rsidRPr="003B31BB">
        <w:rPr>
          <w:rFonts w:ascii="Calibri" w:hAnsi="Calibri" w:cs="Calibri"/>
          <w:color w:val="000000"/>
          <w:lang w:val="en-AU"/>
        </w:rPr>
        <w:t xml:space="preserve">, no. </w:t>
      </w:r>
      <w:r w:rsidR="006F6581" w:rsidRPr="003B31BB">
        <w:rPr>
          <w:lang w:val="en-AU"/>
        </w:rPr>
        <w:t>9</w:t>
      </w:r>
      <w:r w:rsidR="00061B44" w:rsidRPr="003B31BB">
        <w:rPr>
          <w:rFonts w:ascii="Calibri" w:hAnsi="Calibri" w:cs="Calibri"/>
          <w:color w:val="000000"/>
          <w:lang w:val="en-AU"/>
        </w:rPr>
        <w:t>, pp.</w:t>
      </w:r>
      <w:r w:rsidRPr="003B31BB">
        <w:rPr>
          <w:rFonts w:ascii="Calibri" w:hAnsi="Calibri" w:cs="Calibri"/>
          <w:color w:val="000000"/>
          <w:lang w:val="en-AU"/>
        </w:rPr>
        <w:t xml:space="preserve"> 585</w:t>
      </w:r>
      <w:r w:rsidR="0072634B">
        <w:rPr>
          <w:rFonts w:ascii="Calibri" w:hAnsi="Calibri" w:cs="Calibri"/>
          <w:color w:val="000000"/>
          <w:lang w:val="en-AU"/>
        </w:rPr>
        <w:t>-</w:t>
      </w:r>
      <w:r w:rsidRPr="003B31BB">
        <w:rPr>
          <w:rFonts w:ascii="Calibri" w:hAnsi="Calibri" w:cs="Calibri"/>
          <w:color w:val="000000"/>
          <w:lang w:val="en-AU"/>
        </w:rPr>
        <w:t>586</w:t>
      </w:r>
      <w:bookmarkEnd w:id="175"/>
      <w:r w:rsidR="00061B44" w:rsidRPr="003B31BB">
        <w:rPr>
          <w:rFonts w:ascii="Calibri" w:hAnsi="Calibri" w:cs="Calibri"/>
          <w:color w:val="000000"/>
          <w:lang w:val="en-AU"/>
        </w:rPr>
        <w:t>.</w:t>
      </w:r>
    </w:p>
    <w:p w14:paraId="2933C230" w14:textId="77777777" w:rsidR="00596362" w:rsidRPr="003B31BB" w:rsidRDefault="00596362" w:rsidP="00F13BE2">
      <w:pPr>
        <w:pStyle w:val="ListParagraph"/>
        <w:numPr>
          <w:ilvl w:val="0"/>
          <w:numId w:val="25"/>
        </w:numPr>
        <w:autoSpaceDE w:val="0"/>
        <w:autoSpaceDN w:val="0"/>
        <w:adjustRightInd w:val="0"/>
        <w:spacing w:before="120"/>
        <w:rPr>
          <w:rFonts w:ascii="Calibri" w:hAnsi="Calibri" w:cs="Calibri"/>
          <w:color w:val="000000"/>
          <w:lang w:val="en-AU"/>
        </w:rPr>
      </w:pPr>
      <w:bookmarkStart w:id="176" w:name="_Ref488827122"/>
      <w:r w:rsidRPr="003B31BB">
        <w:rPr>
          <w:rFonts w:ascii="Calibri" w:hAnsi="Calibri" w:cs="Calibri"/>
          <w:color w:val="000000"/>
          <w:lang w:val="en-AU"/>
        </w:rPr>
        <w:t>De Wit</w:t>
      </w:r>
      <w:r w:rsidR="00B00157" w:rsidRPr="003B31BB">
        <w:rPr>
          <w:rFonts w:ascii="Calibri" w:hAnsi="Calibri" w:cs="Calibri"/>
          <w:color w:val="000000"/>
          <w:lang w:val="en-AU"/>
        </w:rPr>
        <w:t>,</w:t>
      </w:r>
      <w:r w:rsidRPr="003B31BB">
        <w:rPr>
          <w:rFonts w:ascii="Calibri" w:hAnsi="Calibri" w:cs="Calibri"/>
          <w:color w:val="000000"/>
          <w:lang w:val="en-AU"/>
        </w:rPr>
        <w:t xml:space="preserve"> MC</w:t>
      </w:r>
      <w:r w:rsidR="00B00157" w:rsidRPr="003B31BB">
        <w:rPr>
          <w:rFonts w:ascii="Calibri" w:hAnsi="Calibri" w:cs="Calibri"/>
          <w:color w:val="000000"/>
          <w:lang w:val="en-AU"/>
        </w:rPr>
        <w:t>,</w:t>
      </w:r>
      <w:r w:rsidRPr="003B31BB">
        <w:rPr>
          <w:rFonts w:ascii="Calibri" w:hAnsi="Calibri" w:cs="Calibri"/>
          <w:color w:val="000000"/>
          <w:lang w:val="en-AU"/>
        </w:rPr>
        <w:t xml:space="preserve"> </w:t>
      </w:r>
      <w:r w:rsidR="00FF73B3" w:rsidRPr="003B31BB">
        <w:rPr>
          <w:rFonts w:ascii="Calibri" w:hAnsi="Calibri" w:cs="Calibri"/>
          <w:color w:val="000000"/>
          <w:lang w:val="en-AU"/>
        </w:rPr>
        <w:t xml:space="preserve">MI </w:t>
      </w:r>
      <w:proofErr w:type="spellStart"/>
      <w:r w:rsidR="00FF73B3" w:rsidRPr="003B31BB">
        <w:rPr>
          <w:rFonts w:ascii="Calibri" w:hAnsi="Calibri" w:cs="Calibri"/>
          <w:color w:val="000000"/>
          <w:lang w:val="en-AU"/>
        </w:rPr>
        <w:t>Srebniaks</w:t>
      </w:r>
      <w:proofErr w:type="spellEnd"/>
      <w:r w:rsidR="00FF73B3" w:rsidRPr="003B31BB">
        <w:rPr>
          <w:rFonts w:ascii="Calibri" w:hAnsi="Calibri" w:cs="Calibri"/>
          <w:color w:val="000000"/>
          <w:lang w:val="en-AU"/>
        </w:rPr>
        <w:t xml:space="preserve">, LCP </w:t>
      </w:r>
      <w:proofErr w:type="spellStart"/>
      <w:r w:rsidR="00FF73B3" w:rsidRPr="003B31BB">
        <w:rPr>
          <w:rFonts w:ascii="Calibri" w:hAnsi="Calibri" w:cs="Calibri"/>
          <w:color w:val="000000"/>
          <w:lang w:val="en-AU"/>
        </w:rPr>
        <w:t>Govaerts</w:t>
      </w:r>
      <w:proofErr w:type="spellEnd"/>
      <w:r w:rsidR="00FF73B3" w:rsidRPr="003B31BB">
        <w:rPr>
          <w:rFonts w:ascii="Calibri" w:hAnsi="Calibri" w:cs="Calibri"/>
          <w:color w:val="000000"/>
          <w:lang w:val="en-AU"/>
        </w:rPr>
        <w:t xml:space="preserve">, D Van </w:t>
      </w:r>
      <w:proofErr w:type="spellStart"/>
      <w:r w:rsidR="00FF73B3" w:rsidRPr="003B31BB">
        <w:rPr>
          <w:rFonts w:ascii="Calibri" w:hAnsi="Calibri" w:cs="Calibri"/>
          <w:color w:val="000000"/>
          <w:lang w:val="en-AU"/>
        </w:rPr>
        <w:t>Opstal</w:t>
      </w:r>
      <w:proofErr w:type="spellEnd"/>
      <w:r w:rsidR="00FF73B3" w:rsidRPr="003B31BB">
        <w:rPr>
          <w:rFonts w:ascii="Calibri" w:hAnsi="Calibri" w:cs="Calibri"/>
          <w:color w:val="000000"/>
          <w:lang w:val="en-AU"/>
        </w:rPr>
        <w:t xml:space="preserve">, RJH </w:t>
      </w:r>
      <w:proofErr w:type="spellStart"/>
      <w:r w:rsidR="00FF73B3" w:rsidRPr="003B31BB">
        <w:rPr>
          <w:rFonts w:ascii="Calibri" w:hAnsi="Calibri" w:cs="Calibri"/>
          <w:color w:val="000000"/>
          <w:lang w:val="en-AU"/>
        </w:rPr>
        <w:t>Galiaard</w:t>
      </w:r>
      <w:proofErr w:type="spellEnd"/>
      <w:r w:rsidR="00FF73B3" w:rsidRPr="003B31BB">
        <w:rPr>
          <w:rFonts w:ascii="Calibri" w:hAnsi="Calibri" w:cs="Calibri"/>
          <w:color w:val="000000"/>
          <w:lang w:val="en-AU"/>
        </w:rPr>
        <w:t xml:space="preserve"> and ATJI GO.</w:t>
      </w:r>
      <w:r w:rsidRPr="003B31BB">
        <w:rPr>
          <w:rFonts w:ascii="Calibri" w:hAnsi="Calibri" w:cs="Calibri"/>
          <w:color w:val="000000"/>
          <w:lang w:val="en-AU"/>
        </w:rPr>
        <w:t xml:space="preserve"> </w:t>
      </w:r>
      <w:r w:rsidR="006C5D1D" w:rsidRPr="003B31BB">
        <w:rPr>
          <w:rFonts w:ascii="Calibri" w:hAnsi="Calibri" w:cs="Calibri"/>
          <w:color w:val="000000"/>
          <w:lang w:val="en-AU"/>
        </w:rPr>
        <w:t xml:space="preserve">Additional value of prenatal genomic array testing in </w:t>
      </w:r>
      <w:r w:rsidR="00685F61" w:rsidRPr="003B31BB">
        <w:rPr>
          <w:rFonts w:ascii="Calibri" w:hAnsi="Calibri" w:cs="Calibri"/>
          <w:color w:val="000000"/>
          <w:lang w:val="en-AU"/>
        </w:rPr>
        <w:t xml:space="preserve">foetuses </w:t>
      </w:r>
      <w:r w:rsidR="006C5D1D" w:rsidRPr="003B31BB">
        <w:rPr>
          <w:rFonts w:ascii="Calibri" w:hAnsi="Calibri" w:cs="Calibri"/>
          <w:color w:val="000000"/>
          <w:lang w:val="en-AU"/>
        </w:rPr>
        <w:t>with isolated structural ultrasound abnormalities</w:t>
      </w:r>
      <w:r w:rsidR="00685F61" w:rsidRPr="003B31BB">
        <w:rPr>
          <w:rFonts w:ascii="Calibri" w:hAnsi="Calibri" w:cs="Calibri"/>
          <w:color w:val="000000"/>
          <w:lang w:val="en-AU"/>
        </w:rPr>
        <w:t xml:space="preserve"> </w:t>
      </w:r>
      <w:r w:rsidR="006C5D1D" w:rsidRPr="003B31BB">
        <w:rPr>
          <w:rFonts w:ascii="Calibri" w:hAnsi="Calibri" w:cs="Calibri"/>
          <w:color w:val="000000"/>
          <w:lang w:val="en-AU"/>
        </w:rPr>
        <w:t>and a normal karyotype: a systematic review of the literature</w:t>
      </w:r>
      <w:r w:rsidRPr="003B31BB">
        <w:rPr>
          <w:rFonts w:ascii="Calibri" w:hAnsi="Calibri" w:cs="Calibri"/>
          <w:color w:val="000000"/>
          <w:lang w:val="en-AU"/>
        </w:rPr>
        <w:t xml:space="preserve">. </w:t>
      </w:r>
      <w:r w:rsidRPr="003B31BB">
        <w:rPr>
          <w:rFonts w:ascii="Calibri" w:hAnsi="Calibri" w:cs="Calibri"/>
          <w:i/>
          <w:color w:val="000000"/>
          <w:lang w:val="en-AU"/>
        </w:rPr>
        <w:t xml:space="preserve">Ultrasound </w:t>
      </w:r>
      <w:r w:rsidR="00B00157" w:rsidRPr="003B31BB">
        <w:rPr>
          <w:rFonts w:ascii="Calibri" w:hAnsi="Calibri" w:cs="Calibri"/>
          <w:i/>
          <w:color w:val="000000"/>
          <w:lang w:val="en-AU"/>
        </w:rPr>
        <w:t xml:space="preserve">in </w:t>
      </w:r>
      <w:r w:rsidRPr="003B31BB">
        <w:rPr>
          <w:rFonts w:ascii="Calibri" w:hAnsi="Calibri" w:cs="Calibri"/>
          <w:i/>
          <w:color w:val="000000"/>
          <w:lang w:val="en-AU"/>
        </w:rPr>
        <w:t>Obstet</w:t>
      </w:r>
      <w:r w:rsidR="00B00157" w:rsidRPr="003B31BB">
        <w:rPr>
          <w:rFonts w:ascii="Calibri" w:hAnsi="Calibri" w:cs="Calibri"/>
          <w:i/>
          <w:color w:val="000000"/>
          <w:lang w:val="en-AU"/>
        </w:rPr>
        <w:t>rics &amp;</w:t>
      </w:r>
      <w:r w:rsidRPr="003B31BB">
        <w:rPr>
          <w:rFonts w:ascii="Calibri" w:hAnsi="Calibri" w:cs="Calibri"/>
          <w:i/>
          <w:color w:val="000000"/>
          <w:lang w:val="en-AU"/>
        </w:rPr>
        <w:t xml:space="preserve"> </w:t>
      </w:r>
      <w:proofErr w:type="spellStart"/>
      <w:r w:rsidRPr="003B31BB">
        <w:rPr>
          <w:rFonts w:ascii="Calibri" w:hAnsi="Calibri" w:cs="Calibri"/>
          <w:i/>
          <w:color w:val="000000"/>
          <w:lang w:val="en-AU"/>
        </w:rPr>
        <w:t>Gynecol</w:t>
      </w:r>
      <w:r w:rsidR="00B00157" w:rsidRPr="003B31BB">
        <w:rPr>
          <w:rFonts w:ascii="Calibri" w:hAnsi="Calibri" w:cs="Calibri"/>
          <w:i/>
          <w:color w:val="000000"/>
          <w:lang w:val="en-AU"/>
        </w:rPr>
        <w:t>ogy</w:t>
      </w:r>
      <w:proofErr w:type="spellEnd"/>
      <w:r w:rsidR="00B00157" w:rsidRPr="003B31BB">
        <w:rPr>
          <w:rFonts w:ascii="Calibri" w:hAnsi="Calibri" w:cs="Calibri"/>
          <w:i/>
          <w:color w:val="000000"/>
          <w:lang w:val="en-AU"/>
        </w:rPr>
        <w:t>.</w:t>
      </w:r>
      <w:r w:rsidRPr="003B31BB">
        <w:rPr>
          <w:rFonts w:ascii="Calibri" w:hAnsi="Calibri" w:cs="Calibri"/>
          <w:color w:val="000000"/>
          <w:lang w:val="en-AU"/>
        </w:rPr>
        <w:t xml:space="preserve"> 2014</w:t>
      </w:r>
      <w:r w:rsidR="00B00157" w:rsidRPr="003B31BB">
        <w:rPr>
          <w:rFonts w:ascii="Calibri" w:hAnsi="Calibri" w:cs="Calibri"/>
          <w:color w:val="000000"/>
          <w:lang w:val="en-AU"/>
        </w:rPr>
        <w:t>, vol.</w:t>
      </w:r>
      <w:r w:rsidRPr="003B31BB">
        <w:rPr>
          <w:rFonts w:ascii="Calibri" w:hAnsi="Calibri" w:cs="Calibri"/>
          <w:color w:val="000000"/>
          <w:lang w:val="en-AU"/>
        </w:rPr>
        <w:t xml:space="preserve"> 43</w:t>
      </w:r>
      <w:r w:rsidR="00B00157" w:rsidRPr="003B31BB">
        <w:rPr>
          <w:rFonts w:ascii="Calibri" w:hAnsi="Calibri" w:cs="Calibri"/>
          <w:color w:val="000000"/>
          <w:lang w:val="en-AU"/>
        </w:rPr>
        <w:t xml:space="preserve">, pp. </w:t>
      </w:r>
      <w:r w:rsidRPr="003B31BB">
        <w:rPr>
          <w:rFonts w:ascii="Calibri" w:hAnsi="Calibri" w:cs="Calibri"/>
          <w:color w:val="000000"/>
          <w:lang w:val="en-AU"/>
        </w:rPr>
        <w:t>404–412.</w:t>
      </w:r>
      <w:bookmarkEnd w:id="176"/>
    </w:p>
    <w:p w14:paraId="41AD83DA" w14:textId="77777777" w:rsidR="00596362" w:rsidRPr="003B31BB" w:rsidRDefault="00596362" w:rsidP="00F13BE2">
      <w:pPr>
        <w:pStyle w:val="ListParagraph"/>
        <w:numPr>
          <w:ilvl w:val="0"/>
          <w:numId w:val="25"/>
        </w:numPr>
        <w:spacing w:before="120"/>
        <w:ind w:left="426" w:hanging="426"/>
        <w:rPr>
          <w:lang w:val="en-AU"/>
        </w:rPr>
      </w:pPr>
      <w:bookmarkStart w:id="177" w:name="_Ref488827148"/>
      <w:r w:rsidRPr="003B31BB">
        <w:rPr>
          <w:lang w:val="en-AU"/>
        </w:rPr>
        <w:t>Lo</w:t>
      </w:r>
      <w:r w:rsidR="005E1126" w:rsidRPr="003B31BB">
        <w:rPr>
          <w:lang w:val="en-AU"/>
        </w:rPr>
        <w:t>,</w:t>
      </w:r>
      <w:r w:rsidRPr="003B31BB">
        <w:rPr>
          <w:lang w:val="en-AU"/>
        </w:rPr>
        <w:t xml:space="preserve"> JO</w:t>
      </w:r>
      <w:r w:rsidR="005E1126" w:rsidRPr="003B31BB">
        <w:rPr>
          <w:lang w:val="en-AU"/>
        </w:rPr>
        <w:t>,</w:t>
      </w:r>
      <w:r w:rsidRPr="003B31BB">
        <w:rPr>
          <w:lang w:val="en-AU"/>
        </w:rPr>
        <w:t xml:space="preserve"> </w:t>
      </w:r>
      <w:r w:rsidR="004A7F33" w:rsidRPr="003B31BB">
        <w:rPr>
          <w:lang w:val="en-AU"/>
        </w:rPr>
        <w:t xml:space="preserve">CD Feist, ME Norton and AB </w:t>
      </w:r>
      <w:proofErr w:type="spellStart"/>
      <w:r w:rsidR="004A7F33" w:rsidRPr="003B31BB">
        <w:rPr>
          <w:lang w:val="en-AU"/>
        </w:rPr>
        <w:t>Caughey</w:t>
      </w:r>
      <w:proofErr w:type="spellEnd"/>
      <w:r w:rsidRPr="003B31BB">
        <w:rPr>
          <w:lang w:val="en-AU"/>
        </w:rPr>
        <w:t xml:space="preserve">. </w:t>
      </w:r>
      <w:proofErr w:type="spellStart"/>
      <w:r w:rsidRPr="003B31BB">
        <w:rPr>
          <w:lang w:val="en-AU"/>
        </w:rPr>
        <w:t>Noninvasive</w:t>
      </w:r>
      <w:proofErr w:type="spellEnd"/>
      <w:r w:rsidRPr="003B31BB">
        <w:rPr>
          <w:lang w:val="en-AU"/>
        </w:rPr>
        <w:t xml:space="preserve"> Prenatal Testing. Obstet</w:t>
      </w:r>
      <w:r w:rsidR="001C3A7C" w:rsidRPr="003B31BB">
        <w:rPr>
          <w:lang w:val="en-AU"/>
        </w:rPr>
        <w:t>rical &amp;</w:t>
      </w:r>
      <w:r w:rsidRPr="003B31BB">
        <w:rPr>
          <w:lang w:val="en-AU"/>
        </w:rPr>
        <w:t xml:space="preserve"> </w:t>
      </w:r>
      <w:proofErr w:type="spellStart"/>
      <w:r w:rsidRPr="003B31BB">
        <w:rPr>
          <w:lang w:val="en-AU"/>
        </w:rPr>
        <w:t>Gynecol</w:t>
      </w:r>
      <w:r w:rsidR="001C3A7C" w:rsidRPr="003B31BB">
        <w:rPr>
          <w:lang w:val="en-AU"/>
        </w:rPr>
        <w:t>ogical</w:t>
      </w:r>
      <w:proofErr w:type="spellEnd"/>
      <w:r w:rsidRPr="003B31BB">
        <w:rPr>
          <w:lang w:val="en-AU"/>
        </w:rPr>
        <w:t xml:space="preserve"> Surv</w:t>
      </w:r>
      <w:r w:rsidR="001C3A7C" w:rsidRPr="003B31BB">
        <w:rPr>
          <w:lang w:val="en-AU"/>
        </w:rPr>
        <w:t>ey.</w:t>
      </w:r>
      <w:r w:rsidRPr="003B31BB">
        <w:rPr>
          <w:lang w:val="en-AU"/>
        </w:rPr>
        <w:t xml:space="preserve"> 2014</w:t>
      </w:r>
      <w:r w:rsidR="001C3A7C" w:rsidRPr="003B31BB">
        <w:rPr>
          <w:lang w:val="en-AU"/>
        </w:rPr>
        <w:t>,</w:t>
      </w:r>
      <w:r w:rsidRPr="003B31BB">
        <w:rPr>
          <w:lang w:val="en-AU"/>
        </w:rPr>
        <w:t xml:space="preserve"> </w:t>
      </w:r>
      <w:r w:rsidR="001C3A7C" w:rsidRPr="003B31BB">
        <w:rPr>
          <w:lang w:val="en-AU"/>
        </w:rPr>
        <w:t>vol.</w:t>
      </w:r>
      <w:r w:rsidRPr="003B31BB">
        <w:rPr>
          <w:lang w:val="en-AU"/>
        </w:rPr>
        <w:t xml:space="preserve"> 69</w:t>
      </w:r>
      <w:r w:rsidR="001C3A7C" w:rsidRPr="003B31BB">
        <w:rPr>
          <w:lang w:val="en-AU"/>
        </w:rPr>
        <w:t xml:space="preserve">, no. </w:t>
      </w:r>
      <w:r w:rsidRPr="003B31BB">
        <w:rPr>
          <w:lang w:val="en-AU"/>
        </w:rPr>
        <w:t>2</w:t>
      </w:r>
      <w:r w:rsidR="001C3A7C" w:rsidRPr="003B31BB">
        <w:rPr>
          <w:lang w:val="en-AU"/>
        </w:rPr>
        <w:t>, pp.</w:t>
      </w:r>
      <w:r w:rsidR="0072634B">
        <w:rPr>
          <w:lang w:val="en-AU"/>
        </w:rPr>
        <w:t xml:space="preserve"> 89-</w:t>
      </w:r>
      <w:r w:rsidRPr="003B31BB">
        <w:rPr>
          <w:lang w:val="en-AU"/>
        </w:rPr>
        <w:t>99</w:t>
      </w:r>
      <w:bookmarkEnd w:id="177"/>
      <w:r w:rsidR="001C3A7C" w:rsidRPr="003B31BB">
        <w:rPr>
          <w:lang w:val="en-AU"/>
        </w:rPr>
        <w:t>.</w:t>
      </w:r>
    </w:p>
    <w:p w14:paraId="38A828EC" w14:textId="77777777" w:rsidR="00596362" w:rsidRPr="003B31BB" w:rsidRDefault="00596362" w:rsidP="00F13BE2">
      <w:pPr>
        <w:pStyle w:val="ListParagraph"/>
        <w:numPr>
          <w:ilvl w:val="0"/>
          <w:numId w:val="25"/>
        </w:numPr>
        <w:spacing w:before="120"/>
        <w:ind w:left="426" w:hanging="426"/>
        <w:rPr>
          <w:lang w:val="en-AU"/>
        </w:rPr>
      </w:pPr>
      <w:bookmarkStart w:id="178" w:name="_Ref488827173"/>
      <w:proofErr w:type="spellStart"/>
      <w:r w:rsidRPr="003B31BB">
        <w:rPr>
          <w:lang w:val="en-AU"/>
        </w:rPr>
        <w:t>Srebniak</w:t>
      </w:r>
      <w:proofErr w:type="spellEnd"/>
      <w:r w:rsidRPr="003B31BB">
        <w:rPr>
          <w:lang w:val="en-AU"/>
        </w:rPr>
        <w:t xml:space="preserve">, MI, </w:t>
      </w:r>
      <w:r w:rsidR="00171891" w:rsidRPr="003B31BB">
        <w:rPr>
          <w:lang w:val="en-AU"/>
        </w:rPr>
        <w:t xml:space="preserve">D </w:t>
      </w:r>
      <w:r w:rsidRPr="003B31BB">
        <w:rPr>
          <w:lang w:val="en-AU"/>
        </w:rPr>
        <w:t xml:space="preserve">Van </w:t>
      </w:r>
      <w:proofErr w:type="spellStart"/>
      <w:r w:rsidRPr="003B31BB">
        <w:rPr>
          <w:lang w:val="en-AU"/>
        </w:rPr>
        <w:t>Opstal</w:t>
      </w:r>
      <w:proofErr w:type="spellEnd"/>
      <w:r w:rsidRPr="003B31BB">
        <w:rPr>
          <w:lang w:val="en-AU"/>
        </w:rPr>
        <w:t xml:space="preserve">, </w:t>
      </w:r>
      <w:r w:rsidR="00171891" w:rsidRPr="003B31BB">
        <w:rPr>
          <w:lang w:val="en-AU"/>
        </w:rPr>
        <w:t xml:space="preserve">M </w:t>
      </w:r>
      <w:r w:rsidRPr="003B31BB">
        <w:rPr>
          <w:lang w:val="en-AU"/>
        </w:rPr>
        <w:t xml:space="preserve">Joosten, </w:t>
      </w:r>
      <w:r w:rsidR="00171891" w:rsidRPr="003B31BB">
        <w:rPr>
          <w:lang w:val="en-AU"/>
        </w:rPr>
        <w:t xml:space="preserve">KEM </w:t>
      </w:r>
      <w:proofErr w:type="spellStart"/>
      <w:r w:rsidRPr="003B31BB">
        <w:rPr>
          <w:lang w:val="en-AU"/>
        </w:rPr>
        <w:t>Diderich</w:t>
      </w:r>
      <w:proofErr w:type="spellEnd"/>
      <w:r w:rsidRPr="003B31BB">
        <w:rPr>
          <w:lang w:val="en-AU"/>
        </w:rPr>
        <w:t xml:space="preserve">, </w:t>
      </w:r>
      <w:r w:rsidR="00171891" w:rsidRPr="003B31BB">
        <w:rPr>
          <w:lang w:val="en-AU"/>
        </w:rPr>
        <w:t xml:space="preserve">FAT </w:t>
      </w:r>
      <w:r w:rsidRPr="003B31BB">
        <w:rPr>
          <w:lang w:val="en-AU"/>
        </w:rPr>
        <w:t xml:space="preserve">de Vries, </w:t>
      </w:r>
      <w:r w:rsidR="00171891" w:rsidRPr="003B31BB">
        <w:rPr>
          <w:lang w:val="en-AU"/>
        </w:rPr>
        <w:t xml:space="preserve">S </w:t>
      </w:r>
      <w:proofErr w:type="spellStart"/>
      <w:r w:rsidRPr="003B31BB">
        <w:rPr>
          <w:lang w:val="en-AU"/>
        </w:rPr>
        <w:t>Riedijk</w:t>
      </w:r>
      <w:proofErr w:type="spellEnd"/>
      <w:r w:rsidRPr="003B31BB">
        <w:rPr>
          <w:lang w:val="en-AU"/>
        </w:rPr>
        <w:t xml:space="preserve">, </w:t>
      </w:r>
      <w:r w:rsidR="00171891" w:rsidRPr="003B31BB">
        <w:rPr>
          <w:lang w:val="en-AU"/>
        </w:rPr>
        <w:t xml:space="preserve">MFCM </w:t>
      </w:r>
      <w:proofErr w:type="spellStart"/>
      <w:r w:rsidRPr="003B31BB">
        <w:rPr>
          <w:lang w:val="en-AU"/>
        </w:rPr>
        <w:t>Knapen</w:t>
      </w:r>
      <w:proofErr w:type="spellEnd"/>
      <w:r w:rsidRPr="003B31BB">
        <w:rPr>
          <w:lang w:val="en-AU"/>
        </w:rPr>
        <w:t xml:space="preserve">, </w:t>
      </w:r>
      <w:r w:rsidR="009B2E0B" w:rsidRPr="003B31BB">
        <w:rPr>
          <w:lang w:val="en-AU"/>
        </w:rPr>
        <w:t xml:space="preserve">ATJI Go, LCP </w:t>
      </w:r>
      <w:proofErr w:type="spellStart"/>
      <w:r w:rsidR="009B2E0B" w:rsidRPr="003B31BB">
        <w:rPr>
          <w:lang w:val="en-AU"/>
        </w:rPr>
        <w:t>Govaerts</w:t>
      </w:r>
      <w:proofErr w:type="spellEnd"/>
      <w:r w:rsidR="009B2E0B" w:rsidRPr="003B31BB">
        <w:rPr>
          <w:lang w:val="en-AU"/>
        </w:rPr>
        <w:t xml:space="preserve"> and RJH </w:t>
      </w:r>
      <w:proofErr w:type="spellStart"/>
      <w:r w:rsidR="009B2E0B" w:rsidRPr="003B31BB">
        <w:rPr>
          <w:lang w:val="en-AU"/>
        </w:rPr>
        <w:t>Galjaard</w:t>
      </w:r>
      <w:proofErr w:type="spellEnd"/>
      <w:r w:rsidRPr="003B31BB">
        <w:rPr>
          <w:lang w:val="en-AU"/>
        </w:rPr>
        <w:t xml:space="preserve">. Whole-genome array as a first-line cytogenetic test in prenatal diagnosis. </w:t>
      </w:r>
      <w:r w:rsidR="00171891" w:rsidRPr="00403ACD">
        <w:rPr>
          <w:i/>
          <w:lang w:val="en-AU"/>
        </w:rPr>
        <w:t xml:space="preserve">Ultrasound in Obstetrics &amp; </w:t>
      </w:r>
      <w:proofErr w:type="spellStart"/>
      <w:r w:rsidR="00171891" w:rsidRPr="00403ACD">
        <w:rPr>
          <w:i/>
          <w:lang w:val="en-AU"/>
        </w:rPr>
        <w:t>Gynecology</w:t>
      </w:r>
      <w:proofErr w:type="spellEnd"/>
      <w:r w:rsidR="00171891" w:rsidRPr="003B31BB">
        <w:rPr>
          <w:lang w:val="en-AU"/>
        </w:rPr>
        <w:t xml:space="preserve"> [online]</w:t>
      </w:r>
      <w:r w:rsidRPr="003B31BB">
        <w:rPr>
          <w:lang w:val="en-AU"/>
        </w:rPr>
        <w:t>. 2015</w:t>
      </w:r>
      <w:r w:rsidR="00171891" w:rsidRPr="003B31BB">
        <w:rPr>
          <w:lang w:val="en-AU"/>
        </w:rPr>
        <w:t>,</w:t>
      </w:r>
      <w:r w:rsidRPr="003B31BB">
        <w:rPr>
          <w:lang w:val="en-AU"/>
        </w:rPr>
        <w:t xml:space="preserve"> </w:t>
      </w:r>
      <w:r w:rsidR="00171891" w:rsidRPr="003B31BB">
        <w:rPr>
          <w:lang w:val="en-AU"/>
        </w:rPr>
        <w:t>vol.</w:t>
      </w:r>
      <w:r w:rsidRPr="003B31BB">
        <w:rPr>
          <w:lang w:val="en-AU"/>
        </w:rPr>
        <w:t xml:space="preserve"> 45</w:t>
      </w:r>
      <w:r w:rsidR="00171891" w:rsidRPr="003B31BB">
        <w:rPr>
          <w:lang w:val="en-AU"/>
        </w:rPr>
        <w:t>, no.</w:t>
      </w:r>
      <w:r w:rsidR="009B2E0B" w:rsidRPr="003B31BB">
        <w:rPr>
          <w:lang w:val="en-AU"/>
        </w:rPr>
        <w:t xml:space="preserve"> 4</w:t>
      </w:r>
      <w:r w:rsidR="00171891" w:rsidRPr="003B31BB">
        <w:rPr>
          <w:lang w:val="en-AU"/>
        </w:rPr>
        <w:t>, pp.</w:t>
      </w:r>
      <w:r w:rsidR="0072634B">
        <w:rPr>
          <w:lang w:val="en-AU"/>
        </w:rPr>
        <w:t xml:space="preserve"> 363-</w:t>
      </w:r>
      <w:r w:rsidRPr="003B31BB">
        <w:rPr>
          <w:lang w:val="en-AU"/>
        </w:rPr>
        <w:t>372</w:t>
      </w:r>
      <w:r w:rsidR="00171891" w:rsidRPr="003B31BB">
        <w:rPr>
          <w:lang w:val="en-AU"/>
        </w:rPr>
        <w:t xml:space="preserve"> [accessed </w:t>
      </w:r>
      <w:r w:rsidR="009B2E0B" w:rsidRPr="003B31BB">
        <w:rPr>
          <w:lang w:val="en-AU"/>
        </w:rPr>
        <w:t>8 May 2017</w:t>
      </w:r>
      <w:r w:rsidR="00171891" w:rsidRPr="003B31BB">
        <w:rPr>
          <w:lang w:val="en-AU"/>
        </w:rPr>
        <w:t>]. Retrieved:</w:t>
      </w:r>
      <w:r w:rsidRPr="003B31BB">
        <w:rPr>
          <w:lang w:val="en-AU"/>
        </w:rPr>
        <w:t xml:space="preserve"> doi:10.1002/uog.14745</w:t>
      </w:r>
      <w:bookmarkEnd w:id="178"/>
    </w:p>
    <w:p w14:paraId="2636C0B3" w14:textId="77777777" w:rsidR="00596362" w:rsidRPr="003B31BB" w:rsidRDefault="00596362" w:rsidP="00F13BE2">
      <w:pPr>
        <w:pStyle w:val="ListParagraph"/>
        <w:numPr>
          <w:ilvl w:val="0"/>
          <w:numId w:val="25"/>
        </w:numPr>
        <w:spacing w:before="120"/>
        <w:ind w:left="426" w:hanging="426"/>
        <w:rPr>
          <w:lang w:val="en-AU"/>
        </w:rPr>
      </w:pPr>
      <w:bookmarkStart w:id="179" w:name="_Ref488827201"/>
      <w:proofErr w:type="spellStart"/>
      <w:r w:rsidRPr="003B31BB">
        <w:rPr>
          <w:lang w:val="en-AU"/>
        </w:rPr>
        <w:t>Wapner</w:t>
      </w:r>
      <w:proofErr w:type="spellEnd"/>
      <w:r w:rsidR="00B7702D" w:rsidRPr="003B31BB">
        <w:rPr>
          <w:lang w:val="en-AU"/>
        </w:rPr>
        <w:t>,</w:t>
      </w:r>
      <w:r w:rsidRPr="003B31BB">
        <w:rPr>
          <w:lang w:val="en-AU"/>
        </w:rPr>
        <w:t xml:space="preserve"> RJ</w:t>
      </w:r>
      <w:r w:rsidR="00B7702D" w:rsidRPr="003B31BB">
        <w:rPr>
          <w:lang w:val="en-AU"/>
        </w:rPr>
        <w:t>,</w:t>
      </w:r>
      <w:r w:rsidRPr="003B31BB">
        <w:rPr>
          <w:lang w:val="en-AU"/>
        </w:rPr>
        <w:t xml:space="preserve"> </w:t>
      </w:r>
      <w:r w:rsidR="003E5C2A" w:rsidRPr="003B31BB">
        <w:rPr>
          <w:lang w:val="en-AU"/>
        </w:rPr>
        <w:t xml:space="preserve">CL Martin, B Levy, BC </w:t>
      </w:r>
      <w:proofErr w:type="spellStart"/>
      <w:r w:rsidR="003E5C2A" w:rsidRPr="003B31BB">
        <w:rPr>
          <w:lang w:val="en-AU"/>
        </w:rPr>
        <w:t>Ballif</w:t>
      </w:r>
      <w:proofErr w:type="spellEnd"/>
      <w:r w:rsidR="003E5C2A" w:rsidRPr="003B31BB">
        <w:rPr>
          <w:lang w:val="en-AU"/>
        </w:rPr>
        <w:t xml:space="preserve">, CM </w:t>
      </w:r>
      <w:proofErr w:type="spellStart"/>
      <w:r w:rsidR="003E5C2A" w:rsidRPr="003B31BB">
        <w:rPr>
          <w:lang w:val="en-AU"/>
        </w:rPr>
        <w:t>Eng</w:t>
      </w:r>
      <w:proofErr w:type="spellEnd"/>
      <w:r w:rsidR="003E5C2A" w:rsidRPr="003B31BB">
        <w:rPr>
          <w:lang w:val="en-AU"/>
        </w:rPr>
        <w:t xml:space="preserve">, JM Zachary, M Savage, LD Platt, D Saltzman, WA </w:t>
      </w:r>
      <w:proofErr w:type="spellStart"/>
      <w:r w:rsidR="003E5C2A" w:rsidRPr="003B31BB">
        <w:rPr>
          <w:lang w:val="en-AU"/>
        </w:rPr>
        <w:t>Grobman</w:t>
      </w:r>
      <w:proofErr w:type="spellEnd"/>
      <w:r w:rsidR="003E5C2A" w:rsidRPr="003B31BB">
        <w:rPr>
          <w:lang w:val="en-AU"/>
        </w:rPr>
        <w:t xml:space="preserve">, S Klugman, T Scholl, JL Simpson, K McCall, VS Aggarwal, B </w:t>
      </w:r>
      <w:proofErr w:type="spellStart"/>
      <w:r w:rsidR="003E5C2A" w:rsidRPr="003B31BB">
        <w:rPr>
          <w:lang w:val="en-AU"/>
        </w:rPr>
        <w:t>Bunke</w:t>
      </w:r>
      <w:proofErr w:type="spellEnd"/>
      <w:r w:rsidR="003E5C2A" w:rsidRPr="003B31BB">
        <w:rPr>
          <w:lang w:val="en-AU"/>
        </w:rPr>
        <w:t>, O Nahum, A Patel,</w:t>
      </w:r>
      <w:r w:rsidR="0072634B">
        <w:rPr>
          <w:lang w:val="en-AU"/>
        </w:rPr>
        <w:t xml:space="preserve"> </w:t>
      </w:r>
      <w:r w:rsidR="003E5C2A" w:rsidRPr="003B31BB">
        <w:rPr>
          <w:lang w:val="en-AU"/>
        </w:rPr>
        <w:t xml:space="preserve">AN Lamb, EA Thom, AL Beaudet, DH Ledbetter, LG Shaffer and L Jackson. </w:t>
      </w:r>
      <w:r w:rsidRPr="003B31BB">
        <w:rPr>
          <w:lang w:val="en-AU"/>
        </w:rPr>
        <w:t xml:space="preserve">Chromosomal </w:t>
      </w:r>
      <w:r w:rsidR="00B7702D" w:rsidRPr="003B31BB">
        <w:rPr>
          <w:lang w:val="en-AU"/>
        </w:rPr>
        <w:t>microarray versus karyotyping for prenatal diagnosis</w:t>
      </w:r>
      <w:r w:rsidRPr="003B31BB">
        <w:rPr>
          <w:lang w:val="en-AU"/>
        </w:rPr>
        <w:t xml:space="preserve">. </w:t>
      </w:r>
      <w:r w:rsidRPr="00403ACD">
        <w:rPr>
          <w:i/>
          <w:lang w:val="en-AU"/>
        </w:rPr>
        <w:t>N</w:t>
      </w:r>
      <w:r w:rsidR="00B7702D" w:rsidRPr="00403ACD">
        <w:rPr>
          <w:i/>
          <w:lang w:val="en-AU"/>
        </w:rPr>
        <w:t>ew</w:t>
      </w:r>
      <w:r w:rsidRPr="00403ACD">
        <w:rPr>
          <w:i/>
          <w:lang w:val="en-AU"/>
        </w:rPr>
        <w:t xml:space="preserve"> Engl</w:t>
      </w:r>
      <w:r w:rsidR="00B7702D" w:rsidRPr="00403ACD">
        <w:rPr>
          <w:i/>
          <w:lang w:val="en-AU"/>
        </w:rPr>
        <w:t>and</w:t>
      </w:r>
      <w:r w:rsidRPr="00403ACD">
        <w:rPr>
          <w:i/>
          <w:lang w:val="en-AU"/>
        </w:rPr>
        <w:t xml:space="preserve"> J</w:t>
      </w:r>
      <w:r w:rsidR="00BF60DE" w:rsidRPr="00403ACD">
        <w:rPr>
          <w:i/>
          <w:lang w:val="en-AU"/>
        </w:rPr>
        <w:t>ournal of</w:t>
      </w:r>
      <w:r w:rsidRPr="00403ACD">
        <w:rPr>
          <w:i/>
          <w:lang w:val="en-AU"/>
        </w:rPr>
        <w:t xml:space="preserve"> Med</w:t>
      </w:r>
      <w:r w:rsidR="00BF60DE" w:rsidRPr="00403ACD">
        <w:rPr>
          <w:i/>
          <w:lang w:val="en-AU"/>
        </w:rPr>
        <w:t>icine</w:t>
      </w:r>
      <w:r w:rsidR="00BF60DE" w:rsidRPr="003B31BB">
        <w:rPr>
          <w:lang w:val="en-AU"/>
        </w:rPr>
        <w:t>.</w:t>
      </w:r>
      <w:r w:rsidRPr="003B31BB">
        <w:rPr>
          <w:lang w:val="en-AU"/>
        </w:rPr>
        <w:t xml:space="preserve"> 2012</w:t>
      </w:r>
      <w:r w:rsidR="00BF60DE" w:rsidRPr="003B31BB">
        <w:rPr>
          <w:lang w:val="en-AU"/>
        </w:rPr>
        <w:t>,</w:t>
      </w:r>
      <w:r w:rsidRPr="003B31BB">
        <w:rPr>
          <w:lang w:val="en-AU"/>
        </w:rPr>
        <w:t xml:space="preserve"> </w:t>
      </w:r>
      <w:r w:rsidR="00BF60DE" w:rsidRPr="003B31BB">
        <w:rPr>
          <w:lang w:val="en-AU"/>
        </w:rPr>
        <w:t>vol.</w:t>
      </w:r>
      <w:r w:rsidRPr="003B31BB">
        <w:rPr>
          <w:lang w:val="en-AU"/>
        </w:rPr>
        <w:t xml:space="preserve"> 367</w:t>
      </w:r>
      <w:r w:rsidR="00BF60DE" w:rsidRPr="003B31BB">
        <w:rPr>
          <w:lang w:val="en-AU"/>
        </w:rPr>
        <w:t>, no</w:t>
      </w:r>
      <w:r w:rsidR="003E5C2A" w:rsidRPr="003B31BB">
        <w:rPr>
          <w:lang w:val="en-AU"/>
        </w:rPr>
        <w:t>. 23</w:t>
      </w:r>
      <w:r w:rsidR="00BF60DE" w:rsidRPr="003B31BB">
        <w:rPr>
          <w:lang w:val="en-AU"/>
        </w:rPr>
        <w:t xml:space="preserve">, pp. </w:t>
      </w:r>
      <w:r w:rsidRPr="003B31BB">
        <w:rPr>
          <w:lang w:val="en-AU"/>
        </w:rPr>
        <w:t>2175</w:t>
      </w:r>
      <w:r w:rsidR="0072634B">
        <w:rPr>
          <w:lang w:val="en-AU"/>
        </w:rPr>
        <w:t>-</w:t>
      </w:r>
      <w:r w:rsidRPr="003B31BB">
        <w:rPr>
          <w:lang w:val="en-AU"/>
        </w:rPr>
        <w:t>2184</w:t>
      </w:r>
      <w:bookmarkEnd w:id="179"/>
      <w:r w:rsidR="00BF60DE" w:rsidRPr="003B31BB">
        <w:rPr>
          <w:lang w:val="en-AU"/>
        </w:rPr>
        <w:t>.</w:t>
      </w:r>
    </w:p>
    <w:p w14:paraId="1D8B5A23" w14:textId="77777777" w:rsidR="00596362" w:rsidRPr="003B31BB" w:rsidRDefault="00596362" w:rsidP="00F13BE2">
      <w:pPr>
        <w:pStyle w:val="ListParagraph"/>
        <w:numPr>
          <w:ilvl w:val="0"/>
          <w:numId w:val="25"/>
        </w:numPr>
        <w:spacing w:before="120"/>
        <w:ind w:left="426" w:hanging="426"/>
        <w:rPr>
          <w:lang w:val="en-AU"/>
        </w:rPr>
      </w:pPr>
      <w:bookmarkStart w:id="180" w:name="_Ref488827233"/>
      <w:proofErr w:type="spellStart"/>
      <w:r w:rsidRPr="003B31BB">
        <w:rPr>
          <w:lang w:val="en-AU"/>
        </w:rPr>
        <w:t>Hagenkord</w:t>
      </w:r>
      <w:proofErr w:type="spellEnd"/>
      <w:r w:rsidR="00BF60DE" w:rsidRPr="003B31BB">
        <w:rPr>
          <w:lang w:val="en-AU"/>
        </w:rPr>
        <w:t>,</w:t>
      </w:r>
      <w:r w:rsidRPr="003B31BB">
        <w:rPr>
          <w:lang w:val="en-AU"/>
        </w:rPr>
        <w:t xml:space="preserve"> JM, </w:t>
      </w:r>
      <w:r w:rsidR="00BF60DE" w:rsidRPr="003B31BB">
        <w:rPr>
          <w:lang w:val="en-AU"/>
        </w:rPr>
        <w:t xml:space="preserve">FA </w:t>
      </w:r>
      <w:proofErr w:type="spellStart"/>
      <w:r w:rsidRPr="003B31BB">
        <w:rPr>
          <w:lang w:val="en-AU"/>
        </w:rPr>
        <w:t>Monzon</w:t>
      </w:r>
      <w:proofErr w:type="spellEnd"/>
      <w:r w:rsidRPr="003B31BB">
        <w:rPr>
          <w:lang w:val="en-AU"/>
        </w:rPr>
        <w:t xml:space="preserve">, </w:t>
      </w:r>
      <w:r w:rsidR="00BF60DE" w:rsidRPr="003B31BB">
        <w:rPr>
          <w:lang w:val="en-AU"/>
        </w:rPr>
        <w:t xml:space="preserve">SF </w:t>
      </w:r>
      <w:proofErr w:type="spellStart"/>
      <w:r w:rsidRPr="003B31BB">
        <w:rPr>
          <w:lang w:val="en-AU"/>
        </w:rPr>
        <w:t>Kash</w:t>
      </w:r>
      <w:proofErr w:type="spellEnd"/>
      <w:r w:rsidRPr="003B31BB">
        <w:rPr>
          <w:lang w:val="en-AU"/>
        </w:rPr>
        <w:t xml:space="preserve">, </w:t>
      </w:r>
      <w:r w:rsidR="00BF60DE" w:rsidRPr="003B31BB">
        <w:rPr>
          <w:lang w:val="en-AU"/>
        </w:rPr>
        <w:t xml:space="preserve">S </w:t>
      </w:r>
      <w:proofErr w:type="spellStart"/>
      <w:r w:rsidRPr="003B31BB">
        <w:rPr>
          <w:lang w:val="en-AU"/>
        </w:rPr>
        <w:t>Lilleberg</w:t>
      </w:r>
      <w:proofErr w:type="spellEnd"/>
      <w:r w:rsidRPr="003B31BB">
        <w:rPr>
          <w:lang w:val="en-AU"/>
        </w:rPr>
        <w:t xml:space="preserve">, </w:t>
      </w:r>
      <w:r w:rsidR="00BF60DE" w:rsidRPr="003B31BB">
        <w:rPr>
          <w:lang w:val="en-AU"/>
        </w:rPr>
        <w:t xml:space="preserve">Q </w:t>
      </w:r>
      <w:proofErr w:type="spellStart"/>
      <w:r w:rsidRPr="003B31BB">
        <w:rPr>
          <w:lang w:val="en-AU"/>
        </w:rPr>
        <w:t>Xie</w:t>
      </w:r>
      <w:proofErr w:type="spellEnd"/>
      <w:r w:rsidR="00BF60DE" w:rsidRPr="003B31BB">
        <w:rPr>
          <w:lang w:val="en-AU"/>
        </w:rPr>
        <w:t xml:space="preserve"> and</w:t>
      </w:r>
      <w:r w:rsidRPr="003B31BB">
        <w:rPr>
          <w:lang w:val="en-AU"/>
        </w:rPr>
        <w:t xml:space="preserve"> </w:t>
      </w:r>
      <w:r w:rsidR="00BF60DE" w:rsidRPr="003B31BB">
        <w:rPr>
          <w:lang w:val="en-AU"/>
        </w:rPr>
        <w:t xml:space="preserve">JA </w:t>
      </w:r>
      <w:r w:rsidRPr="003B31BB">
        <w:rPr>
          <w:lang w:val="en-AU"/>
        </w:rPr>
        <w:t>Kant. Array-</w:t>
      </w:r>
      <w:r w:rsidR="0069613E" w:rsidRPr="003B31BB">
        <w:rPr>
          <w:lang w:val="en-AU"/>
        </w:rPr>
        <w:t>based karyotyping for prognostic assessment in chronic lymphocytic leukemia</w:t>
      </w:r>
      <w:r w:rsidRPr="003B31BB">
        <w:rPr>
          <w:lang w:val="en-AU"/>
        </w:rPr>
        <w:t xml:space="preserve">. </w:t>
      </w:r>
      <w:r w:rsidRPr="003B31BB">
        <w:rPr>
          <w:i/>
          <w:lang w:val="en-AU"/>
        </w:rPr>
        <w:t>J</w:t>
      </w:r>
      <w:r w:rsidR="002C5054" w:rsidRPr="003B31BB">
        <w:rPr>
          <w:i/>
          <w:lang w:val="en-AU"/>
        </w:rPr>
        <w:t>ournal of</w:t>
      </w:r>
      <w:r w:rsidRPr="003B31BB">
        <w:rPr>
          <w:i/>
          <w:lang w:val="en-AU"/>
        </w:rPr>
        <w:t xml:space="preserve"> Mol</w:t>
      </w:r>
      <w:r w:rsidR="002C5054" w:rsidRPr="003B31BB">
        <w:rPr>
          <w:i/>
          <w:lang w:val="en-AU"/>
        </w:rPr>
        <w:t>ecular</w:t>
      </w:r>
      <w:r w:rsidRPr="003B31BB">
        <w:rPr>
          <w:i/>
          <w:lang w:val="en-AU"/>
        </w:rPr>
        <w:t xml:space="preserve"> Diagn</w:t>
      </w:r>
      <w:r w:rsidR="002C5054" w:rsidRPr="003B31BB">
        <w:rPr>
          <w:i/>
          <w:lang w:val="en-AU"/>
        </w:rPr>
        <w:t>osis</w:t>
      </w:r>
      <w:r w:rsidRPr="003B31BB">
        <w:rPr>
          <w:i/>
          <w:lang w:val="en-AU"/>
        </w:rPr>
        <w:t>.</w:t>
      </w:r>
      <w:r w:rsidRPr="003B31BB">
        <w:rPr>
          <w:lang w:val="en-AU"/>
        </w:rPr>
        <w:t xml:space="preserve"> 2010</w:t>
      </w:r>
      <w:r w:rsidR="00020ABB" w:rsidRPr="003B31BB">
        <w:rPr>
          <w:lang w:val="en-AU"/>
        </w:rPr>
        <w:t>,</w:t>
      </w:r>
      <w:r w:rsidRPr="003B31BB">
        <w:rPr>
          <w:lang w:val="en-AU"/>
        </w:rPr>
        <w:t xml:space="preserve"> </w:t>
      </w:r>
      <w:r w:rsidR="002C5054" w:rsidRPr="003B31BB">
        <w:rPr>
          <w:lang w:val="en-AU"/>
        </w:rPr>
        <w:t>vol.</w:t>
      </w:r>
      <w:r w:rsidRPr="003B31BB">
        <w:rPr>
          <w:lang w:val="en-AU"/>
        </w:rPr>
        <w:t xml:space="preserve"> 12</w:t>
      </w:r>
      <w:r w:rsidR="002C5054" w:rsidRPr="003B31BB">
        <w:rPr>
          <w:lang w:val="en-AU"/>
        </w:rPr>
        <w:t xml:space="preserve">, no. </w:t>
      </w:r>
      <w:r w:rsidRPr="003B31BB">
        <w:rPr>
          <w:lang w:val="en-AU"/>
        </w:rPr>
        <w:t>2</w:t>
      </w:r>
      <w:r w:rsidR="002C5054" w:rsidRPr="003B31BB">
        <w:rPr>
          <w:lang w:val="en-AU"/>
        </w:rPr>
        <w:t>,</w:t>
      </w:r>
      <w:r w:rsidRPr="003B31BB">
        <w:rPr>
          <w:lang w:val="en-AU"/>
        </w:rPr>
        <w:t xml:space="preserve"> </w:t>
      </w:r>
      <w:r w:rsidR="002C5054" w:rsidRPr="003B31BB">
        <w:rPr>
          <w:lang w:val="en-AU"/>
        </w:rPr>
        <w:t xml:space="preserve">pp. </w:t>
      </w:r>
      <w:r w:rsidR="0072634B">
        <w:rPr>
          <w:lang w:val="en-AU"/>
        </w:rPr>
        <w:t>184-</w:t>
      </w:r>
      <w:r w:rsidRPr="003B31BB">
        <w:rPr>
          <w:lang w:val="en-AU"/>
        </w:rPr>
        <w:t>196.</w:t>
      </w:r>
      <w:bookmarkEnd w:id="180"/>
    </w:p>
    <w:p w14:paraId="060DB2A8" w14:textId="77777777" w:rsidR="00596362" w:rsidRPr="003B31BB" w:rsidRDefault="00596362" w:rsidP="00F13BE2">
      <w:pPr>
        <w:pStyle w:val="ListParagraph"/>
        <w:numPr>
          <w:ilvl w:val="0"/>
          <w:numId w:val="25"/>
        </w:numPr>
        <w:spacing w:before="120"/>
        <w:ind w:left="426" w:hanging="426"/>
        <w:rPr>
          <w:lang w:val="en-AU"/>
        </w:rPr>
      </w:pPr>
      <w:bookmarkStart w:id="181" w:name="_Ref488827266"/>
      <w:r w:rsidRPr="003B31BB">
        <w:rPr>
          <w:lang w:val="en-AU"/>
        </w:rPr>
        <w:t>O’Malley</w:t>
      </w:r>
      <w:r w:rsidR="00675A6B" w:rsidRPr="003B31BB">
        <w:rPr>
          <w:lang w:val="en-AU"/>
        </w:rPr>
        <w:t>,</w:t>
      </w:r>
      <w:r w:rsidRPr="003B31BB">
        <w:rPr>
          <w:lang w:val="en-AU"/>
        </w:rPr>
        <w:t xml:space="preserve"> DP, </w:t>
      </w:r>
      <w:r w:rsidR="00675A6B" w:rsidRPr="003B31BB">
        <w:rPr>
          <w:lang w:val="en-AU"/>
        </w:rPr>
        <w:t xml:space="preserve">C </w:t>
      </w:r>
      <w:r w:rsidRPr="003B31BB">
        <w:rPr>
          <w:lang w:val="en-AU"/>
        </w:rPr>
        <w:t xml:space="preserve">Giudice, </w:t>
      </w:r>
      <w:r w:rsidR="00675A6B" w:rsidRPr="003B31BB">
        <w:rPr>
          <w:lang w:val="en-AU"/>
        </w:rPr>
        <w:t xml:space="preserve">AS </w:t>
      </w:r>
      <w:r w:rsidRPr="003B31BB">
        <w:rPr>
          <w:lang w:val="en-AU"/>
        </w:rPr>
        <w:t>C</w:t>
      </w:r>
      <w:r w:rsidR="00675A6B" w:rsidRPr="003B31BB">
        <w:rPr>
          <w:lang w:val="en-AU"/>
        </w:rPr>
        <w:t>hang</w:t>
      </w:r>
      <w:r w:rsidRPr="003B31BB">
        <w:rPr>
          <w:lang w:val="en-AU"/>
        </w:rPr>
        <w:t xml:space="preserve">, </w:t>
      </w:r>
      <w:r w:rsidR="00675A6B" w:rsidRPr="003B31BB">
        <w:rPr>
          <w:lang w:val="en-AU"/>
        </w:rPr>
        <w:t xml:space="preserve">D </w:t>
      </w:r>
      <w:r w:rsidRPr="003B31BB">
        <w:rPr>
          <w:lang w:val="en-AU"/>
        </w:rPr>
        <w:t xml:space="preserve">Chang, </w:t>
      </w:r>
      <w:r w:rsidR="00675A6B" w:rsidRPr="003B31BB">
        <w:rPr>
          <w:lang w:val="en-AU"/>
        </w:rPr>
        <w:t xml:space="preserve">TS </w:t>
      </w:r>
      <w:r w:rsidRPr="003B31BB">
        <w:rPr>
          <w:lang w:val="en-AU"/>
        </w:rPr>
        <w:t xml:space="preserve">Barry, </w:t>
      </w:r>
      <w:r w:rsidR="00675A6B" w:rsidRPr="003B31BB">
        <w:rPr>
          <w:lang w:val="en-AU"/>
        </w:rPr>
        <w:t xml:space="preserve">MK </w:t>
      </w:r>
      <w:proofErr w:type="spellStart"/>
      <w:r w:rsidRPr="003B31BB">
        <w:rPr>
          <w:lang w:val="en-AU"/>
        </w:rPr>
        <w:t>HIibbard</w:t>
      </w:r>
      <w:proofErr w:type="spellEnd"/>
      <w:r w:rsidRPr="003B31BB">
        <w:rPr>
          <w:lang w:val="en-AU"/>
        </w:rPr>
        <w:t xml:space="preserve">, </w:t>
      </w:r>
      <w:r w:rsidR="00675A6B" w:rsidRPr="003B31BB">
        <w:rPr>
          <w:lang w:val="en-AU"/>
        </w:rPr>
        <w:t xml:space="preserve">R </w:t>
      </w:r>
      <w:r w:rsidRPr="003B31BB">
        <w:rPr>
          <w:lang w:val="en-AU"/>
        </w:rPr>
        <w:t>Chen</w:t>
      </w:r>
      <w:r w:rsidR="003E5C2A" w:rsidRPr="003B31BB">
        <w:rPr>
          <w:lang w:val="en-AU"/>
        </w:rPr>
        <w:t xml:space="preserve"> and ST Chen</w:t>
      </w:r>
      <w:r w:rsidRPr="003B31BB">
        <w:rPr>
          <w:lang w:val="en-AU"/>
        </w:rPr>
        <w:t>. Comparison of array comparative genomic hybridization (</w:t>
      </w:r>
      <w:proofErr w:type="spellStart"/>
      <w:r w:rsidRPr="003B31BB">
        <w:rPr>
          <w:lang w:val="en-AU"/>
        </w:rPr>
        <w:t>aCGH</w:t>
      </w:r>
      <w:proofErr w:type="spellEnd"/>
      <w:r w:rsidRPr="003B31BB">
        <w:rPr>
          <w:lang w:val="en-AU"/>
        </w:rPr>
        <w:t xml:space="preserve">) to FISH and cytogenetics in prognostic evaluation of chronic lymphocytic leukemia. </w:t>
      </w:r>
      <w:r w:rsidRPr="003B31BB">
        <w:rPr>
          <w:i/>
          <w:lang w:val="en-AU"/>
        </w:rPr>
        <w:t>Int</w:t>
      </w:r>
      <w:r w:rsidR="00675A6B" w:rsidRPr="003B31BB">
        <w:rPr>
          <w:i/>
          <w:lang w:val="en-AU"/>
        </w:rPr>
        <w:t>ernational</w:t>
      </w:r>
      <w:r w:rsidRPr="003B31BB">
        <w:rPr>
          <w:i/>
          <w:lang w:val="en-AU"/>
        </w:rPr>
        <w:t xml:space="preserve"> J</w:t>
      </w:r>
      <w:r w:rsidR="00675A6B" w:rsidRPr="003B31BB">
        <w:rPr>
          <w:i/>
          <w:lang w:val="en-AU"/>
        </w:rPr>
        <w:t>ournal of</w:t>
      </w:r>
      <w:r w:rsidRPr="003B31BB">
        <w:rPr>
          <w:i/>
          <w:lang w:val="en-AU"/>
        </w:rPr>
        <w:t xml:space="preserve"> Lab</w:t>
      </w:r>
      <w:r w:rsidR="00675A6B" w:rsidRPr="003B31BB">
        <w:rPr>
          <w:i/>
          <w:lang w:val="en-AU"/>
        </w:rPr>
        <w:t>oratory</w:t>
      </w:r>
      <w:r w:rsidRPr="003B31BB">
        <w:rPr>
          <w:i/>
          <w:lang w:val="en-AU"/>
        </w:rPr>
        <w:t xml:space="preserve"> Hematol</w:t>
      </w:r>
      <w:r w:rsidR="00675A6B" w:rsidRPr="003B31BB">
        <w:rPr>
          <w:i/>
          <w:lang w:val="en-AU"/>
        </w:rPr>
        <w:t>ogy.</w:t>
      </w:r>
      <w:r w:rsidRPr="003B31BB">
        <w:rPr>
          <w:lang w:val="en-AU"/>
        </w:rPr>
        <w:t xml:space="preserve"> 2011</w:t>
      </w:r>
      <w:r w:rsidR="00675A6B" w:rsidRPr="003B31BB">
        <w:rPr>
          <w:lang w:val="en-AU"/>
        </w:rPr>
        <w:t>,</w:t>
      </w:r>
      <w:r w:rsidRPr="003B31BB">
        <w:rPr>
          <w:lang w:val="en-AU"/>
        </w:rPr>
        <w:t xml:space="preserve"> </w:t>
      </w:r>
      <w:r w:rsidR="00675A6B" w:rsidRPr="003B31BB">
        <w:rPr>
          <w:lang w:val="en-AU"/>
        </w:rPr>
        <w:t xml:space="preserve">vol. </w:t>
      </w:r>
      <w:r w:rsidRPr="003B31BB">
        <w:rPr>
          <w:lang w:val="en-AU"/>
        </w:rPr>
        <w:t>33</w:t>
      </w:r>
      <w:r w:rsidR="00675A6B" w:rsidRPr="003B31BB">
        <w:rPr>
          <w:lang w:val="en-AU"/>
        </w:rPr>
        <w:t xml:space="preserve">, </w:t>
      </w:r>
      <w:r w:rsidR="00675A6B" w:rsidRPr="003B31BB">
        <w:rPr>
          <w:rFonts w:ascii="Calibri" w:hAnsi="Calibri" w:cs="Calibri"/>
          <w:color w:val="000000"/>
          <w:lang w:val="en-AU"/>
        </w:rPr>
        <w:t xml:space="preserve">no. </w:t>
      </w:r>
      <w:r w:rsidR="003E5C2A" w:rsidRPr="003B31BB">
        <w:rPr>
          <w:lang w:val="en-AU"/>
        </w:rPr>
        <w:t>3</w:t>
      </w:r>
      <w:r w:rsidR="00675A6B" w:rsidRPr="003B31BB">
        <w:rPr>
          <w:rFonts w:ascii="Calibri" w:hAnsi="Calibri" w:cs="Calibri"/>
          <w:color w:val="000000"/>
          <w:lang w:val="en-AU"/>
        </w:rPr>
        <w:t>, pp.</w:t>
      </w:r>
      <w:r w:rsidRPr="003B31BB">
        <w:rPr>
          <w:lang w:val="en-AU"/>
        </w:rPr>
        <w:t xml:space="preserve"> 238–244.</w:t>
      </w:r>
      <w:bookmarkEnd w:id="181"/>
    </w:p>
    <w:p w14:paraId="568B8483" w14:textId="77777777" w:rsidR="00596362" w:rsidRPr="003B31BB" w:rsidRDefault="00596362" w:rsidP="00F13BE2">
      <w:pPr>
        <w:pStyle w:val="ListParagraph"/>
        <w:numPr>
          <w:ilvl w:val="0"/>
          <w:numId w:val="25"/>
        </w:numPr>
        <w:spacing w:before="120"/>
        <w:ind w:left="426" w:hanging="426"/>
        <w:rPr>
          <w:lang w:val="en-AU"/>
        </w:rPr>
      </w:pPr>
      <w:bookmarkStart w:id="182" w:name="_Ref488827294"/>
      <w:proofErr w:type="spellStart"/>
      <w:r w:rsidRPr="003B31BB">
        <w:rPr>
          <w:lang w:val="en-AU"/>
        </w:rPr>
        <w:lastRenderedPageBreak/>
        <w:t>Salaverria</w:t>
      </w:r>
      <w:proofErr w:type="spellEnd"/>
      <w:r w:rsidR="003B3B2D" w:rsidRPr="003B31BB">
        <w:rPr>
          <w:lang w:val="en-AU"/>
        </w:rPr>
        <w:t>,</w:t>
      </w:r>
      <w:r w:rsidRPr="003B31BB">
        <w:rPr>
          <w:lang w:val="en-AU"/>
        </w:rPr>
        <w:t xml:space="preserve"> I</w:t>
      </w:r>
      <w:r w:rsidR="003B3B2D" w:rsidRPr="003B31BB">
        <w:rPr>
          <w:lang w:val="en-AU"/>
        </w:rPr>
        <w:t>,</w:t>
      </w:r>
      <w:r w:rsidRPr="003B31BB">
        <w:rPr>
          <w:lang w:val="en-AU"/>
        </w:rPr>
        <w:t xml:space="preserve"> </w:t>
      </w:r>
      <w:r w:rsidR="003E5C2A" w:rsidRPr="003B31BB">
        <w:rPr>
          <w:lang w:val="en-AU"/>
        </w:rPr>
        <w:t>D Martín-Garcia, C López, G Clot, M García-</w:t>
      </w:r>
      <w:proofErr w:type="spellStart"/>
      <w:r w:rsidR="003E5C2A" w:rsidRPr="003B31BB">
        <w:rPr>
          <w:lang w:val="en-AU"/>
        </w:rPr>
        <w:t>Aragonés</w:t>
      </w:r>
      <w:proofErr w:type="spellEnd"/>
      <w:r w:rsidR="003E5C2A" w:rsidRPr="003B31BB">
        <w:rPr>
          <w:lang w:val="en-AU"/>
        </w:rPr>
        <w:t xml:space="preserve">, A Navarro, J Delgado, T Baumann, M </w:t>
      </w:r>
      <w:proofErr w:type="spellStart"/>
      <w:r w:rsidR="003E5C2A" w:rsidRPr="003B31BB">
        <w:rPr>
          <w:lang w:val="en-AU"/>
        </w:rPr>
        <w:t>Pinyol</w:t>
      </w:r>
      <w:proofErr w:type="spellEnd"/>
      <w:r w:rsidR="003E5C2A" w:rsidRPr="003B31BB">
        <w:rPr>
          <w:lang w:val="en-AU"/>
        </w:rPr>
        <w:t xml:space="preserve">, I Martin-Guerrero, A </w:t>
      </w:r>
      <w:proofErr w:type="spellStart"/>
      <w:r w:rsidR="003E5C2A" w:rsidRPr="003B31BB">
        <w:rPr>
          <w:lang w:val="en-AU"/>
        </w:rPr>
        <w:t>Carrió</w:t>
      </w:r>
      <w:proofErr w:type="spellEnd"/>
      <w:r w:rsidR="003E5C2A" w:rsidRPr="003B31BB">
        <w:rPr>
          <w:lang w:val="en-AU"/>
        </w:rPr>
        <w:t xml:space="preserve">, D Costa, AC </w:t>
      </w:r>
      <w:proofErr w:type="spellStart"/>
      <w:r w:rsidR="003E5C2A" w:rsidRPr="003B31BB">
        <w:rPr>
          <w:lang w:val="en-AU"/>
        </w:rPr>
        <w:t>Queirós</w:t>
      </w:r>
      <w:proofErr w:type="spellEnd"/>
      <w:r w:rsidR="003E5C2A" w:rsidRPr="003B31BB">
        <w:rPr>
          <w:lang w:val="en-AU"/>
        </w:rPr>
        <w:t xml:space="preserve">, S Jayne, M </w:t>
      </w:r>
      <w:proofErr w:type="spellStart"/>
      <w:r w:rsidR="003E5C2A" w:rsidRPr="003B31BB">
        <w:rPr>
          <w:lang w:val="en-AU"/>
        </w:rPr>
        <w:t>Aymerich</w:t>
      </w:r>
      <w:proofErr w:type="spellEnd"/>
      <w:r w:rsidR="003E5C2A" w:rsidRPr="003B31BB">
        <w:rPr>
          <w:lang w:val="en-AU"/>
        </w:rPr>
        <w:t xml:space="preserve">, N Villamor, D </w:t>
      </w:r>
      <w:proofErr w:type="spellStart"/>
      <w:r w:rsidR="003E5C2A" w:rsidRPr="003B31BB">
        <w:rPr>
          <w:lang w:val="en-AU"/>
        </w:rPr>
        <w:t>Colomer</w:t>
      </w:r>
      <w:proofErr w:type="spellEnd"/>
      <w:r w:rsidR="003E5C2A" w:rsidRPr="003B31BB">
        <w:rPr>
          <w:lang w:val="en-AU"/>
        </w:rPr>
        <w:t xml:space="preserve">, M González, A López-Guillermo, E Campo, MJS Dyer, R Siebert, L </w:t>
      </w:r>
      <w:proofErr w:type="spellStart"/>
      <w:r w:rsidR="003E5C2A" w:rsidRPr="003B31BB">
        <w:rPr>
          <w:lang w:val="en-AU"/>
        </w:rPr>
        <w:t>Armengol</w:t>
      </w:r>
      <w:proofErr w:type="spellEnd"/>
      <w:r w:rsidR="003E5C2A" w:rsidRPr="003B31BB">
        <w:rPr>
          <w:lang w:val="en-AU"/>
        </w:rPr>
        <w:t xml:space="preserve"> and S </w:t>
      </w:r>
      <w:proofErr w:type="spellStart"/>
      <w:r w:rsidR="003E5C2A" w:rsidRPr="003B31BB">
        <w:rPr>
          <w:lang w:val="en-AU"/>
        </w:rPr>
        <w:t>Beà</w:t>
      </w:r>
      <w:proofErr w:type="spellEnd"/>
      <w:r w:rsidR="003E5C2A" w:rsidRPr="003B31BB">
        <w:rPr>
          <w:lang w:val="en-AU"/>
        </w:rPr>
        <w:t xml:space="preserve">. </w:t>
      </w:r>
      <w:r w:rsidRPr="003B31BB">
        <w:rPr>
          <w:lang w:val="en-AU"/>
        </w:rPr>
        <w:t xml:space="preserve">Detection of </w:t>
      </w:r>
      <w:proofErr w:type="spellStart"/>
      <w:r w:rsidRPr="003B31BB">
        <w:rPr>
          <w:lang w:val="en-AU"/>
        </w:rPr>
        <w:t>chromothripsis</w:t>
      </w:r>
      <w:proofErr w:type="spellEnd"/>
      <w:r w:rsidRPr="003B31BB">
        <w:rPr>
          <w:lang w:val="en-AU"/>
        </w:rPr>
        <w:t xml:space="preserve">‐like patterns with a custom array platform for chronic lymphocytic leukemia. </w:t>
      </w:r>
      <w:r w:rsidRPr="00403ACD">
        <w:rPr>
          <w:i/>
          <w:lang w:val="en-AU"/>
        </w:rPr>
        <w:t>Genes</w:t>
      </w:r>
      <w:r w:rsidR="00765A12" w:rsidRPr="00403ACD">
        <w:rPr>
          <w:i/>
          <w:lang w:val="en-AU"/>
        </w:rPr>
        <w:t>,</w:t>
      </w:r>
      <w:r w:rsidRPr="00403ACD">
        <w:rPr>
          <w:i/>
          <w:lang w:val="en-AU"/>
        </w:rPr>
        <w:t xml:space="preserve"> Chromosomes </w:t>
      </w:r>
      <w:r w:rsidR="003B3B2D" w:rsidRPr="00403ACD">
        <w:rPr>
          <w:i/>
          <w:lang w:val="en-AU"/>
        </w:rPr>
        <w:t xml:space="preserve">and </w:t>
      </w:r>
      <w:r w:rsidRPr="00403ACD">
        <w:rPr>
          <w:i/>
          <w:lang w:val="en-AU"/>
        </w:rPr>
        <w:t>Cancer</w:t>
      </w:r>
      <w:r w:rsidRPr="003B31BB">
        <w:rPr>
          <w:lang w:val="en-AU"/>
        </w:rPr>
        <w:t>. 2015</w:t>
      </w:r>
      <w:r w:rsidR="003B3B2D" w:rsidRPr="003B31BB">
        <w:rPr>
          <w:lang w:val="en-AU"/>
        </w:rPr>
        <w:t>,</w:t>
      </w:r>
      <w:r w:rsidRPr="003B31BB">
        <w:rPr>
          <w:lang w:val="en-AU"/>
        </w:rPr>
        <w:t xml:space="preserve"> </w:t>
      </w:r>
      <w:r w:rsidR="003B3B2D" w:rsidRPr="003B31BB">
        <w:rPr>
          <w:lang w:val="en-AU"/>
        </w:rPr>
        <w:t xml:space="preserve">vol. </w:t>
      </w:r>
      <w:r w:rsidRPr="003B31BB">
        <w:rPr>
          <w:lang w:val="en-AU"/>
        </w:rPr>
        <w:t>54</w:t>
      </w:r>
      <w:r w:rsidR="003B3B2D" w:rsidRPr="003B31BB">
        <w:rPr>
          <w:lang w:val="en-AU"/>
        </w:rPr>
        <w:t xml:space="preserve">, no. </w:t>
      </w:r>
      <w:r w:rsidRPr="003B31BB">
        <w:rPr>
          <w:lang w:val="en-AU"/>
        </w:rPr>
        <w:t>11</w:t>
      </w:r>
      <w:r w:rsidR="003B3B2D" w:rsidRPr="003B31BB">
        <w:rPr>
          <w:lang w:val="en-AU"/>
        </w:rPr>
        <w:t>, pp.</w:t>
      </w:r>
      <w:r w:rsidRPr="003B31BB">
        <w:rPr>
          <w:lang w:val="en-AU"/>
        </w:rPr>
        <w:t xml:space="preserve"> 668–680.</w:t>
      </w:r>
      <w:bookmarkEnd w:id="182"/>
    </w:p>
    <w:p w14:paraId="4167793F" w14:textId="77777777" w:rsidR="00596362" w:rsidRPr="003B31BB" w:rsidRDefault="00596362" w:rsidP="00F13BE2">
      <w:pPr>
        <w:pStyle w:val="ListParagraph"/>
        <w:numPr>
          <w:ilvl w:val="0"/>
          <w:numId w:val="25"/>
        </w:numPr>
        <w:spacing w:before="120"/>
        <w:ind w:left="426" w:hanging="426"/>
        <w:rPr>
          <w:lang w:val="en-AU"/>
        </w:rPr>
      </w:pPr>
      <w:bookmarkStart w:id="183" w:name="_Ref488827332"/>
      <w:proofErr w:type="spellStart"/>
      <w:r w:rsidRPr="003B31BB">
        <w:rPr>
          <w:lang w:val="en-AU"/>
        </w:rPr>
        <w:t>Setvens-Kroef</w:t>
      </w:r>
      <w:proofErr w:type="spellEnd"/>
      <w:r w:rsidR="003B3B2D" w:rsidRPr="003B31BB">
        <w:rPr>
          <w:lang w:val="en-AU"/>
        </w:rPr>
        <w:t>,</w:t>
      </w:r>
      <w:r w:rsidRPr="003B31BB">
        <w:rPr>
          <w:lang w:val="en-AU"/>
        </w:rPr>
        <w:t xml:space="preserve"> MJ</w:t>
      </w:r>
      <w:r w:rsidR="003B3B2D" w:rsidRPr="003B31BB">
        <w:rPr>
          <w:lang w:val="en-AU"/>
        </w:rPr>
        <w:t>,</w:t>
      </w:r>
      <w:r w:rsidRPr="003B31BB">
        <w:rPr>
          <w:lang w:val="en-AU"/>
        </w:rPr>
        <w:t xml:space="preserve"> </w:t>
      </w:r>
      <w:r w:rsidR="004F444D" w:rsidRPr="003B31BB">
        <w:rPr>
          <w:lang w:val="en-AU"/>
        </w:rPr>
        <w:t xml:space="preserve">E van den Berg, DO </w:t>
      </w:r>
      <w:proofErr w:type="spellStart"/>
      <w:r w:rsidR="004F444D" w:rsidRPr="003B31BB">
        <w:rPr>
          <w:lang w:val="en-AU"/>
        </w:rPr>
        <w:t>Weghuis</w:t>
      </w:r>
      <w:proofErr w:type="spellEnd"/>
      <w:r w:rsidR="004F444D" w:rsidRPr="003B31BB">
        <w:rPr>
          <w:lang w:val="en-AU"/>
        </w:rPr>
        <w:t xml:space="preserve">, AG van Kessel, R </w:t>
      </w:r>
      <w:proofErr w:type="spellStart"/>
      <w:r w:rsidR="004F444D" w:rsidRPr="003B31BB">
        <w:rPr>
          <w:lang w:val="en-AU"/>
        </w:rPr>
        <w:t>Pfundt</w:t>
      </w:r>
      <w:proofErr w:type="spellEnd"/>
      <w:r w:rsidR="004F444D" w:rsidRPr="003B31BB">
        <w:rPr>
          <w:lang w:val="en-AU"/>
        </w:rPr>
        <w:t xml:space="preserve">, M </w:t>
      </w:r>
      <w:proofErr w:type="spellStart"/>
      <w:r w:rsidR="004F444D" w:rsidRPr="003B31BB">
        <w:rPr>
          <w:lang w:val="en-AU"/>
        </w:rPr>
        <w:t>Linssen</w:t>
      </w:r>
      <w:proofErr w:type="spellEnd"/>
      <w:r w:rsidR="004F444D" w:rsidRPr="003B31BB">
        <w:rPr>
          <w:lang w:val="en-AU"/>
        </w:rPr>
        <w:t xml:space="preserve">-Wiersma, M </w:t>
      </w:r>
      <w:proofErr w:type="spellStart"/>
      <w:r w:rsidR="004F444D" w:rsidRPr="003B31BB">
        <w:rPr>
          <w:lang w:val="en-AU"/>
        </w:rPr>
        <w:t>Benjamins</w:t>
      </w:r>
      <w:proofErr w:type="spellEnd"/>
      <w:r w:rsidR="004F444D" w:rsidRPr="003B31BB">
        <w:rPr>
          <w:lang w:val="en-AU"/>
        </w:rPr>
        <w:t xml:space="preserve">, T </w:t>
      </w:r>
      <w:proofErr w:type="spellStart"/>
      <w:r w:rsidR="004F444D" w:rsidRPr="003B31BB">
        <w:rPr>
          <w:lang w:val="en-AU"/>
        </w:rPr>
        <w:t>Dijkhuizen</w:t>
      </w:r>
      <w:proofErr w:type="spellEnd"/>
      <w:r w:rsidR="004F444D" w:rsidRPr="003B31BB">
        <w:rPr>
          <w:lang w:val="en-AU"/>
        </w:rPr>
        <w:t xml:space="preserve">, PJTA </w:t>
      </w:r>
      <w:proofErr w:type="spellStart"/>
      <w:r w:rsidR="004F444D" w:rsidRPr="003B31BB">
        <w:rPr>
          <w:lang w:val="en-AU"/>
        </w:rPr>
        <w:t>Groenen</w:t>
      </w:r>
      <w:proofErr w:type="spellEnd"/>
      <w:r w:rsidR="004F444D" w:rsidRPr="003B31BB">
        <w:rPr>
          <w:lang w:val="en-AU"/>
        </w:rPr>
        <w:t xml:space="preserve"> and A Simons</w:t>
      </w:r>
      <w:r w:rsidRPr="003B31BB">
        <w:rPr>
          <w:lang w:val="en-AU"/>
        </w:rPr>
        <w:t>. Identification of prognostic relevant chromosomal abnormalities in chronic lymphocytic leukemia using micro</w:t>
      </w:r>
      <w:r w:rsidR="003B3B2D" w:rsidRPr="003B31BB">
        <w:rPr>
          <w:lang w:val="en-AU"/>
        </w:rPr>
        <w:t xml:space="preserve">array-based genomic profiling. </w:t>
      </w:r>
      <w:r w:rsidRPr="00403ACD">
        <w:rPr>
          <w:i/>
          <w:lang w:val="en-AU"/>
        </w:rPr>
        <w:t>Mol</w:t>
      </w:r>
      <w:r w:rsidR="003B3B2D" w:rsidRPr="00403ACD">
        <w:rPr>
          <w:i/>
          <w:lang w:val="en-AU"/>
        </w:rPr>
        <w:t>ecular</w:t>
      </w:r>
      <w:r w:rsidRPr="00403ACD">
        <w:rPr>
          <w:i/>
          <w:lang w:val="en-AU"/>
        </w:rPr>
        <w:t xml:space="preserve"> Cytogenet</w:t>
      </w:r>
      <w:r w:rsidR="00834CE6" w:rsidRPr="00403ACD">
        <w:rPr>
          <w:i/>
          <w:lang w:val="en-AU"/>
        </w:rPr>
        <w:t>ics</w:t>
      </w:r>
      <w:r w:rsidR="00834CE6" w:rsidRPr="003B31BB">
        <w:rPr>
          <w:lang w:val="en-AU"/>
        </w:rPr>
        <w:t>.</w:t>
      </w:r>
      <w:r w:rsidRPr="003B31BB">
        <w:rPr>
          <w:lang w:val="en-AU"/>
        </w:rPr>
        <w:t xml:space="preserve"> 2014</w:t>
      </w:r>
      <w:r w:rsidR="00834CE6" w:rsidRPr="003B31BB">
        <w:rPr>
          <w:lang w:val="en-AU"/>
        </w:rPr>
        <w:t>,</w:t>
      </w:r>
      <w:r w:rsidRPr="003B31BB">
        <w:rPr>
          <w:lang w:val="en-AU"/>
        </w:rPr>
        <w:t xml:space="preserve"> </w:t>
      </w:r>
      <w:r w:rsidR="00834CE6" w:rsidRPr="003B31BB">
        <w:rPr>
          <w:lang w:val="en-AU"/>
        </w:rPr>
        <w:t>vol.</w:t>
      </w:r>
      <w:r w:rsidRPr="003B31BB">
        <w:rPr>
          <w:lang w:val="en-AU"/>
        </w:rPr>
        <w:t xml:space="preserve"> 7</w:t>
      </w:r>
      <w:r w:rsidR="00834CE6" w:rsidRPr="003B31BB">
        <w:rPr>
          <w:lang w:val="en-AU"/>
        </w:rPr>
        <w:t>, no.</w:t>
      </w:r>
      <w:r w:rsidRPr="003B31BB">
        <w:rPr>
          <w:lang w:val="en-AU"/>
        </w:rPr>
        <w:t xml:space="preserve"> 1</w:t>
      </w:r>
      <w:r w:rsidR="00834CE6" w:rsidRPr="003B31BB">
        <w:rPr>
          <w:lang w:val="en-AU"/>
        </w:rPr>
        <w:t>, p.</w:t>
      </w:r>
      <w:r w:rsidR="00304376" w:rsidRPr="003B31BB">
        <w:rPr>
          <w:lang w:val="en-AU"/>
        </w:rPr>
        <w:t xml:space="preserve"> </w:t>
      </w:r>
      <w:r w:rsidRPr="003B31BB">
        <w:rPr>
          <w:lang w:val="en-AU"/>
        </w:rPr>
        <w:t>1</w:t>
      </w:r>
      <w:bookmarkEnd w:id="183"/>
      <w:r w:rsidR="00834CE6" w:rsidRPr="003B31BB">
        <w:rPr>
          <w:lang w:val="en-AU"/>
        </w:rPr>
        <w:t>.</w:t>
      </w:r>
    </w:p>
    <w:p w14:paraId="39A32FB1" w14:textId="77777777" w:rsidR="00BF2A7A" w:rsidRPr="003B31BB" w:rsidRDefault="00BF2A7A" w:rsidP="00F13BE2">
      <w:pPr>
        <w:pStyle w:val="ListParagraph"/>
        <w:numPr>
          <w:ilvl w:val="0"/>
          <w:numId w:val="25"/>
        </w:numPr>
        <w:spacing w:before="120"/>
        <w:ind w:left="426" w:hanging="426"/>
        <w:rPr>
          <w:lang w:val="en-AU"/>
        </w:rPr>
      </w:pPr>
      <w:bookmarkStart w:id="184" w:name="_Ref488827373"/>
      <w:r w:rsidRPr="003B31BB">
        <w:rPr>
          <w:lang w:val="en-AU"/>
        </w:rPr>
        <w:t>Agnelli</w:t>
      </w:r>
      <w:r w:rsidR="004C56F0" w:rsidRPr="003B31BB">
        <w:rPr>
          <w:lang w:val="en-AU"/>
        </w:rPr>
        <w:t>,</w:t>
      </w:r>
      <w:r w:rsidRPr="003B31BB">
        <w:rPr>
          <w:lang w:val="en-AU"/>
        </w:rPr>
        <w:t xml:space="preserve"> L, </w:t>
      </w:r>
      <w:r w:rsidR="004C56F0" w:rsidRPr="003B31BB">
        <w:rPr>
          <w:lang w:val="en-AU"/>
        </w:rPr>
        <w:t xml:space="preserve">L </w:t>
      </w:r>
      <w:proofErr w:type="spellStart"/>
      <w:r w:rsidRPr="003B31BB">
        <w:rPr>
          <w:lang w:val="en-AU"/>
        </w:rPr>
        <w:t>Mosca</w:t>
      </w:r>
      <w:proofErr w:type="spellEnd"/>
      <w:r w:rsidRPr="003B31BB">
        <w:rPr>
          <w:lang w:val="en-AU"/>
        </w:rPr>
        <w:t xml:space="preserve">, </w:t>
      </w:r>
      <w:r w:rsidR="004C56F0" w:rsidRPr="003B31BB">
        <w:rPr>
          <w:lang w:val="en-AU"/>
        </w:rPr>
        <w:t xml:space="preserve">S </w:t>
      </w:r>
      <w:proofErr w:type="spellStart"/>
      <w:r w:rsidRPr="003B31BB">
        <w:rPr>
          <w:lang w:val="en-AU"/>
        </w:rPr>
        <w:t>Fabris</w:t>
      </w:r>
      <w:proofErr w:type="spellEnd"/>
      <w:r w:rsidRPr="003B31BB">
        <w:rPr>
          <w:lang w:val="en-AU"/>
        </w:rPr>
        <w:t xml:space="preserve">, </w:t>
      </w:r>
      <w:r w:rsidR="004C56F0" w:rsidRPr="003B31BB">
        <w:rPr>
          <w:lang w:val="en-AU"/>
        </w:rPr>
        <w:t xml:space="preserve">M </w:t>
      </w:r>
      <w:proofErr w:type="spellStart"/>
      <w:r w:rsidRPr="003B31BB">
        <w:rPr>
          <w:lang w:val="en-AU"/>
        </w:rPr>
        <w:t>Lionetti</w:t>
      </w:r>
      <w:proofErr w:type="spellEnd"/>
      <w:r w:rsidRPr="003B31BB">
        <w:rPr>
          <w:lang w:val="en-AU"/>
        </w:rPr>
        <w:t xml:space="preserve">, </w:t>
      </w:r>
      <w:r w:rsidR="004C56F0" w:rsidRPr="003B31BB">
        <w:rPr>
          <w:lang w:val="en-AU"/>
        </w:rPr>
        <w:t xml:space="preserve">A </w:t>
      </w:r>
      <w:proofErr w:type="spellStart"/>
      <w:r w:rsidRPr="003B31BB">
        <w:rPr>
          <w:lang w:val="en-AU"/>
        </w:rPr>
        <w:t>Andronache</w:t>
      </w:r>
      <w:proofErr w:type="spellEnd"/>
      <w:r w:rsidRPr="003B31BB">
        <w:rPr>
          <w:lang w:val="en-AU"/>
        </w:rPr>
        <w:t xml:space="preserve">, </w:t>
      </w:r>
      <w:r w:rsidR="004C56F0" w:rsidRPr="003B31BB">
        <w:rPr>
          <w:lang w:val="en-AU"/>
        </w:rPr>
        <w:t xml:space="preserve">I </w:t>
      </w:r>
      <w:proofErr w:type="spellStart"/>
      <w:r w:rsidRPr="003B31BB">
        <w:rPr>
          <w:lang w:val="en-AU"/>
        </w:rPr>
        <w:t>Kwee</w:t>
      </w:r>
      <w:proofErr w:type="spellEnd"/>
      <w:r w:rsidRPr="003B31BB">
        <w:rPr>
          <w:lang w:val="en-AU"/>
        </w:rPr>
        <w:t xml:space="preserve">, </w:t>
      </w:r>
      <w:r w:rsidR="004C56F0" w:rsidRPr="003B31BB">
        <w:rPr>
          <w:lang w:val="en-AU"/>
        </w:rPr>
        <w:t xml:space="preserve">K </w:t>
      </w:r>
      <w:proofErr w:type="spellStart"/>
      <w:r w:rsidRPr="003B31BB">
        <w:rPr>
          <w:lang w:val="en-AU"/>
        </w:rPr>
        <w:t>Todoerti</w:t>
      </w:r>
      <w:proofErr w:type="spellEnd"/>
      <w:r w:rsidRPr="003B31BB">
        <w:rPr>
          <w:lang w:val="en-AU"/>
        </w:rPr>
        <w:t>,</w:t>
      </w:r>
      <w:r w:rsidR="00E40F2E" w:rsidRPr="003B31BB">
        <w:rPr>
          <w:lang w:val="en-AU"/>
        </w:rPr>
        <w:t xml:space="preserve"> D </w:t>
      </w:r>
      <w:proofErr w:type="spellStart"/>
      <w:r w:rsidR="00E40F2E" w:rsidRPr="003B31BB">
        <w:rPr>
          <w:lang w:val="en-AU"/>
        </w:rPr>
        <w:t>Verdelli</w:t>
      </w:r>
      <w:proofErr w:type="spellEnd"/>
      <w:r w:rsidR="00E40F2E" w:rsidRPr="003B31BB">
        <w:rPr>
          <w:lang w:val="en-AU"/>
        </w:rPr>
        <w:t xml:space="preserve">, C Battaglia, F </w:t>
      </w:r>
      <w:proofErr w:type="spellStart"/>
      <w:r w:rsidR="00E40F2E" w:rsidRPr="003B31BB">
        <w:rPr>
          <w:lang w:val="en-AU"/>
        </w:rPr>
        <w:t>Bertoni</w:t>
      </w:r>
      <w:proofErr w:type="spellEnd"/>
      <w:r w:rsidR="00E40F2E" w:rsidRPr="003B31BB">
        <w:rPr>
          <w:lang w:val="en-AU"/>
        </w:rPr>
        <w:t xml:space="preserve">, G </w:t>
      </w:r>
      <w:proofErr w:type="spellStart"/>
      <w:r w:rsidR="00E40F2E" w:rsidRPr="003B31BB">
        <w:rPr>
          <w:lang w:val="en-AU"/>
        </w:rPr>
        <w:t>Lambertenghi</w:t>
      </w:r>
      <w:proofErr w:type="spellEnd"/>
      <w:r w:rsidR="00E40F2E" w:rsidRPr="003B31BB">
        <w:rPr>
          <w:lang w:val="en-AU"/>
        </w:rPr>
        <w:t xml:space="preserve"> </w:t>
      </w:r>
      <w:proofErr w:type="spellStart"/>
      <w:r w:rsidR="00E40F2E" w:rsidRPr="003B31BB">
        <w:rPr>
          <w:lang w:val="en-AU"/>
        </w:rPr>
        <w:t>Deliliers</w:t>
      </w:r>
      <w:proofErr w:type="spellEnd"/>
      <w:r w:rsidR="00E40F2E" w:rsidRPr="003B31BB">
        <w:rPr>
          <w:lang w:val="en-AU"/>
        </w:rPr>
        <w:t xml:space="preserve"> and A </w:t>
      </w:r>
      <w:proofErr w:type="spellStart"/>
      <w:r w:rsidR="00E40F2E" w:rsidRPr="003B31BB">
        <w:rPr>
          <w:lang w:val="en-AU"/>
        </w:rPr>
        <w:t>Neri</w:t>
      </w:r>
      <w:proofErr w:type="spellEnd"/>
      <w:r w:rsidRPr="003B31BB">
        <w:rPr>
          <w:lang w:val="en-AU"/>
        </w:rPr>
        <w:t xml:space="preserve">. A SNP microarray and FISH-based procedure to detect allelic imbalances in multiple myeloma: an integrated genomics approach reveals a wide gene dosage effect. </w:t>
      </w:r>
      <w:r w:rsidRPr="00403ACD">
        <w:rPr>
          <w:i/>
          <w:lang w:val="en-AU"/>
        </w:rPr>
        <w:t>Genes</w:t>
      </w:r>
      <w:r w:rsidR="00765A12" w:rsidRPr="00403ACD">
        <w:rPr>
          <w:i/>
          <w:lang w:val="en-AU"/>
        </w:rPr>
        <w:t>,</w:t>
      </w:r>
      <w:r w:rsidRPr="00403ACD">
        <w:rPr>
          <w:i/>
          <w:lang w:val="en-AU"/>
        </w:rPr>
        <w:t xml:space="preserve"> Chromosomes </w:t>
      </w:r>
      <w:r w:rsidR="004C56F0" w:rsidRPr="00403ACD">
        <w:rPr>
          <w:i/>
          <w:lang w:val="en-AU"/>
        </w:rPr>
        <w:t xml:space="preserve">and </w:t>
      </w:r>
      <w:r w:rsidRPr="00403ACD">
        <w:rPr>
          <w:i/>
          <w:lang w:val="en-AU"/>
        </w:rPr>
        <w:t>Cancer</w:t>
      </w:r>
      <w:r w:rsidRPr="003B31BB">
        <w:rPr>
          <w:lang w:val="en-AU"/>
        </w:rPr>
        <w:t>. 2009</w:t>
      </w:r>
      <w:r w:rsidR="004C56F0" w:rsidRPr="003B31BB">
        <w:rPr>
          <w:lang w:val="en-AU"/>
        </w:rPr>
        <w:t>,</w:t>
      </w:r>
      <w:r w:rsidRPr="003B31BB">
        <w:rPr>
          <w:lang w:val="en-AU"/>
        </w:rPr>
        <w:t xml:space="preserve"> </w:t>
      </w:r>
      <w:r w:rsidR="004C56F0" w:rsidRPr="003B31BB">
        <w:rPr>
          <w:lang w:val="en-AU"/>
        </w:rPr>
        <w:t xml:space="preserve">vol. </w:t>
      </w:r>
      <w:r w:rsidRPr="003B31BB">
        <w:rPr>
          <w:lang w:val="en-AU"/>
        </w:rPr>
        <w:t>48</w:t>
      </w:r>
      <w:r w:rsidR="004C56F0" w:rsidRPr="003B31BB">
        <w:rPr>
          <w:lang w:val="en-AU"/>
        </w:rPr>
        <w:t xml:space="preserve">, no. </w:t>
      </w:r>
      <w:r w:rsidRPr="003B31BB">
        <w:rPr>
          <w:lang w:val="en-AU"/>
        </w:rPr>
        <w:t>7</w:t>
      </w:r>
      <w:r w:rsidR="004C56F0" w:rsidRPr="003B31BB">
        <w:rPr>
          <w:lang w:val="en-AU"/>
        </w:rPr>
        <w:t xml:space="preserve">, pp. </w:t>
      </w:r>
      <w:r w:rsidRPr="003B31BB">
        <w:rPr>
          <w:lang w:val="en-AU"/>
        </w:rPr>
        <w:t>603</w:t>
      </w:r>
      <w:r w:rsidR="0094143A">
        <w:rPr>
          <w:lang w:val="en-AU"/>
        </w:rPr>
        <w:t>-</w:t>
      </w:r>
      <w:r w:rsidR="00087D2B" w:rsidRPr="003B31BB">
        <w:rPr>
          <w:lang w:val="en-AU"/>
        </w:rPr>
        <w:t>6</w:t>
      </w:r>
      <w:r w:rsidRPr="003B31BB">
        <w:rPr>
          <w:lang w:val="en-AU"/>
        </w:rPr>
        <w:t>14</w:t>
      </w:r>
      <w:bookmarkEnd w:id="184"/>
      <w:r w:rsidR="004C56F0" w:rsidRPr="003B31BB">
        <w:rPr>
          <w:lang w:val="en-AU"/>
        </w:rPr>
        <w:t>.</w:t>
      </w:r>
    </w:p>
    <w:p w14:paraId="44696FEB" w14:textId="77777777" w:rsidR="00BF2A7A" w:rsidRPr="003B31BB" w:rsidRDefault="00BF2A7A" w:rsidP="00F13BE2">
      <w:pPr>
        <w:pStyle w:val="ListParagraph"/>
        <w:numPr>
          <w:ilvl w:val="0"/>
          <w:numId w:val="25"/>
        </w:numPr>
        <w:spacing w:before="120"/>
        <w:ind w:left="426" w:hanging="426"/>
        <w:rPr>
          <w:lang w:val="en-AU"/>
        </w:rPr>
      </w:pPr>
      <w:bookmarkStart w:id="185" w:name="_Ref488827396"/>
      <w:proofErr w:type="spellStart"/>
      <w:r w:rsidRPr="003B31BB">
        <w:rPr>
          <w:lang w:val="en-AU"/>
        </w:rPr>
        <w:t>Avet</w:t>
      </w:r>
      <w:proofErr w:type="spellEnd"/>
      <w:r w:rsidRPr="003B31BB">
        <w:rPr>
          <w:lang w:val="en-AU"/>
        </w:rPr>
        <w:t>-Loiseau</w:t>
      </w:r>
      <w:r w:rsidR="00087D2B" w:rsidRPr="003B31BB">
        <w:rPr>
          <w:lang w:val="en-AU"/>
        </w:rPr>
        <w:t>,</w:t>
      </w:r>
      <w:r w:rsidRPr="003B31BB">
        <w:rPr>
          <w:lang w:val="en-AU"/>
        </w:rPr>
        <w:t xml:space="preserve"> H, </w:t>
      </w:r>
      <w:r w:rsidR="00087D2B" w:rsidRPr="003B31BB">
        <w:rPr>
          <w:lang w:val="en-AU"/>
        </w:rPr>
        <w:t xml:space="preserve">C </w:t>
      </w:r>
      <w:r w:rsidRPr="003B31BB">
        <w:rPr>
          <w:lang w:val="en-AU"/>
        </w:rPr>
        <w:t xml:space="preserve">Li, </w:t>
      </w:r>
      <w:r w:rsidR="00087D2B" w:rsidRPr="003B31BB">
        <w:rPr>
          <w:lang w:val="en-AU"/>
        </w:rPr>
        <w:t xml:space="preserve">F </w:t>
      </w:r>
      <w:proofErr w:type="spellStart"/>
      <w:r w:rsidRPr="003B31BB">
        <w:rPr>
          <w:lang w:val="en-AU"/>
        </w:rPr>
        <w:t>Magrangeas</w:t>
      </w:r>
      <w:proofErr w:type="spellEnd"/>
      <w:r w:rsidRPr="003B31BB">
        <w:rPr>
          <w:lang w:val="en-AU"/>
        </w:rPr>
        <w:t xml:space="preserve">, </w:t>
      </w:r>
      <w:r w:rsidR="00087D2B" w:rsidRPr="003B31BB">
        <w:rPr>
          <w:lang w:val="en-AU"/>
        </w:rPr>
        <w:t xml:space="preserve">W </w:t>
      </w:r>
      <w:proofErr w:type="spellStart"/>
      <w:r w:rsidRPr="003B31BB">
        <w:rPr>
          <w:lang w:val="en-AU"/>
        </w:rPr>
        <w:t>Gouraud</w:t>
      </w:r>
      <w:proofErr w:type="spellEnd"/>
      <w:r w:rsidRPr="003B31BB">
        <w:rPr>
          <w:lang w:val="en-AU"/>
        </w:rPr>
        <w:t xml:space="preserve">, </w:t>
      </w:r>
      <w:r w:rsidR="00087D2B" w:rsidRPr="003B31BB">
        <w:rPr>
          <w:lang w:val="en-AU"/>
        </w:rPr>
        <w:t xml:space="preserve">C </w:t>
      </w:r>
      <w:proofErr w:type="spellStart"/>
      <w:r w:rsidRPr="003B31BB">
        <w:rPr>
          <w:lang w:val="en-AU"/>
        </w:rPr>
        <w:t>Charbonnel</w:t>
      </w:r>
      <w:proofErr w:type="spellEnd"/>
      <w:r w:rsidRPr="003B31BB">
        <w:rPr>
          <w:lang w:val="en-AU"/>
        </w:rPr>
        <w:t xml:space="preserve">, </w:t>
      </w:r>
      <w:r w:rsidR="00087D2B" w:rsidRPr="003B31BB">
        <w:rPr>
          <w:lang w:val="en-AU"/>
        </w:rPr>
        <w:t xml:space="preserve">JL </w:t>
      </w:r>
      <w:proofErr w:type="spellStart"/>
      <w:r w:rsidRPr="003B31BB">
        <w:rPr>
          <w:lang w:val="en-AU"/>
        </w:rPr>
        <w:t>Harousseau</w:t>
      </w:r>
      <w:proofErr w:type="spellEnd"/>
      <w:r w:rsidRPr="003B31BB">
        <w:rPr>
          <w:lang w:val="en-AU"/>
        </w:rPr>
        <w:t xml:space="preserve">, </w:t>
      </w:r>
      <w:r w:rsidR="00087D2B" w:rsidRPr="003B31BB">
        <w:rPr>
          <w:lang w:val="en-AU"/>
        </w:rPr>
        <w:t xml:space="preserve">M </w:t>
      </w:r>
      <w:r w:rsidRPr="003B31BB">
        <w:rPr>
          <w:lang w:val="en-AU"/>
        </w:rPr>
        <w:t xml:space="preserve">Attal, </w:t>
      </w:r>
      <w:r w:rsidR="00E40F2E" w:rsidRPr="003B31BB">
        <w:rPr>
          <w:lang w:val="en-AU"/>
        </w:rPr>
        <w:t xml:space="preserve">G </w:t>
      </w:r>
      <w:proofErr w:type="spellStart"/>
      <w:r w:rsidR="00E40F2E" w:rsidRPr="003B31BB">
        <w:rPr>
          <w:lang w:val="en-AU"/>
        </w:rPr>
        <w:t>Marit</w:t>
      </w:r>
      <w:proofErr w:type="spellEnd"/>
      <w:r w:rsidR="00E40F2E" w:rsidRPr="003B31BB">
        <w:rPr>
          <w:lang w:val="en-AU"/>
        </w:rPr>
        <w:t xml:space="preserve">, C </w:t>
      </w:r>
      <w:proofErr w:type="spellStart"/>
      <w:r w:rsidR="00E40F2E" w:rsidRPr="003B31BB">
        <w:rPr>
          <w:lang w:val="en-AU"/>
        </w:rPr>
        <w:t>Mathiot</w:t>
      </w:r>
      <w:proofErr w:type="spellEnd"/>
      <w:r w:rsidR="00E40F2E" w:rsidRPr="003B31BB">
        <w:rPr>
          <w:lang w:val="en-AU"/>
        </w:rPr>
        <w:t xml:space="preserve">, T </w:t>
      </w:r>
      <w:proofErr w:type="spellStart"/>
      <w:r w:rsidR="00E40F2E" w:rsidRPr="003B31BB">
        <w:rPr>
          <w:lang w:val="en-AU"/>
        </w:rPr>
        <w:t>Facon</w:t>
      </w:r>
      <w:proofErr w:type="spellEnd"/>
      <w:r w:rsidR="00E40F2E" w:rsidRPr="003B31BB">
        <w:rPr>
          <w:lang w:val="en-AU"/>
        </w:rPr>
        <w:t>, P Moreau, KC Anderson, L Campion, NC. Munshi and S Minvielle</w:t>
      </w:r>
      <w:r w:rsidRPr="003B31BB">
        <w:rPr>
          <w:lang w:val="en-AU"/>
        </w:rPr>
        <w:t xml:space="preserve">. </w:t>
      </w:r>
      <w:r w:rsidR="00E40F2E" w:rsidRPr="003B31BB">
        <w:rPr>
          <w:lang w:val="en-AU"/>
        </w:rPr>
        <w:t>Prognostic Significance of Copy-Number Alterations in Multiple Myeloma.</w:t>
      </w:r>
      <w:r w:rsidR="0069613E" w:rsidRPr="003B31BB">
        <w:rPr>
          <w:lang w:val="en-AU"/>
        </w:rPr>
        <w:t xml:space="preserve"> </w:t>
      </w:r>
      <w:r w:rsidRPr="00403ACD">
        <w:rPr>
          <w:i/>
          <w:lang w:val="en-AU"/>
        </w:rPr>
        <w:t>J</w:t>
      </w:r>
      <w:r w:rsidR="00087D2B" w:rsidRPr="00403ACD">
        <w:rPr>
          <w:i/>
          <w:lang w:val="en-AU"/>
        </w:rPr>
        <w:t>ournal of</w:t>
      </w:r>
      <w:r w:rsidRPr="00403ACD">
        <w:rPr>
          <w:i/>
          <w:lang w:val="en-AU"/>
        </w:rPr>
        <w:t xml:space="preserve"> Clin</w:t>
      </w:r>
      <w:r w:rsidR="00087D2B" w:rsidRPr="00403ACD">
        <w:rPr>
          <w:i/>
          <w:lang w:val="en-AU"/>
        </w:rPr>
        <w:t>ical</w:t>
      </w:r>
      <w:r w:rsidRPr="00403ACD">
        <w:rPr>
          <w:i/>
          <w:lang w:val="en-AU"/>
        </w:rPr>
        <w:t xml:space="preserve"> Oncol</w:t>
      </w:r>
      <w:r w:rsidR="00087D2B" w:rsidRPr="00403ACD">
        <w:rPr>
          <w:i/>
          <w:lang w:val="en-AU"/>
        </w:rPr>
        <w:t>ogy</w:t>
      </w:r>
      <w:r w:rsidRPr="00403ACD">
        <w:rPr>
          <w:i/>
          <w:lang w:val="en-AU"/>
        </w:rPr>
        <w:t xml:space="preserve">. </w:t>
      </w:r>
      <w:r w:rsidRPr="003B31BB">
        <w:rPr>
          <w:lang w:val="en-AU"/>
        </w:rPr>
        <w:t>2009</w:t>
      </w:r>
      <w:r w:rsidR="00087D2B" w:rsidRPr="003B31BB">
        <w:rPr>
          <w:lang w:val="en-AU"/>
        </w:rPr>
        <w:t>,</w:t>
      </w:r>
      <w:r w:rsidRPr="003B31BB">
        <w:rPr>
          <w:lang w:val="en-AU"/>
        </w:rPr>
        <w:t xml:space="preserve"> </w:t>
      </w:r>
      <w:r w:rsidR="00087D2B" w:rsidRPr="003B31BB">
        <w:rPr>
          <w:lang w:val="en-AU"/>
        </w:rPr>
        <w:t xml:space="preserve">vol. </w:t>
      </w:r>
      <w:r w:rsidRPr="003B31BB">
        <w:rPr>
          <w:lang w:val="en-AU"/>
        </w:rPr>
        <w:t>27</w:t>
      </w:r>
      <w:r w:rsidR="00087D2B" w:rsidRPr="003B31BB">
        <w:rPr>
          <w:lang w:val="en-AU"/>
        </w:rPr>
        <w:t xml:space="preserve">, no. </w:t>
      </w:r>
      <w:r w:rsidRPr="003B31BB">
        <w:rPr>
          <w:lang w:val="en-AU"/>
        </w:rPr>
        <w:t>27</w:t>
      </w:r>
      <w:r w:rsidR="00087D2B" w:rsidRPr="003B31BB">
        <w:rPr>
          <w:lang w:val="en-AU"/>
        </w:rPr>
        <w:t xml:space="preserve">, pp. </w:t>
      </w:r>
      <w:r w:rsidRPr="003B31BB">
        <w:rPr>
          <w:lang w:val="en-AU"/>
        </w:rPr>
        <w:t>4585</w:t>
      </w:r>
      <w:r w:rsidR="0094143A">
        <w:rPr>
          <w:lang w:val="en-AU"/>
        </w:rPr>
        <w:t>-</w:t>
      </w:r>
      <w:r w:rsidR="00087D2B" w:rsidRPr="003B31BB">
        <w:rPr>
          <w:lang w:val="en-AU"/>
        </w:rPr>
        <w:t>45</w:t>
      </w:r>
      <w:r w:rsidRPr="003B31BB">
        <w:rPr>
          <w:lang w:val="en-AU"/>
        </w:rPr>
        <w:t>90.</w:t>
      </w:r>
      <w:bookmarkEnd w:id="185"/>
    </w:p>
    <w:p w14:paraId="1BF76350" w14:textId="77777777" w:rsidR="008B3E30" w:rsidRPr="003B31BB" w:rsidRDefault="00BF2A7A" w:rsidP="00F13BE2">
      <w:pPr>
        <w:pStyle w:val="ListParagraph"/>
        <w:numPr>
          <w:ilvl w:val="0"/>
          <w:numId w:val="25"/>
        </w:numPr>
        <w:spacing w:before="120"/>
        <w:ind w:left="426" w:hanging="426"/>
        <w:rPr>
          <w:lang w:val="en-AU"/>
        </w:rPr>
      </w:pPr>
      <w:bookmarkStart w:id="186" w:name="_Ref488829265"/>
      <w:proofErr w:type="spellStart"/>
      <w:r w:rsidRPr="003B31BB">
        <w:rPr>
          <w:lang w:val="en-AU"/>
        </w:rPr>
        <w:t>Hebraud</w:t>
      </w:r>
      <w:proofErr w:type="spellEnd"/>
      <w:r w:rsidR="00456712" w:rsidRPr="003B31BB">
        <w:rPr>
          <w:lang w:val="en-AU"/>
        </w:rPr>
        <w:t>,</w:t>
      </w:r>
      <w:r w:rsidRPr="003B31BB">
        <w:rPr>
          <w:lang w:val="en-AU"/>
        </w:rPr>
        <w:t xml:space="preserve"> B</w:t>
      </w:r>
      <w:r w:rsidR="00456712" w:rsidRPr="003B31BB">
        <w:rPr>
          <w:lang w:val="en-AU"/>
        </w:rPr>
        <w:t>,</w:t>
      </w:r>
      <w:r w:rsidR="00C36F91" w:rsidRPr="003B31BB">
        <w:rPr>
          <w:lang w:val="en-AU"/>
        </w:rPr>
        <w:t xml:space="preserve"> F </w:t>
      </w:r>
      <w:proofErr w:type="spellStart"/>
      <w:r w:rsidR="00C36F91" w:rsidRPr="003B31BB">
        <w:rPr>
          <w:lang w:val="en-AU"/>
        </w:rPr>
        <w:t>Magrangeas</w:t>
      </w:r>
      <w:proofErr w:type="spellEnd"/>
      <w:r w:rsidR="00C36F91" w:rsidRPr="003B31BB">
        <w:rPr>
          <w:lang w:val="en-AU"/>
        </w:rPr>
        <w:t xml:space="preserve">, A </w:t>
      </w:r>
      <w:proofErr w:type="spellStart"/>
      <w:r w:rsidR="00C36F91" w:rsidRPr="003B31BB">
        <w:rPr>
          <w:lang w:val="en-AU"/>
        </w:rPr>
        <w:t>Cleynen</w:t>
      </w:r>
      <w:proofErr w:type="spellEnd"/>
      <w:r w:rsidR="00C36F91" w:rsidRPr="003B31BB">
        <w:rPr>
          <w:lang w:val="en-AU"/>
        </w:rPr>
        <w:t xml:space="preserve">, V </w:t>
      </w:r>
      <w:proofErr w:type="spellStart"/>
      <w:r w:rsidR="00C36F91" w:rsidRPr="003B31BB">
        <w:rPr>
          <w:lang w:val="en-AU"/>
        </w:rPr>
        <w:t>Lauwers-Cances</w:t>
      </w:r>
      <w:proofErr w:type="spellEnd"/>
      <w:r w:rsidR="00C36F91" w:rsidRPr="003B31BB">
        <w:rPr>
          <w:lang w:val="en-AU"/>
        </w:rPr>
        <w:t xml:space="preserve">, M Chretien, C Hulin, </w:t>
      </w:r>
      <w:proofErr w:type="spellStart"/>
      <w:r w:rsidR="00C36F91" w:rsidRPr="003B31BB">
        <w:rPr>
          <w:lang w:val="en-AU"/>
        </w:rPr>
        <w:t>Xr</w:t>
      </w:r>
      <w:proofErr w:type="spellEnd"/>
      <w:r w:rsidR="00C36F91" w:rsidRPr="003B31BB">
        <w:rPr>
          <w:lang w:val="en-AU"/>
        </w:rPr>
        <w:t xml:space="preserve"> </w:t>
      </w:r>
      <w:proofErr w:type="spellStart"/>
      <w:r w:rsidR="00C36F91" w:rsidRPr="003B31BB">
        <w:rPr>
          <w:lang w:val="en-AU"/>
        </w:rPr>
        <w:t>Leleu</w:t>
      </w:r>
      <w:proofErr w:type="spellEnd"/>
      <w:r w:rsidR="00C36F91" w:rsidRPr="003B31BB">
        <w:rPr>
          <w:lang w:val="en-AU"/>
        </w:rPr>
        <w:t xml:space="preserve">, E Yon, G </w:t>
      </w:r>
      <w:proofErr w:type="spellStart"/>
      <w:r w:rsidR="00C36F91" w:rsidRPr="003B31BB">
        <w:rPr>
          <w:lang w:val="en-AU"/>
        </w:rPr>
        <w:t>Marit</w:t>
      </w:r>
      <w:proofErr w:type="spellEnd"/>
      <w:r w:rsidR="00C36F91" w:rsidRPr="003B31BB">
        <w:rPr>
          <w:lang w:val="en-AU"/>
        </w:rPr>
        <w:t xml:space="preserve">, L </w:t>
      </w:r>
      <w:proofErr w:type="spellStart"/>
      <w:r w:rsidR="00C36F91" w:rsidRPr="003B31BB">
        <w:rPr>
          <w:lang w:val="en-AU"/>
        </w:rPr>
        <w:t>Karlin</w:t>
      </w:r>
      <w:proofErr w:type="spellEnd"/>
      <w:r w:rsidR="00C36F91" w:rsidRPr="003B31BB">
        <w:rPr>
          <w:lang w:val="en-AU"/>
        </w:rPr>
        <w:t xml:space="preserve">, M Roussel, A </w:t>
      </w:r>
      <w:proofErr w:type="spellStart"/>
      <w:r w:rsidR="00C36F91" w:rsidRPr="003B31BB">
        <w:rPr>
          <w:lang w:val="en-AU"/>
        </w:rPr>
        <w:t>Stoppa</w:t>
      </w:r>
      <w:proofErr w:type="spellEnd"/>
      <w:r w:rsidR="00C36F91" w:rsidRPr="003B31BB">
        <w:rPr>
          <w:lang w:val="en-AU"/>
        </w:rPr>
        <w:t xml:space="preserve">, K </w:t>
      </w:r>
      <w:proofErr w:type="spellStart"/>
      <w:r w:rsidR="00C36F91" w:rsidRPr="003B31BB">
        <w:rPr>
          <w:lang w:val="en-AU"/>
        </w:rPr>
        <w:t>Belhadj</w:t>
      </w:r>
      <w:proofErr w:type="spellEnd"/>
      <w:r w:rsidR="00C36F91" w:rsidRPr="003B31BB">
        <w:rPr>
          <w:lang w:val="en-AU"/>
        </w:rPr>
        <w:t xml:space="preserve">, L </w:t>
      </w:r>
      <w:proofErr w:type="spellStart"/>
      <w:r w:rsidR="00C36F91" w:rsidRPr="003B31BB">
        <w:rPr>
          <w:lang w:val="en-AU"/>
        </w:rPr>
        <w:t>Voillat</w:t>
      </w:r>
      <w:proofErr w:type="spellEnd"/>
      <w:r w:rsidR="00C36F91" w:rsidRPr="003B31BB">
        <w:rPr>
          <w:lang w:val="en-AU"/>
        </w:rPr>
        <w:t xml:space="preserve">, L </w:t>
      </w:r>
      <w:proofErr w:type="spellStart"/>
      <w:r w:rsidR="00C36F91" w:rsidRPr="003B31BB">
        <w:rPr>
          <w:lang w:val="en-AU"/>
        </w:rPr>
        <w:t>Garderet</w:t>
      </w:r>
      <w:proofErr w:type="spellEnd"/>
      <w:r w:rsidR="00C36F91" w:rsidRPr="003B31BB">
        <w:rPr>
          <w:lang w:val="en-AU"/>
        </w:rPr>
        <w:t xml:space="preserve">, M Macro, D </w:t>
      </w:r>
      <w:proofErr w:type="spellStart"/>
      <w:r w:rsidR="00C36F91" w:rsidRPr="003B31BB">
        <w:rPr>
          <w:lang w:val="en-AU"/>
        </w:rPr>
        <w:t>Caillot</w:t>
      </w:r>
      <w:proofErr w:type="spellEnd"/>
      <w:r w:rsidR="00C36F91" w:rsidRPr="003B31BB">
        <w:rPr>
          <w:lang w:val="en-AU"/>
        </w:rPr>
        <w:t xml:space="preserve">, M </w:t>
      </w:r>
      <w:proofErr w:type="spellStart"/>
      <w:r w:rsidR="00C36F91" w:rsidRPr="003B31BB">
        <w:rPr>
          <w:lang w:val="en-AU"/>
        </w:rPr>
        <w:t>Mohty</w:t>
      </w:r>
      <w:proofErr w:type="spellEnd"/>
      <w:r w:rsidR="00C36F91" w:rsidRPr="003B31BB">
        <w:rPr>
          <w:lang w:val="en-AU"/>
        </w:rPr>
        <w:t xml:space="preserve">, T </w:t>
      </w:r>
      <w:proofErr w:type="spellStart"/>
      <w:r w:rsidR="00C36F91" w:rsidRPr="003B31BB">
        <w:rPr>
          <w:lang w:val="en-AU"/>
        </w:rPr>
        <w:t>Facon</w:t>
      </w:r>
      <w:proofErr w:type="spellEnd"/>
      <w:r w:rsidR="00C36F91" w:rsidRPr="003B31BB">
        <w:rPr>
          <w:lang w:val="en-AU"/>
        </w:rPr>
        <w:t xml:space="preserve">, P Moreau, M Attal, N Munshi, J </w:t>
      </w:r>
      <w:proofErr w:type="spellStart"/>
      <w:r w:rsidR="00C36F91" w:rsidRPr="003B31BB">
        <w:rPr>
          <w:lang w:val="en-AU"/>
        </w:rPr>
        <w:t>Corre</w:t>
      </w:r>
      <w:proofErr w:type="spellEnd"/>
      <w:r w:rsidR="00C36F91" w:rsidRPr="003B31BB">
        <w:rPr>
          <w:lang w:val="en-AU"/>
        </w:rPr>
        <w:t xml:space="preserve">, S Minvielle and H </w:t>
      </w:r>
      <w:proofErr w:type="spellStart"/>
      <w:r w:rsidR="00C36F91" w:rsidRPr="003B31BB">
        <w:rPr>
          <w:lang w:val="en-AU"/>
        </w:rPr>
        <w:t>Avet</w:t>
      </w:r>
      <w:proofErr w:type="spellEnd"/>
      <w:r w:rsidR="00C36F91" w:rsidRPr="003B31BB">
        <w:rPr>
          <w:lang w:val="en-AU"/>
        </w:rPr>
        <w:t>-Loiseau.</w:t>
      </w:r>
      <w:r w:rsidRPr="003B31BB">
        <w:rPr>
          <w:lang w:val="en-AU"/>
        </w:rPr>
        <w:t xml:space="preserve"> Role of additional chromosomal changes in the prognostic value of </w:t>
      </w:r>
      <w:proofErr w:type="gramStart"/>
      <w:r w:rsidRPr="003B31BB">
        <w:rPr>
          <w:lang w:val="en-AU"/>
        </w:rPr>
        <w:t>t(</w:t>
      </w:r>
      <w:proofErr w:type="gramEnd"/>
      <w:r w:rsidRPr="003B31BB">
        <w:rPr>
          <w:lang w:val="en-AU"/>
        </w:rPr>
        <w:t xml:space="preserve">4;14) and del(17p) in multiple myeloma: the IFM experience. </w:t>
      </w:r>
      <w:r w:rsidRPr="00403ACD">
        <w:rPr>
          <w:i/>
          <w:lang w:val="en-AU"/>
        </w:rPr>
        <w:t>Blood</w:t>
      </w:r>
      <w:r w:rsidR="00456712" w:rsidRPr="003B31BB">
        <w:rPr>
          <w:lang w:val="en-AU"/>
        </w:rPr>
        <w:t xml:space="preserve">. 2015, vol. </w:t>
      </w:r>
      <w:r w:rsidRPr="003B31BB">
        <w:rPr>
          <w:lang w:val="en-AU"/>
        </w:rPr>
        <w:t>125</w:t>
      </w:r>
      <w:r w:rsidR="00456712" w:rsidRPr="003B31BB">
        <w:rPr>
          <w:lang w:val="en-AU"/>
        </w:rPr>
        <w:t xml:space="preserve">, no. </w:t>
      </w:r>
      <w:r w:rsidRPr="003B31BB">
        <w:rPr>
          <w:lang w:val="en-AU"/>
        </w:rPr>
        <w:t>13</w:t>
      </w:r>
      <w:r w:rsidR="00456712" w:rsidRPr="003B31BB">
        <w:rPr>
          <w:lang w:val="en-AU"/>
        </w:rPr>
        <w:t xml:space="preserve">, pp. </w:t>
      </w:r>
      <w:r w:rsidRPr="003B31BB">
        <w:rPr>
          <w:lang w:val="en-AU"/>
        </w:rPr>
        <w:t>2095</w:t>
      </w:r>
      <w:r w:rsidR="00BE3E54" w:rsidRPr="003B31BB">
        <w:rPr>
          <w:lang w:val="en-AU"/>
        </w:rPr>
        <w:t>–</w:t>
      </w:r>
      <w:r w:rsidR="00456712" w:rsidRPr="003B31BB">
        <w:rPr>
          <w:lang w:val="en-AU"/>
        </w:rPr>
        <w:t>2</w:t>
      </w:r>
      <w:r w:rsidRPr="003B31BB">
        <w:rPr>
          <w:lang w:val="en-AU"/>
        </w:rPr>
        <w:t>100.</w:t>
      </w:r>
      <w:bookmarkStart w:id="187" w:name="_Ref488829295"/>
      <w:bookmarkEnd w:id="186"/>
    </w:p>
    <w:p w14:paraId="7CA9BED6" w14:textId="77777777" w:rsidR="00596362" w:rsidRPr="003B31BB" w:rsidRDefault="008F127B" w:rsidP="00F13BE2">
      <w:pPr>
        <w:pStyle w:val="ListParagraph"/>
        <w:numPr>
          <w:ilvl w:val="0"/>
          <w:numId w:val="25"/>
        </w:numPr>
        <w:autoSpaceDE w:val="0"/>
        <w:autoSpaceDN w:val="0"/>
        <w:adjustRightInd w:val="0"/>
        <w:spacing w:before="120"/>
        <w:ind w:left="426" w:hanging="426"/>
        <w:rPr>
          <w:lang w:val="en-AU"/>
        </w:rPr>
      </w:pPr>
      <w:r w:rsidRPr="003B31BB">
        <w:rPr>
          <w:rFonts w:ascii="Calibri" w:hAnsi="Calibri" w:cs="Calibri"/>
          <w:color w:val="000000"/>
          <w:lang w:val="en-AU"/>
        </w:rPr>
        <w:t>Kim, M</w:t>
      </w:r>
      <w:r w:rsidR="008B3E30" w:rsidRPr="003B31BB">
        <w:rPr>
          <w:rFonts w:ascii="Calibri" w:hAnsi="Calibri" w:cs="Calibri"/>
          <w:color w:val="000000"/>
          <w:lang w:val="en-AU"/>
        </w:rPr>
        <w:t xml:space="preserve">, SH Lee, J Kim, SE Lee, YJ Kim and CK Min. Copy number variations could predict the outcome of bortezomib plus melphalan and prednisone for initial treatment of multiple myeloma. </w:t>
      </w:r>
      <w:r w:rsidR="00596362" w:rsidRPr="003B31BB">
        <w:rPr>
          <w:rFonts w:ascii="Calibri" w:hAnsi="Calibri" w:cs="Calibri"/>
          <w:i/>
          <w:color w:val="000000"/>
          <w:lang w:val="en-AU"/>
        </w:rPr>
        <w:t xml:space="preserve">Genes, Chromosomes </w:t>
      </w:r>
      <w:r w:rsidR="00765A12" w:rsidRPr="003B31BB">
        <w:rPr>
          <w:rFonts w:ascii="Calibri" w:hAnsi="Calibri" w:cs="Calibri"/>
          <w:i/>
          <w:color w:val="000000"/>
          <w:lang w:val="en-AU"/>
        </w:rPr>
        <w:t xml:space="preserve">and </w:t>
      </w:r>
      <w:r w:rsidR="00596362" w:rsidRPr="003B31BB">
        <w:rPr>
          <w:rFonts w:ascii="Calibri" w:hAnsi="Calibri" w:cs="Calibri"/>
          <w:i/>
          <w:color w:val="000000"/>
          <w:lang w:val="en-AU"/>
        </w:rPr>
        <w:t>Cancer</w:t>
      </w:r>
      <w:r w:rsidR="00765A12" w:rsidRPr="003B31BB">
        <w:rPr>
          <w:rFonts w:ascii="Calibri" w:hAnsi="Calibri" w:cs="Calibri"/>
          <w:color w:val="000000"/>
          <w:lang w:val="en-AU"/>
        </w:rPr>
        <w:t xml:space="preserve"> [online]. 2015, vol. </w:t>
      </w:r>
      <w:r w:rsidR="008B3E30" w:rsidRPr="003B31BB">
        <w:rPr>
          <w:rFonts w:ascii="Calibri" w:hAnsi="Calibri" w:cs="Calibri"/>
          <w:color w:val="000000"/>
          <w:lang w:val="en-AU"/>
        </w:rPr>
        <w:t>54</w:t>
      </w:r>
      <w:r w:rsidR="00765A12" w:rsidRPr="003B31BB">
        <w:rPr>
          <w:rFonts w:ascii="Calibri" w:hAnsi="Calibri" w:cs="Calibri"/>
          <w:color w:val="000000"/>
          <w:lang w:val="en-AU"/>
        </w:rPr>
        <w:t xml:space="preserve">, no. </w:t>
      </w:r>
      <w:r w:rsidR="008B3E30" w:rsidRPr="003B31BB">
        <w:rPr>
          <w:rFonts w:ascii="Calibri" w:hAnsi="Calibri" w:cs="Calibri"/>
          <w:color w:val="000000"/>
          <w:lang w:val="en-AU"/>
        </w:rPr>
        <w:t>1</w:t>
      </w:r>
      <w:r w:rsidR="00765A12" w:rsidRPr="003B31BB">
        <w:rPr>
          <w:rFonts w:ascii="Calibri" w:hAnsi="Calibri" w:cs="Calibri"/>
          <w:color w:val="000000"/>
          <w:lang w:val="en-AU"/>
        </w:rPr>
        <w:t xml:space="preserve">, pp. </w:t>
      </w:r>
      <w:r w:rsidR="0094143A">
        <w:rPr>
          <w:rFonts w:ascii="Calibri" w:hAnsi="Calibri" w:cs="Calibri"/>
          <w:color w:val="000000"/>
          <w:lang w:val="en-AU"/>
        </w:rPr>
        <w:t>20-</w:t>
      </w:r>
      <w:r w:rsidR="008B3E30" w:rsidRPr="003B31BB">
        <w:rPr>
          <w:rFonts w:ascii="Calibri" w:hAnsi="Calibri" w:cs="Calibri"/>
          <w:color w:val="000000"/>
          <w:lang w:val="en-AU"/>
        </w:rPr>
        <w:t>27</w:t>
      </w:r>
      <w:r w:rsidR="00765A12" w:rsidRPr="003B31BB">
        <w:rPr>
          <w:rFonts w:ascii="Calibri" w:hAnsi="Calibri" w:cs="Calibri"/>
          <w:color w:val="000000"/>
          <w:lang w:val="en-AU"/>
        </w:rPr>
        <w:t xml:space="preserve"> </w:t>
      </w:r>
      <w:r w:rsidR="00765A12" w:rsidRPr="003B31BB">
        <w:rPr>
          <w:lang w:val="en-AU"/>
        </w:rPr>
        <w:t xml:space="preserve">[accessed </w:t>
      </w:r>
      <w:r w:rsidR="007D2DBD" w:rsidRPr="003B31BB">
        <w:rPr>
          <w:lang w:val="en-AU"/>
        </w:rPr>
        <w:t>8</w:t>
      </w:r>
      <w:r w:rsidR="0094143A">
        <w:rPr>
          <w:lang w:val="en-AU"/>
        </w:rPr>
        <w:t> </w:t>
      </w:r>
      <w:r w:rsidR="007D2DBD" w:rsidRPr="003B31BB">
        <w:rPr>
          <w:lang w:val="en-AU"/>
        </w:rPr>
        <w:t>May 2017</w:t>
      </w:r>
      <w:r w:rsidR="00765A12" w:rsidRPr="003B31BB">
        <w:rPr>
          <w:lang w:val="en-AU"/>
        </w:rPr>
        <w:t>]. Retrieved:</w:t>
      </w:r>
      <w:r w:rsidR="00765A12" w:rsidRPr="00720661">
        <w:rPr>
          <w:lang w:val="en-AU"/>
        </w:rPr>
        <w:t xml:space="preserve"> </w:t>
      </w:r>
      <w:hyperlink r:id="rId12" w:history="1">
        <w:r w:rsidR="005A054A">
          <w:rPr>
            <w:rStyle w:val="Hyperlink"/>
            <w:lang w:val="en-AU"/>
          </w:rPr>
          <w:t>at https://www.ncbi.nlm.nih.gov/pubmed/25145975</w:t>
        </w:r>
      </w:hyperlink>
      <w:bookmarkEnd w:id="187"/>
    </w:p>
    <w:p w14:paraId="170B2296" w14:textId="77777777" w:rsidR="00BF2A7A" w:rsidRPr="003B31BB" w:rsidRDefault="00BF2A7A" w:rsidP="00F13BE2">
      <w:pPr>
        <w:pStyle w:val="ListParagraph"/>
        <w:numPr>
          <w:ilvl w:val="0"/>
          <w:numId w:val="25"/>
        </w:numPr>
        <w:autoSpaceDE w:val="0"/>
        <w:autoSpaceDN w:val="0"/>
        <w:adjustRightInd w:val="0"/>
        <w:spacing w:before="120"/>
        <w:ind w:left="426" w:hanging="426"/>
        <w:contextualSpacing w:val="0"/>
        <w:rPr>
          <w:rFonts w:ascii="Calibri" w:hAnsi="Calibri" w:cs="Calibri"/>
          <w:color w:val="000000"/>
          <w:lang w:val="en-AU"/>
        </w:rPr>
      </w:pPr>
      <w:bookmarkStart w:id="188" w:name="_Ref488829318"/>
      <w:proofErr w:type="spellStart"/>
      <w:r w:rsidRPr="003B31BB">
        <w:rPr>
          <w:rFonts w:ascii="Calibri" w:hAnsi="Calibri" w:cs="Calibri"/>
          <w:color w:val="000000"/>
          <w:lang w:val="en-AU"/>
        </w:rPr>
        <w:t>Kjelsden</w:t>
      </w:r>
      <w:proofErr w:type="spellEnd"/>
      <w:r w:rsidRPr="003B31BB">
        <w:rPr>
          <w:rFonts w:ascii="Calibri" w:hAnsi="Calibri" w:cs="Calibri"/>
          <w:color w:val="000000"/>
          <w:lang w:val="en-AU"/>
        </w:rPr>
        <w:t xml:space="preserve"> E. Identification of </w:t>
      </w:r>
      <w:r w:rsidR="004D06E0" w:rsidRPr="003B31BB">
        <w:rPr>
          <w:rFonts w:ascii="Calibri" w:hAnsi="Calibri" w:cs="Calibri"/>
          <w:color w:val="000000"/>
          <w:lang w:val="en-AU"/>
        </w:rPr>
        <w:t>prognostically relevant chromosomal abnormalities in routine diagnostics of multiple myeloma using genomic profiling</w:t>
      </w:r>
      <w:r w:rsidRPr="003B31BB">
        <w:rPr>
          <w:rFonts w:ascii="Calibri" w:hAnsi="Calibri" w:cs="Calibri"/>
          <w:color w:val="000000"/>
          <w:lang w:val="en-AU"/>
        </w:rPr>
        <w:t xml:space="preserve">. </w:t>
      </w:r>
      <w:r w:rsidRPr="003B31BB">
        <w:rPr>
          <w:rFonts w:ascii="Calibri" w:hAnsi="Calibri" w:cs="Calibri"/>
          <w:i/>
          <w:color w:val="000000"/>
          <w:lang w:val="en-AU"/>
        </w:rPr>
        <w:t xml:space="preserve">Cancer Genomics </w:t>
      </w:r>
      <w:r w:rsidR="004D06E0" w:rsidRPr="003B31BB">
        <w:rPr>
          <w:rFonts w:ascii="Calibri" w:hAnsi="Calibri" w:cs="Calibri"/>
          <w:i/>
          <w:color w:val="000000"/>
          <w:lang w:val="en-AU"/>
        </w:rPr>
        <w:t xml:space="preserve">and </w:t>
      </w:r>
      <w:r w:rsidRPr="003B31BB">
        <w:rPr>
          <w:rFonts w:ascii="Calibri" w:hAnsi="Calibri" w:cs="Calibri"/>
          <w:i/>
          <w:color w:val="000000"/>
          <w:lang w:val="en-AU"/>
        </w:rPr>
        <w:t>Proteomics</w:t>
      </w:r>
      <w:r w:rsidR="004D06E0" w:rsidRPr="003B31BB">
        <w:rPr>
          <w:rFonts w:ascii="Calibri" w:hAnsi="Calibri" w:cs="Calibri"/>
          <w:i/>
          <w:color w:val="000000"/>
          <w:lang w:val="en-AU"/>
        </w:rPr>
        <w:t>.</w:t>
      </w:r>
      <w:r w:rsidRPr="003B31BB">
        <w:rPr>
          <w:rFonts w:ascii="Calibri" w:hAnsi="Calibri" w:cs="Calibri"/>
          <w:color w:val="000000"/>
          <w:lang w:val="en-AU"/>
        </w:rPr>
        <w:t xml:space="preserve"> 2016</w:t>
      </w:r>
      <w:r w:rsidR="004D06E0" w:rsidRPr="003B31BB">
        <w:rPr>
          <w:rFonts w:ascii="Calibri" w:hAnsi="Calibri" w:cs="Calibri"/>
          <w:color w:val="000000"/>
          <w:lang w:val="en-AU"/>
        </w:rPr>
        <w:t>,</w:t>
      </w:r>
      <w:r w:rsidRPr="003B31BB">
        <w:rPr>
          <w:rFonts w:ascii="Calibri" w:hAnsi="Calibri" w:cs="Calibri"/>
          <w:color w:val="000000"/>
          <w:lang w:val="en-AU"/>
        </w:rPr>
        <w:t xml:space="preserve"> </w:t>
      </w:r>
      <w:r w:rsidR="004D06E0" w:rsidRPr="003B31BB">
        <w:rPr>
          <w:rFonts w:ascii="Calibri" w:hAnsi="Calibri" w:cs="Calibri"/>
          <w:color w:val="000000"/>
          <w:lang w:val="en-AU"/>
        </w:rPr>
        <w:t>vol.</w:t>
      </w:r>
      <w:r w:rsidRPr="003B31BB">
        <w:rPr>
          <w:rFonts w:ascii="Calibri" w:hAnsi="Calibri" w:cs="Calibri"/>
          <w:color w:val="000000"/>
          <w:lang w:val="en-AU"/>
        </w:rPr>
        <w:t xml:space="preserve"> 13</w:t>
      </w:r>
      <w:r w:rsidR="004D06E0" w:rsidRPr="003B31BB">
        <w:rPr>
          <w:rFonts w:ascii="Calibri" w:hAnsi="Calibri" w:cs="Calibri"/>
          <w:color w:val="000000"/>
          <w:lang w:val="en-AU"/>
        </w:rPr>
        <w:t xml:space="preserve">, no. </w:t>
      </w:r>
      <w:r w:rsidRPr="003B31BB">
        <w:rPr>
          <w:rFonts w:ascii="Calibri" w:hAnsi="Calibri" w:cs="Calibri"/>
          <w:color w:val="000000"/>
          <w:lang w:val="en-AU"/>
        </w:rPr>
        <w:t>2</w:t>
      </w:r>
      <w:r w:rsidR="004D06E0" w:rsidRPr="003B31BB">
        <w:rPr>
          <w:rFonts w:ascii="Calibri" w:hAnsi="Calibri" w:cs="Calibri"/>
          <w:color w:val="000000"/>
          <w:lang w:val="en-AU"/>
        </w:rPr>
        <w:t xml:space="preserve">, pp. </w:t>
      </w:r>
      <w:r w:rsidRPr="003B31BB">
        <w:rPr>
          <w:rFonts w:ascii="Calibri" w:hAnsi="Calibri" w:cs="Calibri"/>
          <w:color w:val="000000"/>
          <w:lang w:val="en-AU"/>
        </w:rPr>
        <w:t>91</w:t>
      </w:r>
      <w:r w:rsidR="0094143A">
        <w:rPr>
          <w:rFonts w:ascii="Calibri" w:hAnsi="Calibri" w:cs="Calibri"/>
          <w:color w:val="000000"/>
          <w:lang w:val="en-AU"/>
        </w:rPr>
        <w:t>-</w:t>
      </w:r>
      <w:r w:rsidRPr="003B31BB">
        <w:rPr>
          <w:rFonts w:ascii="Calibri" w:hAnsi="Calibri" w:cs="Calibri"/>
          <w:color w:val="000000"/>
          <w:lang w:val="en-AU"/>
        </w:rPr>
        <w:t>127.</w:t>
      </w:r>
      <w:bookmarkEnd w:id="188"/>
    </w:p>
    <w:p w14:paraId="213A9E4C" w14:textId="77777777" w:rsidR="00137B58" w:rsidRPr="003B31BB" w:rsidRDefault="00BF2A7A" w:rsidP="00F13BE2">
      <w:pPr>
        <w:pStyle w:val="ListParagraph"/>
        <w:numPr>
          <w:ilvl w:val="0"/>
          <w:numId w:val="25"/>
        </w:numPr>
        <w:autoSpaceDE w:val="0"/>
        <w:autoSpaceDN w:val="0"/>
        <w:adjustRightInd w:val="0"/>
        <w:spacing w:before="120"/>
        <w:ind w:left="426" w:hanging="426"/>
        <w:contextualSpacing w:val="0"/>
        <w:rPr>
          <w:rFonts w:ascii="Calibri" w:hAnsi="Calibri" w:cs="Calibri"/>
          <w:color w:val="000000"/>
          <w:lang w:val="en-AU"/>
        </w:rPr>
      </w:pPr>
      <w:bookmarkStart w:id="189" w:name="_Ref488829352"/>
      <w:bookmarkStart w:id="190" w:name="_Toc456045469"/>
      <w:bookmarkEnd w:id="167"/>
      <w:r w:rsidRPr="003B31BB">
        <w:rPr>
          <w:rFonts w:ascii="Calibri" w:hAnsi="Calibri" w:cs="Calibri"/>
          <w:color w:val="000000"/>
          <w:lang w:val="en-AU"/>
        </w:rPr>
        <w:t>Walker</w:t>
      </w:r>
      <w:r w:rsidR="0069613E" w:rsidRPr="003B31BB">
        <w:rPr>
          <w:rFonts w:ascii="Calibri" w:hAnsi="Calibri" w:cs="Calibri"/>
          <w:color w:val="000000"/>
          <w:lang w:val="en-AU"/>
        </w:rPr>
        <w:t>,</w:t>
      </w:r>
      <w:r w:rsidRPr="003B31BB">
        <w:rPr>
          <w:rFonts w:ascii="Calibri" w:hAnsi="Calibri" w:cs="Calibri"/>
          <w:color w:val="000000"/>
          <w:lang w:val="en-AU"/>
        </w:rPr>
        <w:t xml:space="preserve"> BA, </w:t>
      </w:r>
      <w:r w:rsidR="0069613E" w:rsidRPr="003B31BB">
        <w:rPr>
          <w:rFonts w:ascii="Calibri" w:hAnsi="Calibri" w:cs="Calibri"/>
          <w:color w:val="000000"/>
          <w:lang w:val="en-AU"/>
        </w:rPr>
        <w:t xml:space="preserve">PE </w:t>
      </w:r>
      <w:r w:rsidRPr="003B31BB">
        <w:rPr>
          <w:rFonts w:ascii="Calibri" w:hAnsi="Calibri" w:cs="Calibri"/>
          <w:color w:val="000000"/>
          <w:lang w:val="en-AU"/>
        </w:rPr>
        <w:t xml:space="preserve">Leone, </w:t>
      </w:r>
      <w:r w:rsidR="0069613E" w:rsidRPr="003B31BB">
        <w:rPr>
          <w:rFonts w:ascii="Calibri" w:hAnsi="Calibri" w:cs="Calibri"/>
          <w:color w:val="000000"/>
          <w:lang w:val="en-AU"/>
        </w:rPr>
        <w:t xml:space="preserve">L </w:t>
      </w:r>
      <w:proofErr w:type="spellStart"/>
      <w:r w:rsidRPr="003B31BB">
        <w:rPr>
          <w:rFonts w:ascii="Calibri" w:hAnsi="Calibri" w:cs="Calibri"/>
          <w:color w:val="000000"/>
          <w:lang w:val="en-AU"/>
        </w:rPr>
        <w:t>Chiecchio</w:t>
      </w:r>
      <w:proofErr w:type="spellEnd"/>
      <w:r w:rsidRPr="003B31BB">
        <w:rPr>
          <w:rFonts w:ascii="Calibri" w:hAnsi="Calibri" w:cs="Calibri"/>
          <w:color w:val="000000"/>
          <w:lang w:val="en-AU"/>
        </w:rPr>
        <w:t xml:space="preserve">, </w:t>
      </w:r>
      <w:r w:rsidR="0069613E" w:rsidRPr="003B31BB">
        <w:rPr>
          <w:rFonts w:ascii="Calibri" w:hAnsi="Calibri" w:cs="Calibri"/>
          <w:color w:val="000000"/>
          <w:lang w:val="en-AU"/>
        </w:rPr>
        <w:t xml:space="preserve">NJ </w:t>
      </w:r>
      <w:r w:rsidRPr="003B31BB">
        <w:rPr>
          <w:rFonts w:ascii="Calibri" w:hAnsi="Calibri" w:cs="Calibri"/>
          <w:color w:val="000000"/>
          <w:lang w:val="en-AU"/>
        </w:rPr>
        <w:t xml:space="preserve">Dickens, </w:t>
      </w:r>
      <w:r w:rsidR="0069613E" w:rsidRPr="003B31BB">
        <w:rPr>
          <w:rFonts w:ascii="Calibri" w:hAnsi="Calibri" w:cs="Calibri"/>
          <w:color w:val="000000"/>
          <w:lang w:val="en-AU"/>
        </w:rPr>
        <w:t xml:space="preserve">MW </w:t>
      </w:r>
      <w:r w:rsidRPr="003B31BB">
        <w:rPr>
          <w:rFonts w:ascii="Calibri" w:hAnsi="Calibri" w:cs="Calibri"/>
          <w:color w:val="000000"/>
          <w:lang w:val="en-AU"/>
        </w:rPr>
        <w:t xml:space="preserve">Jenner, </w:t>
      </w:r>
      <w:r w:rsidR="0069613E" w:rsidRPr="003B31BB">
        <w:rPr>
          <w:rFonts w:ascii="Calibri" w:hAnsi="Calibri" w:cs="Calibri"/>
          <w:color w:val="000000"/>
          <w:lang w:val="en-AU"/>
        </w:rPr>
        <w:t xml:space="preserve">KD </w:t>
      </w:r>
      <w:r w:rsidRPr="003B31BB">
        <w:rPr>
          <w:rFonts w:ascii="Calibri" w:hAnsi="Calibri" w:cs="Calibri"/>
          <w:color w:val="000000"/>
          <w:lang w:val="en-AU"/>
        </w:rPr>
        <w:t xml:space="preserve">Boyd, </w:t>
      </w:r>
      <w:r w:rsidR="0069613E" w:rsidRPr="003B31BB">
        <w:rPr>
          <w:rFonts w:ascii="Calibri" w:hAnsi="Calibri" w:cs="Calibri"/>
          <w:color w:val="000000"/>
          <w:lang w:val="en-AU"/>
        </w:rPr>
        <w:t xml:space="preserve">DC </w:t>
      </w:r>
      <w:r w:rsidRPr="003B31BB">
        <w:rPr>
          <w:rFonts w:ascii="Calibri" w:hAnsi="Calibri" w:cs="Calibri"/>
          <w:color w:val="000000"/>
          <w:lang w:val="en-AU"/>
        </w:rPr>
        <w:t xml:space="preserve">Johnson, </w:t>
      </w:r>
      <w:r w:rsidR="00C36F91" w:rsidRPr="003B31BB">
        <w:rPr>
          <w:rFonts w:ascii="Calibri" w:hAnsi="Calibri" w:cs="Calibri"/>
          <w:color w:val="000000"/>
          <w:lang w:val="en-AU"/>
        </w:rPr>
        <w:t xml:space="preserve">D Gonzalez, GP </w:t>
      </w:r>
      <w:proofErr w:type="spellStart"/>
      <w:r w:rsidR="00C36F91" w:rsidRPr="003B31BB">
        <w:rPr>
          <w:rFonts w:ascii="Calibri" w:hAnsi="Calibri" w:cs="Calibri"/>
          <w:color w:val="000000"/>
          <w:lang w:val="en-AU"/>
        </w:rPr>
        <w:t>Dagrada</w:t>
      </w:r>
      <w:proofErr w:type="spellEnd"/>
      <w:r w:rsidR="00C36F91" w:rsidRPr="003B31BB">
        <w:rPr>
          <w:rFonts w:ascii="Calibri" w:hAnsi="Calibri" w:cs="Calibri"/>
          <w:color w:val="000000"/>
          <w:lang w:val="en-AU"/>
        </w:rPr>
        <w:t xml:space="preserve">, RKM </w:t>
      </w:r>
      <w:proofErr w:type="spellStart"/>
      <w:r w:rsidR="00C36F91" w:rsidRPr="003B31BB">
        <w:rPr>
          <w:rFonts w:ascii="Calibri" w:hAnsi="Calibri" w:cs="Calibri"/>
          <w:color w:val="000000"/>
          <w:lang w:val="en-AU"/>
        </w:rPr>
        <w:t>Protheroe</w:t>
      </w:r>
      <w:proofErr w:type="spellEnd"/>
      <w:r w:rsidR="00C36F91" w:rsidRPr="003B31BB">
        <w:rPr>
          <w:rFonts w:ascii="Calibri" w:hAnsi="Calibri" w:cs="Calibri"/>
          <w:color w:val="000000"/>
          <w:lang w:val="en-AU"/>
        </w:rPr>
        <w:t xml:space="preserve">, ZJ </w:t>
      </w:r>
      <w:proofErr w:type="spellStart"/>
      <w:r w:rsidR="00C36F91" w:rsidRPr="003B31BB">
        <w:rPr>
          <w:rFonts w:ascii="Calibri" w:hAnsi="Calibri" w:cs="Calibri"/>
          <w:color w:val="000000"/>
          <w:lang w:val="en-AU"/>
        </w:rPr>
        <w:t>Konn</w:t>
      </w:r>
      <w:proofErr w:type="spellEnd"/>
      <w:r w:rsidR="00C36F91" w:rsidRPr="003B31BB">
        <w:rPr>
          <w:rFonts w:ascii="Calibri" w:hAnsi="Calibri" w:cs="Calibri"/>
          <w:color w:val="000000"/>
          <w:lang w:val="en-AU"/>
        </w:rPr>
        <w:t>, DM. Stockley, WM Gregory, FE Davies, FM Ross, and GJ Morgan. A compendium of myeloma-associated chromosomal copy number abnormalities and their prognostic value.</w:t>
      </w:r>
      <w:r w:rsidRPr="003B31BB">
        <w:rPr>
          <w:rFonts w:ascii="Calibri" w:hAnsi="Calibri" w:cs="Calibri"/>
          <w:color w:val="000000"/>
          <w:lang w:val="en-AU"/>
        </w:rPr>
        <w:t xml:space="preserve"> </w:t>
      </w:r>
      <w:r w:rsidRPr="00403ACD">
        <w:rPr>
          <w:rFonts w:ascii="Calibri" w:hAnsi="Calibri" w:cs="Calibri"/>
          <w:i/>
          <w:color w:val="000000"/>
          <w:lang w:val="en-AU"/>
        </w:rPr>
        <w:t>Blood.</w:t>
      </w:r>
      <w:r w:rsidRPr="003B31BB">
        <w:rPr>
          <w:rFonts w:ascii="Calibri" w:hAnsi="Calibri" w:cs="Calibri"/>
          <w:color w:val="000000"/>
          <w:lang w:val="en-AU"/>
        </w:rPr>
        <w:t xml:space="preserve"> 2010</w:t>
      </w:r>
      <w:r w:rsidR="003B0CEA" w:rsidRPr="003B31BB">
        <w:rPr>
          <w:rFonts w:ascii="Calibri" w:hAnsi="Calibri" w:cs="Calibri"/>
          <w:color w:val="000000"/>
          <w:lang w:val="en-AU"/>
        </w:rPr>
        <w:t>,</w:t>
      </w:r>
      <w:r w:rsidRPr="003B31BB">
        <w:rPr>
          <w:rFonts w:ascii="Calibri" w:hAnsi="Calibri" w:cs="Calibri"/>
          <w:color w:val="000000"/>
          <w:lang w:val="en-AU"/>
        </w:rPr>
        <w:t xml:space="preserve"> </w:t>
      </w:r>
      <w:r w:rsidR="003940C1" w:rsidRPr="003B31BB">
        <w:rPr>
          <w:rFonts w:ascii="Calibri" w:hAnsi="Calibri" w:cs="Calibri"/>
          <w:color w:val="000000"/>
          <w:lang w:val="en-AU"/>
        </w:rPr>
        <w:t xml:space="preserve">vol. </w:t>
      </w:r>
      <w:r w:rsidRPr="003B31BB">
        <w:rPr>
          <w:rFonts w:ascii="Calibri" w:hAnsi="Calibri" w:cs="Calibri"/>
          <w:color w:val="000000"/>
          <w:lang w:val="en-AU"/>
        </w:rPr>
        <w:t>116</w:t>
      </w:r>
      <w:r w:rsidR="003940C1" w:rsidRPr="003B31BB">
        <w:rPr>
          <w:rFonts w:ascii="Calibri" w:hAnsi="Calibri" w:cs="Calibri"/>
          <w:color w:val="000000"/>
          <w:lang w:val="en-AU"/>
        </w:rPr>
        <w:t xml:space="preserve">, no. </w:t>
      </w:r>
      <w:r w:rsidRPr="003B31BB">
        <w:rPr>
          <w:rFonts w:ascii="Calibri" w:hAnsi="Calibri" w:cs="Calibri"/>
          <w:color w:val="000000"/>
          <w:lang w:val="en-AU"/>
        </w:rPr>
        <w:t>15</w:t>
      </w:r>
      <w:r w:rsidR="003940C1" w:rsidRPr="003B31BB">
        <w:rPr>
          <w:rFonts w:ascii="Calibri" w:hAnsi="Calibri" w:cs="Calibri"/>
          <w:color w:val="000000"/>
          <w:lang w:val="en-AU"/>
        </w:rPr>
        <w:t>, pp.</w:t>
      </w:r>
      <w:r w:rsidRPr="003B31BB">
        <w:rPr>
          <w:rFonts w:ascii="Calibri" w:hAnsi="Calibri" w:cs="Calibri"/>
          <w:color w:val="000000"/>
          <w:lang w:val="en-AU"/>
        </w:rPr>
        <w:t xml:space="preserve"> e56-</w:t>
      </w:r>
      <w:r w:rsidR="003940C1" w:rsidRPr="003B31BB">
        <w:rPr>
          <w:rFonts w:ascii="Calibri" w:hAnsi="Calibri" w:cs="Calibri"/>
          <w:color w:val="000000"/>
          <w:lang w:val="en-AU"/>
        </w:rPr>
        <w:t>e</w:t>
      </w:r>
      <w:r w:rsidRPr="003B31BB">
        <w:rPr>
          <w:rFonts w:ascii="Calibri" w:hAnsi="Calibri" w:cs="Calibri"/>
          <w:color w:val="000000"/>
          <w:lang w:val="en-AU"/>
        </w:rPr>
        <w:t>65</w:t>
      </w:r>
      <w:bookmarkEnd w:id="189"/>
      <w:r w:rsidR="003940C1" w:rsidRPr="003B31BB">
        <w:rPr>
          <w:rFonts w:ascii="Calibri" w:hAnsi="Calibri" w:cs="Calibri"/>
          <w:color w:val="000000"/>
          <w:lang w:val="en-AU"/>
        </w:rPr>
        <w:t>.</w:t>
      </w:r>
    </w:p>
    <w:p w14:paraId="60D7A03A" w14:textId="77777777" w:rsidR="00BF2A7A" w:rsidRPr="003B31BB" w:rsidRDefault="00137B58" w:rsidP="00F13BE2">
      <w:pPr>
        <w:pStyle w:val="ListParagraph"/>
        <w:numPr>
          <w:ilvl w:val="0"/>
          <w:numId w:val="25"/>
        </w:numPr>
        <w:spacing w:before="120"/>
        <w:ind w:left="426" w:hanging="426"/>
        <w:rPr>
          <w:lang w:val="en-AU"/>
        </w:rPr>
      </w:pPr>
      <w:bookmarkStart w:id="191" w:name="_Ref488829617"/>
      <w:proofErr w:type="spellStart"/>
      <w:r w:rsidRPr="00720661">
        <w:rPr>
          <w:lang w:val="en-AU"/>
        </w:rPr>
        <w:t>A</w:t>
      </w:r>
      <w:r w:rsidRPr="00551F4D">
        <w:rPr>
          <w:lang w:val="en-AU"/>
        </w:rPr>
        <w:t>zzato</w:t>
      </w:r>
      <w:proofErr w:type="spellEnd"/>
      <w:r w:rsidR="0064439A" w:rsidRPr="00551F4D">
        <w:rPr>
          <w:lang w:val="en-AU"/>
        </w:rPr>
        <w:t>,</w:t>
      </w:r>
      <w:r w:rsidRPr="00551F4D">
        <w:rPr>
          <w:lang w:val="en-AU"/>
        </w:rPr>
        <w:t xml:space="preserve"> EM</w:t>
      </w:r>
      <w:r w:rsidR="0064439A" w:rsidRPr="00551F4D">
        <w:rPr>
          <w:lang w:val="en-AU"/>
        </w:rPr>
        <w:t>, and A</w:t>
      </w:r>
      <w:r w:rsidRPr="00720661">
        <w:rPr>
          <w:lang w:val="en-AU"/>
        </w:rPr>
        <w:t xml:space="preserve"> </w:t>
      </w:r>
      <w:proofErr w:type="spellStart"/>
      <w:r w:rsidRPr="00720661">
        <w:rPr>
          <w:lang w:val="en-AU"/>
        </w:rPr>
        <w:t>Bagg</w:t>
      </w:r>
      <w:proofErr w:type="spellEnd"/>
      <w:r w:rsidRPr="00720661">
        <w:rPr>
          <w:lang w:val="en-AU"/>
        </w:rPr>
        <w:t xml:space="preserve">. Molecular genetic evaluation of myeloproliferative neoplasms. </w:t>
      </w:r>
      <w:r w:rsidRPr="00720661">
        <w:rPr>
          <w:i/>
          <w:lang w:val="en-AU"/>
        </w:rPr>
        <w:t>Int</w:t>
      </w:r>
      <w:r w:rsidR="0064439A" w:rsidRPr="00720661">
        <w:rPr>
          <w:i/>
          <w:lang w:val="en-AU"/>
        </w:rPr>
        <w:t>ernational</w:t>
      </w:r>
      <w:r w:rsidRPr="00720661">
        <w:rPr>
          <w:i/>
          <w:lang w:val="en-AU"/>
        </w:rPr>
        <w:t xml:space="preserve"> J</w:t>
      </w:r>
      <w:r w:rsidR="0064439A" w:rsidRPr="00720661">
        <w:rPr>
          <w:i/>
          <w:lang w:val="en-AU"/>
        </w:rPr>
        <w:t>ournal of</w:t>
      </w:r>
      <w:r w:rsidRPr="00720661">
        <w:rPr>
          <w:i/>
          <w:lang w:val="en-AU"/>
        </w:rPr>
        <w:t xml:space="preserve"> Lab</w:t>
      </w:r>
      <w:r w:rsidR="0064439A" w:rsidRPr="00720661">
        <w:rPr>
          <w:i/>
          <w:lang w:val="en-AU"/>
        </w:rPr>
        <w:t>oratory</w:t>
      </w:r>
      <w:r w:rsidRPr="00720661">
        <w:rPr>
          <w:i/>
          <w:lang w:val="en-AU"/>
        </w:rPr>
        <w:t xml:space="preserve"> Hematol</w:t>
      </w:r>
      <w:r w:rsidR="0064439A" w:rsidRPr="00720661">
        <w:rPr>
          <w:i/>
          <w:lang w:val="en-AU"/>
        </w:rPr>
        <w:t>ogy</w:t>
      </w:r>
      <w:r w:rsidRPr="00720661">
        <w:rPr>
          <w:i/>
          <w:lang w:val="en-AU"/>
        </w:rPr>
        <w:t>.</w:t>
      </w:r>
      <w:r w:rsidRPr="00720661">
        <w:rPr>
          <w:lang w:val="en-AU"/>
        </w:rPr>
        <w:t xml:space="preserve"> 2015</w:t>
      </w:r>
      <w:r w:rsidR="0064439A" w:rsidRPr="00720661">
        <w:rPr>
          <w:lang w:val="en-AU"/>
        </w:rPr>
        <w:t>,</w:t>
      </w:r>
      <w:r w:rsidRPr="00720661">
        <w:rPr>
          <w:lang w:val="en-AU"/>
        </w:rPr>
        <w:t xml:space="preserve"> </w:t>
      </w:r>
      <w:r w:rsidR="0064439A" w:rsidRPr="00720661">
        <w:rPr>
          <w:lang w:val="en-AU"/>
        </w:rPr>
        <w:t>vol.</w:t>
      </w:r>
      <w:r w:rsidRPr="00720661">
        <w:rPr>
          <w:lang w:val="en-AU"/>
        </w:rPr>
        <w:t xml:space="preserve"> 37</w:t>
      </w:r>
      <w:r w:rsidR="0064439A" w:rsidRPr="00720661">
        <w:rPr>
          <w:lang w:val="en-AU"/>
        </w:rPr>
        <w:t>,</w:t>
      </w:r>
      <w:r w:rsidRPr="00720661">
        <w:rPr>
          <w:lang w:val="en-AU"/>
        </w:rPr>
        <w:t xml:space="preserve"> </w:t>
      </w:r>
      <w:r w:rsidR="0064439A" w:rsidRPr="00720661">
        <w:rPr>
          <w:lang w:val="en-AU"/>
        </w:rPr>
        <w:t>s</w:t>
      </w:r>
      <w:r w:rsidRPr="00720661">
        <w:rPr>
          <w:lang w:val="en-AU"/>
        </w:rPr>
        <w:t>uppl</w:t>
      </w:r>
      <w:r w:rsidR="0064439A" w:rsidRPr="00720661">
        <w:rPr>
          <w:lang w:val="en-AU"/>
        </w:rPr>
        <w:t>.</w:t>
      </w:r>
      <w:r w:rsidRPr="00720661">
        <w:rPr>
          <w:lang w:val="en-AU"/>
        </w:rPr>
        <w:t xml:space="preserve"> 1</w:t>
      </w:r>
      <w:r w:rsidR="0064439A" w:rsidRPr="00720661">
        <w:rPr>
          <w:lang w:val="en-AU"/>
        </w:rPr>
        <w:t>, pp.</w:t>
      </w:r>
      <w:r w:rsidR="00346FA0" w:rsidRPr="00720661">
        <w:rPr>
          <w:lang w:val="en-AU"/>
        </w:rPr>
        <w:t xml:space="preserve"> </w:t>
      </w:r>
      <w:r w:rsidRPr="00720661">
        <w:rPr>
          <w:lang w:val="en-AU"/>
        </w:rPr>
        <w:t>61</w:t>
      </w:r>
      <w:r w:rsidR="0094143A">
        <w:rPr>
          <w:lang w:val="en-AU"/>
        </w:rPr>
        <w:t>-</w:t>
      </w:r>
      <w:r w:rsidRPr="00720661">
        <w:rPr>
          <w:lang w:val="en-AU"/>
        </w:rPr>
        <w:t>71.</w:t>
      </w:r>
      <w:bookmarkEnd w:id="191"/>
    </w:p>
    <w:p w14:paraId="4B2AAA03" w14:textId="77777777" w:rsidR="00C249A6" w:rsidRPr="00720661" w:rsidRDefault="001123EE" w:rsidP="00F13BE2">
      <w:pPr>
        <w:pStyle w:val="ListParagraph"/>
        <w:numPr>
          <w:ilvl w:val="0"/>
          <w:numId w:val="25"/>
        </w:numPr>
        <w:spacing w:before="120"/>
        <w:ind w:left="426" w:hanging="426"/>
        <w:rPr>
          <w:lang w:val="en-AU"/>
        </w:rPr>
      </w:pPr>
      <w:bookmarkStart w:id="192" w:name="_Ref488829644"/>
      <w:proofErr w:type="spellStart"/>
      <w:r w:rsidRPr="00720661">
        <w:rPr>
          <w:lang w:val="en-AU"/>
        </w:rPr>
        <w:t>Klampfl</w:t>
      </w:r>
      <w:proofErr w:type="spellEnd"/>
      <w:r w:rsidRPr="00720661">
        <w:rPr>
          <w:lang w:val="en-AU"/>
        </w:rPr>
        <w:t xml:space="preserve">, </w:t>
      </w:r>
      <w:r w:rsidR="00C249A6" w:rsidRPr="00551F4D">
        <w:rPr>
          <w:lang w:val="en-AU"/>
        </w:rPr>
        <w:t xml:space="preserve">T, </w:t>
      </w:r>
      <w:r w:rsidRPr="00551F4D">
        <w:rPr>
          <w:lang w:val="en-AU"/>
        </w:rPr>
        <w:t xml:space="preserve">H </w:t>
      </w:r>
      <w:proofErr w:type="spellStart"/>
      <w:r w:rsidR="00C249A6" w:rsidRPr="00551F4D">
        <w:rPr>
          <w:lang w:val="en-AU"/>
        </w:rPr>
        <w:t>Gisslinger</w:t>
      </w:r>
      <w:proofErr w:type="spellEnd"/>
      <w:r w:rsidR="00C249A6" w:rsidRPr="00551F4D">
        <w:rPr>
          <w:lang w:val="en-AU"/>
        </w:rPr>
        <w:t xml:space="preserve">, </w:t>
      </w:r>
      <w:r w:rsidRPr="00551F4D">
        <w:rPr>
          <w:lang w:val="en-AU"/>
        </w:rPr>
        <w:t xml:space="preserve">AS </w:t>
      </w:r>
      <w:r w:rsidR="00C249A6" w:rsidRPr="00551F4D">
        <w:rPr>
          <w:lang w:val="en-AU"/>
        </w:rPr>
        <w:t xml:space="preserve">Harutyunyan, </w:t>
      </w:r>
      <w:r w:rsidRPr="00720661">
        <w:rPr>
          <w:lang w:val="en-AU"/>
        </w:rPr>
        <w:t xml:space="preserve">H </w:t>
      </w:r>
      <w:proofErr w:type="spellStart"/>
      <w:r w:rsidR="00C249A6" w:rsidRPr="00720661">
        <w:rPr>
          <w:lang w:val="en-AU"/>
        </w:rPr>
        <w:t>Nivarthi</w:t>
      </w:r>
      <w:proofErr w:type="spellEnd"/>
      <w:r w:rsidR="00C249A6" w:rsidRPr="00720661">
        <w:rPr>
          <w:lang w:val="en-AU"/>
        </w:rPr>
        <w:t xml:space="preserve">, </w:t>
      </w:r>
      <w:r w:rsidRPr="00720661">
        <w:rPr>
          <w:lang w:val="en-AU"/>
        </w:rPr>
        <w:t xml:space="preserve">E </w:t>
      </w:r>
      <w:r w:rsidR="00C249A6" w:rsidRPr="00720661">
        <w:rPr>
          <w:lang w:val="en-AU"/>
        </w:rPr>
        <w:t xml:space="preserve">Rumi, </w:t>
      </w:r>
      <w:r w:rsidRPr="00720661">
        <w:rPr>
          <w:lang w:val="en-AU"/>
        </w:rPr>
        <w:t xml:space="preserve">J </w:t>
      </w:r>
      <w:r w:rsidR="00C249A6" w:rsidRPr="00720661">
        <w:rPr>
          <w:lang w:val="en-AU"/>
        </w:rPr>
        <w:t xml:space="preserve">Milosevic, </w:t>
      </w:r>
      <w:r w:rsidR="0081227D" w:rsidRPr="00720661">
        <w:rPr>
          <w:lang w:val="en-AU"/>
        </w:rPr>
        <w:t xml:space="preserve">NCC Them, T Berg, </w:t>
      </w:r>
      <w:r w:rsidR="0094143A" w:rsidRPr="00720661">
        <w:rPr>
          <w:lang w:val="en-AU"/>
        </w:rPr>
        <w:t>B</w:t>
      </w:r>
      <w:r w:rsidR="0094143A">
        <w:rPr>
          <w:lang w:val="en-AU"/>
        </w:rPr>
        <w:t> </w:t>
      </w:r>
      <w:proofErr w:type="spellStart"/>
      <w:r w:rsidR="0081227D" w:rsidRPr="00720661">
        <w:rPr>
          <w:lang w:val="en-AU"/>
        </w:rPr>
        <w:t>Gisslinger</w:t>
      </w:r>
      <w:proofErr w:type="spellEnd"/>
      <w:r w:rsidR="0081227D" w:rsidRPr="00720661">
        <w:rPr>
          <w:lang w:val="en-AU"/>
        </w:rPr>
        <w:t xml:space="preserve">, D </w:t>
      </w:r>
      <w:proofErr w:type="spellStart"/>
      <w:r w:rsidR="0081227D" w:rsidRPr="00720661">
        <w:rPr>
          <w:lang w:val="en-AU"/>
        </w:rPr>
        <w:t>Pietra</w:t>
      </w:r>
      <w:proofErr w:type="spellEnd"/>
      <w:r w:rsidR="0081227D" w:rsidRPr="00720661">
        <w:rPr>
          <w:lang w:val="en-AU"/>
        </w:rPr>
        <w:t xml:space="preserve">, D Chen, GI </w:t>
      </w:r>
      <w:proofErr w:type="spellStart"/>
      <w:r w:rsidR="0081227D" w:rsidRPr="00720661">
        <w:rPr>
          <w:lang w:val="en-AU"/>
        </w:rPr>
        <w:t>Vladimer</w:t>
      </w:r>
      <w:proofErr w:type="spellEnd"/>
      <w:r w:rsidR="0081227D" w:rsidRPr="00720661">
        <w:rPr>
          <w:lang w:val="en-AU"/>
        </w:rPr>
        <w:t xml:space="preserve">, K </w:t>
      </w:r>
      <w:proofErr w:type="spellStart"/>
      <w:r w:rsidR="0081227D" w:rsidRPr="00720661">
        <w:rPr>
          <w:lang w:val="en-AU"/>
        </w:rPr>
        <w:t>Bagienski</w:t>
      </w:r>
      <w:proofErr w:type="spellEnd"/>
      <w:r w:rsidR="0081227D" w:rsidRPr="00720661">
        <w:rPr>
          <w:lang w:val="en-AU"/>
        </w:rPr>
        <w:t xml:space="preserve">, C </w:t>
      </w:r>
      <w:proofErr w:type="spellStart"/>
      <w:r w:rsidR="0081227D" w:rsidRPr="00720661">
        <w:rPr>
          <w:lang w:val="en-AU"/>
        </w:rPr>
        <w:t>Milanesi</w:t>
      </w:r>
      <w:proofErr w:type="spellEnd"/>
      <w:r w:rsidR="0081227D" w:rsidRPr="00720661">
        <w:rPr>
          <w:lang w:val="en-AU"/>
        </w:rPr>
        <w:t xml:space="preserve">, IC </w:t>
      </w:r>
      <w:proofErr w:type="spellStart"/>
      <w:r w:rsidR="0081227D" w:rsidRPr="00720661">
        <w:rPr>
          <w:lang w:val="en-AU"/>
        </w:rPr>
        <w:t>Casetti</w:t>
      </w:r>
      <w:proofErr w:type="spellEnd"/>
      <w:r w:rsidR="0081227D" w:rsidRPr="00720661">
        <w:rPr>
          <w:lang w:val="en-AU"/>
        </w:rPr>
        <w:t xml:space="preserve">, E Sant’Antonio, </w:t>
      </w:r>
      <w:r w:rsidR="0094143A" w:rsidRPr="00720661">
        <w:rPr>
          <w:lang w:val="en-AU"/>
        </w:rPr>
        <w:t>V</w:t>
      </w:r>
      <w:r w:rsidR="0094143A">
        <w:rPr>
          <w:lang w:val="en-AU"/>
        </w:rPr>
        <w:t> </w:t>
      </w:r>
      <w:r w:rsidR="0081227D" w:rsidRPr="00720661">
        <w:rPr>
          <w:lang w:val="en-AU"/>
        </w:rPr>
        <w:t xml:space="preserve">Ferretti, C Elena, F </w:t>
      </w:r>
      <w:proofErr w:type="spellStart"/>
      <w:r w:rsidR="0081227D" w:rsidRPr="00720661">
        <w:rPr>
          <w:lang w:val="en-AU"/>
        </w:rPr>
        <w:t>Schischlik</w:t>
      </w:r>
      <w:proofErr w:type="spellEnd"/>
      <w:r w:rsidR="0081227D" w:rsidRPr="00720661">
        <w:rPr>
          <w:lang w:val="en-AU"/>
        </w:rPr>
        <w:t xml:space="preserve">, C Cleary, M Six, M </w:t>
      </w:r>
      <w:proofErr w:type="spellStart"/>
      <w:r w:rsidR="0081227D" w:rsidRPr="00720661">
        <w:rPr>
          <w:lang w:val="en-AU"/>
        </w:rPr>
        <w:t>Schalling</w:t>
      </w:r>
      <w:proofErr w:type="spellEnd"/>
      <w:r w:rsidR="0081227D" w:rsidRPr="00720661">
        <w:rPr>
          <w:lang w:val="en-AU"/>
        </w:rPr>
        <w:t xml:space="preserve">, A </w:t>
      </w:r>
      <w:proofErr w:type="spellStart"/>
      <w:r w:rsidR="0081227D" w:rsidRPr="00720661">
        <w:rPr>
          <w:lang w:val="en-AU"/>
        </w:rPr>
        <w:t>Schönegger</w:t>
      </w:r>
      <w:proofErr w:type="spellEnd"/>
      <w:r w:rsidR="0081227D" w:rsidRPr="00720661">
        <w:rPr>
          <w:lang w:val="en-AU"/>
        </w:rPr>
        <w:t xml:space="preserve">, C Bock, L </w:t>
      </w:r>
      <w:proofErr w:type="spellStart"/>
      <w:r w:rsidR="0081227D" w:rsidRPr="00720661">
        <w:rPr>
          <w:lang w:val="en-AU"/>
        </w:rPr>
        <w:t>Malcovati</w:t>
      </w:r>
      <w:proofErr w:type="spellEnd"/>
      <w:r w:rsidR="0081227D" w:rsidRPr="00720661">
        <w:rPr>
          <w:lang w:val="en-AU"/>
        </w:rPr>
        <w:t xml:space="preserve">, </w:t>
      </w:r>
      <w:r w:rsidR="0094143A" w:rsidRPr="00720661">
        <w:rPr>
          <w:lang w:val="en-AU"/>
        </w:rPr>
        <w:t>C</w:t>
      </w:r>
      <w:r w:rsidR="0094143A">
        <w:rPr>
          <w:lang w:val="en-AU"/>
        </w:rPr>
        <w:t> </w:t>
      </w:r>
      <w:proofErr w:type="spellStart"/>
      <w:r w:rsidR="0081227D" w:rsidRPr="00720661">
        <w:rPr>
          <w:lang w:val="en-AU"/>
        </w:rPr>
        <w:t>Pascutto</w:t>
      </w:r>
      <w:proofErr w:type="spellEnd"/>
      <w:r w:rsidR="0081227D" w:rsidRPr="00720661">
        <w:rPr>
          <w:lang w:val="en-AU"/>
        </w:rPr>
        <w:t xml:space="preserve">, G </w:t>
      </w:r>
      <w:proofErr w:type="spellStart"/>
      <w:r w:rsidR="0081227D" w:rsidRPr="00720661">
        <w:rPr>
          <w:lang w:val="en-AU"/>
        </w:rPr>
        <w:t>Superti-Furga</w:t>
      </w:r>
      <w:proofErr w:type="spellEnd"/>
      <w:r w:rsidR="0081227D" w:rsidRPr="00720661">
        <w:rPr>
          <w:lang w:val="en-AU"/>
        </w:rPr>
        <w:t xml:space="preserve">, M </w:t>
      </w:r>
      <w:proofErr w:type="spellStart"/>
      <w:r w:rsidR="0081227D" w:rsidRPr="00720661">
        <w:rPr>
          <w:lang w:val="en-AU"/>
        </w:rPr>
        <w:t>Cazzola</w:t>
      </w:r>
      <w:proofErr w:type="spellEnd"/>
      <w:r w:rsidR="0081227D" w:rsidRPr="00720661">
        <w:rPr>
          <w:lang w:val="en-AU"/>
        </w:rPr>
        <w:t xml:space="preserve"> and R </w:t>
      </w:r>
      <w:proofErr w:type="spellStart"/>
      <w:r w:rsidR="0081227D" w:rsidRPr="00720661">
        <w:rPr>
          <w:lang w:val="en-AU"/>
        </w:rPr>
        <w:t>Kralovics</w:t>
      </w:r>
      <w:proofErr w:type="spellEnd"/>
      <w:r w:rsidR="00C249A6" w:rsidRPr="00720661">
        <w:rPr>
          <w:lang w:val="en-AU"/>
        </w:rPr>
        <w:t xml:space="preserve">. Somatic </w:t>
      </w:r>
      <w:r w:rsidRPr="00720661">
        <w:rPr>
          <w:lang w:val="en-AU"/>
        </w:rPr>
        <w:t>mutations of calreticulin in myeloproliferative neoplasms</w:t>
      </w:r>
      <w:r w:rsidR="00C249A6" w:rsidRPr="00720661">
        <w:rPr>
          <w:lang w:val="en-AU"/>
        </w:rPr>
        <w:t xml:space="preserve">. </w:t>
      </w:r>
      <w:r w:rsidRPr="00403ACD">
        <w:rPr>
          <w:i/>
          <w:lang w:val="en-AU"/>
        </w:rPr>
        <w:t xml:space="preserve">New </w:t>
      </w:r>
      <w:r w:rsidR="00C249A6" w:rsidRPr="00403ACD">
        <w:rPr>
          <w:i/>
          <w:lang w:val="en-AU"/>
        </w:rPr>
        <w:t>Engl</w:t>
      </w:r>
      <w:r w:rsidRPr="00403ACD">
        <w:rPr>
          <w:i/>
          <w:lang w:val="en-AU"/>
        </w:rPr>
        <w:t>and</w:t>
      </w:r>
      <w:r w:rsidR="00C249A6" w:rsidRPr="00403ACD">
        <w:rPr>
          <w:i/>
          <w:lang w:val="en-AU"/>
        </w:rPr>
        <w:t xml:space="preserve"> J</w:t>
      </w:r>
      <w:r w:rsidRPr="00403ACD">
        <w:rPr>
          <w:i/>
          <w:lang w:val="en-AU"/>
        </w:rPr>
        <w:t>ournal of</w:t>
      </w:r>
      <w:r w:rsidR="00C249A6" w:rsidRPr="00403ACD">
        <w:rPr>
          <w:i/>
          <w:lang w:val="en-AU"/>
        </w:rPr>
        <w:t xml:space="preserve"> Med</w:t>
      </w:r>
      <w:r w:rsidRPr="00403ACD">
        <w:rPr>
          <w:i/>
          <w:lang w:val="en-AU"/>
        </w:rPr>
        <w:t>icine</w:t>
      </w:r>
      <w:r w:rsidRPr="00720661">
        <w:rPr>
          <w:lang w:val="en-AU"/>
        </w:rPr>
        <w:t>.</w:t>
      </w:r>
      <w:r w:rsidR="00C249A6" w:rsidRPr="00720661">
        <w:rPr>
          <w:lang w:val="en-AU"/>
        </w:rPr>
        <w:t xml:space="preserve"> 2013</w:t>
      </w:r>
      <w:r w:rsidRPr="00720661">
        <w:rPr>
          <w:lang w:val="en-AU"/>
        </w:rPr>
        <w:t>,</w:t>
      </w:r>
      <w:r w:rsidR="00C249A6" w:rsidRPr="00720661">
        <w:rPr>
          <w:lang w:val="en-AU"/>
        </w:rPr>
        <w:t xml:space="preserve"> </w:t>
      </w:r>
      <w:r w:rsidRPr="00720661">
        <w:rPr>
          <w:lang w:val="en-AU"/>
        </w:rPr>
        <w:t xml:space="preserve">vol. </w:t>
      </w:r>
      <w:r w:rsidR="00C249A6" w:rsidRPr="00720661">
        <w:rPr>
          <w:lang w:val="en-AU"/>
        </w:rPr>
        <w:t>369</w:t>
      </w:r>
      <w:r w:rsidRPr="00720661">
        <w:rPr>
          <w:lang w:val="en-AU"/>
        </w:rPr>
        <w:t xml:space="preserve">, no. </w:t>
      </w:r>
      <w:r w:rsidR="0081227D" w:rsidRPr="00720661">
        <w:rPr>
          <w:lang w:val="en-AU"/>
        </w:rPr>
        <w:t>25</w:t>
      </w:r>
      <w:r w:rsidRPr="00720661">
        <w:rPr>
          <w:lang w:val="en-AU"/>
        </w:rPr>
        <w:t>, pp</w:t>
      </w:r>
      <w:r w:rsidR="0094143A" w:rsidRPr="00720661">
        <w:rPr>
          <w:lang w:val="en-AU"/>
        </w:rPr>
        <w:t>.</w:t>
      </w:r>
      <w:r w:rsidR="0094143A">
        <w:rPr>
          <w:lang w:val="en-AU"/>
        </w:rPr>
        <w:t> </w:t>
      </w:r>
      <w:r w:rsidR="00C249A6" w:rsidRPr="00720661">
        <w:rPr>
          <w:lang w:val="en-AU"/>
        </w:rPr>
        <w:t>2379</w:t>
      </w:r>
      <w:r w:rsidR="0094143A">
        <w:rPr>
          <w:lang w:val="en-AU"/>
        </w:rPr>
        <w:t>-</w:t>
      </w:r>
      <w:r w:rsidR="00C249A6" w:rsidRPr="00720661">
        <w:rPr>
          <w:lang w:val="en-AU"/>
        </w:rPr>
        <w:t>2390</w:t>
      </w:r>
      <w:bookmarkEnd w:id="192"/>
      <w:r w:rsidRPr="00720661">
        <w:rPr>
          <w:lang w:val="en-AU"/>
        </w:rPr>
        <w:t>.</w:t>
      </w:r>
    </w:p>
    <w:p w14:paraId="3EC8FFDE" w14:textId="77777777" w:rsidR="001949E4" w:rsidRPr="00720661" w:rsidRDefault="001949E4" w:rsidP="00F13BE2">
      <w:pPr>
        <w:pStyle w:val="ListParagraph"/>
        <w:numPr>
          <w:ilvl w:val="0"/>
          <w:numId w:val="25"/>
        </w:numPr>
        <w:spacing w:before="120"/>
        <w:ind w:left="426" w:hanging="426"/>
        <w:rPr>
          <w:lang w:val="en-AU"/>
        </w:rPr>
      </w:pPr>
      <w:bookmarkStart w:id="193" w:name="_Ref488829669"/>
      <w:r w:rsidRPr="00720661">
        <w:rPr>
          <w:lang w:val="en-AU"/>
        </w:rPr>
        <w:t>Rumi</w:t>
      </w:r>
      <w:r w:rsidR="00B00D5A" w:rsidRPr="00720661">
        <w:rPr>
          <w:lang w:val="en-AU"/>
        </w:rPr>
        <w:t>,</w:t>
      </w:r>
      <w:r w:rsidRPr="00720661">
        <w:rPr>
          <w:lang w:val="en-AU"/>
        </w:rPr>
        <w:t xml:space="preserve"> E, </w:t>
      </w:r>
      <w:r w:rsidR="00B00D5A" w:rsidRPr="00720661">
        <w:rPr>
          <w:lang w:val="en-AU"/>
        </w:rPr>
        <w:t xml:space="preserve">D </w:t>
      </w:r>
      <w:proofErr w:type="spellStart"/>
      <w:r w:rsidRPr="00720661">
        <w:rPr>
          <w:lang w:val="en-AU"/>
        </w:rPr>
        <w:t>Pietra</w:t>
      </w:r>
      <w:proofErr w:type="spellEnd"/>
      <w:r w:rsidRPr="00720661">
        <w:rPr>
          <w:lang w:val="en-AU"/>
        </w:rPr>
        <w:t xml:space="preserve">, </w:t>
      </w:r>
      <w:r w:rsidR="00B00D5A" w:rsidRPr="00720661">
        <w:rPr>
          <w:lang w:val="en-AU"/>
        </w:rPr>
        <w:t xml:space="preserve">V </w:t>
      </w:r>
      <w:r w:rsidRPr="00720661">
        <w:rPr>
          <w:lang w:val="en-AU"/>
        </w:rPr>
        <w:t xml:space="preserve">Ferretti, </w:t>
      </w:r>
      <w:r w:rsidR="00B00D5A" w:rsidRPr="00720661">
        <w:rPr>
          <w:lang w:val="en-AU"/>
        </w:rPr>
        <w:t xml:space="preserve">T </w:t>
      </w:r>
      <w:proofErr w:type="spellStart"/>
      <w:r w:rsidRPr="00720661">
        <w:rPr>
          <w:lang w:val="en-AU"/>
        </w:rPr>
        <w:t>Klampfl</w:t>
      </w:r>
      <w:proofErr w:type="spellEnd"/>
      <w:r w:rsidRPr="00720661">
        <w:rPr>
          <w:lang w:val="en-AU"/>
        </w:rPr>
        <w:t xml:space="preserve">, </w:t>
      </w:r>
      <w:r w:rsidR="00B00D5A" w:rsidRPr="00720661">
        <w:rPr>
          <w:lang w:val="en-AU"/>
        </w:rPr>
        <w:t xml:space="preserve">AS </w:t>
      </w:r>
      <w:r w:rsidRPr="00720661">
        <w:rPr>
          <w:lang w:val="en-AU"/>
        </w:rPr>
        <w:t xml:space="preserve">Harutyunyan, </w:t>
      </w:r>
      <w:r w:rsidR="00B00D5A" w:rsidRPr="00720661">
        <w:rPr>
          <w:lang w:val="en-AU"/>
        </w:rPr>
        <w:t xml:space="preserve">JD </w:t>
      </w:r>
      <w:r w:rsidRPr="00720661">
        <w:rPr>
          <w:lang w:val="en-AU"/>
        </w:rPr>
        <w:t xml:space="preserve">Milosevic, </w:t>
      </w:r>
      <w:r w:rsidR="00B00D5A" w:rsidRPr="00720661">
        <w:rPr>
          <w:lang w:val="en-AU"/>
        </w:rPr>
        <w:t xml:space="preserve">NC </w:t>
      </w:r>
      <w:r w:rsidRPr="00720661">
        <w:rPr>
          <w:lang w:val="en-AU"/>
        </w:rPr>
        <w:t>Them</w:t>
      </w:r>
      <w:r w:rsidR="00B00D5A" w:rsidRPr="00720661">
        <w:rPr>
          <w:lang w:val="en-AU"/>
        </w:rPr>
        <w:t>,</w:t>
      </w:r>
      <w:r w:rsidRPr="00720661">
        <w:rPr>
          <w:lang w:val="en-AU"/>
        </w:rPr>
        <w:t xml:space="preserve"> </w:t>
      </w:r>
      <w:r w:rsidR="00C32083" w:rsidRPr="00720661">
        <w:rPr>
          <w:lang w:val="en-AU"/>
        </w:rPr>
        <w:t xml:space="preserve">T Berg, C Elena, IC </w:t>
      </w:r>
      <w:proofErr w:type="spellStart"/>
      <w:r w:rsidR="00C32083" w:rsidRPr="00720661">
        <w:rPr>
          <w:lang w:val="en-AU"/>
        </w:rPr>
        <w:t>Casetti</w:t>
      </w:r>
      <w:proofErr w:type="spellEnd"/>
      <w:r w:rsidR="00C32083" w:rsidRPr="00720661">
        <w:rPr>
          <w:lang w:val="en-AU"/>
        </w:rPr>
        <w:t xml:space="preserve">, C </w:t>
      </w:r>
      <w:proofErr w:type="spellStart"/>
      <w:r w:rsidR="00C32083" w:rsidRPr="00720661">
        <w:rPr>
          <w:lang w:val="en-AU"/>
        </w:rPr>
        <w:t>Milanesi</w:t>
      </w:r>
      <w:proofErr w:type="spellEnd"/>
      <w:r w:rsidR="00C32083" w:rsidRPr="00720661">
        <w:rPr>
          <w:lang w:val="en-AU"/>
        </w:rPr>
        <w:t xml:space="preserve">, E Sant’Antonio, M Bellini, E </w:t>
      </w:r>
      <w:proofErr w:type="spellStart"/>
      <w:r w:rsidR="00C32083" w:rsidRPr="00720661">
        <w:rPr>
          <w:lang w:val="en-AU"/>
        </w:rPr>
        <w:t>Fugazza</w:t>
      </w:r>
      <w:proofErr w:type="spellEnd"/>
      <w:r w:rsidR="00C32083" w:rsidRPr="00720661">
        <w:rPr>
          <w:lang w:val="en-AU"/>
        </w:rPr>
        <w:t xml:space="preserve">, MC Renna, E </w:t>
      </w:r>
      <w:proofErr w:type="spellStart"/>
      <w:r w:rsidR="00C32083" w:rsidRPr="00720661">
        <w:rPr>
          <w:lang w:val="en-AU"/>
        </w:rPr>
        <w:t>Boveri</w:t>
      </w:r>
      <w:proofErr w:type="spellEnd"/>
      <w:r w:rsidR="00C32083" w:rsidRPr="00720661">
        <w:rPr>
          <w:lang w:val="en-AU"/>
        </w:rPr>
        <w:t xml:space="preserve">, C </w:t>
      </w:r>
      <w:proofErr w:type="spellStart"/>
      <w:r w:rsidR="00C32083" w:rsidRPr="00720661">
        <w:rPr>
          <w:lang w:val="en-AU"/>
        </w:rPr>
        <w:t>Astori</w:t>
      </w:r>
      <w:proofErr w:type="spellEnd"/>
      <w:r w:rsidR="00C32083" w:rsidRPr="00720661">
        <w:rPr>
          <w:lang w:val="en-AU"/>
        </w:rPr>
        <w:t xml:space="preserve">, C </w:t>
      </w:r>
      <w:proofErr w:type="spellStart"/>
      <w:r w:rsidR="00C32083" w:rsidRPr="00720661">
        <w:rPr>
          <w:lang w:val="en-AU"/>
        </w:rPr>
        <w:t>Pascutto</w:t>
      </w:r>
      <w:proofErr w:type="spellEnd"/>
      <w:r w:rsidR="00C32083" w:rsidRPr="00720661">
        <w:rPr>
          <w:lang w:val="en-AU"/>
        </w:rPr>
        <w:t xml:space="preserve">, R </w:t>
      </w:r>
      <w:proofErr w:type="spellStart"/>
      <w:r w:rsidR="00C32083" w:rsidRPr="00720661">
        <w:rPr>
          <w:lang w:val="en-AU"/>
        </w:rPr>
        <w:t>Kralovics</w:t>
      </w:r>
      <w:proofErr w:type="spellEnd"/>
      <w:r w:rsidR="00C32083" w:rsidRPr="00720661">
        <w:rPr>
          <w:lang w:val="en-AU"/>
        </w:rPr>
        <w:t xml:space="preserve"> and M </w:t>
      </w:r>
      <w:proofErr w:type="spellStart"/>
      <w:r w:rsidR="00C32083" w:rsidRPr="00720661">
        <w:rPr>
          <w:lang w:val="en-AU"/>
        </w:rPr>
        <w:t>Cazzola</w:t>
      </w:r>
      <w:proofErr w:type="spellEnd"/>
      <w:r w:rsidR="00C32083" w:rsidRPr="00720661">
        <w:rPr>
          <w:lang w:val="en-AU"/>
        </w:rPr>
        <w:t>.</w:t>
      </w:r>
      <w:r w:rsidRPr="00720661">
        <w:rPr>
          <w:lang w:val="en-AU"/>
        </w:rPr>
        <w:t xml:space="preserve"> JAK2 or CALR mutation status defines subtypes of essential thrombocythemia with substantially different clinical course and outcomes. </w:t>
      </w:r>
      <w:r w:rsidRPr="00403ACD">
        <w:rPr>
          <w:i/>
          <w:lang w:val="en-AU"/>
        </w:rPr>
        <w:t>Blood</w:t>
      </w:r>
      <w:r w:rsidRPr="00720661">
        <w:rPr>
          <w:lang w:val="en-AU"/>
        </w:rPr>
        <w:t>. 2014</w:t>
      </w:r>
      <w:r w:rsidR="00B00D5A" w:rsidRPr="00720661">
        <w:rPr>
          <w:lang w:val="en-AU"/>
        </w:rPr>
        <w:t>,</w:t>
      </w:r>
      <w:r w:rsidRPr="00720661">
        <w:rPr>
          <w:lang w:val="en-AU"/>
        </w:rPr>
        <w:t xml:space="preserve"> </w:t>
      </w:r>
      <w:r w:rsidR="00B00D5A" w:rsidRPr="00720661">
        <w:rPr>
          <w:lang w:val="en-AU"/>
        </w:rPr>
        <w:t xml:space="preserve">vol. </w:t>
      </w:r>
      <w:r w:rsidRPr="00720661">
        <w:rPr>
          <w:lang w:val="en-AU"/>
        </w:rPr>
        <w:t>123</w:t>
      </w:r>
      <w:r w:rsidR="00B00D5A" w:rsidRPr="00720661">
        <w:rPr>
          <w:lang w:val="en-AU"/>
        </w:rPr>
        <w:t>, no</w:t>
      </w:r>
      <w:r w:rsidR="008506C3" w:rsidRPr="00720661">
        <w:rPr>
          <w:lang w:val="en-AU"/>
        </w:rPr>
        <w:t>.</w:t>
      </w:r>
      <w:r w:rsidR="00B00D5A" w:rsidRPr="00720661">
        <w:rPr>
          <w:lang w:val="en-AU"/>
        </w:rPr>
        <w:t xml:space="preserve"> </w:t>
      </w:r>
      <w:r w:rsidRPr="00720661">
        <w:rPr>
          <w:lang w:val="en-AU"/>
        </w:rPr>
        <w:t>10</w:t>
      </w:r>
      <w:r w:rsidR="00B00D5A" w:rsidRPr="00720661">
        <w:rPr>
          <w:lang w:val="en-AU"/>
        </w:rPr>
        <w:t xml:space="preserve">, pp. </w:t>
      </w:r>
      <w:r w:rsidRPr="00720661">
        <w:rPr>
          <w:lang w:val="en-AU"/>
        </w:rPr>
        <w:t>1544</w:t>
      </w:r>
      <w:r w:rsidR="0094143A">
        <w:rPr>
          <w:lang w:val="en-AU"/>
        </w:rPr>
        <w:t>-</w:t>
      </w:r>
      <w:r w:rsidR="00B00D5A" w:rsidRPr="00720661">
        <w:rPr>
          <w:lang w:val="en-AU"/>
        </w:rPr>
        <w:t>15</w:t>
      </w:r>
      <w:r w:rsidRPr="00720661">
        <w:rPr>
          <w:lang w:val="en-AU"/>
        </w:rPr>
        <w:t>51.</w:t>
      </w:r>
      <w:bookmarkEnd w:id="193"/>
    </w:p>
    <w:p w14:paraId="400CCC21" w14:textId="77777777" w:rsidR="00C249A6" w:rsidRPr="00720661" w:rsidRDefault="00C249A6" w:rsidP="00F13BE2">
      <w:pPr>
        <w:pStyle w:val="ListParagraph"/>
        <w:numPr>
          <w:ilvl w:val="0"/>
          <w:numId w:val="25"/>
        </w:numPr>
        <w:spacing w:before="120"/>
        <w:ind w:left="426" w:hanging="426"/>
        <w:rPr>
          <w:lang w:val="en-AU"/>
        </w:rPr>
      </w:pPr>
      <w:bookmarkStart w:id="194" w:name="_Ref488829695"/>
      <w:r w:rsidRPr="00720661">
        <w:rPr>
          <w:lang w:val="en-AU"/>
        </w:rPr>
        <w:t>Rumi</w:t>
      </w:r>
      <w:r w:rsidR="00640D73" w:rsidRPr="00720661">
        <w:rPr>
          <w:lang w:val="en-AU"/>
        </w:rPr>
        <w:t>,</w:t>
      </w:r>
      <w:r w:rsidRPr="00720661">
        <w:rPr>
          <w:lang w:val="en-AU"/>
        </w:rPr>
        <w:t xml:space="preserve"> E, </w:t>
      </w:r>
      <w:r w:rsidR="00640D73" w:rsidRPr="00720661">
        <w:rPr>
          <w:lang w:val="en-AU"/>
        </w:rPr>
        <w:t xml:space="preserve">D </w:t>
      </w:r>
      <w:proofErr w:type="spellStart"/>
      <w:r w:rsidRPr="00720661">
        <w:rPr>
          <w:lang w:val="en-AU"/>
        </w:rPr>
        <w:t>Pietra</w:t>
      </w:r>
      <w:proofErr w:type="spellEnd"/>
      <w:r w:rsidRPr="00720661">
        <w:rPr>
          <w:lang w:val="en-AU"/>
        </w:rPr>
        <w:t xml:space="preserve">, </w:t>
      </w:r>
      <w:r w:rsidR="00640D73" w:rsidRPr="00720661">
        <w:rPr>
          <w:lang w:val="en-AU"/>
        </w:rPr>
        <w:t xml:space="preserve">C </w:t>
      </w:r>
      <w:proofErr w:type="spellStart"/>
      <w:r w:rsidRPr="00720661">
        <w:rPr>
          <w:lang w:val="en-AU"/>
        </w:rPr>
        <w:t>Pascutto</w:t>
      </w:r>
      <w:proofErr w:type="spellEnd"/>
      <w:r w:rsidRPr="00720661">
        <w:rPr>
          <w:lang w:val="en-AU"/>
        </w:rPr>
        <w:t xml:space="preserve">, </w:t>
      </w:r>
      <w:r w:rsidR="00640D73" w:rsidRPr="00720661">
        <w:rPr>
          <w:lang w:val="en-AU"/>
        </w:rPr>
        <w:t xml:space="preserve">P </w:t>
      </w:r>
      <w:r w:rsidRPr="00720661">
        <w:rPr>
          <w:lang w:val="en-AU"/>
        </w:rPr>
        <w:t xml:space="preserve">Guglielmelli, </w:t>
      </w:r>
      <w:r w:rsidR="00640D73" w:rsidRPr="00720661">
        <w:rPr>
          <w:lang w:val="en-AU"/>
        </w:rPr>
        <w:t xml:space="preserve">A </w:t>
      </w:r>
      <w:r w:rsidRPr="00720661">
        <w:rPr>
          <w:lang w:val="en-AU"/>
        </w:rPr>
        <w:t>Martínez-</w:t>
      </w:r>
      <w:proofErr w:type="spellStart"/>
      <w:r w:rsidRPr="00720661">
        <w:rPr>
          <w:lang w:val="en-AU"/>
        </w:rPr>
        <w:t>Trillos</w:t>
      </w:r>
      <w:proofErr w:type="spellEnd"/>
      <w:r w:rsidRPr="00720661">
        <w:rPr>
          <w:lang w:val="en-AU"/>
        </w:rPr>
        <w:t xml:space="preserve">, </w:t>
      </w:r>
      <w:r w:rsidR="00640D73" w:rsidRPr="00720661">
        <w:rPr>
          <w:lang w:val="en-AU"/>
        </w:rPr>
        <w:t xml:space="preserve">I </w:t>
      </w:r>
      <w:proofErr w:type="spellStart"/>
      <w:r w:rsidRPr="00720661">
        <w:rPr>
          <w:lang w:val="en-AU"/>
        </w:rPr>
        <w:t>Casetti</w:t>
      </w:r>
      <w:proofErr w:type="spellEnd"/>
      <w:r w:rsidRPr="00720661">
        <w:rPr>
          <w:lang w:val="en-AU"/>
        </w:rPr>
        <w:t xml:space="preserve">, </w:t>
      </w:r>
      <w:r w:rsidR="00640D73" w:rsidRPr="00720661">
        <w:rPr>
          <w:lang w:val="en-AU"/>
        </w:rPr>
        <w:t xml:space="preserve">D </w:t>
      </w:r>
      <w:proofErr w:type="spellStart"/>
      <w:r w:rsidRPr="00720661">
        <w:rPr>
          <w:lang w:val="en-AU"/>
        </w:rPr>
        <w:t>Colomer</w:t>
      </w:r>
      <w:proofErr w:type="spellEnd"/>
      <w:r w:rsidRPr="00720661">
        <w:rPr>
          <w:lang w:val="en-AU"/>
        </w:rPr>
        <w:t xml:space="preserve">, </w:t>
      </w:r>
      <w:r w:rsidR="00E27BDF" w:rsidRPr="003B31BB">
        <w:rPr>
          <w:lang w:val="en-AU"/>
        </w:rPr>
        <w:t xml:space="preserve">L </w:t>
      </w:r>
      <w:proofErr w:type="spellStart"/>
      <w:r w:rsidR="00E27BDF" w:rsidRPr="003B31BB">
        <w:rPr>
          <w:lang w:val="en-AU"/>
        </w:rPr>
        <w:t>Pieri</w:t>
      </w:r>
      <w:proofErr w:type="spellEnd"/>
      <w:r w:rsidR="00E27BDF" w:rsidRPr="003B31BB">
        <w:rPr>
          <w:lang w:val="en-AU"/>
        </w:rPr>
        <w:t xml:space="preserve">, M </w:t>
      </w:r>
      <w:proofErr w:type="spellStart"/>
      <w:r w:rsidR="00E27BDF" w:rsidRPr="003B31BB">
        <w:rPr>
          <w:lang w:val="en-AU"/>
        </w:rPr>
        <w:t>Pratcorona</w:t>
      </w:r>
      <w:proofErr w:type="spellEnd"/>
      <w:r w:rsidR="00E27BDF" w:rsidRPr="003B31BB">
        <w:rPr>
          <w:lang w:val="en-AU"/>
        </w:rPr>
        <w:t xml:space="preserve">, G </w:t>
      </w:r>
      <w:proofErr w:type="spellStart"/>
      <w:r w:rsidR="00E27BDF" w:rsidRPr="003B31BB">
        <w:rPr>
          <w:lang w:val="en-AU"/>
        </w:rPr>
        <w:t>Rotunno</w:t>
      </w:r>
      <w:proofErr w:type="spellEnd"/>
      <w:r w:rsidR="00E27BDF" w:rsidRPr="003B31BB">
        <w:rPr>
          <w:lang w:val="en-AU"/>
        </w:rPr>
        <w:t xml:space="preserve">, E Sant’Antonio, M Bellini, C </w:t>
      </w:r>
      <w:proofErr w:type="spellStart"/>
      <w:r w:rsidR="00E27BDF" w:rsidRPr="003B31BB">
        <w:rPr>
          <w:lang w:val="en-AU"/>
        </w:rPr>
        <w:t>Cavalloni</w:t>
      </w:r>
      <w:proofErr w:type="spellEnd"/>
      <w:r w:rsidR="00E27BDF" w:rsidRPr="003B31BB">
        <w:rPr>
          <w:lang w:val="en-AU"/>
        </w:rPr>
        <w:t xml:space="preserve">, C </w:t>
      </w:r>
      <w:proofErr w:type="spellStart"/>
      <w:r w:rsidR="00E27BDF" w:rsidRPr="003B31BB">
        <w:rPr>
          <w:lang w:val="en-AU"/>
        </w:rPr>
        <w:t>Mannarelli</w:t>
      </w:r>
      <w:proofErr w:type="spellEnd"/>
      <w:r w:rsidR="00E27BDF" w:rsidRPr="003B31BB">
        <w:rPr>
          <w:lang w:val="en-AU"/>
        </w:rPr>
        <w:t xml:space="preserve">, C </w:t>
      </w:r>
      <w:proofErr w:type="spellStart"/>
      <w:r w:rsidR="00E27BDF" w:rsidRPr="003B31BB">
        <w:rPr>
          <w:lang w:val="en-AU"/>
        </w:rPr>
        <w:t>Milanesi</w:t>
      </w:r>
      <w:proofErr w:type="spellEnd"/>
      <w:r w:rsidR="00E27BDF" w:rsidRPr="003B31BB">
        <w:rPr>
          <w:lang w:val="en-AU"/>
        </w:rPr>
        <w:t xml:space="preserve">, E </w:t>
      </w:r>
      <w:proofErr w:type="spellStart"/>
      <w:r w:rsidR="00E27BDF" w:rsidRPr="003B31BB">
        <w:rPr>
          <w:lang w:val="en-AU"/>
        </w:rPr>
        <w:t>Boveri</w:t>
      </w:r>
      <w:proofErr w:type="spellEnd"/>
      <w:r w:rsidR="00E27BDF" w:rsidRPr="003B31BB">
        <w:rPr>
          <w:lang w:val="en-AU"/>
        </w:rPr>
        <w:t xml:space="preserve">, V Ferretti, C </w:t>
      </w:r>
      <w:proofErr w:type="spellStart"/>
      <w:r w:rsidR="00E27BDF" w:rsidRPr="003B31BB">
        <w:rPr>
          <w:lang w:val="en-AU"/>
        </w:rPr>
        <w:t>Astori</w:t>
      </w:r>
      <w:proofErr w:type="spellEnd"/>
      <w:r w:rsidR="00E27BDF" w:rsidRPr="003B31BB">
        <w:rPr>
          <w:lang w:val="en-AU"/>
        </w:rPr>
        <w:t xml:space="preserve">, V </w:t>
      </w:r>
      <w:proofErr w:type="spellStart"/>
      <w:r w:rsidR="00E27BDF" w:rsidRPr="003B31BB">
        <w:rPr>
          <w:lang w:val="en-AU"/>
        </w:rPr>
        <w:t>Rosti</w:t>
      </w:r>
      <w:proofErr w:type="spellEnd"/>
      <w:r w:rsidR="00E27BDF" w:rsidRPr="003B31BB">
        <w:rPr>
          <w:lang w:val="en-AU"/>
        </w:rPr>
        <w:t xml:space="preserve">, F Cervantes, G </w:t>
      </w:r>
      <w:proofErr w:type="spellStart"/>
      <w:r w:rsidR="00E27BDF" w:rsidRPr="003B31BB">
        <w:rPr>
          <w:lang w:val="en-AU"/>
        </w:rPr>
        <w:t>Barosi</w:t>
      </w:r>
      <w:proofErr w:type="spellEnd"/>
      <w:r w:rsidR="00E27BDF" w:rsidRPr="003B31BB">
        <w:rPr>
          <w:lang w:val="en-AU"/>
        </w:rPr>
        <w:t xml:space="preserve">, AM </w:t>
      </w:r>
      <w:proofErr w:type="spellStart"/>
      <w:r w:rsidR="00E27BDF" w:rsidRPr="003B31BB">
        <w:rPr>
          <w:lang w:val="en-AU"/>
        </w:rPr>
        <w:t>Vannucchi</w:t>
      </w:r>
      <w:proofErr w:type="spellEnd"/>
      <w:r w:rsidR="00E27BDF" w:rsidRPr="003B31BB">
        <w:rPr>
          <w:lang w:val="en-AU"/>
        </w:rPr>
        <w:t xml:space="preserve"> and M </w:t>
      </w:r>
      <w:proofErr w:type="spellStart"/>
      <w:r w:rsidR="00E27BDF" w:rsidRPr="003B31BB">
        <w:rPr>
          <w:lang w:val="en-AU"/>
        </w:rPr>
        <w:t>Cazzola</w:t>
      </w:r>
      <w:proofErr w:type="spellEnd"/>
      <w:r w:rsidR="00E27BDF" w:rsidRPr="003B31BB">
        <w:rPr>
          <w:lang w:val="en-AU"/>
        </w:rPr>
        <w:t xml:space="preserve">. </w:t>
      </w:r>
      <w:r w:rsidRPr="00720661">
        <w:rPr>
          <w:lang w:val="en-AU"/>
        </w:rPr>
        <w:t xml:space="preserve">Clinical </w:t>
      </w:r>
      <w:r w:rsidRPr="00720661">
        <w:rPr>
          <w:lang w:val="en-AU"/>
        </w:rPr>
        <w:lastRenderedPageBreak/>
        <w:t xml:space="preserve">effect of driver mutations of JAK2, CALR, or MPL in primary myelofibrosis. </w:t>
      </w:r>
      <w:r w:rsidRPr="00720661">
        <w:rPr>
          <w:i/>
          <w:lang w:val="en-AU"/>
        </w:rPr>
        <w:t>Blood.</w:t>
      </w:r>
      <w:r w:rsidRPr="00551F4D">
        <w:rPr>
          <w:lang w:val="en-AU"/>
        </w:rPr>
        <w:t xml:space="preserve"> 2014</w:t>
      </w:r>
      <w:r w:rsidR="00640D73" w:rsidRPr="00551F4D">
        <w:rPr>
          <w:lang w:val="en-AU"/>
        </w:rPr>
        <w:t>,</w:t>
      </w:r>
      <w:r w:rsidRPr="00551F4D">
        <w:rPr>
          <w:lang w:val="en-AU"/>
        </w:rPr>
        <w:t xml:space="preserve"> </w:t>
      </w:r>
      <w:r w:rsidR="00640D73" w:rsidRPr="00551F4D">
        <w:rPr>
          <w:lang w:val="en-AU"/>
        </w:rPr>
        <w:t xml:space="preserve">vol. </w:t>
      </w:r>
      <w:r w:rsidRPr="00720661">
        <w:rPr>
          <w:lang w:val="en-AU"/>
        </w:rPr>
        <w:t>124</w:t>
      </w:r>
      <w:r w:rsidR="00640D73" w:rsidRPr="00720661">
        <w:rPr>
          <w:lang w:val="en-AU"/>
        </w:rPr>
        <w:t xml:space="preserve">, no. </w:t>
      </w:r>
      <w:r w:rsidRPr="00720661">
        <w:rPr>
          <w:lang w:val="en-AU"/>
        </w:rPr>
        <w:t>7</w:t>
      </w:r>
      <w:r w:rsidR="00640D73" w:rsidRPr="00720661">
        <w:rPr>
          <w:lang w:val="en-AU"/>
        </w:rPr>
        <w:t xml:space="preserve">, pp. </w:t>
      </w:r>
      <w:r w:rsidRPr="00720661">
        <w:rPr>
          <w:lang w:val="en-AU"/>
        </w:rPr>
        <w:t>1062</w:t>
      </w:r>
      <w:r w:rsidR="0094143A">
        <w:rPr>
          <w:lang w:val="en-AU"/>
        </w:rPr>
        <w:t>-</w:t>
      </w:r>
      <w:r w:rsidR="00640D73" w:rsidRPr="00720661">
        <w:rPr>
          <w:lang w:val="en-AU"/>
        </w:rPr>
        <w:t>106</w:t>
      </w:r>
      <w:r w:rsidRPr="00720661">
        <w:rPr>
          <w:lang w:val="en-AU"/>
        </w:rPr>
        <w:t>9.</w:t>
      </w:r>
      <w:bookmarkEnd w:id="194"/>
    </w:p>
    <w:p w14:paraId="45FFD7B8" w14:textId="77777777" w:rsidR="00C249A6" w:rsidRPr="00720661" w:rsidRDefault="00C249A6" w:rsidP="00F13BE2">
      <w:pPr>
        <w:pStyle w:val="ListParagraph"/>
        <w:numPr>
          <w:ilvl w:val="0"/>
          <w:numId w:val="25"/>
        </w:numPr>
        <w:spacing w:before="120"/>
        <w:ind w:left="426" w:hanging="426"/>
        <w:rPr>
          <w:lang w:val="en-AU"/>
        </w:rPr>
      </w:pPr>
      <w:bookmarkStart w:id="195" w:name="_Ref488829718"/>
      <w:r w:rsidRPr="00720661">
        <w:rPr>
          <w:lang w:val="en-AU"/>
        </w:rPr>
        <w:t>Rumi</w:t>
      </w:r>
      <w:r w:rsidR="005E17A6" w:rsidRPr="00720661">
        <w:rPr>
          <w:lang w:val="en-AU"/>
        </w:rPr>
        <w:t>,</w:t>
      </w:r>
      <w:r w:rsidRPr="00720661">
        <w:rPr>
          <w:lang w:val="en-AU"/>
        </w:rPr>
        <w:t xml:space="preserve"> E, </w:t>
      </w:r>
      <w:r w:rsidR="005E17A6" w:rsidRPr="00720661">
        <w:rPr>
          <w:lang w:val="en-AU"/>
        </w:rPr>
        <w:t xml:space="preserve">and M </w:t>
      </w:r>
      <w:proofErr w:type="spellStart"/>
      <w:r w:rsidRPr="00720661">
        <w:rPr>
          <w:lang w:val="en-AU"/>
        </w:rPr>
        <w:t>Cazzola</w:t>
      </w:r>
      <w:proofErr w:type="spellEnd"/>
      <w:r w:rsidRPr="00720661">
        <w:rPr>
          <w:lang w:val="en-AU"/>
        </w:rPr>
        <w:t xml:space="preserve">. Diagnosis, risk stratification, and response evaluation in classical myeloproliferative neoplasms. </w:t>
      </w:r>
      <w:r w:rsidRPr="00720661">
        <w:rPr>
          <w:i/>
          <w:lang w:val="en-AU"/>
        </w:rPr>
        <w:t>Blood.</w:t>
      </w:r>
      <w:r w:rsidRPr="00720661">
        <w:rPr>
          <w:lang w:val="en-AU"/>
        </w:rPr>
        <w:t xml:space="preserve"> 2017</w:t>
      </w:r>
      <w:r w:rsidR="005E17A6" w:rsidRPr="00720661">
        <w:rPr>
          <w:lang w:val="en-AU"/>
        </w:rPr>
        <w:t>,</w:t>
      </w:r>
      <w:r w:rsidRPr="00720661">
        <w:rPr>
          <w:lang w:val="en-AU"/>
        </w:rPr>
        <w:t xml:space="preserve"> </w:t>
      </w:r>
      <w:r w:rsidR="005E17A6" w:rsidRPr="00720661">
        <w:rPr>
          <w:lang w:val="en-AU"/>
        </w:rPr>
        <w:t xml:space="preserve">vol. </w:t>
      </w:r>
      <w:r w:rsidRPr="00720661">
        <w:rPr>
          <w:lang w:val="en-AU"/>
        </w:rPr>
        <w:t>129</w:t>
      </w:r>
      <w:r w:rsidR="005E17A6" w:rsidRPr="00720661">
        <w:rPr>
          <w:lang w:val="en-AU"/>
        </w:rPr>
        <w:t xml:space="preserve">, no. </w:t>
      </w:r>
      <w:r w:rsidRPr="00720661">
        <w:rPr>
          <w:lang w:val="en-AU"/>
        </w:rPr>
        <w:t>6</w:t>
      </w:r>
      <w:r w:rsidR="005E17A6" w:rsidRPr="00720661">
        <w:rPr>
          <w:lang w:val="en-AU"/>
        </w:rPr>
        <w:t xml:space="preserve">, pp. </w:t>
      </w:r>
      <w:r w:rsidRPr="00720661">
        <w:rPr>
          <w:lang w:val="en-AU"/>
        </w:rPr>
        <w:t>680</w:t>
      </w:r>
      <w:r w:rsidR="0094143A">
        <w:rPr>
          <w:lang w:val="en-AU"/>
        </w:rPr>
        <w:t>-</w:t>
      </w:r>
      <w:r w:rsidRPr="00720661">
        <w:rPr>
          <w:lang w:val="en-AU"/>
        </w:rPr>
        <w:t>692.</w:t>
      </w:r>
      <w:bookmarkEnd w:id="195"/>
    </w:p>
    <w:p w14:paraId="03037D7F" w14:textId="77777777" w:rsidR="00C249A6" w:rsidRPr="00720661" w:rsidRDefault="00C249A6" w:rsidP="00F13BE2">
      <w:pPr>
        <w:pStyle w:val="ListParagraph"/>
        <w:numPr>
          <w:ilvl w:val="0"/>
          <w:numId w:val="25"/>
        </w:numPr>
        <w:spacing w:before="120"/>
        <w:ind w:left="426" w:hanging="426"/>
        <w:rPr>
          <w:lang w:val="en-AU"/>
        </w:rPr>
      </w:pPr>
      <w:bookmarkStart w:id="196" w:name="_Ref488829741"/>
      <w:proofErr w:type="spellStart"/>
      <w:r w:rsidRPr="00720661">
        <w:rPr>
          <w:lang w:val="en-AU"/>
        </w:rPr>
        <w:t>Tefferi</w:t>
      </w:r>
      <w:proofErr w:type="spellEnd"/>
      <w:r w:rsidR="009B71EA" w:rsidRPr="00720661">
        <w:rPr>
          <w:lang w:val="en-AU"/>
        </w:rPr>
        <w:t>,</w:t>
      </w:r>
      <w:r w:rsidRPr="00720661">
        <w:rPr>
          <w:lang w:val="en-AU"/>
        </w:rPr>
        <w:t xml:space="preserve"> A. Myeloproliferative neoplasms: </w:t>
      </w:r>
      <w:r w:rsidR="008506C3" w:rsidRPr="00720661">
        <w:rPr>
          <w:lang w:val="en-AU"/>
        </w:rPr>
        <w:t>a</w:t>
      </w:r>
      <w:r w:rsidRPr="00720661">
        <w:rPr>
          <w:lang w:val="en-AU"/>
        </w:rPr>
        <w:t xml:space="preserve"> decade of discoveries and treatment advances. </w:t>
      </w:r>
      <w:r w:rsidRPr="00720661">
        <w:rPr>
          <w:i/>
          <w:lang w:val="en-AU"/>
        </w:rPr>
        <w:t>Am</w:t>
      </w:r>
      <w:r w:rsidR="009B71EA" w:rsidRPr="00720661">
        <w:rPr>
          <w:i/>
          <w:lang w:val="en-AU"/>
        </w:rPr>
        <w:t>erican</w:t>
      </w:r>
      <w:r w:rsidRPr="00720661">
        <w:rPr>
          <w:i/>
          <w:lang w:val="en-AU"/>
        </w:rPr>
        <w:t xml:space="preserve"> J</w:t>
      </w:r>
      <w:r w:rsidR="009B71EA" w:rsidRPr="00720661">
        <w:rPr>
          <w:i/>
          <w:lang w:val="en-AU"/>
        </w:rPr>
        <w:t>ournal of</w:t>
      </w:r>
      <w:r w:rsidRPr="00720661">
        <w:rPr>
          <w:i/>
          <w:lang w:val="en-AU"/>
        </w:rPr>
        <w:t xml:space="preserve"> Hematol</w:t>
      </w:r>
      <w:r w:rsidR="009B71EA" w:rsidRPr="00720661">
        <w:rPr>
          <w:i/>
          <w:lang w:val="en-AU"/>
        </w:rPr>
        <w:t>ogy</w:t>
      </w:r>
      <w:r w:rsidRPr="00720661">
        <w:rPr>
          <w:i/>
          <w:lang w:val="en-AU"/>
        </w:rPr>
        <w:t>.</w:t>
      </w:r>
      <w:r w:rsidRPr="00720661">
        <w:rPr>
          <w:lang w:val="en-AU"/>
        </w:rPr>
        <w:t xml:space="preserve"> 2016</w:t>
      </w:r>
      <w:r w:rsidR="009B71EA" w:rsidRPr="00720661">
        <w:rPr>
          <w:lang w:val="en-AU"/>
        </w:rPr>
        <w:t>,</w:t>
      </w:r>
      <w:r w:rsidRPr="00720661">
        <w:rPr>
          <w:lang w:val="en-AU"/>
        </w:rPr>
        <w:t xml:space="preserve"> </w:t>
      </w:r>
      <w:r w:rsidR="009B71EA" w:rsidRPr="00720661">
        <w:rPr>
          <w:lang w:val="en-AU"/>
        </w:rPr>
        <w:t>vol.</w:t>
      </w:r>
      <w:r w:rsidRPr="00720661">
        <w:rPr>
          <w:lang w:val="en-AU"/>
        </w:rPr>
        <w:t xml:space="preserve"> 91</w:t>
      </w:r>
      <w:r w:rsidR="009B71EA" w:rsidRPr="00720661">
        <w:rPr>
          <w:lang w:val="en-AU"/>
        </w:rPr>
        <w:t xml:space="preserve">, no. </w:t>
      </w:r>
      <w:r w:rsidRPr="00720661">
        <w:rPr>
          <w:lang w:val="en-AU"/>
        </w:rPr>
        <w:t>1</w:t>
      </w:r>
      <w:r w:rsidR="009B71EA" w:rsidRPr="00720661">
        <w:rPr>
          <w:lang w:val="en-AU"/>
        </w:rPr>
        <w:t xml:space="preserve">, pp. </w:t>
      </w:r>
      <w:r w:rsidRPr="00720661">
        <w:rPr>
          <w:lang w:val="en-AU"/>
        </w:rPr>
        <w:t>50</w:t>
      </w:r>
      <w:r w:rsidR="0094143A">
        <w:rPr>
          <w:lang w:val="en-AU"/>
        </w:rPr>
        <w:t>-</w:t>
      </w:r>
      <w:r w:rsidR="009B71EA" w:rsidRPr="00720661">
        <w:rPr>
          <w:lang w:val="en-AU"/>
        </w:rPr>
        <w:t>5</w:t>
      </w:r>
      <w:r w:rsidRPr="00720661">
        <w:rPr>
          <w:lang w:val="en-AU"/>
        </w:rPr>
        <w:t>8.</w:t>
      </w:r>
      <w:bookmarkEnd w:id="196"/>
    </w:p>
    <w:p w14:paraId="37F227D6" w14:textId="77777777" w:rsidR="00C249A6" w:rsidRPr="003B31BB" w:rsidRDefault="00C249A6" w:rsidP="00F13BE2">
      <w:pPr>
        <w:pStyle w:val="01squarebullet"/>
        <w:numPr>
          <w:ilvl w:val="0"/>
          <w:numId w:val="25"/>
        </w:numPr>
        <w:ind w:left="426" w:hanging="426"/>
        <w:rPr>
          <w:rFonts w:cstheme="minorHAnsi"/>
          <w:szCs w:val="22"/>
          <w:lang w:val="en-AU"/>
        </w:rPr>
      </w:pPr>
      <w:bookmarkStart w:id="197" w:name="_Ref488829764"/>
      <w:proofErr w:type="spellStart"/>
      <w:r w:rsidRPr="003B31BB">
        <w:rPr>
          <w:rFonts w:cstheme="minorHAnsi"/>
          <w:szCs w:val="22"/>
          <w:lang w:val="en-AU"/>
        </w:rPr>
        <w:t>Tefferi</w:t>
      </w:r>
      <w:proofErr w:type="spellEnd"/>
      <w:r w:rsidR="00454068" w:rsidRPr="003B31BB">
        <w:rPr>
          <w:rFonts w:cstheme="minorHAnsi"/>
          <w:szCs w:val="22"/>
          <w:lang w:val="en-AU"/>
        </w:rPr>
        <w:t>,</w:t>
      </w:r>
      <w:r w:rsidRPr="003B31BB">
        <w:rPr>
          <w:rFonts w:cstheme="minorHAnsi"/>
          <w:szCs w:val="22"/>
          <w:lang w:val="en-AU"/>
        </w:rPr>
        <w:t xml:space="preserve"> A, </w:t>
      </w:r>
      <w:r w:rsidR="00454068" w:rsidRPr="003B31BB">
        <w:rPr>
          <w:rFonts w:cstheme="minorHAnsi"/>
          <w:szCs w:val="22"/>
          <w:lang w:val="en-AU"/>
        </w:rPr>
        <w:t xml:space="preserve">and T </w:t>
      </w:r>
      <w:proofErr w:type="spellStart"/>
      <w:r w:rsidRPr="003B31BB">
        <w:rPr>
          <w:rFonts w:cstheme="minorHAnsi"/>
          <w:szCs w:val="22"/>
          <w:lang w:val="en-AU"/>
        </w:rPr>
        <w:t>Barbui</w:t>
      </w:r>
      <w:proofErr w:type="spellEnd"/>
      <w:r w:rsidRPr="003B31BB">
        <w:rPr>
          <w:rFonts w:cstheme="minorHAnsi"/>
          <w:szCs w:val="22"/>
          <w:lang w:val="en-AU"/>
        </w:rPr>
        <w:t xml:space="preserve">. </w:t>
      </w:r>
      <w:proofErr w:type="spellStart"/>
      <w:r w:rsidRPr="003B31BB">
        <w:rPr>
          <w:rFonts w:cstheme="minorHAnsi"/>
          <w:szCs w:val="22"/>
          <w:lang w:val="en-AU"/>
        </w:rPr>
        <w:t>Polycythemia</w:t>
      </w:r>
      <w:proofErr w:type="spellEnd"/>
      <w:r w:rsidRPr="003B31BB">
        <w:rPr>
          <w:rFonts w:cstheme="minorHAnsi"/>
          <w:szCs w:val="22"/>
          <w:lang w:val="en-AU"/>
        </w:rPr>
        <w:t xml:space="preserve"> vera and essential thrombocythemia: 2017 update on diagnosis, risk-stratification, and management. </w:t>
      </w:r>
      <w:r w:rsidR="006E0BAC" w:rsidRPr="00720661">
        <w:rPr>
          <w:i/>
          <w:lang w:val="en-AU"/>
        </w:rPr>
        <w:t>American Journal of Hematology.</w:t>
      </w:r>
      <w:r w:rsidRPr="003B31BB">
        <w:rPr>
          <w:rFonts w:cstheme="minorHAnsi"/>
          <w:szCs w:val="22"/>
          <w:lang w:val="en-AU"/>
        </w:rPr>
        <w:t xml:space="preserve"> 2017</w:t>
      </w:r>
      <w:r w:rsidR="006E0BAC" w:rsidRPr="003B31BB">
        <w:rPr>
          <w:rFonts w:cstheme="minorHAnsi"/>
          <w:szCs w:val="22"/>
          <w:lang w:val="en-AU"/>
        </w:rPr>
        <w:t>,</w:t>
      </w:r>
      <w:r w:rsidRPr="003B31BB">
        <w:rPr>
          <w:rFonts w:cstheme="minorHAnsi"/>
          <w:szCs w:val="22"/>
          <w:lang w:val="en-AU"/>
        </w:rPr>
        <w:t xml:space="preserve"> </w:t>
      </w:r>
      <w:r w:rsidR="006E0BAC" w:rsidRPr="003B31BB">
        <w:rPr>
          <w:rFonts w:cstheme="minorHAnsi"/>
          <w:szCs w:val="22"/>
          <w:lang w:val="en-AU"/>
        </w:rPr>
        <w:t>vol.</w:t>
      </w:r>
      <w:r w:rsidRPr="003B31BB">
        <w:rPr>
          <w:rFonts w:cstheme="minorHAnsi"/>
          <w:szCs w:val="22"/>
          <w:lang w:val="en-AU"/>
        </w:rPr>
        <w:t xml:space="preserve"> 92</w:t>
      </w:r>
      <w:r w:rsidR="006E0BAC" w:rsidRPr="003B31BB">
        <w:rPr>
          <w:rFonts w:cstheme="minorHAnsi"/>
          <w:szCs w:val="22"/>
          <w:lang w:val="en-AU"/>
        </w:rPr>
        <w:t xml:space="preserve">, no. </w:t>
      </w:r>
      <w:r w:rsidRPr="003B31BB">
        <w:rPr>
          <w:rFonts w:cstheme="minorHAnsi"/>
          <w:szCs w:val="22"/>
          <w:lang w:val="en-AU"/>
        </w:rPr>
        <w:t>1</w:t>
      </w:r>
      <w:r w:rsidR="006E0BAC" w:rsidRPr="003B31BB">
        <w:rPr>
          <w:rFonts w:cstheme="minorHAnsi"/>
          <w:szCs w:val="22"/>
          <w:lang w:val="en-AU"/>
        </w:rPr>
        <w:t xml:space="preserve">, pp. </w:t>
      </w:r>
      <w:r w:rsidRPr="003B31BB">
        <w:rPr>
          <w:rFonts w:cstheme="minorHAnsi"/>
          <w:szCs w:val="22"/>
          <w:lang w:val="en-AU"/>
        </w:rPr>
        <w:t>94</w:t>
      </w:r>
      <w:r w:rsidR="0094143A">
        <w:rPr>
          <w:rFonts w:cstheme="minorHAnsi"/>
          <w:szCs w:val="22"/>
          <w:lang w:val="en-AU"/>
        </w:rPr>
        <w:t>-</w:t>
      </w:r>
      <w:r w:rsidRPr="003B31BB">
        <w:rPr>
          <w:rFonts w:cstheme="minorHAnsi"/>
          <w:szCs w:val="22"/>
          <w:lang w:val="en-AU"/>
        </w:rPr>
        <w:t>108.</w:t>
      </w:r>
      <w:bookmarkEnd w:id="197"/>
    </w:p>
    <w:p w14:paraId="5FEF0726" w14:textId="77777777" w:rsidR="001D088A" w:rsidRPr="00720661" w:rsidRDefault="00616311" w:rsidP="00F13BE2">
      <w:pPr>
        <w:pStyle w:val="ListParagraph"/>
        <w:numPr>
          <w:ilvl w:val="0"/>
          <w:numId w:val="25"/>
        </w:numPr>
        <w:spacing w:before="120"/>
        <w:ind w:left="426" w:hanging="426"/>
        <w:rPr>
          <w:lang w:val="en-AU"/>
        </w:rPr>
      </w:pPr>
      <w:bookmarkStart w:id="198" w:name="_Ref488829787"/>
      <w:r w:rsidRPr="00720661">
        <w:rPr>
          <w:lang w:val="en-AU"/>
        </w:rPr>
        <w:t>Xia</w:t>
      </w:r>
      <w:r w:rsidR="00455CA1" w:rsidRPr="00551F4D">
        <w:rPr>
          <w:lang w:val="en-AU"/>
        </w:rPr>
        <w:t>,</w:t>
      </w:r>
      <w:r w:rsidRPr="00551F4D">
        <w:rPr>
          <w:lang w:val="en-AU"/>
        </w:rPr>
        <w:t xml:space="preserve"> D, </w:t>
      </w:r>
      <w:r w:rsidR="00455CA1" w:rsidRPr="00551F4D">
        <w:rPr>
          <w:lang w:val="en-AU"/>
        </w:rPr>
        <w:t xml:space="preserve">and RP </w:t>
      </w:r>
      <w:proofErr w:type="spellStart"/>
      <w:r w:rsidRPr="00720661">
        <w:rPr>
          <w:lang w:val="en-AU"/>
        </w:rPr>
        <w:t>Hasserjian</w:t>
      </w:r>
      <w:proofErr w:type="spellEnd"/>
      <w:r w:rsidRPr="00720661">
        <w:rPr>
          <w:lang w:val="en-AU"/>
        </w:rPr>
        <w:t xml:space="preserve">. Molecular testing for JAK2, MPL, and CALR in myeloproliferative neoplasms. </w:t>
      </w:r>
      <w:r w:rsidR="00455CA1" w:rsidRPr="00720661">
        <w:rPr>
          <w:i/>
          <w:lang w:val="en-AU"/>
        </w:rPr>
        <w:t>American Journal of Hematology.</w:t>
      </w:r>
      <w:r w:rsidRPr="00720661">
        <w:rPr>
          <w:lang w:val="en-AU"/>
        </w:rPr>
        <w:t xml:space="preserve"> 2016</w:t>
      </w:r>
      <w:r w:rsidR="00455CA1" w:rsidRPr="00720661">
        <w:rPr>
          <w:lang w:val="en-AU"/>
        </w:rPr>
        <w:t>,</w:t>
      </w:r>
      <w:r w:rsidRPr="00720661">
        <w:rPr>
          <w:lang w:val="en-AU"/>
        </w:rPr>
        <w:t xml:space="preserve"> </w:t>
      </w:r>
      <w:r w:rsidR="00455CA1" w:rsidRPr="00720661">
        <w:rPr>
          <w:lang w:val="en-AU"/>
        </w:rPr>
        <w:t xml:space="preserve">vol. </w:t>
      </w:r>
      <w:r w:rsidRPr="00720661">
        <w:rPr>
          <w:lang w:val="en-AU"/>
        </w:rPr>
        <w:t>91</w:t>
      </w:r>
      <w:r w:rsidR="00455CA1" w:rsidRPr="00720661">
        <w:rPr>
          <w:lang w:val="en-AU"/>
        </w:rPr>
        <w:t xml:space="preserve">, no. </w:t>
      </w:r>
      <w:r w:rsidRPr="00720661">
        <w:rPr>
          <w:lang w:val="en-AU"/>
        </w:rPr>
        <w:t>12</w:t>
      </w:r>
      <w:r w:rsidR="00455CA1" w:rsidRPr="00720661">
        <w:rPr>
          <w:lang w:val="en-AU"/>
        </w:rPr>
        <w:t xml:space="preserve">, pp. </w:t>
      </w:r>
      <w:r w:rsidRPr="00720661">
        <w:rPr>
          <w:lang w:val="en-AU"/>
        </w:rPr>
        <w:t>1277</w:t>
      </w:r>
      <w:r w:rsidR="0094143A">
        <w:rPr>
          <w:lang w:val="en-AU"/>
        </w:rPr>
        <w:t>-</w:t>
      </w:r>
      <w:r w:rsidRPr="00720661">
        <w:rPr>
          <w:lang w:val="en-AU"/>
        </w:rPr>
        <w:t xml:space="preserve">1280. </w:t>
      </w:r>
      <w:bookmarkEnd w:id="198"/>
    </w:p>
    <w:p w14:paraId="6FF21571" w14:textId="77777777" w:rsidR="00E27BDF" w:rsidRPr="003B31BB" w:rsidRDefault="00C249A6" w:rsidP="00F13BE2">
      <w:pPr>
        <w:pStyle w:val="ListParagraph"/>
        <w:numPr>
          <w:ilvl w:val="0"/>
          <w:numId w:val="25"/>
        </w:numPr>
        <w:spacing w:before="120"/>
        <w:ind w:left="426" w:hanging="426"/>
        <w:rPr>
          <w:lang w:val="en-AU"/>
        </w:rPr>
      </w:pPr>
      <w:bookmarkStart w:id="199" w:name="_Ref488829877"/>
      <w:r w:rsidRPr="003B31BB">
        <w:rPr>
          <w:lang w:val="en-AU"/>
        </w:rPr>
        <w:t>M</w:t>
      </w:r>
      <w:r w:rsidR="00504DD0" w:rsidRPr="003B31BB">
        <w:rPr>
          <w:lang w:val="en-AU"/>
        </w:rPr>
        <w:t xml:space="preserve">edical </w:t>
      </w:r>
      <w:r w:rsidRPr="003B31BB">
        <w:rPr>
          <w:lang w:val="en-AU"/>
        </w:rPr>
        <w:t>S</w:t>
      </w:r>
      <w:r w:rsidR="00504DD0" w:rsidRPr="003B31BB">
        <w:rPr>
          <w:lang w:val="en-AU"/>
        </w:rPr>
        <w:t xml:space="preserve">ervices </w:t>
      </w:r>
      <w:r w:rsidRPr="003B31BB">
        <w:rPr>
          <w:lang w:val="en-AU"/>
        </w:rPr>
        <w:t>A</w:t>
      </w:r>
      <w:r w:rsidR="00504DD0" w:rsidRPr="003B31BB">
        <w:rPr>
          <w:lang w:val="en-AU"/>
        </w:rPr>
        <w:t xml:space="preserve">dvisory </w:t>
      </w:r>
      <w:r w:rsidRPr="003B31BB">
        <w:rPr>
          <w:lang w:val="en-AU"/>
        </w:rPr>
        <w:t>C</w:t>
      </w:r>
      <w:r w:rsidR="00504DD0" w:rsidRPr="003B31BB">
        <w:rPr>
          <w:lang w:val="en-AU"/>
        </w:rPr>
        <w:t>ommittee.</w:t>
      </w:r>
      <w:r w:rsidRPr="003B31BB">
        <w:rPr>
          <w:lang w:val="en-AU"/>
        </w:rPr>
        <w:t xml:space="preserve"> </w:t>
      </w:r>
      <w:r w:rsidRPr="003B31BB">
        <w:rPr>
          <w:i/>
          <w:lang w:val="en-AU"/>
        </w:rPr>
        <w:t>November 2012 Public Summary Document.</w:t>
      </w:r>
      <w:r w:rsidRPr="003B31BB">
        <w:rPr>
          <w:lang w:val="en-AU"/>
        </w:rPr>
        <w:t xml:space="preserve"> </w:t>
      </w:r>
      <w:r w:rsidR="00504DD0" w:rsidRPr="003B31BB">
        <w:rPr>
          <w:lang w:val="en-AU"/>
        </w:rPr>
        <w:t xml:space="preserve">MSAC, 2012 [accessed </w:t>
      </w:r>
      <w:r w:rsidR="00E27BDF" w:rsidRPr="003B31BB">
        <w:rPr>
          <w:lang w:val="en-AU"/>
        </w:rPr>
        <w:t>8 May 2017</w:t>
      </w:r>
      <w:r w:rsidR="00504DD0" w:rsidRPr="003B31BB">
        <w:rPr>
          <w:lang w:val="en-AU"/>
        </w:rPr>
        <w:t xml:space="preserve">]. Retrieved: </w:t>
      </w:r>
      <w:hyperlink r:id="rId13" w:history="1">
        <w:r w:rsidR="005A054A">
          <w:rPr>
            <w:rStyle w:val="Hyperlink"/>
            <w:lang w:val="en-AU"/>
          </w:rPr>
          <w:t>at http://www.msac.gov.au/internet/msac/publishing.nsf/Content/5E4A15936099EB2ECA25801000123B8A/$File/1163%20-%20PSD-HER2geneamplificationforuseoftrastuzumabingastriccancer%20(D13-1647473).pdf</w:t>
        </w:r>
      </w:hyperlink>
    </w:p>
    <w:p w14:paraId="352D8BAF" w14:textId="77777777" w:rsidR="00E27BDF" w:rsidRPr="003B31BB" w:rsidRDefault="00504DD0" w:rsidP="00F13BE2">
      <w:pPr>
        <w:pStyle w:val="ListParagraph"/>
        <w:numPr>
          <w:ilvl w:val="0"/>
          <w:numId w:val="25"/>
        </w:numPr>
        <w:autoSpaceDE w:val="0"/>
        <w:autoSpaceDN w:val="0"/>
        <w:adjustRightInd w:val="0"/>
        <w:spacing w:before="120"/>
        <w:ind w:left="426" w:hanging="426"/>
        <w:rPr>
          <w:rFonts w:ascii="Calibri" w:hAnsi="Calibri" w:cs="Calibri"/>
          <w:color w:val="000000"/>
          <w:lang w:val="en-AU"/>
        </w:rPr>
      </w:pPr>
      <w:bookmarkStart w:id="200" w:name="_Ref488829901"/>
      <w:bookmarkEnd w:id="199"/>
      <w:r w:rsidRPr="003B31BB">
        <w:rPr>
          <w:lang w:val="en-AU"/>
        </w:rPr>
        <w:t xml:space="preserve">Medical Services Advisory Committee. </w:t>
      </w:r>
      <w:r w:rsidR="00C249A6" w:rsidRPr="003B31BB">
        <w:rPr>
          <w:i/>
          <w:lang w:val="en-AU"/>
        </w:rPr>
        <w:t>July 2015 Public Summary Document.</w:t>
      </w:r>
      <w:r w:rsidR="00C249A6" w:rsidRPr="003B31BB">
        <w:rPr>
          <w:lang w:val="en-AU"/>
        </w:rPr>
        <w:t xml:space="preserve"> </w:t>
      </w:r>
      <w:r w:rsidRPr="003B31BB">
        <w:rPr>
          <w:lang w:val="en-AU"/>
        </w:rPr>
        <w:t xml:space="preserve">MSAC, 2015 [accessed </w:t>
      </w:r>
      <w:r w:rsidR="00E27BDF" w:rsidRPr="003B31BB">
        <w:rPr>
          <w:lang w:val="en-AU"/>
        </w:rPr>
        <w:t>8 May 2017</w:t>
      </w:r>
      <w:r w:rsidRPr="003B31BB">
        <w:rPr>
          <w:lang w:val="en-AU"/>
        </w:rPr>
        <w:t xml:space="preserve">]. Retrieved: </w:t>
      </w:r>
      <w:hyperlink r:id="rId14" w:history="1">
        <w:r w:rsidR="005A054A">
          <w:rPr>
            <w:rStyle w:val="Hyperlink"/>
            <w:lang w:val="en-AU"/>
          </w:rPr>
          <w:t>at http://www.msac.gov.au/internet/msac/publishing.nsf/Content/3DD7F0626C7ECA4CCA25801000123C10/$File/1163%201-Final%20PSD-July%202015-HER2%20status%20for%20gastric%20cancer%20for%20access.pdf</w:t>
        </w:r>
      </w:hyperlink>
      <w:r w:rsidR="00E27BDF" w:rsidRPr="003B31BB">
        <w:rPr>
          <w:lang w:val="en-AU"/>
        </w:rPr>
        <w:t xml:space="preserve"> </w:t>
      </w:r>
    </w:p>
    <w:p w14:paraId="2F548753" w14:textId="77777777" w:rsidR="0081227D" w:rsidRPr="003B31BB" w:rsidRDefault="0081227D">
      <w:pPr>
        <w:spacing w:before="0" w:after="0"/>
        <w:rPr>
          <w:rFonts w:eastAsiaTheme="minorHAnsi" w:cs="Arial"/>
          <w:b/>
          <w:bCs/>
          <w:color w:val="01653F"/>
          <w:kern w:val="32"/>
          <w:sz w:val="32"/>
          <w:szCs w:val="28"/>
          <w:lang w:val="en-AU" w:eastAsia="en-US"/>
        </w:rPr>
      </w:pPr>
      <w:bookmarkStart w:id="201" w:name="_Toc459996830"/>
      <w:bookmarkStart w:id="202" w:name="_Toc458167023"/>
      <w:bookmarkEnd w:id="200"/>
      <w:r w:rsidRPr="003B31BB">
        <w:rPr>
          <w:lang w:val="en-AU"/>
        </w:rPr>
        <w:br w:type="page"/>
      </w:r>
    </w:p>
    <w:p w14:paraId="58D85152" w14:textId="77777777" w:rsidR="00E97B6F" w:rsidRPr="003B31BB" w:rsidRDefault="00AB472D" w:rsidP="00AB472D">
      <w:pPr>
        <w:pStyle w:val="Heading1"/>
        <w:numPr>
          <w:ilvl w:val="0"/>
          <w:numId w:val="0"/>
        </w:numPr>
        <w:rPr>
          <w:lang w:val="en-AU"/>
        </w:rPr>
      </w:pPr>
      <w:bookmarkStart w:id="203" w:name="_Appendix_A:_Assigned"/>
      <w:bookmarkStart w:id="204" w:name="_Toc13736021"/>
      <w:bookmarkEnd w:id="203"/>
      <w:r w:rsidRPr="003B31BB">
        <w:rPr>
          <w:lang w:val="en-AU"/>
        </w:rPr>
        <w:lastRenderedPageBreak/>
        <w:t xml:space="preserve">Appendix A: </w:t>
      </w:r>
      <w:r w:rsidR="004778A6" w:rsidRPr="003B31BB">
        <w:rPr>
          <w:lang w:val="en-AU"/>
        </w:rPr>
        <w:t>A</w:t>
      </w:r>
      <w:r w:rsidR="000F7566" w:rsidRPr="003B31BB">
        <w:rPr>
          <w:lang w:val="en-AU"/>
        </w:rPr>
        <w:t xml:space="preserve">ssigned </w:t>
      </w:r>
      <w:r w:rsidR="007F6814" w:rsidRPr="003B31BB">
        <w:rPr>
          <w:lang w:val="en-AU"/>
        </w:rPr>
        <w:t>item</w:t>
      </w:r>
      <w:r w:rsidR="0050672A" w:rsidRPr="003B31BB">
        <w:rPr>
          <w:lang w:val="en-AU"/>
        </w:rPr>
        <w:t>s</w:t>
      </w:r>
      <w:r w:rsidR="007F6814" w:rsidRPr="003B31BB">
        <w:rPr>
          <w:lang w:val="en-AU"/>
        </w:rPr>
        <w:t xml:space="preserve"> </w:t>
      </w:r>
      <w:r w:rsidR="000F7566" w:rsidRPr="003B31BB">
        <w:rPr>
          <w:lang w:val="en-AU"/>
        </w:rPr>
        <w:t>recommendations</w:t>
      </w:r>
      <w:r w:rsidR="004778A6" w:rsidRPr="003B31BB">
        <w:rPr>
          <w:lang w:val="en-AU"/>
        </w:rPr>
        <w:t xml:space="preserve"> list</w:t>
      </w:r>
      <w:bookmarkEnd w:id="190"/>
      <w:bookmarkEnd w:id="201"/>
      <w:bookmarkEnd w:id="202"/>
      <w:bookmarkEnd w:id="204"/>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ssigned items recommendations list"/>
        <w:tblDescription w:val="Appendix A is a table for assigned items recommendations list. There are 4 columns: column 1. List of items, column 2. Current descriptor, column 3. Recommendation, and column 4. Page reference"/>
      </w:tblPr>
      <w:tblGrid>
        <w:gridCol w:w="847"/>
        <w:gridCol w:w="4630"/>
        <w:gridCol w:w="1738"/>
        <w:gridCol w:w="1801"/>
      </w:tblGrid>
      <w:tr w:rsidR="00B6486B" w:rsidRPr="00720661" w14:paraId="631E5DBC" w14:textId="77777777" w:rsidTr="00537269">
        <w:trPr>
          <w:cnfStyle w:val="100000000000" w:firstRow="1" w:lastRow="0" w:firstColumn="0" w:lastColumn="0" w:oddVBand="0" w:evenVBand="0" w:oddHBand="0" w:evenHBand="0" w:firstRowFirstColumn="0" w:firstRowLastColumn="0" w:lastRowFirstColumn="0" w:lastRowLastColumn="0"/>
          <w:trHeight w:val="182"/>
          <w:tblHeader/>
        </w:trPr>
        <w:tc>
          <w:tcPr>
            <w:tcW w:w="847" w:type="dxa"/>
            <w:shd w:val="clear" w:color="auto" w:fill="F2F2F2" w:themeFill="background1" w:themeFillShade="F2"/>
            <w:tcMar>
              <w:top w:w="57" w:type="dxa"/>
              <w:left w:w="57" w:type="dxa"/>
              <w:bottom w:w="57" w:type="dxa"/>
            </w:tcMar>
          </w:tcPr>
          <w:p w14:paraId="7DB48C47" w14:textId="77777777" w:rsidR="004E781E" w:rsidRPr="00720661" w:rsidRDefault="004E781E" w:rsidP="00811224">
            <w:pPr>
              <w:pStyle w:val="01Tableheaderrow"/>
              <w:spacing w:before="60" w:after="60"/>
              <w:jc w:val="left"/>
              <w:rPr>
                <w:b/>
                <w:lang w:val="en-AU"/>
              </w:rPr>
            </w:pPr>
            <w:r w:rsidRPr="00720661">
              <w:rPr>
                <w:b/>
                <w:lang w:val="en-AU"/>
              </w:rPr>
              <w:t>Item</w:t>
            </w:r>
          </w:p>
        </w:tc>
        <w:tc>
          <w:tcPr>
            <w:tcW w:w="4630" w:type="dxa"/>
            <w:shd w:val="clear" w:color="auto" w:fill="F2F2F2" w:themeFill="background1" w:themeFillShade="F2"/>
            <w:tcMar>
              <w:top w:w="57" w:type="dxa"/>
              <w:left w:w="57" w:type="dxa"/>
              <w:bottom w:w="57" w:type="dxa"/>
            </w:tcMar>
          </w:tcPr>
          <w:p w14:paraId="127689AA" w14:textId="77777777" w:rsidR="004E781E" w:rsidRPr="00720661" w:rsidRDefault="004E781E" w:rsidP="00811224">
            <w:pPr>
              <w:pStyle w:val="01Tableheaderrow"/>
              <w:spacing w:before="60" w:after="60"/>
              <w:jc w:val="left"/>
              <w:rPr>
                <w:b/>
                <w:lang w:val="en-AU"/>
              </w:rPr>
            </w:pPr>
            <w:r w:rsidRPr="00074911">
              <w:rPr>
                <w:lang w:val="en-AU"/>
              </w:rPr>
              <w:t xml:space="preserve">Current </w:t>
            </w:r>
            <w:r w:rsidR="00FD4BE8" w:rsidRPr="00074911">
              <w:rPr>
                <w:lang w:val="en-AU"/>
              </w:rPr>
              <w:t>d</w:t>
            </w:r>
            <w:r w:rsidRPr="00074911">
              <w:rPr>
                <w:lang w:val="en-AU"/>
              </w:rPr>
              <w:t>escriptor</w:t>
            </w:r>
          </w:p>
        </w:tc>
        <w:tc>
          <w:tcPr>
            <w:tcW w:w="1738" w:type="dxa"/>
            <w:shd w:val="clear" w:color="auto" w:fill="F2F2F2" w:themeFill="background1" w:themeFillShade="F2"/>
            <w:tcMar>
              <w:top w:w="57" w:type="dxa"/>
              <w:left w:w="57" w:type="dxa"/>
              <w:bottom w:w="57" w:type="dxa"/>
            </w:tcMar>
          </w:tcPr>
          <w:p w14:paraId="688BFAA0" w14:textId="77777777" w:rsidR="004E781E" w:rsidRPr="00720661" w:rsidRDefault="004E781E" w:rsidP="00811224">
            <w:pPr>
              <w:pStyle w:val="01Tableheaderrow"/>
              <w:spacing w:before="60" w:after="60"/>
              <w:jc w:val="left"/>
              <w:rPr>
                <w:b/>
                <w:lang w:val="en-AU"/>
              </w:rPr>
            </w:pPr>
            <w:r w:rsidRPr="00074911">
              <w:rPr>
                <w:lang w:val="en-AU"/>
              </w:rPr>
              <w:t>Recommendation</w:t>
            </w:r>
          </w:p>
        </w:tc>
        <w:tc>
          <w:tcPr>
            <w:tcW w:w="1801" w:type="dxa"/>
            <w:shd w:val="clear" w:color="auto" w:fill="F2F2F2" w:themeFill="background1" w:themeFillShade="F2"/>
            <w:tcMar>
              <w:top w:w="57" w:type="dxa"/>
              <w:left w:w="57" w:type="dxa"/>
              <w:bottom w:w="57" w:type="dxa"/>
            </w:tcMar>
          </w:tcPr>
          <w:p w14:paraId="5D1AAAFC" w14:textId="77777777" w:rsidR="004E781E" w:rsidRPr="00720661" w:rsidRDefault="009A6DC2" w:rsidP="00811224">
            <w:pPr>
              <w:pStyle w:val="01Tableheaderrow"/>
              <w:spacing w:before="60" w:after="60"/>
              <w:jc w:val="left"/>
              <w:rPr>
                <w:b/>
                <w:lang w:val="en-AU"/>
              </w:rPr>
            </w:pPr>
            <w:r w:rsidRPr="00074911">
              <w:rPr>
                <w:lang w:val="en-AU"/>
              </w:rPr>
              <w:t>Section</w:t>
            </w:r>
            <w:r w:rsidR="004E781E" w:rsidRPr="00074911">
              <w:rPr>
                <w:lang w:val="en-AU"/>
              </w:rPr>
              <w:t xml:space="preserve"> reference</w:t>
            </w:r>
          </w:p>
        </w:tc>
      </w:tr>
      <w:tr w:rsidR="00CD3BC5" w:rsidRPr="00720661" w14:paraId="2E0737CB"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1EFEED7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73287</w:t>
            </w:r>
          </w:p>
        </w:tc>
        <w:tc>
          <w:tcPr>
            <w:tcW w:w="4630" w:type="dxa"/>
            <w:noWrap/>
            <w:hideMark/>
          </w:tcPr>
          <w:p w14:paraId="34E96F03"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T</w:t>
            </w:r>
            <w:r w:rsidR="00CD3BC5" w:rsidRPr="003B31BB">
              <w:rPr>
                <w:rFonts w:ascii="Arial" w:hAnsi="Arial" w:cs="Arial"/>
                <w:color w:val="000000"/>
                <w:sz w:val="18"/>
                <w:szCs w:val="18"/>
                <w:lang w:val="en-AU"/>
              </w:rPr>
              <w:t>he study of the whole of every chromosome by cytogenetic or other techniques, performed on 1 or more of any tissue or fluid except blood (including a service mentioned in item 73293, if performed) - 1 or more tests</w:t>
            </w:r>
          </w:p>
        </w:tc>
        <w:tc>
          <w:tcPr>
            <w:tcW w:w="1738" w:type="dxa"/>
          </w:tcPr>
          <w:p w14:paraId="7A548C12"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188E8168"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 &amp; 5.2.2</w:t>
            </w:r>
          </w:p>
        </w:tc>
      </w:tr>
      <w:tr w:rsidR="00CD3BC5" w:rsidRPr="00720661" w14:paraId="2A68004A"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65F42562"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73289</w:t>
            </w:r>
          </w:p>
        </w:tc>
        <w:tc>
          <w:tcPr>
            <w:tcW w:w="4630" w:type="dxa"/>
            <w:noWrap/>
            <w:hideMark/>
          </w:tcPr>
          <w:p w14:paraId="624B1B1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The study of the whole of every chromosome by cytogenetic or other techniques, performed on blood (including a service mentioned in item 73293, if performed) - 1 or more tests</w:t>
            </w:r>
          </w:p>
        </w:tc>
        <w:tc>
          <w:tcPr>
            <w:tcW w:w="1738" w:type="dxa"/>
          </w:tcPr>
          <w:p w14:paraId="765BDA55"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3CD3F4ED"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4.2 &amp; 5.2.2</w:t>
            </w:r>
          </w:p>
        </w:tc>
      </w:tr>
      <w:tr w:rsidR="00CD3BC5" w:rsidRPr="00720661" w14:paraId="77AEAA4A"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72DFE8B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73290</w:t>
            </w:r>
          </w:p>
        </w:tc>
        <w:tc>
          <w:tcPr>
            <w:tcW w:w="4630" w:type="dxa"/>
            <w:noWrap/>
            <w:hideMark/>
          </w:tcPr>
          <w:p w14:paraId="12EF28B8"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The study of the whole of each chromosome by cytogenetic or other techniques, performed on blood or bone marrow, in the diagnosis and monitoring</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of haematological malignancy (including a service in items 73287 or 73289, if performed). - 1 or more tests.</w:t>
            </w:r>
          </w:p>
        </w:tc>
        <w:tc>
          <w:tcPr>
            <w:tcW w:w="1738" w:type="dxa"/>
          </w:tcPr>
          <w:p w14:paraId="7BF9E0E6"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3C35D163"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4.3</w:t>
            </w:r>
          </w:p>
        </w:tc>
      </w:tr>
      <w:tr w:rsidR="00CD3BC5" w:rsidRPr="00720661" w14:paraId="39208B94"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02C7C53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73291</w:t>
            </w:r>
          </w:p>
        </w:tc>
        <w:tc>
          <w:tcPr>
            <w:tcW w:w="4630" w:type="dxa"/>
            <w:noWrap/>
            <w:hideMark/>
          </w:tcPr>
          <w:p w14:paraId="44E6351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Analysis of one or more chromosome regions for specific constitutional genetic abnormalities of blood or fresh tissue in</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a) diagnostic studies of a person with developmental delay, intellectual disability, autism, or at least two congenital abnormalities, in whom cytogenetic studies (item 73287 or 73289) are either normal or have not been performed; or</w:t>
            </w:r>
            <w:r w:rsidR="00D5334A"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b) studies of a relative for an abnormality previously identi</w:t>
            </w:r>
            <w:r w:rsidR="00042A71" w:rsidRPr="003B31BB">
              <w:rPr>
                <w:rFonts w:ascii="Arial" w:hAnsi="Arial" w:cs="Arial"/>
                <w:color w:val="000000"/>
                <w:sz w:val="18"/>
                <w:szCs w:val="18"/>
                <w:lang w:val="en-AU"/>
              </w:rPr>
              <w:t>fied in such an affected person</w:t>
            </w:r>
            <w:r w:rsidR="00D5334A"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 1 or more tests.</w:t>
            </w:r>
          </w:p>
        </w:tc>
        <w:tc>
          <w:tcPr>
            <w:tcW w:w="1738" w:type="dxa"/>
          </w:tcPr>
          <w:p w14:paraId="4E8F5FDD"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6D5D8E14"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4.4</w:t>
            </w:r>
          </w:p>
        </w:tc>
      </w:tr>
      <w:tr w:rsidR="00CD3BC5" w:rsidRPr="00720661" w14:paraId="6FC0CCD1"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30977F6A"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73292</w:t>
            </w:r>
          </w:p>
        </w:tc>
        <w:tc>
          <w:tcPr>
            <w:tcW w:w="4630" w:type="dxa"/>
            <w:noWrap/>
            <w:hideMark/>
          </w:tcPr>
          <w:p w14:paraId="3EFFC665"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w:t>
            </w:r>
            <w:r w:rsidR="00D5334A"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 1 or more tests.</w:t>
            </w:r>
          </w:p>
        </w:tc>
        <w:tc>
          <w:tcPr>
            <w:tcW w:w="1738" w:type="dxa"/>
          </w:tcPr>
          <w:p w14:paraId="756AF611"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236EE12A"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4.5 &amp; 5.1.1</w:t>
            </w:r>
          </w:p>
        </w:tc>
      </w:tr>
      <w:tr w:rsidR="00CD3BC5" w:rsidRPr="00720661" w14:paraId="341C0920"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527E4F7B"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73293</w:t>
            </w:r>
          </w:p>
        </w:tc>
        <w:tc>
          <w:tcPr>
            <w:tcW w:w="4630" w:type="dxa"/>
            <w:noWrap/>
            <w:hideMark/>
          </w:tcPr>
          <w:p w14:paraId="52BC0EB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Analysis of one or more regions on all chromosomes for specific constitutional genetic abnormalities of fresh tissue in diagnostic studies of the products of conception, including exclusion of maternal cell contamination. </w:t>
            </w:r>
            <w:r w:rsidR="00D5334A"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1 or more tests.</w:t>
            </w:r>
          </w:p>
        </w:tc>
        <w:tc>
          <w:tcPr>
            <w:tcW w:w="1738" w:type="dxa"/>
          </w:tcPr>
          <w:p w14:paraId="138CF43F" w14:textId="77777777" w:rsidR="00CD3BC5" w:rsidRPr="003B31BB" w:rsidRDefault="00436DE6"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2182DB19"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4.10</w:t>
            </w:r>
          </w:p>
        </w:tc>
      </w:tr>
      <w:tr w:rsidR="00CD3BC5" w:rsidRPr="00720661" w14:paraId="1AF8CFF2"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3296EF8F"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73294</w:t>
            </w:r>
          </w:p>
        </w:tc>
        <w:tc>
          <w:tcPr>
            <w:tcW w:w="4630" w:type="dxa"/>
            <w:noWrap/>
            <w:hideMark/>
          </w:tcPr>
          <w:p w14:paraId="6371201B"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Analysis of the </w:t>
            </w:r>
            <w:r w:rsidR="00042A71" w:rsidRPr="003B31BB">
              <w:rPr>
                <w:rFonts w:ascii="Arial" w:hAnsi="Arial" w:cs="Arial"/>
                <w:i/>
                <w:color w:val="000000"/>
                <w:sz w:val="18"/>
                <w:szCs w:val="18"/>
                <w:lang w:val="en-AU"/>
              </w:rPr>
              <w:t>PMP</w:t>
            </w:r>
            <w:r w:rsidRPr="003B31BB">
              <w:rPr>
                <w:rFonts w:ascii="Arial" w:hAnsi="Arial" w:cs="Arial"/>
                <w:i/>
                <w:color w:val="000000"/>
                <w:sz w:val="18"/>
                <w:szCs w:val="18"/>
                <w:lang w:val="en-AU"/>
              </w:rPr>
              <w:t>22</w:t>
            </w:r>
            <w:r w:rsidRPr="003B31BB">
              <w:rPr>
                <w:rFonts w:ascii="Arial" w:hAnsi="Arial" w:cs="Arial"/>
                <w:color w:val="000000"/>
                <w:sz w:val="18"/>
                <w:szCs w:val="18"/>
                <w:lang w:val="en-AU"/>
              </w:rPr>
              <w:t xml:space="preserve"> gene for constitutional genetic abnormalities causing peripheral neuropathy, either as:</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a) diagnostic studies of an affected person; or</w:t>
            </w:r>
            <w:r w:rsidR="00BA45F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b) studies of a relative for an abnormality previously identified in an affected person</w:t>
            </w:r>
            <w:r w:rsidR="00BA45F9" w:rsidRPr="003B31BB">
              <w:rPr>
                <w:rFonts w:ascii="Arial" w:hAnsi="Arial" w:cs="Arial"/>
                <w:color w:val="000000"/>
                <w:sz w:val="18"/>
                <w:szCs w:val="18"/>
                <w:lang w:val="en-AU"/>
              </w:rPr>
              <w:t xml:space="preserve"> - </w:t>
            </w:r>
            <w:r w:rsidRPr="003B31BB">
              <w:rPr>
                <w:rFonts w:ascii="Arial" w:hAnsi="Arial" w:cs="Arial"/>
                <w:color w:val="000000"/>
                <w:sz w:val="18"/>
                <w:szCs w:val="18"/>
                <w:lang w:val="en-AU"/>
              </w:rPr>
              <w:t>1 or more tests.</w:t>
            </w:r>
          </w:p>
        </w:tc>
        <w:tc>
          <w:tcPr>
            <w:tcW w:w="1738" w:type="dxa"/>
          </w:tcPr>
          <w:p w14:paraId="05E99FE0"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6EA715B6"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7565A07A"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564E2EE2"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73300</w:t>
            </w:r>
          </w:p>
        </w:tc>
        <w:tc>
          <w:tcPr>
            <w:tcW w:w="4630" w:type="dxa"/>
            <w:noWrap/>
            <w:hideMark/>
          </w:tcPr>
          <w:p w14:paraId="1069883E"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mutation of the </w:t>
            </w:r>
            <w:r w:rsidR="00537269" w:rsidRPr="003B31BB">
              <w:rPr>
                <w:rFonts w:ascii="Arial" w:hAnsi="Arial" w:cs="Arial"/>
                <w:i/>
                <w:color w:val="000000"/>
                <w:sz w:val="18"/>
                <w:szCs w:val="18"/>
                <w:lang w:val="en-AU"/>
              </w:rPr>
              <w:t>FMR</w:t>
            </w:r>
            <w:r w:rsidRPr="003B31BB">
              <w:rPr>
                <w:rFonts w:ascii="Arial" w:hAnsi="Arial" w:cs="Arial"/>
                <w:i/>
                <w:color w:val="000000"/>
                <w:sz w:val="18"/>
                <w:szCs w:val="18"/>
                <w:lang w:val="en-AU"/>
              </w:rPr>
              <w:t>1</w:t>
            </w:r>
            <w:r w:rsidRPr="003B31BB">
              <w:rPr>
                <w:rFonts w:ascii="Arial" w:hAnsi="Arial" w:cs="Arial"/>
                <w:color w:val="000000"/>
                <w:sz w:val="18"/>
                <w:szCs w:val="18"/>
                <w:lang w:val="en-AU"/>
              </w:rPr>
              <w:t xml:space="preserve"> gene where:</w:t>
            </w:r>
            <w:r w:rsidR="00BA45F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(a) the patient exhibits intellectual disability, ataxia, neurodegeneration, or premature ovarian failure consistent with an </w:t>
            </w:r>
            <w:r w:rsidR="007A1012" w:rsidRPr="003B31BB">
              <w:rPr>
                <w:rFonts w:ascii="Arial" w:hAnsi="Arial" w:cs="Arial"/>
                <w:i/>
                <w:color w:val="000000"/>
                <w:sz w:val="18"/>
                <w:szCs w:val="18"/>
                <w:lang w:val="en-AU"/>
              </w:rPr>
              <w:t>FMR1</w:t>
            </w:r>
            <w:r w:rsidRPr="003B31BB">
              <w:rPr>
                <w:rFonts w:ascii="Arial" w:hAnsi="Arial" w:cs="Arial"/>
                <w:color w:val="000000"/>
                <w:sz w:val="18"/>
                <w:szCs w:val="18"/>
                <w:lang w:val="en-AU"/>
              </w:rPr>
              <w:t xml:space="preserve"> mutation; or</w:t>
            </w:r>
            <w:r w:rsidR="00BA45F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(b) the patient has a relative with a </w:t>
            </w:r>
            <w:r w:rsidR="00537269" w:rsidRPr="003B31BB">
              <w:rPr>
                <w:rFonts w:ascii="Arial" w:hAnsi="Arial" w:cs="Arial"/>
                <w:i/>
                <w:color w:val="000000"/>
                <w:sz w:val="18"/>
                <w:szCs w:val="18"/>
                <w:lang w:val="en-AU"/>
              </w:rPr>
              <w:t>FMR1</w:t>
            </w:r>
            <w:r w:rsidRPr="003B31BB">
              <w:rPr>
                <w:rFonts w:ascii="Arial" w:hAnsi="Arial" w:cs="Arial"/>
                <w:color w:val="000000"/>
                <w:sz w:val="18"/>
                <w:szCs w:val="18"/>
                <w:lang w:val="en-AU"/>
              </w:rPr>
              <w:t xml:space="preserve"> mutation 1 or more tests</w:t>
            </w:r>
          </w:p>
        </w:tc>
        <w:tc>
          <w:tcPr>
            <w:tcW w:w="1738" w:type="dxa"/>
          </w:tcPr>
          <w:p w14:paraId="3B9C7AD4"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7D20FBB7"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4.6</w:t>
            </w:r>
          </w:p>
        </w:tc>
      </w:tr>
      <w:tr w:rsidR="00CD3BC5" w:rsidRPr="00720661" w14:paraId="0E317B9B"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56CA520B"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73305</w:t>
            </w:r>
          </w:p>
        </w:tc>
        <w:tc>
          <w:tcPr>
            <w:tcW w:w="4630" w:type="dxa"/>
            <w:noWrap/>
            <w:hideMark/>
          </w:tcPr>
          <w:p w14:paraId="2ABA553A" w14:textId="77777777" w:rsidR="00CD3BC5" w:rsidRPr="003B31BB" w:rsidRDefault="00F10518"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mutation of the </w:t>
            </w:r>
            <w:r w:rsidRPr="003B31BB">
              <w:rPr>
                <w:rFonts w:ascii="Arial" w:hAnsi="Arial" w:cs="Arial"/>
                <w:i/>
                <w:color w:val="000000"/>
                <w:sz w:val="18"/>
                <w:szCs w:val="18"/>
                <w:lang w:val="en-AU"/>
              </w:rPr>
              <w:t>FMR</w:t>
            </w:r>
            <w:r w:rsidR="00CD3BC5" w:rsidRPr="003B31BB">
              <w:rPr>
                <w:rFonts w:ascii="Arial" w:hAnsi="Arial" w:cs="Arial"/>
                <w:i/>
                <w:color w:val="000000"/>
                <w:sz w:val="18"/>
                <w:szCs w:val="18"/>
                <w:lang w:val="en-AU"/>
              </w:rPr>
              <w:t>1</w:t>
            </w:r>
            <w:r w:rsidR="00CD3BC5" w:rsidRPr="003B31BB">
              <w:rPr>
                <w:rFonts w:ascii="Arial" w:hAnsi="Arial" w:cs="Arial"/>
                <w:color w:val="000000"/>
                <w:sz w:val="18"/>
                <w:szCs w:val="18"/>
                <w:lang w:val="en-AU"/>
              </w:rPr>
              <w:t xml:space="preserve"> gene by Southern </w:t>
            </w:r>
            <w:r w:rsidR="00537269" w:rsidRPr="003B31BB">
              <w:rPr>
                <w:rFonts w:ascii="Arial" w:hAnsi="Arial" w:cs="Arial"/>
                <w:color w:val="000000"/>
                <w:sz w:val="18"/>
                <w:szCs w:val="18"/>
                <w:lang w:val="en-AU"/>
              </w:rPr>
              <w:t>b</w:t>
            </w:r>
            <w:r w:rsidR="00CD3BC5" w:rsidRPr="003B31BB">
              <w:rPr>
                <w:rFonts w:ascii="Arial" w:hAnsi="Arial" w:cs="Arial"/>
                <w:color w:val="000000"/>
                <w:sz w:val="18"/>
                <w:szCs w:val="18"/>
                <w:lang w:val="en-AU"/>
              </w:rPr>
              <w:t>lot analysis where the results in item 73300 are inconclusive</w:t>
            </w:r>
          </w:p>
        </w:tc>
        <w:tc>
          <w:tcPr>
            <w:tcW w:w="1738" w:type="dxa"/>
          </w:tcPr>
          <w:p w14:paraId="496454C2"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Delete</w:t>
            </w:r>
          </w:p>
        </w:tc>
        <w:tc>
          <w:tcPr>
            <w:tcW w:w="1801" w:type="dxa"/>
          </w:tcPr>
          <w:p w14:paraId="29146348"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4.6 &amp; 4.13</w:t>
            </w:r>
          </w:p>
        </w:tc>
      </w:tr>
      <w:tr w:rsidR="00CD3BC5" w:rsidRPr="00720661" w14:paraId="080E3549"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1B5F9080"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73308</w:t>
            </w:r>
          </w:p>
        </w:tc>
        <w:tc>
          <w:tcPr>
            <w:tcW w:w="4630" w:type="dxa"/>
            <w:noWrap/>
            <w:hideMark/>
          </w:tcPr>
          <w:p w14:paraId="3C3731E7"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Characterisation of the genotype of a p</w:t>
            </w:r>
            <w:r w:rsidR="00042A71" w:rsidRPr="003B31BB">
              <w:rPr>
                <w:rFonts w:ascii="Arial" w:hAnsi="Arial" w:cs="Arial"/>
                <w:color w:val="000000"/>
                <w:sz w:val="18"/>
                <w:szCs w:val="18"/>
                <w:lang w:val="en-AU"/>
              </w:rPr>
              <w:t xml:space="preserve">atient for </w:t>
            </w:r>
            <w:r w:rsidR="00042A71" w:rsidRPr="003B31BB">
              <w:rPr>
                <w:rFonts w:ascii="Arial" w:hAnsi="Arial" w:cs="Arial"/>
                <w:i/>
                <w:color w:val="000000"/>
                <w:sz w:val="18"/>
                <w:szCs w:val="18"/>
                <w:lang w:val="en-AU"/>
              </w:rPr>
              <w:t>factor V</w:t>
            </w:r>
            <w:r w:rsidRPr="003B31BB">
              <w:rPr>
                <w:rFonts w:ascii="Arial" w:hAnsi="Arial" w:cs="Arial"/>
                <w:i/>
                <w:color w:val="000000"/>
                <w:sz w:val="18"/>
                <w:szCs w:val="18"/>
                <w:lang w:val="en-AU"/>
              </w:rPr>
              <w:t xml:space="preserve"> Leiden</w:t>
            </w:r>
            <w:r w:rsidRPr="003B31BB">
              <w:rPr>
                <w:rFonts w:ascii="Arial" w:hAnsi="Arial" w:cs="Arial"/>
                <w:color w:val="000000"/>
                <w:sz w:val="18"/>
                <w:szCs w:val="18"/>
                <w:lang w:val="en-AU"/>
              </w:rPr>
              <w:t xml:space="preserve"> gene mutation, or detection of the other relevant mutations in the investigation of proven venous thrombosis or pulmonary embolism - 1 or more tests</w:t>
            </w:r>
          </w:p>
        </w:tc>
        <w:tc>
          <w:tcPr>
            <w:tcW w:w="1738" w:type="dxa"/>
          </w:tcPr>
          <w:p w14:paraId="2C82359F"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1A4FF246"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4.9</w:t>
            </w:r>
          </w:p>
        </w:tc>
      </w:tr>
      <w:tr w:rsidR="00CD3BC5" w:rsidRPr="00720661" w14:paraId="6C793CDA"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241EDA6F"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73309</w:t>
            </w:r>
          </w:p>
        </w:tc>
        <w:tc>
          <w:tcPr>
            <w:tcW w:w="4630" w:type="dxa"/>
            <w:noWrap/>
            <w:hideMark/>
          </w:tcPr>
          <w:p w14:paraId="4EAE8E8B"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 test described in item 73308, if rendered by a receiving APP - 1 or more tests</w:t>
            </w:r>
            <w:r w:rsidR="0044658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18)</w:t>
            </w:r>
          </w:p>
        </w:tc>
        <w:tc>
          <w:tcPr>
            <w:tcW w:w="1738" w:type="dxa"/>
          </w:tcPr>
          <w:p w14:paraId="199F4982"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0ED3BFFE"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4.9 &amp; 4.11</w:t>
            </w:r>
          </w:p>
        </w:tc>
      </w:tr>
      <w:tr w:rsidR="00CD3BC5" w:rsidRPr="00720661" w14:paraId="4D0FB6A7"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02205F4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lastRenderedPageBreak/>
              <w:t>73311</w:t>
            </w:r>
          </w:p>
        </w:tc>
        <w:tc>
          <w:tcPr>
            <w:tcW w:w="4630" w:type="dxa"/>
            <w:noWrap/>
            <w:hideMark/>
          </w:tcPr>
          <w:p w14:paraId="2EF3BF72"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Characterisation of the genotype of a person who is a first degree relative of a person who has proven to have 1 or more abnormal genotypes under item 73308 - 1 or more tests</w:t>
            </w:r>
          </w:p>
        </w:tc>
        <w:tc>
          <w:tcPr>
            <w:tcW w:w="1738" w:type="dxa"/>
          </w:tcPr>
          <w:p w14:paraId="5804490A"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Delete</w:t>
            </w:r>
          </w:p>
        </w:tc>
        <w:tc>
          <w:tcPr>
            <w:tcW w:w="1801" w:type="dxa"/>
          </w:tcPr>
          <w:p w14:paraId="3772E032"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4.9 &amp; 4.13</w:t>
            </w:r>
          </w:p>
        </w:tc>
      </w:tr>
      <w:tr w:rsidR="00CD3BC5" w:rsidRPr="00720661" w14:paraId="68D09F60"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6EDF125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73312</w:t>
            </w:r>
          </w:p>
        </w:tc>
        <w:tc>
          <w:tcPr>
            <w:tcW w:w="4630" w:type="dxa"/>
            <w:noWrap/>
            <w:hideMark/>
          </w:tcPr>
          <w:p w14:paraId="7ED050A0"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 test described in item 73311, if rendered by a receiving APP - 1 or more tests</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18)</w:t>
            </w:r>
          </w:p>
        </w:tc>
        <w:tc>
          <w:tcPr>
            <w:tcW w:w="1738" w:type="dxa"/>
          </w:tcPr>
          <w:p w14:paraId="18B1F80C"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Delete</w:t>
            </w:r>
          </w:p>
        </w:tc>
        <w:tc>
          <w:tcPr>
            <w:tcW w:w="1801" w:type="dxa"/>
          </w:tcPr>
          <w:p w14:paraId="7E85A9D0"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4.9 &amp; 4.13</w:t>
            </w:r>
          </w:p>
        </w:tc>
      </w:tr>
      <w:tr w:rsidR="00CD3BC5" w:rsidRPr="00720661" w14:paraId="6D236FD2"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267F07CF"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73314</w:t>
            </w:r>
          </w:p>
        </w:tc>
        <w:tc>
          <w:tcPr>
            <w:tcW w:w="4630" w:type="dxa"/>
            <w:noWrap/>
            <w:hideMark/>
          </w:tcPr>
          <w:p w14:paraId="725B532F"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Characterisation of gene rearrangement or the identification of mutations within a known gene rearrangement, in the diagnosis and monitoring of patients with laboratory evidence of:</w:t>
            </w:r>
            <w:r w:rsidR="00BA45F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(a) acute myeloid leukaemia; or</w:t>
            </w:r>
            <w:r w:rsidR="00BA45F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(b) acute promyelocytic leukaemia; or (c) acute lymphoid leukaemia; or (d) chronic myeloid leukaemia;</w:t>
            </w:r>
          </w:p>
        </w:tc>
        <w:tc>
          <w:tcPr>
            <w:tcW w:w="1738" w:type="dxa"/>
          </w:tcPr>
          <w:p w14:paraId="34931AC0"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0A760827"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062E2CBD"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0385B93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73315</w:t>
            </w:r>
          </w:p>
        </w:tc>
        <w:tc>
          <w:tcPr>
            <w:tcW w:w="4630" w:type="dxa"/>
            <w:noWrap/>
            <w:hideMark/>
          </w:tcPr>
          <w:p w14:paraId="3C1F121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 test described in item 73314, if rendered by a receiving APP - 1 or more tests</w:t>
            </w:r>
            <w:r w:rsidR="00A95E5C"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18)</w:t>
            </w:r>
          </w:p>
        </w:tc>
        <w:tc>
          <w:tcPr>
            <w:tcW w:w="1738" w:type="dxa"/>
          </w:tcPr>
          <w:p w14:paraId="0F054B5B"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59289D7A"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2D0D8300"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3476F2DA"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73317</w:t>
            </w:r>
          </w:p>
        </w:tc>
        <w:tc>
          <w:tcPr>
            <w:tcW w:w="4630" w:type="dxa"/>
            <w:noWrap/>
            <w:hideMark/>
          </w:tcPr>
          <w:p w14:paraId="524F64C5" w14:textId="77777777" w:rsidR="00CD3BC5" w:rsidRPr="003B31BB" w:rsidRDefault="00F10518"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the </w:t>
            </w:r>
            <w:r w:rsidRPr="003B31BB">
              <w:rPr>
                <w:rFonts w:ascii="Arial" w:hAnsi="Arial" w:cs="Arial"/>
                <w:i/>
                <w:color w:val="000000"/>
                <w:sz w:val="18"/>
                <w:szCs w:val="18"/>
                <w:lang w:val="en-AU"/>
              </w:rPr>
              <w:t>C282Y</w:t>
            </w:r>
            <w:r w:rsidR="00537269" w:rsidRPr="003B31BB">
              <w:rPr>
                <w:rFonts w:ascii="Arial" w:hAnsi="Arial" w:cs="Arial"/>
                <w:color w:val="000000"/>
                <w:sz w:val="18"/>
                <w:szCs w:val="18"/>
                <w:lang w:val="en-AU"/>
              </w:rPr>
              <w:t xml:space="preserve"> genetic mutation of the HFE</w:t>
            </w:r>
            <w:r w:rsidR="00CD3BC5" w:rsidRPr="003B31BB">
              <w:rPr>
                <w:rFonts w:ascii="Arial" w:hAnsi="Arial" w:cs="Arial"/>
                <w:color w:val="000000"/>
                <w:sz w:val="18"/>
                <w:szCs w:val="18"/>
                <w:lang w:val="en-AU"/>
              </w:rPr>
              <w:t xml:space="preserve"> gene and, if performed, detection of other mutations for haemochromatosis where: (a) the patient has an elevated transferrin saturation or elevated serum ferritin on testing of repeated specimens; or (b) the patient has a first degree relative with haemochromatosis; or</w:t>
            </w:r>
            <w:r w:rsidR="00807710"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 xml:space="preserve">(c) the patient has a first degree relative with </w:t>
            </w:r>
            <w:r w:rsidRPr="003B31BB">
              <w:rPr>
                <w:rFonts w:ascii="Arial" w:hAnsi="Arial" w:cs="Arial"/>
                <w:color w:val="000000"/>
                <w:sz w:val="18"/>
                <w:szCs w:val="18"/>
                <w:lang w:val="en-AU"/>
              </w:rPr>
              <w:t xml:space="preserve">homozygosity for the </w:t>
            </w:r>
            <w:r w:rsidRPr="003B31BB">
              <w:rPr>
                <w:rFonts w:ascii="Arial" w:hAnsi="Arial" w:cs="Arial"/>
                <w:i/>
                <w:color w:val="000000"/>
                <w:sz w:val="18"/>
                <w:szCs w:val="18"/>
                <w:lang w:val="en-AU"/>
              </w:rPr>
              <w:t>C282Y</w:t>
            </w:r>
            <w:r w:rsidR="00CD3BC5" w:rsidRPr="003B31BB">
              <w:rPr>
                <w:rFonts w:ascii="Arial" w:hAnsi="Arial" w:cs="Arial"/>
                <w:color w:val="000000"/>
                <w:sz w:val="18"/>
                <w:szCs w:val="18"/>
                <w:lang w:val="en-AU"/>
              </w:rPr>
              <w:t xml:space="preserve"> genetic mutation, or with compound heterozygosity for recognised genetic mutations for haemochromatosis (Item is subject to rule 20)</w:t>
            </w:r>
          </w:p>
        </w:tc>
        <w:tc>
          <w:tcPr>
            <w:tcW w:w="1738" w:type="dxa"/>
          </w:tcPr>
          <w:p w14:paraId="4AD9AFA9" w14:textId="77777777" w:rsidR="00CD3BC5" w:rsidRPr="003B31BB" w:rsidRDefault="00E07D8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1C34B4EC"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4.12</w:t>
            </w:r>
          </w:p>
        </w:tc>
      </w:tr>
      <w:tr w:rsidR="00CD3BC5" w:rsidRPr="00720661" w14:paraId="4D5FA0AC"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7A67527D"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73318</w:t>
            </w:r>
          </w:p>
        </w:tc>
        <w:tc>
          <w:tcPr>
            <w:tcW w:w="4630" w:type="dxa"/>
            <w:noWrap/>
            <w:hideMark/>
          </w:tcPr>
          <w:p w14:paraId="68D48E27"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 test described in item 73317, if rendered by a receiving APP - 1 or more tests</w:t>
            </w:r>
            <w:r w:rsidR="00F10518"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18 and 20)</w:t>
            </w:r>
          </w:p>
        </w:tc>
        <w:tc>
          <w:tcPr>
            <w:tcW w:w="1738" w:type="dxa"/>
          </w:tcPr>
          <w:p w14:paraId="3D5E5B0A" w14:textId="77777777" w:rsidR="00CD3BC5" w:rsidRPr="003B31BB" w:rsidRDefault="00E07D8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67D7658C"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4.12</w:t>
            </w:r>
          </w:p>
        </w:tc>
      </w:tr>
      <w:tr w:rsidR="00CD3BC5" w:rsidRPr="00720661" w14:paraId="4772460A"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68A3C72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73320</w:t>
            </w:r>
          </w:p>
        </w:tc>
        <w:tc>
          <w:tcPr>
            <w:tcW w:w="4630" w:type="dxa"/>
            <w:noWrap/>
            <w:hideMark/>
          </w:tcPr>
          <w:p w14:paraId="6E1B960E"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w:t>
            </w:r>
            <w:r w:rsidR="00537269" w:rsidRPr="003B31BB">
              <w:rPr>
                <w:rFonts w:ascii="Arial" w:hAnsi="Arial" w:cs="Arial"/>
                <w:i/>
                <w:color w:val="000000"/>
                <w:sz w:val="18"/>
                <w:szCs w:val="18"/>
                <w:lang w:val="en-AU"/>
              </w:rPr>
              <w:t>HLA-B</w:t>
            </w:r>
            <w:r w:rsidRPr="003B31BB">
              <w:rPr>
                <w:rFonts w:ascii="Arial" w:hAnsi="Arial" w:cs="Arial"/>
                <w:i/>
                <w:color w:val="000000"/>
                <w:sz w:val="18"/>
                <w:szCs w:val="18"/>
                <w:lang w:val="en-AU"/>
              </w:rPr>
              <w:t>27</w:t>
            </w:r>
            <w:r w:rsidRPr="003B31BB">
              <w:rPr>
                <w:rFonts w:ascii="Arial" w:hAnsi="Arial" w:cs="Arial"/>
                <w:color w:val="000000"/>
                <w:sz w:val="18"/>
                <w:szCs w:val="18"/>
                <w:lang w:val="en-AU"/>
              </w:rPr>
              <w:t xml:space="preserve"> by nucleic acid amplification includes a service described in 71147 unless the service in item 73320 is rendered as a pathologist determinable service. (Item is subject to rule 27)</w:t>
            </w:r>
          </w:p>
        </w:tc>
        <w:tc>
          <w:tcPr>
            <w:tcW w:w="1738" w:type="dxa"/>
          </w:tcPr>
          <w:p w14:paraId="33587918"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642A57AC"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3C373477"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05F5BE5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73321</w:t>
            </w:r>
          </w:p>
        </w:tc>
        <w:tc>
          <w:tcPr>
            <w:tcW w:w="4630" w:type="dxa"/>
            <w:noWrap/>
            <w:hideMark/>
          </w:tcPr>
          <w:p w14:paraId="3F938E68"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 test described in item 73320, if rendered by a receiving APP - 1 or more tests.</w:t>
            </w:r>
            <w:r w:rsidR="00F10518"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18 and 27)</w:t>
            </w:r>
          </w:p>
        </w:tc>
        <w:tc>
          <w:tcPr>
            <w:tcW w:w="1738" w:type="dxa"/>
          </w:tcPr>
          <w:p w14:paraId="1ACB0938"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7A2D7039"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1364F848"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2CE4998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73323</w:t>
            </w:r>
          </w:p>
        </w:tc>
        <w:tc>
          <w:tcPr>
            <w:tcW w:w="4630" w:type="dxa"/>
            <w:noWrap/>
            <w:hideMark/>
          </w:tcPr>
          <w:p w14:paraId="58E2201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Determination of </w:t>
            </w:r>
            <w:r w:rsidR="00537269" w:rsidRPr="003B31BB">
              <w:rPr>
                <w:rFonts w:ascii="Arial" w:hAnsi="Arial" w:cs="Arial"/>
                <w:i/>
                <w:color w:val="000000"/>
                <w:sz w:val="18"/>
                <w:szCs w:val="18"/>
                <w:lang w:val="en-AU"/>
              </w:rPr>
              <w:t>HLA-B</w:t>
            </w:r>
            <w:r w:rsidRPr="003B31BB">
              <w:rPr>
                <w:rFonts w:ascii="Arial" w:hAnsi="Arial" w:cs="Arial"/>
                <w:i/>
                <w:color w:val="000000"/>
                <w:sz w:val="18"/>
                <w:szCs w:val="18"/>
                <w:lang w:val="en-AU"/>
              </w:rPr>
              <w:t>5701</w:t>
            </w:r>
            <w:r w:rsidRPr="003B31BB">
              <w:rPr>
                <w:rFonts w:ascii="Arial" w:hAnsi="Arial" w:cs="Arial"/>
                <w:color w:val="000000"/>
                <w:sz w:val="18"/>
                <w:szCs w:val="18"/>
                <w:lang w:val="en-AU"/>
              </w:rPr>
              <w:t xml:space="preserve"> status by molecular techniques prior to the initiation of abacavir therapy including item 71203 if performed.</w:t>
            </w:r>
          </w:p>
        </w:tc>
        <w:tc>
          <w:tcPr>
            <w:tcW w:w="1738" w:type="dxa"/>
          </w:tcPr>
          <w:p w14:paraId="75F5E29A"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75031C63"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1596E289"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23958E71"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73324</w:t>
            </w:r>
          </w:p>
        </w:tc>
        <w:tc>
          <w:tcPr>
            <w:tcW w:w="4630" w:type="dxa"/>
            <w:noWrap/>
            <w:hideMark/>
          </w:tcPr>
          <w:p w14:paraId="3B8645F0"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 test described in item 73323 if rendered by a receiving app1 or more tests</w:t>
            </w:r>
            <w:r w:rsidR="00F10518"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18)</w:t>
            </w:r>
          </w:p>
        </w:tc>
        <w:tc>
          <w:tcPr>
            <w:tcW w:w="1738" w:type="dxa"/>
          </w:tcPr>
          <w:p w14:paraId="2935ED91"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14E7A44D"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2609E724"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587D5CF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73325</w:t>
            </w:r>
          </w:p>
        </w:tc>
        <w:tc>
          <w:tcPr>
            <w:tcW w:w="4630" w:type="dxa"/>
            <w:noWrap/>
            <w:hideMark/>
          </w:tcPr>
          <w:p w14:paraId="5C64363D"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w:t>
            </w:r>
            <w:r w:rsidR="00CD3BC5" w:rsidRPr="003B31BB">
              <w:rPr>
                <w:rFonts w:ascii="Arial" w:hAnsi="Arial" w:cs="Arial"/>
                <w:color w:val="000000"/>
                <w:sz w:val="18"/>
                <w:szCs w:val="18"/>
                <w:lang w:val="en-AU"/>
              </w:rPr>
              <w:t xml:space="preserve">haracterisation of mutations in:(a) the </w:t>
            </w:r>
            <w:r w:rsidRPr="003B31BB">
              <w:rPr>
                <w:rFonts w:ascii="Arial" w:hAnsi="Arial" w:cs="Arial"/>
                <w:i/>
                <w:color w:val="000000"/>
                <w:sz w:val="18"/>
                <w:szCs w:val="18"/>
                <w:lang w:val="en-AU"/>
              </w:rPr>
              <w:t>JAK</w:t>
            </w:r>
            <w:r w:rsidR="00F10518" w:rsidRPr="003B31BB">
              <w:rPr>
                <w:rFonts w:ascii="Arial" w:hAnsi="Arial" w:cs="Arial"/>
                <w:i/>
                <w:color w:val="000000"/>
                <w:sz w:val="18"/>
                <w:szCs w:val="18"/>
                <w:lang w:val="en-AU"/>
              </w:rPr>
              <w:t>2</w:t>
            </w:r>
            <w:r w:rsidR="00F10518" w:rsidRPr="003B31BB">
              <w:rPr>
                <w:rFonts w:ascii="Arial" w:hAnsi="Arial" w:cs="Arial"/>
                <w:color w:val="000000"/>
                <w:sz w:val="18"/>
                <w:szCs w:val="18"/>
                <w:lang w:val="en-AU"/>
              </w:rPr>
              <w:t xml:space="preserve"> gene; or </w:t>
            </w:r>
            <w:r w:rsidR="00CD3BC5" w:rsidRPr="003B31BB">
              <w:rPr>
                <w:rFonts w:ascii="Arial" w:hAnsi="Arial" w:cs="Arial"/>
                <w:color w:val="000000"/>
                <w:sz w:val="18"/>
                <w:szCs w:val="18"/>
                <w:lang w:val="en-AU"/>
              </w:rPr>
              <w:t xml:space="preserve">(b) the </w:t>
            </w:r>
            <w:r w:rsidRPr="003B31BB">
              <w:rPr>
                <w:rFonts w:ascii="Arial" w:hAnsi="Arial" w:cs="Arial"/>
                <w:i/>
                <w:color w:val="000000"/>
                <w:sz w:val="18"/>
                <w:szCs w:val="18"/>
                <w:lang w:val="en-AU"/>
              </w:rPr>
              <w:t>MPL</w:t>
            </w:r>
            <w:r w:rsidR="00CD3BC5" w:rsidRPr="003B31BB">
              <w:rPr>
                <w:rFonts w:ascii="Arial" w:hAnsi="Arial" w:cs="Arial"/>
                <w:color w:val="000000"/>
                <w:sz w:val="18"/>
                <w:szCs w:val="18"/>
                <w:lang w:val="en-AU"/>
              </w:rPr>
              <w:t xml:space="preserve"> gene; or(c) both genes;</w:t>
            </w:r>
            <w:r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in the diagnostic work-up, by, or on behalf of, the specialist or consultant physician, of a patient with clinical</w:t>
            </w:r>
            <w:r w:rsidRPr="003B31BB">
              <w:rPr>
                <w:rFonts w:ascii="Arial" w:hAnsi="Arial" w:cs="Arial"/>
                <w:color w:val="000000"/>
                <w:sz w:val="18"/>
                <w:szCs w:val="18"/>
                <w:lang w:val="en-AU"/>
              </w:rPr>
              <w:t xml:space="preserve"> and laboratory evidence of:</w:t>
            </w:r>
            <w:r w:rsidR="00F10518"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a) </w:t>
            </w:r>
            <w:r w:rsidR="00CD3BC5" w:rsidRPr="003B31BB">
              <w:rPr>
                <w:rFonts w:ascii="Arial" w:hAnsi="Arial" w:cs="Arial"/>
                <w:color w:val="000000"/>
                <w:sz w:val="18"/>
                <w:szCs w:val="18"/>
                <w:lang w:val="en-AU"/>
              </w:rPr>
              <w:t>polycythaemia vera; or</w:t>
            </w:r>
            <w:r w:rsidR="00F10518"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b) essential thrombocythaemia;1 or more tests</w:t>
            </w:r>
          </w:p>
        </w:tc>
        <w:tc>
          <w:tcPr>
            <w:tcW w:w="1738" w:type="dxa"/>
          </w:tcPr>
          <w:p w14:paraId="0B819915"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05DA62B8"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5.1.2</w:t>
            </w:r>
          </w:p>
        </w:tc>
      </w:tr>
      <w:tr w:rsidR="00CD3BC5" w:rsidRPr="00720661" w14:paraId="5B52A167"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64F50FB1"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73326</w:t>
            </w:r>
          </w:p>
        </w:tc>
        <w:tc>
          <w:tcPr>
            <w:tcW w:w="4630" w:type="dxa"/>
            <w:noWrap/>
            <w:hideMark/>
          </w:tcPr>
          <w:p w14:paraId="2867DB4F"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w:t>
            </w:r>
            <w:r w:rsidR="00CD3BC5" w:rsidRPr="003B31BB">
              <w:rPr>
                <w:rFonts w:ascii="Arial" w:hAnsi="Arial" w:cs="Arial"/>
                <w:color w:val="000000"/>
                <w:sz w:val="18"/>
                <w:szCs w:val="18"/>
                <w:lang w:val="en-AU"/>
              </w:rPr>
              <w:t xml:space="preserve">haracterisation of the gene rearrangement </w:t>
            </w:r>
            <w:r w:rsidRPr="003B31BB">
              <w:rPr>
                <w:rFonts w:ascii="Arial" w:hAnsi="Arial" w:cs="Arial"/>
                <w:i/>
                <w:color w:val="000000"/>
                <w:sz w:val="18"/>
                <w:szCs w:val="18"/>
                <w:lang w:val="en-AU"/>
              </w:rPr>
              <w:t>FIP</w:t>
            </w:r>
            <w:r w:rsidR="00CD3BC5" w:rsidRPr="003B31BB">
              <w:rPr>
                <w:rFonts w:ascii="Arial" w:hAnsi="Arial" w:cs="Arial"/>
                <w:i/>
                <w:color w:val="000000"/>
                <w:sz w:val="18"/>
                <w:szCs w:val="18"/>
                <w:lang w:val="en-AU"/>
              </w:rPr>
              <w:t>1l1-</w:t>
            </w:r>
            <w:r w:rsidRPr="003B31BB">
              <w:rPr>
                <w:rFonts w:ascii="Arial" w:hAnsi="Arial" w:cs="Arial"/>
                <w:i/>
                <w:color w:val="000000"/>
                <w:sz w:val="18"/>
                <w:szCs w:val="18"/>
                <w:lang w:val="en-AU"/>
              </w:rPr>
              <w:t>PDGFRA</w:t>
            </w:r>
            <w:r w:rsidR="00CD3BC5" w:rsidRPr="003B31BB">
              <w:rPr>
                <w:rFonts w:ascii="Arial" w:hAnsi="Arial" w:cs="Arial"/>
                <w:color w:val="000000"/>
                <w:sz w:val="18"/>
                <w:szCs w:val="18"/>
                <w:lang w:val="en-AU"/>
              </w:rPr>
              <w:t xml:space="preserve"> in the diagnostic work-up and management of a patient </w:t>
            </w:r>
            <w:r w:rsidRPr="003B31BB">
              <w:rPr>
                <w:rFonts w:ascii="Arial" w:hAnsi="Arial" w:cs="Arial"/>
                <w:color w:val="000000"/>
                <w:sz w:val="18"/>
                <w:szCs w:val="18"/>
                <w:lang w:val="en-AU"/>
              </w:rPr>
              <w:t>with laboratory evidence of:</w:t>
            </w:r>
            <w:r w:rsidR="00F10518"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a) </w:t>
            </w:r>
            <w:r w:rsidR="00CD3BC5" w:rsidRPr="003B31BB">
              <w:rPr>
                <w:rFonts w:ascii="Arial" w:hAnsi="Arial" w:cs="Arial"/>
                <w:color w:val="000000"/>
                <w:sz w:val="18"/>
                <w:szCs w:val="18"/>
                <w:lang w:val="en-AU"/>
              </w:rPr>
              <w:t>mast cell disease; or</w:t>
            </w:r>
            <w:r w:rsidRPr="003B31BB">
              <w:rPr>
                <w:rFonts w:ascii="Arial" w:hAnsi="Arial" w:cs="Arial"/>
                <w:color w:val="000000"/>
                <w:sz w:val="18"/>
                <w:szCs w:val="18"/>
                <w:lang w:val="en-AU"/>
              </w:rPr>
              <w:t xml:space="preserve"> b)</w:t>
            </w:r>
            <w:r w:rsidR="00CD3BC5" w:rsidRPr="003B31BB">
              <w:rPr>
                <w:rFonts w:ascii="Arial" w:hAnsi="Arial" w:cs="Arial"/>
                <w:color w:val="000000"/>
                <w:sz w:val="18"/>
                <w:szCs w:val="18"/>
                <w:lang w:val="en-AU"/>
              </w:rPr>
              <w:t xml:space="preserve"> idiopathic </w:t>
            </w:r>
            <w:proofErr w:type="spellStart"/>
            <w:r w:rsidR="00CD3BC5" w:rsidRPr="003B31BB">
              <w:rPr>
                <w:rFonts w:ascii="Arial" w:hAnsi="Arial" w:cs="Arial"/>
                <w:color w:val="000000"/>
                <w:sz w:val="18"/>
                <w:szCs w:val="18"/>
                <w:lang w:val="en-AU"/>
              </w:rPr>
              <w:t>hypereosinophilic</w:t>
            </w:r>
            <w:proofErr w:type="spellEnd"/>
            <w:r w:rsidR="00CD3BC5" w:rsidRPr="003B31BB">
              <w:rPr>
                <w:rFonts w:ascii="Arial" w:hAnsi="Arial" w:cs="Arial"/>
                <w:color w:val="000000"/>
                <w:sz w:val="18"/>
                <w:szCs w:val="18"/>
                <w:lang w:val="en-AU"/>
              </w:rPr>
              <w:t xml:space="preserve"> syndrome; or</w:t>
            </w:r>
            <w:r w:rsidRPr="003B31BB">
              <w:rPr>
                <w:rFonts w:ascii="Arial" w:hAnsi="Arial" w:cs="Arial"/>
                <w:color w:val="000000"/>
                <w:sz w:val="18"/>
                <w:szCs w:val="18"/>
                <w:lang w:val="en-AU"/>
              </w:rPr>
              <w:t xml:space="preserve"> c)</w:t>
            </w:r>
            <w:r w:rsidR="00CD3BC5" w:rsidRPr="003B31BB">
              <w:rPr>
                <w:rFonts w:ascii="Arial" w:hAnsi="Arial" w:cs="Arial"/>
                <w:color w:val="000000"/>
                <w:sz w:val="18"/>
                <w:szCs w:val="18"/>
                <w:lang w:val="en-AU"/>
              </w:rPr>
              <w:t xml:space="preserve"> chronic eosinophilic leukaemia; 1 or more tests</w:t>
            </w:r>
          </w:p>
        </w:tc>
        <w:tc>
          <w:tcPr>
            <w:tcW w:w="1738" w:type="dxa"/>
          </w:tcPr>
          <w:p w14:paraId="33552FA8"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6611FE38"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149485C6"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0C06DE50"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73327</w:t>
            </w:r>
          </w:p>
        </w:tc>
        <w:tc>
          <w:tcPr>
            <w:tcW w:w="4630" w:type="dxa"/>
            <w:noWrap/>
            <w:hideMark/>
          </w:tcPr>
          <w:p w14:paraId="7E8B5A22"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D</w:t>
            </w:r>
            <w:r w:rsidR="00CD3BC5" w:rsidRPr="003B31BB">
              <w:rPr>
                <w:rFonts w:ascii="Arial" w:hAnsi="Arial" w:cs="Arial"/>
                <w:color w:val="000000"/>
                <w:sz w:val="18"/>
                <w:szCs w:val="18"/>
                <w:lang w:val="en-AU"/>
              </w:rPr>
              <w:t xml:space="preserve">etection of genetic polymorphisms in the thiopurine s-methyltransferase gene for the prevention of dose-related toxicity during treatment with thiopurine drugs; </w:t>
            </w:r>
            <w:r w:rsidR="00CD3BC5" w:rsidRPr="003B31BB">
              <w:rPr>
                <w:rFonts w:ascii="Arial" w:hAnsi="Arial" w:cs="Arial"/>
                <w:color w:val="000000"/>
                <w:sz w:val="18"/>
                <w:szCs w:val="18"/>
                <w:lang w:val="en-AU"/>
              </w:rPr>
              <w:lastRenderedPageBreak/>
              <w:t>including (if performed) any service described in item 65075. 1 or more tests</w:t>
            </w:r>
          </w:p>
        </w:tc>
        <w:tc>
          <w:tcPr>
            <w:tcW w:w="1738" w:type="dxa"/>
          </w:tcPr>
          <w:p w14:paraId="430DB799"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lastRenderedPageBreak/>
              <w:t>No change</w:t>
            </w:r>
          </w:p>
        </w:tc>
        <w:tc>
          <w:tcPr>
            <w:tcW w:w="1801" w:type="dxa"/>
          </w:tcPr>
          <w:p w14:paraId="00493C22"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5C39E52B"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20DCB0D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73332</w:t>
            </w:r>
          </w:p>
        </w:tc>
        <w:tc>
          <w:tcPr>
            <w:tcW w:w="4630" w:type="dxa"/>
            <w:noWrap/>
            <w:hideMark/>
          </w:tcPr>
          <w:p w14:paraId="4D79A50B"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A</w:t>
            </w:r>
            <w:r w:rsidR="00F10518" w:rsidRPr="003B31BB">
              <w:rPr>
                <w:rFonts w:ascii="Arial" w:hAnsi="Arial" w:cs="Arial"/>
                <w:color w:val="000000"/>
                <w:sz w:val="18"/>
                <w:szCs w:val="18"/>
                <w:lang w:val="en-AU"/>
              </w:rPr>
              <w:t>n in-</w:t>
            </w:r>
            <w:r w:rsidR="00CD3BC5" w:rsidRPr="003B31BB">
              <w:rPr>
                <w:rFonts w:ascii="Arial" w:hAnsi="Arial" w:cs="Arial"/>
                <w:color w:val="000000"/>
                <w:sz w:val="18"/>
                <w:szCs w:val="18"/>
                <w:lang w:val="en-AU"/>
              </w:rPr>
              <w:t>situ hybridization (</w:t>
            </w:r>
            <w:r w:rsidRPr="003B31BB">
              <w:rPr>
                <w:rFonts w:ascii="Arial" w:hAnsi="Arial" w:cs="Arial"/>
                <w:color w:val="000000"/>
                <w:sz w:val="18"/>
                <w:szCs w:val="18"/>
                <w:lang w:val="en-AU"/>
              </w:rPr>
              <w:t>ISH</w:t>
            </w:r>
            <w:r w:rsidR="00CD3BC5" w:rsidRPr="003B31BB">
              <w:rPr>
                <w:rFonts w:ascii="Arial" w:hAnsi="Arial" w:cs="Arial"/>
                <w:color w:val="000000"/>
                <w:sz w:val="18"/>
                <w:szCs w:val="18"/>
                <w:lang w:val="en-AU"/>
              </w:rPr>
              <w:t>) test o</w:t>
            </w:r>
            <w:r w:rsidRPr="003B31BB">
              <w:rPr>
                <w:rFonts w:ascii="Arial" w:hAnsi="Arial" w:cs="Arial"/>
                <w:color w:val="000000"/>
                <w:sz w:val="18"/>
                <w:szCs w:val="18"/>
                <w:lang w:val="en-AU"/>
              </w:rPr>
              <w:t xml:space="preserve">f tumour tissue from a patient </w:t>
            </w:r>
            <w:r w:rsidR="00CD3BC5" w:rsidRPr="003B31BB">
              <w:rPr>
                <w:rFonts w:ascii="Arial" w:hAnsi="Arial" w:cs="Arial"/>
                <w:color w:val="000000"/>
                <w:sz w:val="18"/>
                <w:szCs w:val="18"/>
                <w:lang w:val="en-AU"/>
              </w:rPr>
              <w:t xml:space="preserve">with breast cancer requested by, or on the advice of, a specialist or consultant physician who manages the treatment of the patient to determine if the requirements relating to human epidermal growth factor receptor 2 </w:t>
            </w:r>
            <w:r w:rsidR="00CD3BC5" w:rsidRPr="003B31BB">
              <w:rPr>
                <w:rFonts w:ascii="Arial" w:hAnsi="Arial" w:cs="Arial"/>
                <w:i/>
                <w:color w:val="000000"/>
                <w:sz w:val="18"/>
                <w:szCs w:val="18"/>
                <w:lang w:val="en-AU"/>
              </w:rPr>
              <w:t>(</w:t>
            </w:r>
            <w:r w:rsidRPr="003B31BB">
              <w:rPr>
                <w:rFonts w:ascii="Arial" w:hAnsi="Arial" w:cs="Arial"/>
                <w:i/>
                <w:color w:val="000000"/>
                <w:sz w:val="18"/>
                <w:szCs w:val="18"/>
                <w:lang w:val="en-AU"/>
              </w:rPr>
              <w:t>HER</w:t>
            </w:r>
            <w:r w:rsidR="00CD3BC5" w:rsidRPr="003B31BB">
              <w:rPr>
                <w:rFonts w:ascii="Arial" w:hAnsi="Arial" w:cs="Arial"/>
                <w:i/>
                <w:color w:val="000000"/>
                <w:sz w:val="18"/>
                <w:szCs w:val="18"/>
                <w:lang w:val="en-AU"/>
              </w:rPr>
              <w:t>2)</w:t>
            </w:r>
            <w:r w:rsidR="00CD3BC5" w:rsidRPr="003B31BB">
              <w:rPr>
                <w:rFonts w:ascii="Arial" w:hAnsi="Arial" w:cs="Arial"/>
                <w:color w:val="000000"/>
                <w:sz w:val="18"/>
                <w:szCs w:val="18"/>
                <w:lang w:val="en-AU"/>
              </w:rPr>
              <w:t xml:space="preserve"> gene amplification for a</w:t>
            </w:r>
            <w:r w:rsidRPr="003B31BB">
              <w:rPr>
                <w:rFonts w:ascii="Arial" w:hAnsi="Arial" w:cs="Arial"/>
                <w:color w:val="000000"/>
                <w:sz w:val="18"/>
                <w:szCs w:val="18"/>
                <w:lang w:val="en-AU"/>
              </w:rPr>
              <w:t>ccess to trastuzumab under the Pharmaceutical Benefits S</w:t>
            </w:r>
            <w:r w:rsidR="00CD3BC5" w:rsidRPr="003B31BB">
              <w:rPr>
                <w:rFonts w:ascii="Arial" w:hAnsi="Arial" w:cs="Arial"/>
                <w:color w:val="000000"/>
                <w:sz w:val="18"/>
                <w:szCs w:val="18"/>
                <w:lang w:val="en-AU"/>
              </w:rPr>
              <w:t>cheme (</w:t>
            </w:r>
            <w:r w:rsidRPr="003B31BB">
              <w:rPr>
                <w:rFonts w:ascii="Arial" w:hAnsi="Arial" w:cs="Arial"/>
                <w:color w:val="000000"/>
                <w:sz w:val="18"/>
                <w:szCs w:val="18"/>
                <w:lang w:val="en-AU"/>
              </w:rPr>
              <w:t>PBS) or the H</w:t>
            </w:r>
            <w:r w:rsidR="00CD3BC5" w:rsidRPr="003B31BB">
              <w:rPr>
                <w:rFonts w:ascii="Arial" w:hAnsi="Arial" w:cs="Arial"/>
                <w:color w:val="000000"/>
                <w:sz w:val="18"/>
                <w:szCs w:val="18"/>
                <w:lang w:val="en-AU"/>
              </w:rPr>
              <w:t>erceptin program are fulfilled.</w:t>
            </w:r>
          </w:p>
        </w:tc>
        <w:tc>
          <w:tcPr>
            <w:tcW w:w="1738" w:type="dxa"/>
          </w:tcPr>
          <w:p w14:paraId="4EBD8118"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570E5759"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4.7</w:t>
            </w:r>
          </w:p>
        </w:tc>
      </w:tr>
      <w:tr w:rsidR="00CD3BC5" w:rsidRPr="00720661" w14:paraId="16960D47"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34199BC8"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73333</w:t>
            </w:r>
          </w:p>
        </w:tc>
        <w:tc>
          <w:tcPr>
            <w:tcW w:w="4630" w:type="dxa"/>
            <w:noWrap/>
            <w:hideMark/>
          </w:tcPr>
          <w:p w14:paraId="557A167B"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D</w:t>
            </w:r>
            <w:r w:rsidR="00CD3BC5" w:rsidRPr="003B31BB">
              <w:rPr>
                <w:rFonts w:ascii="Arial" w:hAnsi="Arial" w:cs="Arial"/>
                <w:color w:val="000000"/>
                <w:sz w:val="18"/>
                <w:szCs w:val="18"/>
                <w:lang w:val="en-AU"/>
              </w:rPr>
              <w:t>etection of</w:t>
            </w:r>
            <w:r w:rsidRPr="003B31BB">
              <w:rPr>
                <w:rFonts w:ascii="Arial" w:hAnsi="Arial" w:cs="Arial"/>
                <w:color w:val="000000"/>
                <w:sz w:val="18"/>
                <w:szCs w:val="18"/>
                <w:lang w:val="en-AU"/>
              </w:rPr>
              <w:t xml:space="preserve"> germline mutations of the von Hippel-L</w:t>
            </w:r>
            <w:r w:rsidR="00CD3BC5" w:rsidRPr="003B31BB">
              <w:rPr>
                <w:rFonts w:ascii="Arial" w:hAnsi="Arial" w:cs="Arial"/>
                <w:color w:val="000000"/>
                <w:sz w:val="18"/>
                <w:szCs w:val="18"/>
                <w:lang w:val="en-AU"/>
              </w:rPr>
              <w:t xml:space="preserve">indau </w:t>
            </w:r>
            <w:r w:rsidR="00CD3BC5" w:rsidRPr="003B31BB">
              <w:rPr>
                <w:rFonts w:ascii="Arial" w:hAnsi="Arial" w:cs="Arial"/>
                <w:i/>
                <w:color w:val="000000"/>
                <w:sz w:val="18"/>
                <w:szCs w:val="18"/>
                <w:lang w:val="en-AU"/>
              </w:rPr>
              <w:t>(</w:t>
            </w:r>
            <w:r w:rsidRPr="003B31BB">
              <w:rPr>
                <w:rFonts w:ascii="Arial" w:hAnsi="Arial" w:cs="Arial"/>
                <w:i/>
                <w:color w:val="000000"/>
                <w:sz w:val="18"/>
                <w:szCs w:val="18"/>
                <w:lang w:val="en-AU"/>
              </w:rPr>
              <w:t>VHL</w:t>
            </w:r>
            <w:r w:rsidR="00CD3BC5" w:rsidRPr="003B31BB">
              <w:rPr>
                <w:rFonts w:ascii="Arial" w:hAnsi="Arial" w:cs="Arial"/>
                <w:i/>
                <w:color w:val="000000"/>
                <w:sz w:val="18"/>
                <w:szCs w:val="18"/>
                <w:lang w:val="en-AU"/>
              </w:rPr>
              <w:t>)</w:t>
            </w:r>
            <w:r w:rsidR="00CD3BC5" w:rsidRPr="003B31BB">
              <w:rPr>
                <w:rFonts w:ascii="Arial" w:hAnsi="Arial" w:cs="Arial"/>
                <w:color w:val="000000"/>
                <w:sz w:val="18"/>
                <w:szCs w:val="18"/>
                <w:lang w:val="en-AU"/>
              </w:rPr>
              <w:t xml:space="preserve"> gene:</w:t>
            </w:r>
            <w:r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 xml:space="preserve">in a patient who has a clinical diagnosis of </w:t>
            </w:r>
            <w:r w:rsidRPr="003B31BB">
              <w:rPr>
                <w:rFonts w:ascii="Arial" w:hAnsi="Arial" w:cs="Arial"/>
                <w:i/>
                <w:color w:val="000000"/>
                <w:sz w:val="18"/>
                <w:szCs w:val="18"/>
                <w:lang w:val="en-AU"/>
              </w:rPr>
              <w:t>VHL</w:t>
            </w:r>
            <w:r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syndrome and:</w:t>
            </w:r>
            <w:r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 xml:space="preserve">a family history of </w:t>
            </w:r>
            <w:r w:rsidRPr="003B31BB">
              <w:rPr>
                <w:rFonts w:ascii="Arial" w:hAnsi="Arial" w:cs="Arial"/>
                <w:i/>
                <w:color w:val="000000"/>
                <w:sz w:val="18"/>
                <w:szCs w:val="18"/>
                <w:lang w:val="en-AU"/>
              </w:rPr>
              <w:t>VHL</w:t>
            </w:r>
            <w:r w:rsidR="00CD3BC5" w:rsidRPr="003B31BB">
              <w:rPr>
                <w:rFonts w:ascii="Arial" w:hAnsi="Arial" w:cs="Arial"/>
                <w:color w:val="000000"/>
                <w:sz w:val="18"/>
                <w:szCs w:val="18"/>
                <w:lang w:val="en-AU"/>
              </w:rPr>
              <w:t xml:space="preserve"> syndrome and one of the following: </w:t>
            </w:r>
            <w:proofErr w:type="spellStart"/>
            <w:r w:rsidR="00CD3BC5" w:rsidRPr="003B31BB">
              <w:rPr>
                <w:rFonts w:ascii="Arial" w:hAnsi="Arial" w:cs="Arial"/>
                <w:color w:val="000000"/>
                <w:sz w:val="18"/>
                <w:szCs w:val="18"/>
                <w:lang w:val="en-AU"/>
              </w:rPr>
              <w:t>haemangioblastoma</w:t>
            </w:r>
            <w:proofErr w:type="spellEnd"/>
            <w:r w:rsidR="00CD3BC5" w:rsidRPr="003B31BB">
              <w:rPr>
                <w:rFonts w:ascii="Arial" w:hAnsi="Arial" w:cs="Arial"/>
                <w:color w:val="000000"/>
                <w:sz w:val="18"/>
                <w:szCs w:val="18"/>
                <w:lang w:val="en-AU"/>
              </w:rPr>
              <w:t xml:space="preserve"> (retinal or central nervous system); phaeochromocytoma; renal cell carcinoma; or</w:t>
            </w:r>
            <w:r w:rsidR="00BA45F9"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 xml:space="preserve">2 or more </w:t>
            </w:r>
            <w:proofErr w:type="spellStart"/>
            <w:r w:rsidR="00CD3BC5" w:rsidRPr="003B31BB">
              <w:rPr>
                <w:rFonts w:ascii="Arial" w:hAnsi="Arial" w:cs="Arial"/>
                <w:color w:val="000000"/>
                <w:sz w:val="18"/>
                <w:szCs w:val="18"/>
                <w:lang w:val="en-AU"/>
              </w:rPr>
              <w:t>haemangioblastomas</w:t>
            </w:r>
            <w:proofErr w:type="spellEnd"/>
            <w:r w:rsidR="00CD3BC5" w:rsidRPr="003B31BB">
              <w:rPr>
                <w:rFonts w:ascii="Arial" w:hAnsi="Arial" w:cs="Arial"/>
                <w:color w:val="000000"/>
                <w:sz w:val="18"/>
                <w:szCs w:val="18"/>
                <w:lang w:val="en-AU"/>
              </w:rPr>
              <w:t>; or</w:t>
            </w:r>
            <w:r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 xml:space="preserve">one </w:t>
            </w:r>
            <w:proofErr w:type="spellStart"/>
            <w:r w:rsidR="00CD3BC5" w:rsidRPr="003B31BB">
              <w:rPr>
                <w:rFonts w:ascii="Arial" w:hAnsi="Arial" w:cs="Arial"/>
                <w:color w:val="000000"/>
                <w:sz w:val="18"/>
                <w:szCs w:val="18"/>
                <w:lang w:val="en-AU"/>
              </w:rPr>
              <w:t>haemangioblastoma</w:t>
            </w:r>
            <w:proofErr w:type="spellEnd"/>
            <w:r w:rsidR="00CD3BC5" w:rsidRPr="003B31BB">
              <w:rPr>
                <w:rFonts w:ascii="Arial" w:hAnsi="Arial" w:cs="Arial"/>
                <w:color w:val="000000"/>
                <w:sz w:val="18"/>
                <w:szCs w:val="18"/>
                <w:lang w:val="en-AU"/>
              </w:rPr>
              <w:t xml:space="preserve"> and a tumour or a cyst of: the adrenal gland; or the kidney; or</w:t>
            </w:r>
            <w:r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the pancreas; or the epididymis; or a broad ligament (other than epididymal and single renal cysts, which are common in the general population); or</w:t>
            </w:r>
            <w:r w:rsidR="00F10518" w:rsidRPr="003B31BB">
              <w:rPr>
                <w:rFonts w:ascii="Arial" w:hAnsi="Arial" w:cs="Arial"/>
                <w:color w:val="000000"/>
                <w:sz w:val="18"/>
                <w:szCs w:val="18"/>
                <w:lang w:val="en-AU"/>
              </w:rPr>
              <w:t xml:space="preserve"> </w:t>
            </w:r>
            <w:r w:rsidR="00CD3BC5" w:rsidRPr="003B31BB">
              <w:rPr>
                <w:rFonts w:ascii="Arial" w:hAnsi="Arial" w:cs="Arial"/>
                <w:color w:val="000000"/>
                <w:sz w:val="18"/>
                <w:szCs w:val="18"/>
                <w:lang w:val="en-AU"/>
              </w:rPr>
              <w:t xml:space="preserve">in a patient presenting with one or more of the following clinical features suggestive of </w:t>
            </w:r>
            <w:r w:rsidRPr="003B31BB">
              <w:rPr>
                <w:rFonts w:ascii="Arial" w:hAnsi="Arial" w:cs="Arial"/>
                <w:i/>
                <w:color w:val="000000"/>
                <w:sz w:val="18"/>
                <w:szCs w:val="18"/>
                <w:lang w:val="en-AU"/>
              </w:rPr>
              <w:t>VHL</w:t>
            </w:r>
            <w:r w:rsidR="00CD3BC5" w:rsidRPr="003B31BB">
              <w:rPr>
                <w:rFonts w:ascii="Arial" w:hAnsi="Arial" w:cs="Arial"/>
                <w:color w:val="000000"/>
                <w:sz w:val="18"/>
                <w:szCs w:val="18"/>
                <w:lang w:val="en-AU"/>
              </w:rPr>
              <w:t xml:space="preserve"> syndrome: (</w:t>
            </w:r>
            <w:proofErr w:type="spellStart"/>
            <w:r w:rsidR="00CD3BC5" w:rsidRPr="003B31BB">
              <w:rPr>
                <w:rFonts w:ascii="Arial" w:hAnsi="Arial" w:cs="Arial"/>
                <w:color w:val="000000"/>
                <w:sz w:val="18"/>
                <w:szCs w:val="18"/>
                <w:lang w:val="en-AU"/>
              </w:rPr>
              <w:t>i</w:t>
            </w:r>
            <w:proofErr w:type="spellEnd"/>
            <w:r w:rsidR="00CD3BC5" w:rsidRPr="003B31BB">
              <w:rPr>
                <w:rFonts w:ascii="Arial" w:hAnsi="Arial" w:cs="Arial"/>
                <w:color w:val="000000"/>
                <w:sz w:val="18"/>
                <w:szCs w:val="18"/>
                <w:lang w:val="en-AU"/>
              </w:rPr>
              <w:t xml:space="preserve">) </w:t>
            </w:r>
            <w:proofErr w:type="spellStart"/>
            <w:r w:rsidR="00CD3BC5" w:rsidRPr="003B31BB">
              <w:rPr>
                <w:rFonts w:ascii="Arial" w:hAnsi="Arial" w:cs="Arial"/>
                <w:color w:val="000000"/>
                <w:sz w:val="18"/>
                <w:szCs w:val="18"/>
                <w:lang w:val="en-AU"/>
              </w:rPr>
              <w:t>haemangioblastomas</w:t>
            </w:r>
            <w:proofErr w:type="spellEnd"/>
            <w:r w:rsidR="00CD3BC5" w:rsidRPr="003B31BB">
              <w:rPr>
                <w:rFonts w:ascii="Arial" w:hAnsi="Arial" w:cs="Arial"/>
                <w:color w:val="000000"/>
                <w:sz w:val="18"/>
                <w:szCs w:val="18"/>
                <w:lang w:val="en-AU"/>
              </w:rPr>
              <w:t xml:space="preserve"> of the brain, spinal cord, or retina; (ii) phaeochromocytoma; (iii) functional extra-adrenal paraganglioma</w:t>
            </w:r>
          </w:p>
        </w:tc>
        <w:tc>
          <w:tcPr>
            <w:tcW w:w="1738" w:type="dxa"/>
          </w:tcPr>
          <w:p w14:paraId="47BD49D2"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43C5CEA9"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44EC0904"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1588152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73334</w:t>
            </w:r>
          </w:p>
        </w:tc>
        <w:tc>
          <w:tcPr>
            <w:tcW w:w="4630" w:type="dxa"/>
            <w:noWrap/>
            <w:hideMark/>
          </w:tcPr>
          <w:p w14:paraId="209FD05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germline mutations of the von </w:t>
            </w:r>
            <w:r w:rsidR="00537269" w:rsidRPr="003B31BB">
              <w:rPr>
                <w:rFonts w:ascii="Arial" w:hAnsi="Arial" w:cs="Arial"/>
                <w:color w:val="000000"/>
                <w:sz w:val="18"/>
                <w:szCs w:val="18"/>
                <w:lang w:val="en-AU"/>
              </w:rPr>
              <w:t>H</w:t>
            </w:r>
            <w:r w:rsidRPr="003B31BB">
              <w:rPr>
                <w:rFonts w:ascii="Arial" w:hAnsi="Arial" w:cs="Arial"/>
                <w:color w:val="000000"/>
                <w:sz w:val="18"/>
                <w:szCs w:val="18"/>
                <w:lang w:val="en-AU"/>
              </w:rPr>
              <w:t>ippel-</w:t>
            </w:r>
            <w:r w:rsidR="00537269" w:rsidRPr="003B31BB">
              <w:rPr>
                <w:rFonts w:ascii="Arial" w:hAnsi="Arial" w:cs="Arial"/>
                <w:color w:val="000000"/>
                <w:sz w:val="18"/>
                <w:szCs w:val="18"/>
                <w:lang w:val="en-AU"/>
              </w:rPr>
              <w:t>L</w:t>
            </w:r>
            <w:r w:rsidRPr="003B31BB">
              <w:rPr>
                <w:rFonts w:ascii="Arial" w:hAnsi="Arial" w:cs="Arial"/>
                <w:color w:val="000000"/>
                <w:sz w:val="18"/>
                <w:szCs w:val="18"/>
                <w:lang w:val="en-AU"/>
              </w:rPr>
              <w:t xml:space="preserve">indau </w:t>
            </w:r>
            <w:r w:rsidRPr="003B31BB">
              <w:rPr>
                <w:rFonts w:ascii="Arial" w:hAnsi="Arial" w:cs="Arial"/>
                <w:i/>
                <w:color w:val="000000"/>
                <w:sz w:val="18"/>
                <w:szCs w:val="18"/>
                <w:lang w:val="en-AU"/>
              </w:rPr>
              <w:t>(</w:t>
            </w:r>
            <w:r w:rsidR="00537269" w:rsidRPr="003B31BB">
              <w:rPr>
                <w:rFonts w:ascii="Arial" w:hAnsi="Arial" w:cs="Arial"/>
                <w:i/>
                <w:color w:val="000000"/>
                <w:sz w:val="18"/>
                <w:szCs w:val="18"/>
                <w:lang w:val="en-AU"/>
              </w:rPr>
              <w:t>VHL)</w:t>
            </w:r>
            <w:r w:rsidRPr="003B31BB">
              <w:rPr>
                <w:rFonts w:ascii="Arial" w:hAnsi="Arial" w:cs="Arial"/>
                <w:color w:val="000000"/>
                <w:sz w:val="18"/>
                <w:szCs w:val="18"/>
                <w:lang w:val="en-AU"/>
              </w:rPr>
              <w:t xml:space="preserve"> gene in biological relatives of a patient with a known mutation in the </w:t>
            </w:r>
            <w:r w:rsidR="00537269" w:rsidRPr="003B31BB">
              <w:rPr>
                <w:rFonts w:ascii="Arial" w:hAnsi="Arial" w:cs="Arial"/>
                <w:color w:val="000000"/>
                <w:sz w:val="18"/>
                <w:szCs w:val="18"/>
                <w:lang w:val="en-AU"/>
              </w:rPr>
              <w:t>VHL</w:t>
            </w:r>
            <w:r w:rsidRPr="003B31BB">
              <w:rPr>
                <w:rFonts w:ascii="Arial" w:hAnsi="Arial" w:cs="Arial"/>
                <w:color w:val="000000"/>
                <w:sz w:val="18"/>
                <w:szCs w:val="18"/>
                <w:lang w:val="en-AU"/>
              </w:rPr>
              <w:t xml:space="preserve"> gene</w:t>
            </w:r>
          </w:p>
        </w:tc>
        <w:tc>
          <w:tcPr>
            <w:tcW w:w="1738" w:type="dxa"/>
          </w:tcPr>
          <w:p w14:paraId="2E0826F2"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09CAD222"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59BD2945"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2E22ADCE"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73335</w:t>
            </w:r>
          </w:p>
        </w:tc>
        <w:tc>
          <w:tcPr>
            <w:tcW w:w="4630" w:type="dxa"/>
            <w:noWrap/>
            <w:hideMark/>
          </w:tcPr>
          <w:p w14:paraId="03727907"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Detection o</w:t>
            </w:r>
            <w:r w:rsidR="00537269" w:rsidRPr="003B31BB">
              <w:rPr>
                <w:rFonts w:ascii="Arial" w:hAnsi="Arial" w:cs="Arial"/>
                <w:color w:val="000000"/>
                <w:sz w:val="18"/>
                <w:szCs w:val="18"/>
                <w:lang w:val="en-AU"/>
              </w:rPr>
              <w:t>f somatic mutations of the von Hippel-L</w:t>
            </w:r>
            <w:r w:rsidRPr="003B31BB">
              <w:rPr>
                <w:rFonts w:ascii="Arial" w:hAnsi="Arial" w:cs="Arial"/>
                <w:color w:val="000000"/>
                <w:sz w:val="18"/>
                <w:szCs w:val="18"/>
                <w:lang w:val="en-AU"/>
              </w:rPr>
              <w:t xml:space="preserve">indau </w:t>
            </w:r>
            <w:r w:rsidRPr="003B31BB">
              <w:rPr>
                <w:rFonts w:ascii="Arial" w:hAnsi="Arial" w:cs="Arial"/>
                <w:i/>
                <w:color w:val="000000"/>
                <w:sz w:val="18"/>
                <w:szCs w:val="18"/>
                <w:lang w:val="en-AU"/>
              </w:rPr>
              <w:t>(</w:t>
            </w:r>
            <w:r w:rsidR="00537269" w:rsidRPr="003B31BB">
              <w:rPr>
                <w:rFonts w:ascii="Arial" w:hAnsi="Arial" w:cs="Arial"/>
                <w:i/>
                <w:color w:val="000000"/>
                <w:sz w:val="18"/>
                <w:szCs w:val="18"/>
                <w:lang w:val="en-AU"/>
              </w:rPr>
              <w:t>VHL)</w:t>
            </w:r>
            <w:r w:rsidRPr="003B31BB">
              <w:rPr>
                <w:rFonts w:ascii="Arial" w:hAnsi="Arial" w:cs="Arial"/>
                <w:color w:val="000000"/>
                <w:sz w:val="18"/>
                <w:szCs w:val="18"/>
                <w:lang w:val="en-AU"/>
              </w:rPr>
              <w:t xml:space="preserve"> gene in a patient with: 2 or more tumours comprising: 2 or more </w:t>
            </w:r>
            <w:proofErr w:type="spellStart"/>
            <w:r w:rsidRPr="003B31BB">
              <w:rPr>
                <w:rFonts w:ascii="Arial" w:hAnsi="Arial" w:cs="Arial"/>
                <w:color w:val="000000"/>
                <w:sz w:val="18"/>
                <w:szCs w:val="18"/>
                <w:lang w:val="en-AU"/>
              </w:rPr>
              <w:t>haemangioblastomas</w:t>
            </w:r>
            <w:proofErr w:type="spellEnd"/>
            <w:r w:rsidRPr="003B31BB">
              <w:rPr>
                <w:rFonts w:ascii="Arial" w:hAnsi="Arial" w:cs="Arial"/>
                <w:color w:val="000000"/>
                <w:sz w:val="18"/>
                <w:szCs w:val="18"/>
                <w:lang w:val="en-AU"/>
              </w:rPr>
              <w:t xml:space="preserve">, or one </w:t>
            </w:r>
            <w:proofErr w:type="spellStart"/>
            <w:r w:rsidRPr="003B31BB">
              <w:rPr>
                <w:rFonts w:ascii="Arial" w:hAnsi="Arial" w:cs="Arial"/>
                <w:color w:val="000000"/>
                <w:sz w:val="18"/>
                <w:szCs w:val="18"/>
                <w:lang w:val="en-AU"/>
              </w:rPr>
              <w:t>haemangioblastoma</w:t>
            </w:r>
            <w:proofErr w:type="spellEnd"/>
            <w:r w:rsidRPr="003B31BB">
              <w:rPr>
                <w:rFonts w:ascii="Arial" w:hAnsi="Arial" w:cs="Arial"/>
                <w:color w:val="000000"/>
                <w:sz w:val="18"/>
                <w:szCs w:val="18"/>
                <w:lang w:val="en-AU"/>
              </w:rPr>
              <w:t xml:space="preserve"> and a tumour of:</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the adrenal gland; or</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the kidney; or</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the pancreas; or</w:t>
            </w:r>
            <w:r w:rsidR="00537269"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 xml:space="preserve">the epididymis; and </w:t>
            </w:r>
            <w:r w:rsidR="00537269" w:rsidRPr="003B31BB">
              <w:rPr>
                <w:rFonts w:ascii="Arial" w:hAnsi="Arial" w:cs="Arial"/>
                <w:color w:val="000000"/>
                <w:sz w:val="18"/>
                <w:szCs w:val="18"/>
                <w:lang w:val="en-AU"/>
              </w:rPr>
              <w:t>no germline mutations of the VHL</w:t>
            </w:r>
            <w:r w:rsidRPr="003B31BB">
              <w:rPr>
                <w:rFonts w:ascii="Arial" w:hAnsi="Arial" w:cs="Arial"/>
                <w:color w:val="000000"/>
                <w:sz w:val="18"/>
                <w:szCs w:val="18"/>
                <w:lang w:val="en-AU"/>
              </w:rPr>
              <w:t xml:space="preserve"> gene identified by genetic testing</w:t>
            </w:r>
          </w:p>
        </w:tc>
        <w:tc>
          <w:tcPr>
            <w:tcW w:w="1738" w:type="dxa"/>
          </w:tcPr>
          <w:p w14:paraId="5999B611" w14:textId="77777777" w:rsidR="00CD3BC5" w:rsidRPr="003B31BB" w:rsidRDefault="0053726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78EA90AD"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1364DE1D"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48E50F9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73336</w:t>
            </w:r>
          </w:p>
        </w:tc>
        <w:tc>
          <w:tcPr>
            <w:tcW w:w="4630" w:type="dxa"/>
            <w:noWrap/>
            <w:hideMark/>
          </w:tcPr>
          <w:p w14:paraId="1694C1D2"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A test of tumour tissue from a patient with unresectable stage iii or stage iv metastatic cutaneous melanoma, requested by, or on behalf of, a specialist or consultant physician, to determine if the requirements relating to </w:t>
            </w:r>
            <w:r w:rsidRPr="003B31BB">
              <w:rPr>
                <w:rFonts w:ascii="Arial" w:hAnsi="Arial" w:cs="Arial"/>
                <w:i/>
                <w:color w:val="000000"/>
                <w:sz w:val="18"/>
                <w:szCs w:val="18"/>
                <w:lang w:val="en-AU"/>
              </w:rPr>
              <w:t>BRAF v600</w:t>
            </w:r>
            <w:r w:rsidRPr="003B31BB">
              <w:rPr>
                <w:rFonts w:ascii="Arial" w:hAnsi="Arial" w:cs="Arial"/>
                <w:color w:val="000000"/>
                <w:sz w:val="18"/>
                <w:szCs w:val="18"/>
                <w:lang w:val="en-AU"/>
              </w:rPr>
              <w:t xml:space="preserve"> mutation status for access to dabrafenib under </w:t>
            </w:r>
            <w:r w:rsidR="00537269" w:rsidRPr="003B31BB">
              <w:rPr>
                <w:rFonts w:ascii="Arial" w:hAnsi="Arial" w:cs="Arial"/>
                <w:color w:val="000000"/>
                <w:sz w:val="18"/>
                <w:szCs w:val="18"/>
                <w:lang w:val="en-AU"/>
              </w:rPr>
              <w:t>Pharmaceutical</w:t>
            </w:r>
            <w:r w:rsidRPr="003B31BB">
              <w:rPr>
                <w:rFonts w:ascii="Arial" w:hAnsi="Arial" w:cs="Arial"/>
                <w:color w:val="000000"/>
                <w:sz w:val="18"/>
                <w:szCs w:val="18"/>
                <w:lang w:val="en-AU"/>
              </w:rPr>
              <w:t xml:space="preserve"> Benefits Scheme (PBS) are fulfilled.</w:t>
            </w:r>
          </w:p>
        </w:tc>
        <w:tc>
          <w:tcPr>
            <w:tcW w:w="1738" w:type="dxa"/>
          </w:tcPr>
          <w:p w14:paraId="63DC4936" w14:textId="77777777" w:rsidR="00CD3BC5" w:rsidRPr="003B31BB" w:rsidRDefault="0044658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14F1981A"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4.12 &amp; 5.2.1</w:t>
            </w:r>
          </w:p>
        </w:tc>
      </w:tr>
      <w:tr w:rsidR="00CD3BC5" w:rsidRPr="00720661" w14:paraId="0DD4AF07"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1FA9A8A6"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73337</w:t>
            </w:r>
          </w:p>
        </w:tc>
        <w:tc>
          <w:tcPr>
            <w:tcW w:w="4630" w:type="dxa"/>
            <w:noWrap/>
            <w:hideMark/>
          </w:tcPr>
          <w:p w14:paraId="4AB79EED"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w:t>
            </w:r>
            <w:r w:rsidRPr="003B31BB">
              <w:rPr>
                <w:rFonts w:ascii="Arial" w:hAnsi="Arial" w:cs="Arial"/>
                <w:i/>
                <w:color w:val="000000"/>
                <w:sz w:val="18"/>
                <w:szCs w:val="18"/>
                <w:lang w:val="en-AU"/>
              </w:rPr>
              <w:t>(EGFR)</w:t>
            </w:r>
            <w:r w:rsidRPr="003B31BB">
              <w:rPr>
                <w:rFonts w:ascii="Arial" w:hAnsi="Arial" w:cs="Arial"/>
                <w:color w:val="000000"/>
                <w:sz w:val="18"/>
                <w:szCs w:val="18"/>
                <w:lang w:val="en-AU"/>
              </w:rPr>
              <w:t xml:space="preserve"> gene status for access to er</w:t>
            </w:r>
            <w:r w:rsidR="00446589" w:rsidRPr="003B31BB">
              <w:rPr>
                <w:rFonts w:ascii="Arial" w:hAnsi="Arial" w:cs="Arial"/>
                <w:color w:val="000000"/>
                <w:sz w:val="18"/>
                <w:szCs w:val="18"/>
                <w:lang w:val="en-AU"/>
              </w:rPr>
              <w:t>lotinib or gefitinib under the Pharmaceutical Benefits S</w:t>
            </w:r>
            <w:r w:rsidRPr="003B31BB">
              <w:rPr>
                <w:rFonts w:ascii="Arial" w:hAnsi="Arial" w:cs="Arial"/>
                <w:color w:val="000000"/>
                <w:sz w:val="18"/>
                <w:szCs w:val="18"/>
                <w:lang w:val="en-AU"/>
              </w:rPr>
              <w:t>cheme (PBS) are fulfilled.</w:t>
            </w:r>
          </w:p>
        </w:tc>
        <w:tc>
          <w:tcPr>
            <w:tcW w:w="1738" w:type="dxa"/>
          </w:tcPr>
          <w:p w14:paraId="0158D3E7" w14:textId="77777777" w:rsidR="00CD3BC5" w:rsidRPr="003B31BB" w:rsidRDefault="0044658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47C5E450"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4.1.2 &amp; 5.2.1</w:t>
            </w:r>
          </w:p>
        </w:tc>
      </w:tr>
      <w:tr w:rsidR="00CD3BC5" w:rsidRPr="00720661" w14:paraId="2CDAE82C"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334B55F1"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73338</w:t>
            </w:r>
          </w:p>
        </w:tc>
        <w:tc>
          <w:tcPr>
            <w:tcW w:w="4630" w:type="dxa"/>
            <w:noWrap/>
            <w:hideMark/>
          </w:tcPr>
          <w:p w14:paraId="6C2CD371"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A test of tumour tissue from a patient with metastatic colorectal cancer (stage IV), requested by a specialist or consultant physician, to determine if the requirements relating to rat sarcoma oncogene </w:t>
            </w:r>
            <w:r w:rsidRPr="003B31BB">
              <w:rPr>
                <w:rFonts w:ascii="Arial" w:hAnsi="Arial" w:cs="Arial"/>
                <w:i/>
                <w:color w:val="000000"/>
                <w:sz w:val="18"/>
                <w:szCs w:val="18"/>
                <w:lang w:val="en-AU"/>
              </w:rPr>
              <w:t xml:space="preserve">(RAS) </w:t>
            </w:r>
            <w:r w:rsidRPr="003B31BB">
              <w:rPr>
                <w:rFonts w:ascii="Arial" w:hAnsi="Arial" w:cs="Arial"/>
                <w:color w:val="000000"/>
                <w:sz w:val="18"/>
                <w:szCs w:val="18"/>
                <w:lang w:val="en-AU"/>
              </w:rPr>
              <w:t xml:space="preserve">gene mutation status for access to cetuximab or panitumumab under the Pharmaceutical Benefits Scheme (PBS) are fulfilled, if:(a) the test is conducted for all clinically relevant mutations on </w:t>
            </w:r>
            <w:r w:rsidRPr="003B31BB">
              <w:rPr>
                <w:rFonts w:ascii="Arial" w:hAnsi="Arial" w:cs="Arial"/>
                <w:i/>
                <w:color w:val="000000"/>
                <w:sz w:val="18"/>
                <w:szCs w:val="18"/>
                <w:lang w:val="en-AU"/>
              </w:rPr>
              <w:t>KRAS</w:t>
            </w:r>
            <w:r w:rsidRPr="003B31BB">
              <w:rPr>
                <w:rFonts w:ascii="Arial" w:hAnsi="Arial" w:cs="Arial"/>
                <w:color w:val="000000"/>
                <w:sz w:val="18"/>
                <w:szCs w:val="18"/>
                <w:lang w:val="en-AU"/>
              </w:rPr>
              <w:t xml:space="preserve"> exons 2, 3 and 4 and </w:t>
            </w:r>
            <w:r w:rsidRPr="003B31BB">
              <w:rPr>
                <w:rFonts w:ascii="Arial" w:hAnsi="Arial" w:cs="Arial"/>
                <w:i/>
                <w:color w:val="000000"/>
                <w:sz w:val="18"/>
                <w:szCs w:val="18"/>
                <w:lang w:val="en-AU"/>
              </w:rPr>
              <w:t>NRAS</w:t>
            </w:r>
            <w:r w:rsidRPr="003B31BB">
              <w:rPr>
                <w:rFonts w:ascii="Arial" w:hAnsi="Arial" w:cs="Arial"/>
                <w:color w:val="000000"/>
                <w:sz w:val="18"/>
                <w:szCs w:val="18"/>
                <w:lang w:val="en-AU"/>
              </w:rPr>
              <w:t xml:space="preserve"> exons 2, 3, and 4; or (b) a RAS mutation is found.</w:t>
            </w:r>
          </w:p>
        </w:tc>
        <w:tc>
          <w:tcPr>
            <w:tcW w:w="1738" w:type="dxa"/>
          </w:tcPr>
          <w:p w14:paraId="0EB88E8A" w14:textId="77777777" w:rsidR="00CD3BC5" w:rsidRPr="003B31BB" w:rsidRDefault="00105F47"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w:t>
            </w:r>
            <w:r w:rsidR="00446589" w:rsidRPr="003B31BB">
              <w:rPr>
                <w:rFonts w:ascii="Arial" w:hAnsi="Arial" w:cs="Arial"/>
                <w:color w:val="000000"/>
                <w:sz w:val="18"/>
                <w:szCs w:val="18"/>
                <w:lang w:val="en-AU"/>
              </w:rPr>
              <w:t>hange</w:t>
            </w:r>
          </w:p>
        </w:tc>
        <w:tc>
          <w:tcPr>
            <w:tcW w:w="1801" w:type="dxa"/>
          </w:tcPr>
          <w:p w14:paraId="5940FA9B"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 &amp; 5.2.1</w:t>
            </w:r>
          </w:p>
        </w:tc>
      </w:tr>
      <w:tr w:rsidR="00CD3BC5" w:rsidRPr="00720661" w14:paraId="5BA3FCA8"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6509ADFC"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lastRenderedPageBreak/>
              <w:t>73339</w:t>
            </w:r>
          </w:p>
        </w:tc>
        <w:tc>
          <w:tcPr>
            <w:tcW w:w="4630" w:type="dxa"/>
            <w:noWrap/>
            <w:hideMark/>
          </w:tcPr>
          <w:p w14:paraId="3F6479C2"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germline mutations in the </w:t>
            </w:r>
            <w:r w:rsidRPr="003B31BB">
              <w:rPr>
                <w:rFonts w:ascii="Arial" w:hAnsi="Arial" w:cs="Arial"/>
                <w:i/>
                <w:color w:val="000000"/>
                <w:sz w:val="18"/>
                <w:szCs w:val="18"/>
                <w:lang w:val="en-AU"/>
              </w:rPr>
              <w:t>RET</w:t>
            </w:r>
            <w:r w:rsidRPr="003B31BB">
              <w:rPr>
                <w:rFonts w:ascii="Arial" w:hAnsi="Arial" w:cs="Arial"/>
                <w:color w:val="000000"/>
                <w:sz w:val="18"/>
                <w:szCs w:val="18"/>
                <w:lang w:val="en-AU"/>
              </w:rPr>
              <w:t xml:space="preserve"> gene in patients with a suspected clinical diagnosis of multiple endocrine neoplasia type 2 (MEN2) requested by a specialist or consultant physician who manages the treatment of the patient.one test.</w:t>
            </w:r>
            <w:r w:rsidR="00807710"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25)</w:t>
            </w:r>
          </w:p>
        </w:tc>
        <w:tc>
          <w:tcPr>
            <w:tcW w:w="1738" w:type="dxa"/>
          </w:tcPr>
          <w:p w14:paraId="0C9FDFD2" w14:textId="77777777" w:rsidR="00CD3BC5" w:rsidRPr="003B31BB" w:rsidRDefault="0044658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6C5A34AF"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047CFD1C"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3D20A634"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73340</w:t>
            </w:r>
          </w:p>
        </w:tc>
        <w:tc>
          <w:tcPr>
            <w:tcW w:w="4630" w:type="dxa"/>
            <w:noWrap/>
            <w:hideMark/>
          </w:tcPr>
          <w:p w14:paraId="2894E552"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 xml:space="preserve">Detection of a known mutation in the </w:t>
            </w:r>
            <w:r w:rsidRPr="003B31BB">
              <w:rPr>
                <w:rFonts w:ascii="Arial" w:hAnsi="Arial" w:cs="Arial"/>
                <w:i/>
                <w:color w:val="000000"/>
                <w:sz w:val="18"/>
                <w:szCs w:val="18"/>
                <w:lang w:val="en-AU"/>
              </w:rPr>
              <w:t>RET</w:t>
            </w:r>
            <w:r w:rsidRPr="003B31BB">
              <w:rPr>
                <w:rFonts w:ascii="Arial" w:hAnsi="Arial" w:cs="Arial"/>
                <w:color w:val="000000"/>
                <w:sz w:val="18"/>
                <w:szCs w:val="18"/>
                <w:lang w:val="en-AU"/>
              </w:rPr>
              <w:t xml:space="preserve"> gene in an asymptomatic relative of a patient with a documented pathogenic germline </w:t>
            </w:r>
            <w:r w:rsidRPr="003B31BB">
              <w:rPr>
                <w:rFonts w:ascii="Arial" w:hAnsi="Arial" w:cs="Arial"/>
                <w:i/>
                <w:color w:val="000000"/>
                <w:sz w:val="18"/>
                <w:szCs w:val="18"/>
                <w:lang w:val="en-AU"/>
              </w:rPr>
              <w:t>RET</w:t>
            </w:r>
            <w:r w:rsidRPr="003B31BB">
              <w:rPr>
                <w:rFonts w:ascii="Arial" w:hAnsi="Arial" w:cs="Arial"/>
                <w:color w:val="000000"/>
                <w:sz w:val="18"/>
                <w:szCs w:val="18"/>
                <w:lang w:val="en-AU"/>
              </w:rPr>
              <w:t xml:space="preserve"> mutation requested by a specialist or consultant physician who manages the treatment of the patient.one test.</w:t>
            </w:r>
            <w:r w:rsidR="00807710" w:rsidRPr="003B31BB">
              <w:rPr>
                <w:rFonts w:ascii="Arial" w:hAnsi="Arial" w:cs="Arial"/>
                <w:color w:val="000000"/>
                <w:sz w:val="18"/>
                <w:szCs w:val="18"/>
                <w:lang w:val="en-AU"/>
              </w:rPr>
              <w:t xml:space="preserve"> </w:t>
            </w:r>
            <w:r w:rsidRPr="003B31BB">
              <w:rPr>
                <w:rFonts w:ascii="Arial" w:hAnsi="Arial" w:cs="Arial"/>
                <w:color w:val="000000"/>
                <w:sz w:val="18"/>
                <w:szCs w:val="18"/>
                <w:lang w:val="en-AU"/>
              </w:rPr>
              <w:t>(Item is subject to rule 25)</w:t>
            </w:r>
          </w:p>
        </w:tc>
        <w:tc>
          <w:tcPr>
            <w:tcW w:w="1738" w:type="dxa"/>
          </w:tcPr>
          <w:p w14:paraId="732E38C1" w14:textId="77777777" w:rsidR="00CD3BC5" w:rsidRPr="003B31BB" w:rsidRDefault="0044658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4F442645"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30600C08"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4A06DF0E"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73341</w:t>
            </w:r>
          </w:p>
        </w:tc>
        <w:tc>
          <w:tcPr>
            <w:tcW w:w="4630" w:type="dxa"/>
            <w:noWrap/>
            <w:hideMark/>
          </w:tcPr>
          <w:p w14:paraId="04A80BA8" w14:textId="77777777" w:rsidR="00CD3BC5" w:rsidRPr="003B31BB" w:rsidRDefault="00446589" w:rsidP="00811224">
            <w:pPr>
              <w:spacing w:before="60"/>
              <w:rPr>
                <w:rFonts w:ascii="Arial" w:hAnsi="Arial" w:cs="Arial"/>
                <w:color w:val="000000"/>
                <w:sz w:val="18"/>
                <w:szCs w:val="18"/>
                <w:lang w:val="en-AU"/>
              </w:rPr>
            </w:pPr>
            <w:r w:rsidRPr="00720661">
              <w:rPr>
                <w:rFonts w:ascii="Arial" w:hAnsi="Arial" w:cs="Arial"/>
                <w:color w:val="000000"/>
                <w:sz w:val="18"/>
                <w:szCs w:val="18"/>
                <w:lang w:val="en-AU"/>
              </w:rPr>
              <w:t>Fluorescence in situ hybridisation (FISH) test of tumour tissue from a patient with locally advanced or metastatic non-small cell lung cancer, which is of non-squamous histology or histology not otherwise specified, with documented evidence of anaplastic lymphoma kinase (</w:t>
            </w:r>
            <w:r w:rsidRPr="00720661">
              <w:rPr>
                <w:rFonts w:ascii="Arial" w:hAnsi="Arial" w:cs="Arial"/>
                <w:iCs/>
                <w:color w:val="000000"/>
                <w:sz w:val="18"/>
                <w:szCs w:val="18"/>
                <w:lang w:val="en-AU"/>
              </w:rPr>
              <w:t>ALK</w:t>
            </w:r>
            <w:r w:rsidRPr="00720661">
              <w:rPr>
                <w:rFonts w:ascii="Arial" w:hAnsi="Arial" w:cs="Arial"/>
                <w:color w:val="000000"/>
                <w:sz w:val="18"/>
                <w:szCs w:val="18"/>
                <w:lang w:val="en-AU"/>
              </w:rPr>
              <w:t xml:space="preserve">) immunoreactivity by immunohistochemical (IHC) examination giving a staining intensity score &gt; 0, and with documented absence of activating mutations of the epidermal growth factor receptor </w:t>
            </w:r>
            <w:r w:rsidRPr="00720661">
              <w:rPr>
                <w:rFonts w:ascii="Arial" w:hAnsi="Arial" w:cs="Arial"/>
                <w:i/>
                <w:color w:val="000000"/>
                <w:sz w:val="18"/>
                <w:szCs w:val="18"/>
                <w:lang w:val="en-AU"/>
              </w:rPr>
              <w:t>(</w:t>
            </w:r>
            <w:r w:rsidRPr="00720661">
              <w:rPr>
                <w:rFonts w:ascii="Arial" w:hAnsi="Arial" w:cs="Arial"/>
                <w:i/>
                <w:iCs/>
                <w:color w:val="000000"/>
                <w:sz w:val="18"/>
                <w:szCs w:val="18"/>
                <w:lang w:val="en-AU"/>
              </w:rPr>
              <w:t>EGFR</w:t>
            </w:r>
            <w:r w:rsidRPr="00720661">
              <w:rPr>
                <w:rFonts w:ascii="Arial" w:hAnsi="Arial" w:cs="Arial"/>
                <w:i/>
                <w:color w:val="000000"/>
                <w:sz w:val="18"/>
                <w:szCs w:val="18"/>
                <w:lang w:val="en-AU"/>
              </w:rPr>
              <w:t>)</w:t>
            </w:r>
            <w:r w:rsidRPr="00720661">
              <w:rPr>
                <w:rFonts w:ascii="Arial" w:hAnsi="Arial" w:cs="Arial"/>
                <w:color w:val="000000"/>
                <w:sz w:val="18"/>
                <w:szCs w:val="18"/>
                <w:lang w:val="en-AU"/>
              </w:rPr>
              <w:t xml:space="preserve"> gene, requested by a specialist or consultant physician to determine if requirements relating to </w:t>
            </w:r>
            <w:r w:rsidRPr="00720661">
              <w:rPr>
                <w:rFonts w:ascii="Arial" w:hAnsi="Arial" w:cs="Arial"/>
                <w:iCs/>
                <w:color w:val="000000"/>
                <w:sz w:val="18"/>
                <w:szCs w:val="18"/>
                <w:lang w:val="en-AU"/>
              </w:rPr>
              <w:t>ALK</w:t>
            </w:r>
            <w:r w:rsidRPr="00720661">
              <w:rPr>
                <w:rFonts w:ascii="Arial" w:hAnsi="Arial" w:cs="Arial"/>
                <w:color w:val="000000"/>
                <w:sz w:val="18"/>
                <w:szCs w:val="18"/>
                <w:lang w:val="en-AU"/>
              </w:rPr>
              <w:t xml:space="preserve"> gene rearrangement status for access to </w:t>
            </w:r>
            <w:proofErr w:type="spellStart"/>
            <w:r w:rsidRPr="00720661">
              <w:rPr>
                <w:rFonts w:ascii="Arial" w:hAnsi="Arial" w:cs="Arial"/>
                <w:color w:val="000000"/>
                <w:sz w:val="18"/>
                <w:szCs w:val="18"/>
                <w:lang w:val="en-AU"/>
              </w:rPr>
              <w:t>crizotinib</w:t>
            </w:r>
            <w:proofErr w:type="spellEnd"/>
            <w:r w:rsidRPr="00720661">
              <w:rPr>
                <w:rFonts w:ascii="Arial" w:hAnsi="Arial" w:cs="Arial"/>
                <w:color w:val="000000"/>
                <w:sz w:val="18"/>
                <w:szCs w:val="18"/>
                <w:lang w:val="en-AU"/>
              </w:rPr>
              <w:t xml:space="preserve"> under the Pharmaceutical Benefits Scheme (PBS) are fulfilled.</w:t>
            </w:r>
          </w:p>
        </w:tc>
        <w:tc>
          <w:tcPr>
            <w:tcW w:w="1738" w:type="dxa"/>
          </w:tcPr>
          <w:p w14:paraId="3DD3F144" w14:textId="77777777" w:rsidR="00CD3BC5" w:rsidRPr="003B31BB" w:rsidRDefault="00446589"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No change</w:t>
            </w:r>
          </w:p>
        </w:tc>
        <w:tc>
          <w:tcPr>
            <w:tcW w:w="1801" w:type="dxa"/>
          </w:tcPr>
          <w:p w14:paraId="06DB9141"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4.11</w:t>
            </w:r>
          </w:p>
        </w:tc>
      </w:tr>
      <w:tr w:rsidR="00CD3BC5" w:rsidRPr="00720661" w14:paraId="5ECDB7D8" w14:textId="77777777" w:rsidTr="00537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47" w:type="dxa"/>
            <w:noWrap/>
            <w:hideMark/>
          </w:tcPr>
          <w:p w14:paraId="6FBA6931" w14:textId="77777777" w:rsidR="00CD3BC5" w:rsidRPr="003B31BB" w:rsidRDefault="00CD3BC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73342</w:t>
            </w:r>
          </w:p>
        </w:tc>
        <w:tc>
          <w:tcPr>
            <w:tcW w:w="4630" w:type="dxa"/>
            <w:noWrap/>
            <w:hideMark/>
          </w:tcPr>
          <w:p w14:paraId="5D627848" w14:textId="77777777" w:rsidR="00CD3BC5" w:rsidRPr="003B31BB" w:rsidRDefault="00446589" w:rsidP="00811224">
            <w:pPr>
              <w:spacing w:before="60"/>
              <w:rPr>
                <w:rFonts w:ascii="Arial" w:hAnsi="Arial" w:cs="Arial"/>
                <w:color w:val="000000"/>
                <w:sz w:val="18"/>
                <w:szCs w:val="18"/>
                <w:lang w:val="en-AU"/>
              </w:rPr>
            </w:pPr>
            <w:r w:rsidRPr="00720661">
              <w:rPr>
                <w:rFonts w:ascii="Arial" w:hAnsi="Arial" w:cs="Arial"/>
                <w:color w:val="000000"/>
                <w:sz w:val="18"/>
                <w:szCs w:val="18"/>
                <w:lang w:val="en-AU"/>
              </w:rPr>
              <w:t xml:space="preserve">An in situ hybridisation (ISH) test of tumour tissue from a patient with metastatic adenocarcinoma of the stomach or gastro-oesophageal junction, with documented evidence of human epidermal growth factor receptor 2 </w:t>
            </w:r>
            <w:r w:rsidRPr="00720661">
              <w:rPr>
                <w:rFonts w:ascii="Arial" w:hAnsi="Arial" w:cs="Arial"/>
                <w:i/>
                <w:color w:val="000000"/>
                <w:sz w:val="18"/>
                <w:szCs w:val="18"/>
                <w:lang w:val="en-AU"/>
              </w:rPr>
              <w:t>(</w:t>
            </w:r>
            <w:r w:rsidRPr="00720661">
              <w:rPr>
                <w:rFonts w:ascii="Arial" w:hAnsi="Arial" w:cs="Arial"/>
                <w:i/>
                <w:iCs/>
                <w:color w:val="000000"/>
                <w:sz w:val="18"/>
                <w:szCs w:val="18"/>
                <w:lang w:val="en-AU"/>
              </w:rPr>
              <w:t>HER2</w:t>
            </w:r>
            <w:r w:rsidRPr="00720661">
              <w:rPr>
                <w:rFonts w:ascii="Arial" w:hAnsi="Arial" w:cs="Arial"/>
                <w:i/>
                <w:color w:val="000000"/>
                <w:sz w:val="18"/>
                <w:szCs w:val="18"/>
                <w:lang w:val="en-AU"/>
              </w:rPr>
              <w:t>)</w:t>
            </w:r>
            <w:r w:rsidRPr="00720661">
              <w:rPr>
                <w:rFonts w:ascii="Arial" w:hAnsi="Arial" w:cs="Arial"/>
                <w:color w:val="000000"/>
                <w:sz w:val="18"/>
                <w:szCs w:val="18"/>
                <w:lang w:val="en-AU"/>
              </w:rPr>
              <w:t xml:space="preserve">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sidRPr="00720661">
              <w:rPr>
                <w:rFonts w:ascii="Arial" w:hAnsi="Arial" w:cs="Arial"/>
                <w:i/>
                <w:iCs/>
                <w:color w:val="000000"/>
                <w:sz w:val="18"/>
                <w:szCs w:val="18"/>
                <w:lang w:val="en-AU"/>
              </w:rPr>
              <w:t>HER2</w:t>
            </w:r>
            <w:r w:rsidRPr="00720661">
              <w:rPr>
                <w:rFonts w:ascii="Arial" w:hAnsi="Arial" w:cs="Arial"/>
                <w:i/>
                <w:color w:val="000000"/>
                <w:sz w:val="18"/>
                <w:szCs w:val="18"/>
                <w:lang w:val="en-AU"/>
              </w:rPr>
              <w:t xml:space="preserve"> </w:t>
            </w:r>
            <w:r w:rsidRPr="00720661">
              <w:rPr>
                <w:rFonts w:ascii="Arial" w:hAnsi="Arial" w:cs="Arial"/>
                <w:color w:val="000000"/>
                <w:sz w:val="18"/>
                <w:szCs w:val="18"/>
                <w:lang w:val="en-AU"/>
              </w:rPr>
              <w:t>gene amplification for access to trastuzumab under the Pharmaceutical Benefits Scheme are fulfilled.</w:t>
            </w:r>
          </w:p>
        </w:tc>
        <w:tc>
          <w:tcPr>
            <w:tcW w:w="1738" w:type="dxa"/>
          </w:tcPr>
          <w:p w14:paraId="25AD492F" w14:textId="77777777" w:rsidR="00CD3BC5" w:rsidRPr="003B31BB" w:rsidRDefault="003A35A5"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Change</w:t>
            </w:r>
          </w:p>
        </w:tc>
        <w:tc>
          <w:tcPr>
            <w:tcW w:w="1801" w:type="dxa"/>
          </w:tcPr>
          <w:p w14:paraId="03DD608D" w14:textId="77777777" w:rsidR="00CD3BC5" w:rsidRPr="003B31BB" w:rsidRDefault="0022386D" w:rsidP="00811224">
            <w:pPr>
              <w:spacing w:before="60"/>
              <w:rPr>
                <w:rFonts w:ascii="Arial" w:hAnsi="Arial" w:cs="Arial"/>
                <w:color w:val="000000"/>
                <w:sz w:val="18"/>
                <w:szCs w:val="18"/>
                <w:lang w:val="en-AU"/>
              </w:rPr>
            </w:pPr>
            <w:r w:rsidRPr="003B31BB">
              <w:rPr>
                <w:rFonts w:ascii="Arial" w:hAnsi="Arial" w:cs="Arial"/>
                <w:color w:val="000000"/>
                <w:sz w:val="18"/>
                <w:szCs w:val="18"/>
                <w:lang w:val="en-AU"/>
              </w:rPr>
              <w:t>4.8 &amp; 5.1.3</w:t>
            </w:r>
          </w:p>
        </w:tc>
      </w:tr>
    </w:tbl>
    <w:p w14:paraId="1512C345" w14:textId="77777777" w:rsidR="001136B9" w:rsidRPr="00551F4D" w:rsidRDefault="001136B9" w:rsidP="00082595">
      <w:pPr>
        <w:rPr>
          <w:sz w:val="32"/>
          <w:highlight w:val="lightGray"/>
          <w:lang w:val="en-AU" w:eastAsia="en-US"/>
        </w:rPr>
      </w:pPr>
      <w:bookmarkStart w:id="205" w:name="_Toc456045470"/>
      <w:r w:rsidRPr="00720661">
        <w:rPr>
          <w:highlight w:val="lightGray"/>
          <w:lang w:val="en-AU"/>
        </w:rPr>
        <w:br w:type="page"/>
      </w:r>
    </w:p>
    <w:p w14:paraId="0BD9F3D4" w14:textId="77777777" w:rsidR="004E781E" w:rsidRPr="00720661" w:rsidRDefault="00F10518" w:rsidP="00AB472D">
      <w:pPr>
        <w:pStyle w:val="Heading1"/>
        <w:numPr>
          <w:ilvl w:val="0"/>
          <w:numId w:val="0"/>
        </w:numPr>
        <w:ind w:left="432" w:hanging="432"/>
        <w:rPr>
          <w:rFonts w:ascii="Arial" w:hAnsi="Arial"/>
          <w:bCs w:val="0"/>
          <w:color w:val="auto"/>
          <w:kern w:val="0"/>
          <w:sz w:val="18"/>
          <w:szCs w:val="18"/>
          <w:lang w:val="en-AU"/>
        </w:rPr>
      </w:pPr>
      <w:bookmarkStart w:id="206" w:name="_Appendix_B:_Additional"/>
      <w:bookmarkStart w:id="207" w:name="_Toc459996831"/>
      <w:bookmarkStart w:id="208" w:name="_Toc458167024"/>
      <w:bookmarkStart w:id="209" w:name="_Toc13736022"/>
      <w:bookmarkEnd w:id="206"/>
      <w:r w:rsidRPr="003B31BB">
        <w:rPr>
          <w:lang w:val="en-AU"/>
        </w:rPr>
        <w:lastRenderedPageBreak/>
        <w:t xml:space="preserve">Appendix B: </w:t>
      </w:r>
      <w:r w:rsidR="004E781E" w:rsidRPr="003B31BB">
        <w:rPr>
          <w:lang w:val="en-AU"/>
        </w:rPr>
        <w:t>Additional items recommendations</w:t>
      </w:r>
      <w:r w:rsidR="00DE19E2" w:rsidRPr="003B31BB">
        <w:rPr>
          <w:lang w:val="en-AU"/>
        </w:rPr>
        <w:t xml:space="preserve"> list</w:t>
      </w:r>
      <w:bookmarkEnd w:id="205"/>
      <w:bookmarkEnd w:id="207"/>
      <w:bookmarkEnd w:id="208"/>
      <w:bookmarkEnd w:id="209"/>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dditional items recommendations list"/>
        <w:tblDescription w:val="Appendix B is a table for additional items recommendations list. There are 4 columns: column 1. List of items, column 2. Descriptor, column 3. Recommendation, and column 4. Section reference"/>
      </w:tblPr>
      <w:tblGrid>
        <w:gridCol w:w="1377"/>
        <w:gridCol w:w="2048"/>
        <w:gridCol w:w="3921"/>
        <w:gridCol w:w="1670"/>
      </w:tblGrid>
      <w:tr w:rsidR="00DE19E2" w:rsidRPr="00720661" w14:paraId="70A59BDB" w14:textId="77777777" w:rsidTr="00DE19E2">
        <w:trPr>
          <w:cnfStyle w:val="100000000000" w:firstRow="1" w:lastRow="0" w:firstColumn="0" w:lastColumn="0" w:oddVBand="0" w:evenVBand="0" w:oddHBand="0" w:evenHBand="0" w:firstRowFirstColumn="0" w:firstRowLastColumn="0" w:lastRowFirstColumn="0" w:lastRowLastColumn="0"/>
          <w:tblHeader/>
        </w:trPr>
        <w:tc>
          <w:tcPr>
            <w:tcW w:w="1377" w:type="dxa"/>
            <w:shd w:val="clear" w:color="auto" w:fill="F2F2F2" w:themeFill="background1" w:themeFillShade="F2"/>
            <w:vAlign w:val="bottom"/>
          </w:tcPr>
          <w:p w14:paraId="436BC39D" w14:textId="77777777" w:rsidR="005E1809" w:rsidRPr="006A1616" w:rsidRDefault="005E1809" w:rsidP="00802112">
            <w:pPr>
              <w:pStyle w:val="01Tableheaderrow"/>
              <w:jc w:val="left"/>
              <w:rPr>
                <w:b/>
                <w:lang w:val="en-AU"/>
              </w:rPr>
            </w:pPr>
            <w:r w:rsidRPr="00074911">
              <w:rPr>
                <w:lang w:val="en-AU"/>
              </w:rPr>
              <w:t>Item</w:t>
            </w:r>
          </w:p>
        </w:tc>
        <w:tc>
          <w:tcPr>
            <w:tcW w:w="2048" w:type="dxa"/>
            <w:shd w:val="clear" w:color="auto" w:fill="F2F2F2" w:themeFill="background1" w:themeFillShade="F2"/>
            <w:vAlign w:val="bottom"/>
          </w:tcPr>
          <w:p w14:paraId="183C2F56" w14:textId="77777777" w:rsidR="005E1809" w:rsidRPr="006A1616" w:rsidRDefault="005E1809" w:rsidP="00802112">
            <w:pPr>
              <w:pStyle w:val="01Tableheaderrow"/>
              <w:jc w:val="left"/>
              <w:rPr>
                <w:b/>
                <w:lang w:val="en-AU"/>
              </w:rPr>
            </w:pPr>
            <w:r w:rsidRPr="00074911">
              <w:rPr>
                <w:lang w:val="en-AU"/>
              </w:rPr>
              <w:t>Descriptor</w:t>
            </w:r>
          </w:p>
        </w:tc>
        <w:tc>
          <w:tcPr>
            <w:tcW w:w="3921" w:type="dxa"/>
            <w:shd w:val="clear" w:color="auto" w:fill="F2F2F2" w:themeFill="background1" w:themeFillShade="F2"/>
            <w:vAlign w:val="bottom"/>
          </w:tcPr>
          <w:p w14:paraId="57F0ACCA" w14:textId="77777777" w:rsidR="005E1809" w:rsidRPr="006A1616" w:rsidRDefault="00984BD0" w:rsidP="00802112">
            <w:pPr>
              <w:pStyle w:val="01Tableheaderrow"/>
              <w:jc w:val="left"/>
              <w:rPr>
                <w:b/>
                <w:lang w:val="en-AU"/>
              </w:rPr>
            </w:pPr>
            <w:r w:rsidRPr="00074911">
              <w:rPr>
                <w:lang w:val="en-AU"/>
              </w:rPr>
              <w:t>Recommendation</w:t>
            </w:r>
          </w:p>
        </w:tc>
        <w:tc>
          <w:tcPr>
            <w:tcW w:w="1670" w:type="dxa"/>
            <w:shd w:val="clear" w:color="auto" w:fill="F2F2F2" w:themeFill="background1" w:themeFillShade="F2"/>
            <w:vAlign w:val="bottom"/>
          </w:tcPr>
          <w:p w14:paraId="4721A437" w14:textId="77777777" w:rsidR="005E1809" w:rsidRPr="006A1616" w:rsidRDefault="009A6DC2" w:rsidP="00802112">
            <w:pPr>
              <w:pStyle w:val="01Tableheaderrow"/>
              <w:jc w:val="left"/>
              <w:rPr>
                <w:b/>
                <w:highlight w:val="yellow"/>
                <w:lang w:val="en-AU"/>
              </w:rPr>
            </w:pPr>
            <w:r w:rsidRPr="00074911">
              <w:rPr>
                <w:lang w:val="en-AU"/>
              </w:rPr>
              <w:t>Section</w:t>
            </w:r>
            <w:r w:rsidR="00984BD0" w:rsidRPr="00074911">
              <w:rPr>
                <w:lang w:val="en-AU"/>
              </w:rPr>
              <w:t xml:space="preserve"> reference</w:t>
            </w:r>
          </w:p>
        </w:tc>
      </w:tr>
      <w:tr w:rsidR="00220CAE" w:rsidRPr="00720661" w14:paraId="6F0090B6" w14:textId="77777777" w:rsidTr="00FC410F">
        <w:tc>
          <w:tcPr>
            <w:tcW w:w="1377" w:type="dxa"/>
          </w:tcPr>
          <w:p w14:paraId="1C592483" w14:textId="77777777" w:rsidR="00220CAE" w:rsidRPr="00720661" w:rsidRDefault="00220CAE" w:rsidP="00220CAE">
            <w:pPr>
              <w:pStyle w:val="02Tabletext"/>
              <w:rPr>
                <w:lang w:val="en-AU"/>
              </w:rPr>
            </w:pPr>
            <w:r w:rsidRPr="00720661">
              <w:rPr>
                <w:lang w:val="en-AU"/>
              </w:rPr>
              <w:t>New/amend</w:t>
            </w:r>
          </w:p>
          <w:p w14:paraId="22DA641F" w14:textId="77777777" w:rsidR="00220CAE" w:rsidRPr="00720661" w:rsidRDefault="00220CAE" w:rsidP="00220CAE">
            <w:pPr>
              <w:pStyle w:val="02Tabletext"/>
              <w:rPr>
                <w:lang w:val="en-AU"/>
              </w:rPr>
            </w:pPr>
            <w:r w:rsidRPr="00720661">
              <w:rPr>
                <w:lang w:val="en-AU"/>
              </w:rPr>
              <w:t>73292</w:t>
            </w:r>
          </w:p>
        </w:tc>
        <w:tc>
          <w:tcPr>
            <w:tcW w:w="2048" w:type="dxa"/>
          </w:tcPr>
          <w:p w14:paraId="2F3FCB62" w14:textId="77777777" w:rsidR="00220CAE" w:rsidRPr="00720661" w:rsidRDefault="00220CAE" w:rsidP="00FC410F">
            <w:pPr>
              <w:pStyle w:val="02Tabletext"/>
              <w:rPr>
                <w:lang w:val="en-AU"/>
              </w:rPr>
            </w:pPr>
            <w:r w:rsidRPr="00720661">
              <w:rPr>
                <w:lang w:val="en-AU"/>
              </w:rPr>
              <w:t xml:space="preserve">Analysis of chromosomes by genome-wide micro-array of a pregnancy where major </w:t>
            </w:r>
            <w:proofErr w:type="spellStart"/>
            <w:r w:rsidRPr="00720661">
              <w:rPr>
                <w:lang w:val="en-AU"/>
              </w:rPr>
              <w:t>fetal</w:t>
            </w:r>
            <w:proofErr w:type="spellEnd"/>
            <w:r w:rsidRPr="00720661">
              <w:rPr>
                <w:lang w:val="en-AU"/>
              </w:rPr>
              <w:t xml:space="preserve"> structural abnormalities have been detected on ultrasound</w:t>
            </w:r>
          </w:p>
          <w:p w14:paraId="3D6A4B70" w14:textId="77777777" w:rsidR="00220CAE" w:rsidRPr="00720661" w:rsidRDefault="00220CAE" w:rsidP="00DE19E2">
            <w:pPr>
              <w:pStyle w:val="02Tabletext"/>
              <w:rPr>
                <w:lang w:val="en-AU"/>
              </w:rPr>
            </w:pPr>
          </w:p>
        </w:tc>
        <w:tc>
          <w:tcPr>
            <w:tcW w:w="3921" w:type="dxa"/>
          </w:tcPr>
          <w:p w14:paraId="31DCE38D" w14:textId="77777777" w:rsidR="000A3319" w:rsidRPr="00720661" w:rsidRDefault="00DE19E2" w:rsidP="00FC410F">
            <w:pPr>
              <w:pStyle w:val="02Tabletext"/>
              <w:rPr>
                <w:lang w:val="en-AU"/>
              </w:rPr>
            </w:pPr>
            <w:r w:rsidRPr="00720661">
              <w:rPr>
                <w:lang w:val="en-AU"/>
              </w:rPr>
              <w:t>The Committee seeks to brief the MSAC Executive and obtain its advice on the next steps for an application to MSAC to extend access to genome-wide microarray testing to t</w:t>
            </w:r>
            <w:r w:rsidR="000A3319" w:rsidRPr="00720661">
              <w:rPr>
                <w:lang w:val="en-AU"/>
              </w:rPr>
              <w:t xml:space="preserve">he </w:t>
            </w:r>
            <w:r w:rsidRPr="00720661">
              <w:rPr>
                <w:lang w:val="en-AU"/>
              </w:rPr>
              <w:t>pre</w:t>
            </w:r>
            <w:r w:rsidR="000A3319" w:rsidRPr="00720661">
              <w:rPr>
                <w:lang w:val="en-AU"/>
              </w:rPr>
              <w:t xml:space="preserve">natal setting, when invasive testing is undertaken in pregnancy to investigate a pregnancy where there are major </w:t>
            </w:r>
            <w:proofErr w:type="spellStart"/>
            <w:r w:rsidR="000A3319" w:rsidRPr="00720661">
              <w:rPr>
                <w:lang w:val="en-AU"/>
              </w:rPr>
              <w:t>fetal</w:t>
            </w:r>
            <w:proofErr w:type="spellEnd"/>
            <w:r w:rsidR="000A3319" w:rsidRPr="00720661">
              <w:rPr>
                <w:lang w:val="en-AU"/>
              </w:rPr>
              <w:t xml:space="preserve"> ultrasound abnormalities (in preference to karyotype testing). </w:t>
            </w:r>
          </w:p>
          <w:p w14:paraId="0212663A" w14:textId="77777777" w:rsidR="00220CAE" w:rsidRPr="00720661" w:rsidRDefault="00220CAE" w:rsidP="00DE19E2">
            <w:pPr>
              <w:pStyle w:val="02Tabletext"/>
              <w:rPr>
                <w:lang w:val="en-AU"/>
              </w:rPr>
            </w:pPr>
          </w:p>
        </w:tc>
        <w:tc>
          <w:tcPr>
            <w:tcW w:w="1670" w:type="dxa"/>
          </w:tcPr>
          <w:p w14:paraId="16E875EC" w14:textId="77777777" w:rsidR="00220CAE" w:rsidRPr="00720661" w:rsidRDefault="0022386D" w:rsidP="005E1809">
            <w:pPr>
              <w:pStyle w:val="02Tabletext"/>
              <w:rPr>
                <w:lang w:val="en-AU"/>
              </w:rPr>
            </w:pPr>
            <w:r w:rsidRPr="00720661">
              <w:rPr>
                <w:lang w:val="en-AU"/>
              </w:rPr>
              <w:t>5.1.1</w:t>
            </w:r>
          </w:p>
        </w:tc>
      </w:tr>
      <w:tr w:rsidR="00DE19E2" w:rsidRPr="00720661" w14:paraId="56706FBD" w14:textId="77777777" w:rsidTr="00DE19E2">
        <w:tc>
          <w:tcPr>
            <w:tcW w:w="1377" w:type="dxa"/>
          </w:tcPr>
          <w:p w14:paraId="03BC8CE2" w14:textId="77777777" w:rsidR="00DE19E2" w:rsidRPr="00720661" w:rsidRDefault="00DE19E2" w:rsidP="00DE19E2">
            <w:pPr>
              <w:pStyle w:val="02Tabletext"/>
              <w:rPr>
                <w:lang w:val="en-AU"/>
              </w:rPr>
            </w:pPr>
            <w:r w:rsidRPr="00720661">
              <w:rPr>
                <w:lang w:val="en-AU"/>
              </w:rPr>
              <w:t>New/amend</w:t>
            </w:r>
          </w:p>
          <w:p w14:paraId="737569D4" w14:textId="77777777" w:rsidR="00DE19E2" w:rsidRPr="00720661" w:rsidRDefault="00DE19E2" w:rsidP="00DE19E2">
            <w:pPr>
              <w:pStyle w:val="02Tabletext"/>
              <w:rPr>
                <w:lang w:val="en-AU"/>
              </w:rPr>
            </w:pPr>
            <w:r w:rsidRPr="00720661">
              <w:rPr>
                <w:lang w:val="en-AU"/>
              </w:rPr>
              <w:t>73292</w:t>
            </w:r>
          </w:p>
        </w:tc>
        <w:tc>
          <w:tcPr>
            <w:tcW w:w="2048" w:type="dxa"/>
          </w:tcPr>
          <w:p w14:paraId="7A69DEE7" w14:textId="77777777" w:rsidR="00220CAE" w:rsidRPr="00720661" w:rsidRDefault="00220CAE" w:rsidP="00DE19E2">
            <w:pPr>
              <w:pStyle w:val="02Tabletext"/>
              <w:rPr>
                <w:lang w:val="en-AU"/>
              </w:rPr>
            </w:pPr>
            <w:r w:rsidRPr="00720661">
              <w:rPr>
                <w:lang w:val="en-AU"/>
              </w:rPr>
              <w:t>Analysis of chromosomes by genome-wide micro-array of a patient with chronic lymphocytic leukaemia or multiple myeloma</w:t>
            </w:r>
          </w:p>
        </w:tc>
        <w:tc>
          <w:tcPr>
            <w:tcW w:w="3921" w:type="dxa"/>
          </w:tcPr>
          <w:p w14:paraId="4A992B8B" w14:textId="77777777" w:rsidR="00DE19E2" w:rsidRPr="00720661" w:rsidRDefault="00DE19E2" w:rsidP="00FC410F">
            <w:pPr>
              <w:pStyle w:val="02Tabletext"/>
              <w:rPr>
                <w:lang w:val="en-AU"/>
              </w:rPr>
            </w:pPr>
            <w:r w:rsidRPr="00720661">
              <w:rPr>
                <w:lang w:val="en-AU"/>
              </w:rPr>
              <w:t xml:space="preserve">The Committee seeks to brief the MSAC Executive and obtain its advice on the next steps for an application to MSAC to extend access to genome-wide microarray testing to two specific chronic haematological malignancies, chronic lymphocytic leukaemia (CLL) and multiple myeloma (MM), often as an adjunct or alternative testing method to current investigations. </w:t>
            </w:r>
          </w:p>
          <w:p w14:paraId="7128556D" w14:textId="77777777" w:rsidR="008E71C7" w:rsidRPr="00720661" w:rsidRDefault="00DE19E2" w:rsidP="00DE19E2">
            <w:pPr>
              <w:pStyle w:val="02Tabletext"/>
              <w:rPr>
                <w:lang w:val="en-AU"/>
              </w:rPr>
            </w:pPr>
            <w:r w:rsidRPr="00720661" w:rsidDel="00220CAE">
              <w:rPr>
                <w:lang w:val="en-AU"/>
              </w:rPr>
              <w:t xml:space="preserve"> </w:t>
            </w:r>
          </w:p>
        </w:tc>
        <w:tc>
          <w:tcPr>
            <w:tcW w:w="1670" w:type="dxa"/>
          </w:tcPr>
          <w:p w14:paraId="33621FF3" w14:textId="77777777" w:rsidR="008E71C7" w:rsidRPr="00720661" w:rsidRDefault="0022386D" w:rsidP="005E1809">
            <w:pPr>
              <w:pStyle w:val="02Tabletext"/>
              <w:rPr>
                <w:lang w:val="en-AU"/>
              </w:rPr>
            </w:pPr>
            <w:r w:rsidRPr="00720661">
              <w:rPr>
                <w:lang w:val="en-AU"/>
              </w:rPr>
              <w:t>5.1.1</w:t>
            </w:r>
          </w:p>
        </w:tc>
      </w:tr>
      <w:tr w:rsidR="00DE19E2" w:rsidRPr="00720661" w14:paraId="0CC2C4DD" w14:textId="77777777" w:rsidTr="002243CB">
        <w:tc>
          <w:tcPr>
            <w:tcW w:w="1377" w:type="dxa"/>
          </w:tcPr>
          <w:p w14:paraId="327B83EC" w14:textId="77777777" w:rsidR="00DE19E2" w:rsidRPr="00720661" w:rsidRDefault="00DE19E2" w:rsidP="002243CB">
            <w:pPr>
              <w:pStyle w:val="02Tabletext"/>
              <w:rPr>
                <w:lang w:val="en-AU"/>
              </w:rPr>
            </w:pPr>
            <w:r w:rsidRPr="00720661">
              <w:rPr>
                <w:lang w:val="en-AU"/>
              </w:rPr>
              <w:t>New/amend 73325</w:t>
            </w:r>
          </w:p>
        </w:tc>
        <w:tc>
          <w:tcPr>
            <w:tcW w:w="2048" w:type="dxa"/>
          </w:tcPr>
          <w:p w14:paraId="4780BB8B" w14:textId="77777777" w:rsidR="00DE19E2" w:rsidRPr="00720661" w:rsidRDefault="00DE19E2" w:rsidP="002243CB">
            <w:pPr>
              <w:pStyle w:val="02Tabletext"/>
              <w:rPr>
                <w:lang w:val="en-AU"/>
              </w:rPr>
            </w:pPr>
            <w:r w:rsidRPr="00720661">
              <w:rPr>
                <w:lang w:val="en-AU"/>
              </w:rPr>
              <w:t xml:space="preserve">Characterisation of mutations in: (a) the JAK2 gene; or (b) the MPL gene; or (c) the CALR gene or (d) all three genes; in the diagnostic work-up of a patient with clinical and laboratory evidence of: a) polycythaemia vera; or b) essential </w:t>
            </w:r>
            <w:proofErr w:type="spellStart"/>
            <w:r w:rsidRPr="00720661">
              <w:rPr>
                <w:lang w:val="en-AU"/>
              </w:rPr>
              <w:t>thrombocythaemia</w:t>
            </w:r>
            <w:proofErr w:type="spellEnd"/>
            <w:r w:rsidRPr="00720661">
              <w:rPr>
                <w:lang w:val="en-AU"/>
              </w:rPr>
              <w:t>; or c) primary myelofibrosis, requested by a treating specialist or pathologist - 1 or more tests</w:t>
            </w:r>
          </w:p>
        </w:tc>
        <w:tc>
          <w:tcPr>
            <w:tcW w:w="3921" w:type="dxa"/>
          </w:tcPr>
          <w:p w14:paraId="30A78FED" w14:textId="77777777" w:rsidR="00DE19E2" w:rsidRPr="003B31BB" w:rsidRDefault="00DE19E2" w:rsidP="002243CB">
            <w:pPr>
              <w:pStyle w:val="02Tabletext"/>
              <w:rPr>
                <w:lang w:val="en-AU"/>
              </w:rPr>
            </w:pPr>
            <w:r w:rsidRPr="00720661">
              <w:rPr>
                <w:lang w:val="en-AU"/>
              </w:rPr>
              <w:t xml:space="preserve">The Committee seeks to brief the MSAC Executive and obtain its advice on the next steps for an application to MSAC to extensively review item 73325 to include additional populations and mutations beyond those currently specified, as well as undertake a costing review of this item. </w:t>
            </w:r>
          </w:p>
          <w:p w14:paraId="27493511" w14:textId="77777777" w:rsidR="00DE19E2" w:rsidRPr="003B31BB" w:rsidRDefault="00DE19E2" w:rsidP="002243CB">
            <w:pPr>
              <w:rPr>
                <w:rFonts w:ascii="Arial" w:eastAsiaTheme="minorHAnsi" w:hAnsi="Arial" w:cs="Arial"/>
                <w:sz w:val="18"/>
                <w:szCs w:val="18"/>
                <w:lang w:val="en-AU" w:eastAsia="en-US"/>
              </w:rPr>
            </w:pPr>
            <w:r w:rsidRPr="003B31BB">
              <w:rPr>
                <w:rFonts w:ascii="Arial" w:eastAsiaTheme="minorHAnsi" w:hAnsi="Arial" w:cs="Arial"/>
                <w:sz w:val="18"/>
                <w:szCs w:val="18"/>
                <w:lang w:val="en-AU" w:eastAsia="en-US"/>
              </w:rPr>
              <w:t>(see section 5.1.2)</w:t>
            </w:r>
          </w:p>
          <w:p w14:paraId="3E8588F8" w14:textId="77777777" w:rsidR="00DE19E2" w:rsidRPr="00720661" w:rsidRDefault="00DE19E2" w:rsidP="002243CB">
            <w:pPr>
              <w:pStyle w:val="02Tabletext"/>
              <w:rPr>
                <w:lang w:val="en-AU"/>
              </w:rPr>
            </w:pPr>
          </w:p>
        </w:tc>
        <w:tc>
          <w:tcPr>
            <w:tcW w:w="1670" w:type="dxa"/>
          </w:tcPr>
          <w:p w14:paraId="23E469FD" w14:textId="77777777" w:rsidR="00DE19E2" w:rsidRPr="00720661" w:rsidRDefault="0022386D" w:rsidP="002243CB">
            <w:pPr>
              <w:pStyle w:val="02Tabletext"/>
              <w:rPr>
                <w:lang w:val="en-AU"/>
              </w:rPr>
            </w:pPr>
            <w:r w:rsidRPr="00720661">
              <w:rPr>
                <w:lang w:val="en-AU"/>
              </w:rPr>
              <w:t>5.1.2</w:t>
            </w:r>
          </w:p>
        </w:tc>
      </w:tr>
    </w:tbl>
    <w:p w14:paraId="2706FD5F" w14:textId="77777777" w:rsidR="0042744A" w:rsidRPr="00720661" w:rsidRDefault="0042744A" w:rsidP="00915D28">
      <w:pPr>
        <w:rPr>
          <w:lang w:val="en-AU"/>
        </w:rPr>
        <w:sectPr w:rsidR="0042744A" w:rsidRPr="00720661" w:rsidSect="001742A7">
          <w:footerReference w:type="default" r:id="rId15"/>
          <w:footnotePr>
            <w:numFmt w:val="lowerRoman"/>
          </w:footnotePr>
          <w:pgSz w:w="11906" w:h="16838" w:code="9"/>
          <w:pgMar w:top="1440" w:right="1440" w:bottom="1276" w:left="1440" w:header="720" w:footer="720" w:gutter="0"/>
          <w:paperSrc w:first="2" w:other="2"/>
          <w:pgNumType w:start="1"/>
          <w:cols w:space="720"/>
          <w:docGrid w:linePitch="326"/>
        </w:sectPr>
      </w:pPr>
    </w:p>
    <w:p w14:paraId="5232E9FF" w14:textId="77777777" w:rsidR="005F4C28" w:rsidRPr="005F4C28" w:rsidRDefault="005F4C28" w:rsidP="005F4C28">
      <w:pPr>
        <w:pStyle w:val="Heading1"/>
        <w:numPr>
          <w:ilvl w:val="0"/>
          <w:numId w:val="0"/>
        </w:numPr>
        <w:ind w:left="432" w:hanging="432"/>
        <w:rPr>
          <w:lang w:val="en-AU"/>
        </w:rPr>
      </w:pPr>
      <w:bookmarkStart w:id="210" w:name="_Appendix_C:_Summary"/>
      <w:bookmarkStart w:id="211" w:name="_Toc13736023"/>
      <w:bookmarkStart w:id="212" w:name="_Toc459707287"/>
      <w:bookmarkStart w:id="213" w:name="_Toc459996833"/>
      <w:bookmarkStart w:id="214" w:name="_Ref462783356"/>
      <w:bookmarkStart w:id="215" w:name="_Ref462783365"/>
      <w:bookmarkEnd w:id="210"/>
      <w:r w:rsidRPr="005F4C28">
        <w:rPr>
          <w:lang w:val="en-AU"/>
        </w:rPr>
        <w:lastRenderedPageBreak/>
        <w:t>Appendix C: Summary for consumers</w:t>
      </w:r>
      <w:bookmarkEnd w:id="211"/>
      <w:r w:rsidRPr="005F4C28">
        <w:rPr>
          <w:lang w:val="en-AU"/>
        </w:rPr>
        <w:t xml:space="preserve"> </w:t>
      </w:r>
    </w:p>
    <w:p w14:paraId="0647B63B" w14:textId="77777777" w:rsidR="005F4C28" w:rsidRPr="005F4C28" w:rsidRDefault="005F4C28" w:rsidP="005F4C28">
      <w:pPr>
        <w:rPr>
          <w:lang w:val="en-AU"/>
        </w:rPr>
      </w:pPr>
      <w:r w:rsidRPr="005F4C28">
        <w:rPr>
          <w:lang w:val="en-AU"/>
        </w:rPr>
        <w:t xml:space="preserve">This summary describes the medical service, the recommendations of the clinical experts and why the recommendation(s) has been made. </w:t>
      </w:r>
    </w:p>
    <w:p w14:paraId="082699B4"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w:t>
      </w:r>
      <w:r w:rsidRPr="005F4C28">
        <w:rPr>
          <w:rFonts w:eastAsiaTheme="minorHAnsi"/>
          <w:lang w:val="en-AU" w:eastAsia="en-US"/>
        </w:rPr>
        <w:fldChar w:fldCharType="begin"/>
      </w:r>
      <w:r w:rsidRPr="005F4C28">
        <w:rPr>
          <w:rFonts w:eastAsiaTheme="minorHAnsi"/>
          <w:lang w:val="en-AU" w:eastAsia="en-US"/>
        </w:rPr>
        <w:instrText xml:space="preserve"> SEQ Recommendation \* ARABIC </w:instrText>
      </w:r>
      <w:r w:rsidRPr="005F4C28">
        <w:rPr>
          <w:rFonts w:eastAsiaTheme="minorHAnsi"/>
          <w:lang w:val="en-AU" w:eastAsia="en-US"/>
        </w:rPr>
        <w:fldChar w:fldCharType="separate"/>
      </w:r>
      <w:r w:rsidRPr="005F4C28">
        <w:rPr>
          <w:rFonts w:eastAsiaTheme="minorHAnsi"/>
          <w:noProof/>
          <w:lang w:val="en-AU" w:eastAsia="en-US"/>
        </w:rPr>
        <w:t>1</w:t>
      </w:r>
      <w:r w:rsidRPr="005F4C28">
        <w:rPr>
          <w:rFonts w:eastAsiaTheme="minorHAnsi"/>
          <w:lang w:val="en-AU" w:eastAsia="en-US"/>
        </w:rPr>
        <w:fldChar w:fldCharType="end"/>
      </w:r>
      <w:r w:rsidRPr="005F4C28">
        <w:rPr>
          <w:rFonts w:eastAsiaTheme="minorHAnsi"/>
          <w:lang w:val="en-AU" w:eastAsia="en-US"/>
        </w:rPr>
        <w:t>: Chromosome by cytogenetic or other technique (on tissue or fluid): item 73287</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table explanation and Recommendation 1 table summary"/>
        <w:tblDescription w:val="Appendix C is a summary for consumers. Recommendations are listed in tables that describe the medical service, the recommendation(s) of the clinical experts and why the recommendation(s) has/have been made. There are 12 recommendation tables in Appendix C. Recommendation 1 relates to item 732187 and the committee recommends excluding the use of whole genome sequencing as an appopriate technique covered by this item.&#10;Each recommendation section contains 5 column headings: column 1: Item, column 2: What it does, column 3: Committee recommendation, column 4: What would be different, and column 5: Why.  Recommendation 1 table describes the recommendation related to chromosome tests by cytogenetic or other technique (on tissue or fluid): item 73287 ."/>
      </w:tblPr>
      <w:tblGrid>
        <w:gridCol w:w="2126"/>
        <w:gridCol w:w="3118"/>
        <w:gridCol w:w="3086"/>
        <w:gridCol w:w="2977"/>
        <w:gridCol w:w="3118"/>
      </w:tblGrid>
      <w:tr w:rsidR="005F4C28" w:rsidRPr="005F4C28" w14:paraId="346F77B8" w14:textId="77777777" w:rsidTr="0032349A">
        <w:trPr>
          <w:cantSplit/>
          <w:tblHeader/>
        </w:trPr>
        <w:tc>
          <w:tcPr>
            <w:tcW w:w="2126" w:type="dxa"/>
          </w:tcPr>
          <w:p w14:paraId="4BE33E92"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67E43902"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396BF6FD"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7DEF2C03"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5B7862B4"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6674CFA2" w14:textId="77777777" w:rsidTr="0032349A">
        <w:trPr>
          <w:cantSplit/>
        </w:trPr>
        <w:tc>
          <w:tcPr>
            <w:tcW w:w="2126" w:type="dxa"/>
          </w:tcPr>
          <w:p w14:paraId="3350B000"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73287</w:t>
            </w:r>
          </w:p>
        </w:tc>
        <w:tc>
          <w:tcPr>
            <w:tcW w:w="3118" w:type="dxa"/>
          </w:tcPr>
          <w:p w14:paraId="397CC7E4"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This is a genetic test to identify and evaluate the size, shape and number of chromosomes in a sample of </w:t>
            </w:r>
            <w:r w:rsidRPr="005F4C28">
              <w:rPr>
                <w:rFonts w:ascii="Arial" w:eastAsiaTheme="minorHAnsi" w:hAnsi="Arial" w:cs="Arial"/>
                <w:sz w:val="18"/>
                <w:szCs w:val="18"/>
                <w:u w:val="single"/>
                <w:lang w:val="en-AU" w:eastAsia="en-US"/>
              </w:rPr>
              <w:t>tissue or fluid</w:t>
            </w:r>
            <w:r w:rsidRPr="005F4C28">
              <w:rPr>
                <w:rFonts w:ascii="Arial" w:eastAsiaTheme="minorHAnsi" w:hAnsi="Arial" w:cs="Arial"/>
                <w:sz w:val="18"/>
                <w:szCs w:val="18"/>
                <w:lang w:val="en-AU" w:eastAsia="en-US"/>
              </w:rPr>
              <w:t xml:space="preserve">. Extra or missing chromosomes, or abnormal positions of chromosomes, can cause problems with growth, development and body functions. </w:t>
            </w:r>
          </w:p>
        </w:tc>
        <w:tc>
          <w:tcPr>
            <w:tcW w:w="3086" w:type="dxa"/>
          </w:tcPr>
          <w:p w14:paraId="030D5225" w14:textId="77777777" w:rsidR="005F4C28" w:rsidRPr="005F4C28" w:rsidRDefault="00DD4F7C" w:rsidP="00DD4F7C">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Make it clear that this low/medium resolution technique is only appropriate for investigations covered by this item and that the investigation is only useful for patients with a specific risk.</w:t>
            </w:r>
          </w:p>
        </w:tc>
        <w:tc>
          <w:tcPr>
            <w:tcW w:w="2977" w:type="dxa"/>
          </w:tcPr>
          <w:p w14:paraId="31150087" w14:textId="77777777" w:rsidR="005F4C28" w:rsidRPr="005F4C28" w:rsidRDefault="00DD4F7C" w:rsidP="005F4C28">
            <w:pPr>
              <w:spacing w:before="20" w:after="20"/>
              <w:rPr>
                <w:rFonts w:ascii="Arial" w:hAnsi="Arial" w:cs="Arial"/>
                <w:sz w:val="18"/>
                <w:szCs w:val="18"/>
                <w:lang w:val="en-AU" w:eastAsia="en-US"/>
              </w:rPr>
            </w:pPr>
            <w:r>
              <w:rPr>
                <w:rFonts w:ascii="Arial" w:hAnsi="Arial" w:cs="Arial"/>
                <w:sz w:val="18"/>
                <w:szCs w:val="18"/>
                <w:lang w:val="en-AU" w:eastAsia="en-US"/>
              </w:rPr>
              <w:t xml:space="preserve">Specify a minimum size of 5MB genetic abnormalities and explain that testing is only indicated </w:t>
            </w:r>
            <w:r w:rsidRPr="00DD4F7C">
              <w:rPr>
                <w:rFonts w:ascii="Arial" w:hAnsi="Arial" w:cs="Arial"/>
                <w:sz w:val="18"/>
                <w:szCs w:val="18"/>
                <w:lang w:val="en-AU" w:eastAsia="en-US"/>
              </w:rPr>
              <w:t>in a person with specific risk indicated by personal or family history</w:t>
            </w:r>
            <w:r w:rsidR="00F371B3">
              <w:rPr>
                <w:rFonts w:ascii="Arial" w:hAnsi="Arial" w:cs="Arial"/>
                <w:sz w:val="18"/>
                <w:szCs w:val="18"/>
                <w:lang w:val="en-AU" w:eastAsia="en-US"/>
              </w:rPr>
              <w:t>.</w:t>
            </w:r>
            <w:r w:rsidRPr="00DD4F7C" w:rsidDel="004D3578">
              <w:rPr>
                <w:rFonts w:ascii="Arial" w:hAnsi="Arial" w:cs="Arial"/>
                <w:sz w:val="18"/>
                <w:szCs w:val="18"/>
                <w:lang w:val="en-AU" w:eastAsia="en-US"/>
              </w:rPr>
              <w:t xml:space="preserve"> </w:t>
            </w:r>
          </w:p>
        </w:tc>
        <w:tc>
          <w:tcPr>
            <w:tcW w:w="3118" w:type="dxa"/>
          </w:tcPr>
          <w:p w14:paraId="0DC1FF88" w14:textId="77777777" w:rsidR="005F4C28" w:rsidRPr="005F4C28" w:rsidRDefault="00DD4F7C" w:rsidP="005F4C28">
            <w:pPr>
              <w:spacing w:before="20" w:after="20"/>
              <w:rPr>
                <w:rFonts w:ascii="Arial" w:eastAsiaTheme="minorHAnsi" w:hAnsi="Arial" w:cs="Arial"/>
                <w:sz w:val="18"/>
                <w:szCs w:val="18"/>
                <w:lang w:val="en-AU" w:eastAsia="en-US"/>
              </w:rPr>
            </w:pPr>
            <w:r w:rsidRPr="00DD4F7C">
              <w:rPr>
                <w:rFonts w:ascii="Arial" w:hAnsi="Arial" w:cs="Arial"/>
                <w:sz w:val="18"/>
                <w:szCs w:val="18"/>
                <w:lang w:val="en-AU" w:eastAsia="en-US"/>
              </w:rPr>
              <w:t>The test is intended to be a specific diagnostic test when there is a defined indication for testing based on personal or familial history, and is not intended to be used as a broader screening test</w:t>
            </w:r>
            <w:proofErr w:type="gramStart"/>
            <w:r w:rsidR="00F371B3">
              <w:rPr>
                <w:rFonts w:ascii="Arial" w:hAnsi="Arial" w:cs="Arial"/>
                <w:sz w:val="18"/>
                <w:szCs w:val="18"/>
                <w:lang w:val="en-AU" w:eastAsia="en-US"/>
              </w:rPr>
              <w:t>.</w:t>
            </w:r>
            <w:r w:rsidRPr="00DD4F7C" w:rsidDel="004D3578">
              <w:rPr>
                <w:rFonts w:ascii="Arial" w:hAnsi="Arial" w:cs="Arial"/>
                <w:sz w:val="18"/>
                <w:szCs w:val="18"/>
                <w:lang w:val="en-AU" w:eastAsia="en-US"/>
              </w:rPr>
              <w:t xml:space="preserve"> </w:t>
            </w:r>
            <w:r w:rsidR="005F4C28" w:rsidRPr="005F4C28">
              <w:rPr>
                <w:rFonts w:ascii="Arial" w:eastAsiaTheme="minorHAnsi" w:hAnsi="Arial" w:cs="Arial"/>
                <w:sz w:val="18"/>
                <w:szCs w:val="18"/>
                <w:lang w:val="en-AU" w:eastAsia="en-US"/>
              </w:rPr>
              <w:t>.</w:t>
            </w:r>
            <w:proofErr w:type="gramEnd"/>
            <w:r w:rsidR="005F4C28" w:rsidRPr="005F4C28">
              <w:rPr>
                <w:rFonts w:ascii="Arial" w:eastAsiaTheme="minorHAnsi" w:hAnsi="Arial" w:cs="Arial"/>
                <w:sz w:val="18"/>
                <w:szCs w:val="18"/>
                <w:lang w:val="en-AU" w:eastAsia="en-US"/>
              </w:rPr>
              <w:t xml:space="preserve"> A low- to medium-resolution technique is appropriate for the investigations covered by this item.</w:t>
            </w:r>
          </w:p>
        </w:tc>
      </w:tr>
    </w:tbl>
    <w:p w14:paraId="2A4E61C7" w14:textId="77777777" w:rsidR="005F4C28" w:rsidRPr="005F4C28" w:rsidRDefault="005F4C28" w:rsidP="005F4C28">
      <w:pPr>
        <w:rPr>
          <w:rFonts w:eastAsiaTheme="minorHAnsi" w:cs="Arial"/>
          <w:b/>
          <w:szCs w:val="22"/>
          <w:lang w:val="en-AU" w:eastAsia="en-US"/>
        </w:rPr>
      </w:pPr>
    </w:p>
    <w:p w14:paraId="1C09E6A9"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w:t>
      </w:r>
      <w:r w:rsidRPr="005F4C28">
        <w:rPr>
          <w:rFonts w:eastAsiaTheme="minorHAnsi"/>
          <w:lang w:val="en-AU" w:eastAsia="en-US"/>
        </w:rPr>
        <w:fldChar w:fldCharType="begin"/>
      </w:r>
      <w:r w:rsidRPr="005F4C28">
        <w:rPr>
          <w:rFonts w:eastAsiaTheme="minorHAnsi"/>
          <w:lang w:val="en-AU" w:eastAsia="en-US"/>
        </w:rPr>
        <w:instrText xml:space="preserve"> SEQ Recommendation \* ARABIC </w:instrText>
      </w:r>
      <w:r w:rsidRPr="005F4C28">
        <w:rPr>
          <w:rFonts w:eastAsiaTheme="minorHAnsi"/>
          <w:lang w:val="en-AU" w:eastAsia="en-US"/>
        </w:rPr>
        <w:fldChar w:fldCharType="separate"/>
      </w:r>
      <w:r w:rsidRPr="005F4C28">
        <w:rPr>
          <w:rFonts w:eastAsiaTheme="minorHAnsi"/>
          <w:noProof/>
          <w:lang w:val="en-AU" w:eastAsia="en-US"/>
        </w:rPr>
        <w:t>2</w:t>
      </w:r>
      <w:r w:rsidRPr="005F4C28">
        <w:rPr>
          <w:rFonts w:eastAsiaTheme="minorHAnsi"/>
          <w:noProof/>
          <w:lang w:val="en-AU" w:eastAsia="en-US"/>
        </w:rPr>
        <w:fldChar w:fldCharType="end"/>
      </w:r>
      <w:r w:rsidRPr="005F4C28">
        <w:rPr>
          <w:rFonts w:eastAsiaTheme="minorHAnsi"/>
          <w:lang w:val="en-AU" w:eastAsia="en-US"/>
        </w:rPr>
        <w:t>: Chromosome by cytogenetic or other technique (on tissue or fluid): item 73289</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There are 12 recommendation tables listed. Recommendation 2 table looks at tests on chromosomes by cytogenetic or other technique (on tissue or fluid): item 73289 .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4F396736" w14:textId="77777777" w:rsidTr="0032349A">
        <w:trPr>
          <w:cantSplit/>
          <w:tblHeader/>
        </w:trPr>
        <w:tc>
          <w:tcPr>
            <w:tcW w:w="2126" w:type="dxa"/>
          </w:tcPr>
          <w:p w14:paraId="42E2B34B"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0E050C2E"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72B10292"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0BBC8E48"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5BAB21B8"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7AD12F21" w14:textId="77777777" w:rsidTr="0032349A">
        <w:trPr>
          <w:cantSplit/>
        </w:trPr>
        <w:tc>
          <w:tcPr>
            <w:tcW w:w="2126" w:type="dxa"/>
          </w:tcPr>
          <w:p w14:paraId="68395483"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73289</w:t>
            </w:r>
          </w:p>
        </w:tc>
        <w:tc>
          <w:tcPr>
            <w:tcW w:w="3118" w:type="dxa"/>
          </w:tcPr>
          <w:p w14:paraId="7A6C13E2"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This is a genetic test to identify and evaluate the size, shape and number of chromosomes in a sample of </w:t>
            </w:r>
            <w:r w:rsidRPr="005F4C28">
              <w:rPr>
                <w:rFonts w:ascii="Arial" w:eastAsiaTheme="minorHAnsi" w:hAnsi="Arial" w:cs="Arial"/>
                <w:sz w:val="18"/>
                <w:szCs w:val="18"/>
                <w:u w:val="single"/>
                <w:lang w:val="en-AU" w:eastAsia="en-US"/>
              </w:rPr>
              <w:t>blood</w:t>
            </w:r>
            <w:r w:rsidRPr="005F4C28">
              <w:rPr>
                <w:rFonts w:ascii="Arial" w:eastAsiaTheme="minorHAnsi" w:hAnsi="Arial" w:cs="Arial"/>
                <w:sz w:val="18"/>
                <w:szCs w:val="18"/>
                <w:lang w:val="en-AU" w:eastAsia="en-US"/>
              </w:rPr>
              <w:t>. Extra or missing chromosomes, or abnormal positions of chromosomes, can cause problems with growth, development and body functions.</w:t>
            </w:r>
          </w:p>
        </w:tc>
        <w:tc>
          <w:tcPr>
            <w:tcW w:w="3086" w:type="dxa"/>
          </w:tcPr>
          <w:p w14:paraId="1F43AD54" w14:textId="77777777" w:rsidR="005F4C28" w:rsidRPr="005F4C28" w:rsidRDefault="00DD4F7C" w:rsidP="005F4C28">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Make it clear that this low/medium resolution technique is only appropriate for investigations covered by this item and that the investigation is only useful for patients with a specific risk.</w:t>
            </w:r>
          </w:p>
        </w:tc>
        <w:tc>
          <w:tcPr>
            <w:tcW w:w="2977" w:type="dxa"/>
          </w:tcPr>
          <w:p w14:paraId="025D3C79" w14:textId="77777777" w:rsidR="005F4C28" w:rsidRPr="005F4C28" w:rsidRDefault="00DD4F7C" w:rsidP="005F4C28">
            <w:pPr>
              <w:spacing w:before="20" w:after="20"/>
              <w:rPr>
                <w:rFonts w:ascii="Arial" w:hAnsi="Arial" w:cs="Arial"/>
                <w:sz w:val="18"/>
                <w:szCs w:val="18"/>
                <w:lang w:val="en-AU" w:eastAsia="en-US"/>
              </w:rPr>
            </w:pPr>
            <w:r>
              <w:rPr>
                <w:rFonts w:ascii="Arial" w:hAnsi="Arial" w:cs="Arial"/>
                <w:sz w:val="18"/>
                <w:szCs w:val="18"/>
                <w:lang w:val="en-AU" w:eastAsia="en-US"/>
              </w:rPr>
              <w:t xml:space="preserve">Specify a minimum size of 5MB genetic abnormalities and explain that testing is only indicated </w:t>
            </w:r>
            <w:r w:rsidRPr="00DD4F7C">
              <w:rPr>
                <w:rFonts w:ascii="Arial" w:hAnsi="Arial" w:cs="Arial"/>
                <w:sz w:val="18"/>
                <w:szCs w:val="18"/>
                <w:lang w:val="en-AU" w:eastAsia="en-US"/>
              </w:rPr>
              <w:t>in a person with specific risk indicated by personal or family history</w:t>
            </w:r>
            <w:r w:rsidR="00F371B3">
              <w:rPr>
                <w:rFonts w:ascii="Arial" w:hAnsi="Arial" w:cs="Arial"/>
                <w:sz w:val="18"/>
                <w:szCs w:val="18"/>
                <w:lang w:val="en-AU" w:eastAsia="en-US"/>
              </w:rPr>
              <w:t>.</w:t>
            </w:r>
            <w:r w:rsidRPr="00DD4F7C" w:rsidDel="004D3578">
              <w:rPr>
                <w:rFonts w:ascii="Arial" w:hAnsi="Arial" w:cs="Arial"/>
                <w:sz w:val="18"/>
                <w:szCs w:val="18"/>
                <w:lang w:val="en-AU" w:eastAsia="en-US"/>
              </w:rPr>
              <w:t xml:space="preserve"> </w:t>
            </w:r>
          </w:p>
        </w:tc>
        <w:tc>
          <w:tcPr>
            <w:tcW w:w="3118" w:type="dxa"/>
          </w:tcPr>
          <w:p w14:paraId="4DE58FF9" w14:textId="77777777" w:rsidR="005F4C28" w:rsidRPr="005F4C28" w:rsidRDefault="00F371B3" w:rsidP="005F4C28">
            <w:pPr>
              <w:spacing w:before="20" w:after="20"/>
              <w:rPr>
                <w:rFonts w:ascii="Arial" w:eastAsiaTheme="minorHAnsi" w:hAnsi="Arial" w:cs="Arial"/>
                <w:sz w:val="18"/>
                <w:szCs w:val="18"/>
                <w:lang w:val="en-AU" w:eastAsia="en-US"/>
              </w:rPr>
            </w:pPr>
            <w:r w:rsidRPr="00DD4F7C">
              <w:rPr>
                <w:rFonts w:ascii="Arial" w:hAnsi="Arial" w:cs="Arial"/>
                <w:sz w:val="18"/>
                <w:szCs w:val="18"/>
                <w:lang w:val="en-AU" w:eastAsia="en-US"/>
              </w:rPr>
              <w:t xml:space="preserve">The test is intended to be a specific diagnostic test when there is a defined indication for testing based on personal or familial history, and is not intended to be used as a broader screening </w:t>
            </w:r>
            <w:proofErr w:type="gramStart"/>
            <w:r w:rsidRPr="00DD4F7C">
              <w:rPr>
                <w:rFonts w:ascii="Arial" w:hAnsi="Arial" w:cs="Arial"/>
                <w:sz w:val="18"/>
                <w:szCs w:val="18"/>
                <w:lang w:val="en-AU" w:eastAsia="en-US"/>
              </w:rPr>
              <w:t>test</w:t>
            </w:r>
            <w:r>
              <w:rPr>
                <w:rFonts w:ascii="Arial" w:hAnsi="Arial" w:cs="Arial"/>
                <w:sz w:val="18"/>
                <w:szCs w:val="18"/>
                <w:lang w:val="en-AU" w:eastAsia="en-US"/>
              </w:rPr>
              <w:t>.</w:t>
            </w:r>
            <w:r w:rsidR="005F4C28" w:rsidRPr="005F4C28">
              <w:rPr>
                <w:rFonts w:ascii="Arial" w:eastAsiaTheme="minorHAnsi" w:hAnsi="Arial" w:cs="Arial"/>
                <w:sz w:val="18"/>
                <w:szCs w:val="18"/>
                <w:lang w:val="en-AU" w:eastAsia="en-US"/>
              </w:rPr>
              <w:t>.</w:t>
            </w:r>
            <w:proofErr w:type="gramEnd"/>
            <w:r w:rsidR="005F4C28" w:rsidRPr="005F4C28">
              <w:rPr>
                <w:rFonts w:ascii="Arial" w:eastAsiaTheme="minorHAnsi" w:hAnsi="Arial" w:cs="Arial"/>
                <w:sz w:val="18"/>
                <w:szCs w:val="18"/>
                <w:lang w:val="en-AU" w:eastAsia="en-US"/>
              </w:rPr>
              <w:t xml:space="preserve"> A low- to medium-resolution technique is appropriate for the investigations covered by this item.</w:t>
            </w:r>
          </w:p>
        </w:tc>
      </w:tr>
    </w:tbl>
    <w:p w14:paraId="4609F681" w14:textId="77777777" w:rsidR="005A054A" w:rsidRDefault="005A054A" w:rsidP="005A054A">
      <w:pPr>
        <w:rPr>
          <w:rFonts w:eastAsiaTheme="minorHAnsi"/>
          <w:lang w:val="en-AU" w:eastAsia="en-US"/>
        </w:rPr>
      </w:pPr>
      <w:r>
        <w:rPr>
          <w:rFonts w:eastAsiaTheme="minorHAnsi"/>
          <w:lang w:val="en-AU" w:eastAsia="en-US"/>
        </w:rPr>
        <w:br w:type="page"/>
      </w:r>
    </w:p>
    <w:p w14:paraId="074293E6" w14:textId="77777777" w:rsidR="005F4C28" w:rsidRDefault="005F4C28" w:rsidP="005F4C28">
      <w:pPr>
        <w:rPr>
          <w:rFonts w:eastAsiaTheme="minorHAnsi"/>
          <w:lang w:val="en-AU" w:eastAsia="en-US"/>
        </w:rPr>
      </w:pPr>
    </w:p>
    <w:p w14:paraId="20309AA6"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w:t>
      </w:r>
      <w:r w:rsidRPr="005F4C28">
        <w:rPr>
          <w:rFonts w:eastAsiaTheme="minorHAnsi"/>
          <w:lang w:val="en-AU" w:eastAsia="en-US"/>
        </w:rPr>
        <w:fldChar w:fldCharType="begin"/>
      </w:r>
      <w:r w:rsidRPr="005F4C28">
        <w:rPr>
          <w:rFonts w:eastAsiaTheme="minorHAnsi"/>
          <w:lang w:val="en-AU" w:eastAsia="en-US"/>
        </w:rPr>
        <w:instrText xml:space="preserve"> SEQ Recommendation \* ARABIC </w:instrText>
      </w:r>
      <w:r w:rsidRPr="005F4C28">
        <w:rPr>
          <w:rFonts w:eastAsiaTheme="minorHAnsi"/>
          <w:lang w:val="en-AU" w:eastAsia="en-US"/>
        </w:rPr>
        <w:fldChar w:fldCharType="separate"/>
      </w:r>
      <w:r w:rsidRPr="005F4C28">
        <w:rPr>
          <w:rFonts w:eastAsiaTheme="minorHAnsi"/>
          <w:noProof/>
          <w:lang w:val="en-AU" w:eastAsia="en-US"/>
        </w:rPr>
        <w:t>3</w:t>
      </w:r>
      <w:r w:rsidRPr="005F4C28">
        <w:rPr>
          <w:rFonts w:eastAsiaTheme="minorHAnsi"/>
          <w:noProof/>
          <w:lang w:val="en-AU" w:eastAsia="en-US"/>
        </w:rPr>
        <w:fldChar w:fldCharType="end"/>
      </w:r>
      <w:r w:rsidRPr="005F4C28">
        <w:rPr>
          <w:rFonts w:eastAsiaTheme="minorHAnsi"/>
          <w:lang w:val="en-AU" w:eastAsia="en-US"/>
        </w:rPr>
        <w:t>: Chromosome by cytogenetic or other technique on blood or bone marrow, for diagnosis and monitoring of haematological malignancy: item 73290</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3"/>
        <w:tblDescription w:val="Appendix C is a summary for consumers. There are 12 recommendation tables listed. Recommendation 3 table looks at chromosome tests by cytogenetic or other technique on blood or bone marrow, for diagnosis and monitoring of haematological malignancy: item 73290. Each table contains 5 column headings: column 1. list of items, column 2. What it does, column 3. Committee Recommendation, column 4. What would be different and column 5 Why. "/>
      </w:tblPr>
      <w:tblGrid>
        <w:gridCol w:w="2126"/>
        <w:gridCol w:w="3119"/>
        <w:gridCol w:w="3085"/>
        <w:gridCol w:w="2977"/>
        <w:gridCol w:w="3118"/>
      </w:tblGrid>
      <w:tr w:rsidR="005F4C28" w:rsidRPr="005F4C28" w14:paraId="4FB21CDD" w14:textId="77777777" w:rsidTr="0032349A">
        <w:trPr>
          <w:cantSplit/>
          <w:tblHeader/>
        </w:trPr>
        <w:tc>
          <w:tcPr>
            <w:tcW w:w="2126" w:type="dxa"/>
          </w:tcPr>
          <w:p w14:paraId="03A99FB6"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9" w:type="dxa"/>
          </w:tcPr>
          <w:p w14:paraId="1D60AE95"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5" w:type="dxa"/>
          </w:tcPr>
          <w:p w14:paraId="21165D14"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71FD7EA9"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24F114A7"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3A79B922" w14:textId="77777777" w:rsidTr="0032349A">
        <w:trPr>
          <w:cantSplit/>
        </w:trPr>
        <w:tc>
          <w:tcPr>
            <w:tcW w:w="2126" w:type="dxa"/>
          </w:tcPr>
          <w:p w14:paraId="7F0A2E16"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73290</w:t>
            </w:r>
          </w:p>
        </w:tc>
        <w:tc>
          <w:tcPr>
            <w:tcW w:w="3119" w:type="dxa"/>
          </w:tcPr>
          <w:p w14:paraId="44970019"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This is a genetic test to identify and evaluate the size, shape and number of chromosomes in a sample of </w:t>
            </w:r>
            <w:r w:rsidRPr="005F4C28">
              <w:rPr>
                <w:rFonts w:ascii="Arial" w:eastAsiaTheme="minorHAnsi" w:hAnsi="Arial" w:cs="Arial"/>
                <w:sz w:val="18"/>
                <w:szCs w:val="18"/>
                <w:u w:val="single"/>
                <w:lang w:val="en-AU" w:eastAsia="en-US"/>
              </w:rPr>
              <w:t>blood or bone marrow</w:t>
            </w:r>
            <w:r w:rsidRPr="005F4C28">
              <w:rPr>
                <w:rFonts w:ascii="Arial" w:eastAsiaTheme="minorHAnsi" w:hAnsi="Arial" w:cs="Arial"/>
                <w:sz w:val="18"/>
                <w:szCs w:val="18"/>
                <w:lang w:val="en-AU" w:eastAsia="en-US"/>
              </w:rPr>
              <w:t>. Extra or missing chromosomes, or abnormal positions of chromosomes, can cause some blood disorders. This test is used to diagnose and to monitor certain blood disorders.</w:t>
            </w:r>
          </w:p>
        </w:tc>
        <w:tc>
          <w:tcPr>
            <w:tcW w:w="3085" w:type="dxa"/>
          </w:tcPr>
          <w:p w14:paraId="6FEB8D88" w14:textId="77777777" w:rsidR="005F4C28" w:rsidRPr="005F4C28" w:rsidRDefault="00DD4F7C" w:rsidP="00B26D16">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Make it clear that this low/medium resolution technique is only appropriate for investigations covered by this item.</w:t>
            </w:r>
          </w:p>
        </w:tc>
        <w:tc>
          <w:tcPr>
            <w:tcW w:w="2977" w:type="dxa"/>
          </w:tcPr>
          <w:p w14:paraId="3AA17B10" w14:textId="77777777" w:rsidR="005F4C28" w:rsidRPr="005F4C28" w:rsidRDefault="00DD4F7C" w:rsidP="00B26D16">
            <w:pPr>
              <w:spacing w:before="20" w:after="20"/>
              <w:rPr>
                <w:rFonts w:ascii="Arial" w:eastAsiaTheme="minorHAnsi" w:hAnsi="Arial" w:cs="Arial"/>
                <w:sz w:val="18"/>
                <w:szCs w:val="18"/>
                <w:lang w:val="en-AU" w:eastAsia="en-US"/>
              </w:rPr>
            </w:pPr>
            <w:r>
              <w:rPr>
                <w:rFonts w:ascii="Arial" w:hAnsi="Arial" w:cs="Arial"/>
                <w:sz w:val="18"/>
                <w:szCs w:val="18"/>
                <w:lang w:val="en-AU" w:eastAsia="en-US"/>
              </w:rPr>
              <w:t>Specify a minimum size of 5MB genetic abnormalities</w:t>
            </w:r>
            <w:r w:rsidR="00F371B3">
              <w:rPr>
                <w:rFonts w:ascii="Arial" w:hAnsi="Arial" w:cs="Arial"/>
                <w:sz w:val="18"/>
                <w:szCs w:val="18"/>
                <w:lang w:val="en-AU" w:eastAsia="en-US"/>
              </w:rPr>
              <w:t>.</w:t>
            </w:r>
            <w:r w:rsidRPr="00DD4F7C" w:rsidDel="004D3578">
              <w:rPr>
                <w:rFonts w:ascii="Arial" w:hAnsi="Arial" w:cs="Arial"/>
                <w:sz w:val="18"/>
                <w:szCs w:val="18"/>
                <w:lang w:val="en-AU" w:eastAsia="en-US"/>
              </w:rPr>
              <w:t xml:space="preserve"> </w:t>
            </w:r>
          </w:p>
        </w:tc>
        <w:tc>
          <w:tcPr>
            <w:tcW w:w="3118" w:type="dxa"/>
          </w:tcPr>
          <w:p w14:paraId="5FFAFAF0"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A low- to medium-resolution technique is appropriate for the investigations covered by this item.</w:t>
            </w:r>
          </w:p>
        </w:tc>
      </w:tr>
    </w:tbl>
    <w:p w14:paraId="6AC00F10" w14:textId="77777777" w:rsidR="005F4C28" w:rsidRPr="005F4C28" w:rsidRDefault="005F4C28" w:rsidP="005F4C28">
      <w:pPr>
        <w:rPr>
          <w:rFonts w:eastAsiaTheme="minorHAnsi" w:cs="Arial"/>
          <w:b/>
          <w:szCs w:val="22"/>
          <w:lang w:val="en-AU" w:eastAsia="en-US"/>
        </w:rPr>
      </w:pPr>
    </w:p>
    <w:p w14:paraId="650EBE1D"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w:t>
      </w:r>
      <w:r w:rsidRPr="005F4C28">
        <w:rPr>
          <w:rFonts w:eastAsiaTheme="minorHAnsi"/>
          <w:lang w:val="en-AU" w:eastAsia="en-US"/>
        </w:rPr>
        <w:fldChar w:fldCharType="begin"/>
      </w:r>
      <w:r w:rsidRPr="005F4C28">
        <w:rPr>
          <w:rFonts w:eastAsiaTheme="minorHAnsi"/>
          <w:lang w:val="en-AU" w:eastAsia="en-US"/>
        </w:rPr>
        <w:instrText xml:space="preserve"> SEQ Recommendation \* ARABIC </w:instrText>
      </w:r>
      <w:r w:rsidRPr="005F4C28">
        <w:rPr>
          <w:rFonts w:eastAsiaTheme="minorHAnsi"/>
          <w:lang w:val="en-AU" w:eastAsia="en-US"/>
        </w:rPr>
        <w:fldChar w:fldCharType="separate"/>
      </w:r>
      <w:r w:rsidRPr="005F4C28">
        <w:rPr>
          <w:rFonts w:eastAsiaTheme="minorHAnsi"/>
          <w:noProof/>
          <w:lang w:val="en-AU" w:eastAsia="en-US"/>
        </w:rPr>
        <w:t>4</w:t>
      </w:r>
      <w:r w:rsidRPr="005F4C28">
        <w:rPr>
          <w:rFonts w:eastAsiaTheme="minorHAnsi"/>
          <w:noProof/>
          <w:lang w:val="en-AU" w:eastAsia="en-US"/>
        </w:rPr>
        <w:fldChar w:fldCharType="end"/>
      </w:r>
      <w:r w:rsidRPr="005F4C28">
        <w:rPr>
          <w:rFonts w:eastAsiaTheme="minorHAnsi"/>
          <w:lang w:val="en-AU" w:eastAsia="en-US"/>
        </w:rPr>
        <w:t>: Chromosome for specific constitutional abnormalities: item 73291</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4"/>
        <w:tblDescription w:val="Appendix C is a summary for consumers. There are 12 recommendation tables listed. Recommendation 4 table looks at a chromosome test for specific constitutional abnormalities: item 73291.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34361F3D" w14:textId="77777777" w:rsidTr="0032349A">
        <w:trPr>
          <w:cantSplit/>
          <w:tblHeader/>
        </w:trPr>
        <w:tc>
          <w:tcPr>
            <w:tcW w:w="2126" w:type="dxa"/>
          </w:tcPr>
          <w:p w14:paraId="01A04E8F"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7DF26643"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574A1FE3"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51B61D1B"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52878640"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2F7B41CD" w14:textId="77777777" w:rsidTr="0032349A">
        <w:trPr>
          <w:cantSplit/>
        </w:trPr>
        <w:tc>
          <w:tcPr>
            <w:tcW w:w="2126" w:type="dxa"/>
          </w:tcPr>
          <w:p w14:paraId="1B5946C5"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73291</w:t>
            </w:r>
          </w:p>
        </w:tc>
        <w:tc>
          <w:tcPr>
            <w:tcW w:w="3118" w:type="dxa"/>
          </w:tcPr>
          <w:p w14:paraId="4AFCC4B7"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This genetic test is used to investigate the cause of intellectual and developmental delay in children. It is also used to test the relatives of the children.</w:t>
            </w:r>
          </w:p>
        </w:tc>
        <w:tc>
          <w:tcPr>
            <w:tcW w:w="3086" w:type="dxa"/>
          </w:tcPr>
          <w:p w14:paraId="5E136F74"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Remove the specification of the test technique from the descriptor. Remove the testing of the child from this item, and just keep it for testing the relatives. Extend the resolution techniques to enable low- to medium-resolution techniques to be used.</w:t>
            </w:r>
          </w:p>
        </w:tc>
        <w:tc>
          <w:tcPr>
            <w:tcW w:w="2977" w:type="dxa"/>
          </w:tcPr>
          <w:p w14:paraId="2AA7A037"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The current item covers testing both child and relatives, but there are better techniques on the MBS (microarray) which are now recommended as first line for testing children. This item is still relevant to test the relatives, as it is more targeted and therefore less expensive than microarray.</w:t>
            </w:r>
          </w:p>
        </w:tc>
        <w:tc>
          <w:tcPr>
            <w:tcW w:w="3118" w:type="dxa"/>
          </w:tcPr>
          <w:p w14:paraId="7BBA271B"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Microarray is the appropriate test for investigating the child, but this test is still appropriate for more targeted testing of relatives.</w:t>
            </w:r>
          </w:p>
        </w:tc>
      </w:tr>
    </w:tbl>
    <w:p w14:paraId="26982D37" w14:textId="77777777" w:rsidR="005F4C28" w:rsidRPr="005F4C28" w:rsidRDefault="005F4C28" w:rsidP="005F4C28">
      <w:pPr>
        <w:rPr>
          <w:rFonts w:eastAsiaTheme="minorHAnsi" w:cs="Arial"/>
          <w:b/>
          <w:szCs w:val="22"/>
          <w:lang w:val="en-AU" w:eastAsia="en-US"/>
        </w:rPr>
      </w:pPr>
    </w:p>
    <w:p w14:paraId="370B655B"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w:t>
      </w:r>
      <w:r w:rsidRPr="005F4C28">
        <w:rPr>
          <w:rFonts w:eastAsiaTheme="minorHAnsi"/>
          <w:lang w:val="en-AU" w:eastAsia="en-US"/>
        </w:rPr>
        <w:fldChar w:fldCharType="begin"/>
      </w:r>
      <w:r w:rsidRPr="005F4C28">
        <w:rPr>
          <w:rFonts w:eastAsiaTheme="minorHAnsi"/>
          <w:lang w:val="en-AU" w:eastAsia="en-US"/>
        </w:rPr>
        <w:instrText xml:space="preserve"> SEQ Recommendation \* ARABIC </w:instrText>
      </w:r>
      <w:r w:rsidRPr="005F4C28">
        <w:rPr>
          <w:rFonts w:eastAsiaTheme="minorHAnsi"/>
          <w:lang w:val="en-AU" w:eastAsia="en-US"/>
        </w:rPr>
        <w:fldChar w:fldCharType="separate"/>
      </w:r>
      <w:r w:rsidRPr="005F4C28">
        <w:rPr>
          <w:rFonts w:eastAsiaTheme="minorHAnsi"/>
          <w:noProof/>
          <w:lang w:val="en-AU" w:eastAsia="en-US"/>
        </w:rPr>
        <w:t>5</w:t>
      </w:r>
      <w:r w:rsidRPr="005F4C28">
        <w:rPr>
          <w:rFonts w:eastAsiaTheme="minorHAnsi"/>
          <w:noProof/>
          <w:lang w:val="en-AU" w:eastAsia="en-US"/>
        </w:rPr>
        <w:fldChar w:fldCharType="end"/>
      </w:r>
      <w:r w:rsidRPr="005F4C28">
        <w:rPr>
          <w:rFonts w:eastAsiaTheme="minorHAnsi"/>
          <w:lang w:val="en-AU" w:eastAsia="en-US"/>
        </w:rPr>
        <w:t>: Chromosome by genome-wide microarray: item 73292</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5"/>
        <w:tblDescription w:val="Appendix C is a summary for consumers. There are 12 recommendation tables listed. Recommendation 5 table looks at chromosome tests by genome-wide microarray: item 73292.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3D4ED51F" w14:textId="77777777" w:rsidTr="0032349A">
        <w:trPr>
          <w:cantSplit/>
          <w:tblHeader/>
        </w:trPr>
        <w:tc>
          <w:tcPr>
            <w:tcW w:w="2126" w:type="dxa"/>
          </w:tcPr>
          <w:p w14:paraId="4B3C2DBF"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5EB3E27C"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360490AE"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682F30AF"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756BA2BB"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67E80508" w14:textId="77777777" w:rsidTr="0032349A">
        <w:trPr>
          <w:cantSplit/>
        </w:trPr>
        <w:tc>
          <w:tcPr>
            <w:tcW w:w="2126" w:type="dxa"/>
          </w:tcPr>
          <w:p w14:paraId="1452E367"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73292</w:t>
            </w:r>
          </w:p>
        </w:tc>
        <w:tc>
          <w:tcPr>
            <w:tcW w:w="3118" w:type="dxa"/>
          </w:tcPr>
          <w:p w14:paraId="4AEA916D"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Microarray is a medium-resolution technique used to investigate the cause of intellectual and developmental delay. </w:t>
            </w:r>
          </w:p>
        </w:tc>
        <w:tc>
          <w:tcPr>
            <w:tcW w:w="3086" w:type="dxa"/>
          </w:tcPr>
          <w:p w14:paraId="23D9E67B"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Remove the specification of the technique (microarray) from the descriptor and include a medium-resolution threshold descriptor instead.</w:t>
            </w:r>
          </w:p>
        </w:tc>
        <w:tc>
          <w:tcPr>
            <w:tcW w:w="2977" w:type="dxa"/>
          </w:tcPr>
          <w:p w14:paraId="796BB507"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 xml:space="preserve">There would be no difference for </w:t>
            </w:r>
            <w:r w:rsidRPr="005F4C28">
              <w:rPr>
                <w:rFonts w:ascii="Arial" w:eastAsiaTheme="minorHAnsi" w:hAnsi="Arial" w:cs="Arial"/>
                <w:sz w:val="18"/>
                <w:szCs w:val="18"/>
                <w:lang w:val="en-AU" w:eastAsia="en-US"/>
              </w:rPr>
              <w:t>patients</w:t>
            </w:r>
            <w:r w:rsidRPr="005F4C28">
              <w:rPr>
                <w:rFonts w:ascii="Arial" w:hAnsi="Arial" w:cs="Arial"/>
                <w:sz w:val="18"/>
                <w:szCs w:val="18"/>
                <w:lang w:val="en-AU" w:eastAsia="en-US"/>
              </w:rPr>
              <w:t>. The change will allow for potentially other medium-resolution techniques to be utilised.</w:t>
            </w:r>
          </w:p>
        </w:tc>
        <w:tc>
          <w:tcPr>
            <w:tcW w:w="3118" w:type="dxa"/>
          </w:tcPr>
          <w:p w14:paraId="340CBE29"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Specifying the test method i.e. microarray, limits the test. Defining the level of detail expected from this test will help ensure that only the appropriate level of testing is done.</w:t>
            </w:r>
          </w:p>
        </w:tc>
      </w:tr>
    </w:tbl>
    <w:p w14:paraId="4B15F173" w14:textId="77777777" w:rsidR="005F4C28" w:rsidRDefault="005F4C28" w:rsidP="005F4C28">
      <w:pPr>
        <w:rPr>
          <w:rFonts w:eastAsiaTheme="minorHAnsi"/>
          <w:lang w:val="en-AU" w:eastAsia="en-US"/>
        </w:rPr>
      </w:pPr>
    </w:p>
    <w:p w14:paraId="23DCB80C"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6: </w:t>
      </w:r>
      <w:r w:rsidRPr="005F4C28">
        <w:rPr>
          <w:rFonts w:eastAsiaTheme="minorHAnsi"/>
          <w:i/>
          <w:lang w:val="en-AU" w:eastAsia="en-US"/>
        </w:rPr>
        <w:t>FMR1</w:t>
      </w:r>
      <w:r w:rsidRPr="005F4C28">
        <w:rPr>
          <w:rFonts w:eastAsiaTheme="minorHAnsi"/>
          <w:lang w:val="en-AU" w:eastAsia="en-US"/>
        </w:rPr>
        <w:t xml:space="preserve"> gene mutations: item 73300 and 73305</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6"/>
        <w:tblDescription w:val="Appendix C is a summary for consumers. There are 12 recommendation tables listed. Recommendation 6 table looks at FMR1 gene mutations causing fragile X syndrome: item 73300 and 73305.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3250C9A2" w14:textId="77777777" w:rsidTr="0032349A">
        <w:trPr>
          <w:cantSplit/>
          <w:tblHeader/>
        </w:trPr>
        <w:tc>
          <w:tcPr>
            <w:tcW w:w="2126" w:type="dxa"/>
          </w:tcPr>
          <w:p w14:paraId="658D7415"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7EAB2DA8"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080372AE"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07533F60"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1FB30844"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1EC3B35C" w14:textId="77777777" w:rsidTr="0032349A">
        <w:trPr>
          <w:cantSplit/>
        </w:trPr>
        <w:tc>
          <w:tcPr>
            <w:tcW w:w="2126" w:type="dxa"/>
          </w:tcPr>
          <w:p w14:paraId="605416C7"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73300 and 73305</w:t>
            </w:r>
          </w:p>
        </w:tc>
        <w:tc>
          <w:tcPr>
            <w:tcW w:w="3118" w:type="dxa"/>
          </w:tcPr>
          <w:p w14:paraId="14FAC2B6"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These tests are used to detect a gene mutation </w:t>
            </w:r>
            <w:r w:rsidRPr="005F4C28">
              <w:rPr>
                <w:rFonts w:ascii="Arial" w:eastAsiaTheme="minorHAnsi" w:hAnsi="Arial" w:cs="Arial"/>
                <w:i/>
                <w:sz w:val="18"/>
                <w:szCs w:val="18"/>
                <w:lang w:val="en-AU" w:eastAsia="en-US"/>
              </w:rPr>
              <w:t>(FMR1)</w:t>
            </w:r>
            <w:r w:rsidRPr="005F4C28">
              <w:rPr>
                <w:rFonts w:ascii="Arial" w:eastAsiaTheme="minorHAnsi" w:hAnsi="Arial" w:cs="Arial"/>
                <w:sz w:val="18"/>
                <w:szCs w:val="18"/>
                <w:lang w:val="en-AU" w:eastAsia="en-US"/>
              </w:rPr>
              <w:t xml:space="preserve"> that causes fragile X syndrome, a hereditary intellectual disability. </w:t>
            </w:r>
          </w:p>
        </w:tc>
        <w:tc>
          <w:tcPr>
            <w:tcW w:w="3086" w:type="dxa"/>
          </w:tcPr>
          <w:p w14:paraId="730C819A"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Delete item 73305 (Southern blot method) and revise the costing of the preferred method covered by 73300.</w:t>
            </w:r>
          </w:p>
        </w:tc>
        <w:tc>
          <w:tcPr>
            <w:tcW w:w="2977" w:type="dxa"/>
          </w:tcPr>
          <w:p w14:paraId="41D4E7B5"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 xml:space="preserve">The method covered by 73305 is not as reliable and no longer routinely used. Removing it will ensure that the </w:t>
            </w:r>
            <w:r w:rsidRPr="005F4C28">
              <w:rPr>
                <w:rFonts w:ascii="Arial" w:eastAsiaTheme="minorHAnsi" w:hAnsi="Arial" w:cs="Arial"/>
                <w:sz w:val="18"/>
                <w:szCs w:val="18"/>
                <w:lang w:val="en-AU" w:eastAsia="en-US"/>
              </w:rPr>
              <w:t>more</w:t>
            </w:r>
            <w:r w:rsidRPr="005F4C28">
              <w:rPr>
                <w:rFonts w:ascii="Arial" w:hAnsi="Arial" w:cs="Arial"/>
                <w:sz w:val="18"/>
                <w:szCs w:val="18"/>
                <w:lang w:val="en-AU" w:eastAsia="en-US"/>
              </w:rPr>
              <w:t xml:space="preserve"> appropriate method covered by 73300 are used instead.</w:t>
            </w:r>
          </w:p>
        </w:tc>
        <w:tc>
          <w:tcPr>
            <w:tcW w:w="3118" w:type="dxa"/>
          </w:tcPr>
          <w:p w14:paraId="1FC9E0D9"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The Southern blot method has been superseded by the more modern PCR method covered by 73300. Since its introduction to the MBS in 2003, the costs of modern PCR have </w:t>
            </w:r>
            <w:proofErr w:type="gramStart"/>
            <w:r w:rsidRPr="005F4C28">
              <w:rPr>
                <w:rFonts w:ascii="Arial" w:eastAsiaTheme="minorHAnsi" w:hAnsi="Arial" w:cs="Arial"/>
                <w:sz w:val="18"/>
                <w:szCs w:val="18"/>
                <w:lang w:val="en-AU" w:eastAsia="en-US"/>
              </w:rPr>
              <w:t>increased</w:t>
            </w:r>
            <w:proofErr w:type="gramEnd"/>
            <w:r w:rsidRPr="005F4C28">
              <w:rPr>
                <w:rFonts w:ascii="Arial" w:eastAsiaTheme="minorHAnsi" w:hAnsi="Arial" w:cs="Arial"/>
                <w:sz w:val="18"/>
                <w:szCs w:val="18"/>
                <w:lang w:val="en-AU" w:eastAsia="en-US"/>
              </w:rPr>
              <w:t xml:space="preserve"> and the schedule fee needs to be reviewed.</w:t>
            </w:r>
          </w:p>
        </w:tc>
      </w:tr>
    </w:tbl>
    <w:p w14:paraId="54C491AF" w14:textId="77777777" w:rsidR="005F4C28" w:rsidRPr="005F4C28" w:rsidRDefault="005F4C28" w:rsidP="005F4C28">
      <w:pPr>
        <w:rPr>
          <w:rFonts w:eastAsiaTheme="minorHAnsi" w:cs="Arial"/>
          <w:b/>
          <w:szCs w:val="22"/>
          <w:lang w:val="en-AU" w:eastAsia="en-US"/>
        </w:rPr>
      </w:pPr>
      <w:bookmarkStart w:id="216" w:name="_Toc477786682"/>
      <w:bookmarkStart w:id="217" w:name="_Toc478249952"/>
    </w:p>
    <w:p w14:paraId="1415C86F"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7: </w:t>
      </w:r>
      <w:bookmarkEnd w:id="216"/>
      <w:bookmarkEnd w:id="217"/>
      <w:r w:rsidRPr="005F4C28">
        <w:rPr>
          <w:rFonts w:eastAsiaTheme="minorHAnsi"/>
          <w:lang w:val="en-AU" w:eastAsia="en-US"/>
        </w:rPr>
        <w:t xml:space="preserve">ISH test for </w:t>
      </w:r>
      <w:r w:rsidRPr="005F4C28">
        <w:rPr>
          <w:rFonts w:eastAsiaTheme="minorHAnsi"/>
          <w:i/>
          <w:lang w:val="en-AU" w:eastAsia="en-US"/>
        </w:rPr>
        <w:t>HER2</w:t>
      </w:r>
      <w:r w:rsidRPr="005F4C28">
        <w:rPr>
          <w:rFonts w:eastAsiaTheme="minorHAnsi"/>
          <w:lang w:val="en-AU" w:eastAsia="en-US"/>
        </w:rPr>
        <w:t xml:space="preserve"> for PBS trastuzumab for breast cancer: item 73332</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7"/>
        <w:tblDescription w:val="Appendix C is a summary for consumers. There are 12 recommendation tables listed. Recommendation 7 table looks at a specific test for HER2 for PBS trastuzumab for breast cancer: item 73332.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2F074320" w14:textId="77777777" w:rsidTr="0032349A">
        <w:trPr>
          <w:cantSplit/>
          <w:tblHeader/>
        </w:trPr>
        <w:tc>
          <w:tcPr>
            <w:tcW w:w="2126" w:type="dxa"/>
          </w:tcPr>
          <w:p w14:paraId="22B70658"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627B2466"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2930535E"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3DFB0FB8"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6396E620"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2A1B9F26" w14:textId="77777777" w:rsidTr="0032349A">
        <w:trPr>
          <w:cantSplit/>
        </w:trPr>
        <w:tc>
          <w:tcPr>
            <w:tcW w:w="2126" w:type="dxa"/>
          </w:tcPr>
          <w:p w14:paraId="44A6F2E0"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73332</w:t>
            </w:r>
          </w:p>
        </w:tc>
        <w:tc>
          <w:tcPr>
            <w:tcW w:w="3118" w:type="dxa"/>
          </w:tcPr>
          <w:p w14:paraId="53C04375"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This test is used to identify the increase in the </w:t>
            </w:r>
            <w:r w:rsidRPr="005F4C28">
              <w:rPr>
                <w:rFonts w:ascii="Arial" w:eastAsiaTheme="minorHAnsi" w:hAnsi="Arial" w:cs="Arial"/>
                <w:i/>
                <w:sz w:val="18"/>
                <w:szCs w:val="18"/>
                <w:lang w:val="en-AU" w:eastAsia="en-US"/>
              </w:rPr>
              <w:t>HER2</w:t>
            </w:r>
            <w:r w:rsidRPr="005F4C28">
              <w:rPr>
                <w:rFonts w:ascii="Arial" w:eastAsiaTheme="minorHAnsi" w:hAnsi="Arial" w:cs="Arial"/>
                <w:sz w:val="18"/>
                <w:szCs w:val="18"/>
                <w:lang w:val="en-AU" w:eastAsia="en-US"/>
              </w:rPr>
              <w:t xml:space="preserve"> gene in breast cancer, in order to meet specific criteria to access a treatment available on the Pharmaceutical Benefits Scheme (PBS).</w:t>
            </w:r>
          </w:p>
        </w:tc>
        <w:tc>
          <w:tcPr>
            <w:tcW w:w="3086" w:type="dxa"/>
          </w:tcPr>
          <w:p w14:paraId="11E8AF4E"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Update the wording to modernise the descriptor and provide more information to pathologists.</w:t>
            </w:r>
          </w:p>
        </w:tc>
        <w:tc>
          <w:tcPr>
            <w:tcW w:w="2977" w:type="dxa"/>
          </w:tcPr>
          <w:p w14:paraId="269A07F9"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There would be no change for patients. Pathologists will have more information to assist them in performing the test appropriately.</w:t>
            </w:r>
          </w:p>
        </w:tc>
        <w:tc>
          <w:tcPr>
            <w:tcW w:w="3118" w:type="dxa"/>
          </w:tcPr>
          <w:p w14:paraId="7E309D9E"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Having any additional information that assists in obtaining the tissue for the test is practical.</w:t>
            </w:r>
          </w:p>
        </w:tc>
      </w:tr>
    </w:tbl>
    <w:p w14:paraId="00B54C40" w14:textId="77777777" w:rsidR="005F4C28" w:rsidRPr="005F4C28" w:rsidRDefault="005F4C28" w:rsidP="005F4C28">
      <w:pPr>
        <w:rPr>
          <w:lang w:val="en-AU"/>
        </w:rPr>
      </w:pPr>
      <w:bookmarkStart w:id="218" w:name="_Toc477786683"/>
      <w:bookmarkStart w:id="219" w:name="_Toc478249953"/>
    </w:p>
    <w:p w14:paraId="463AE5C0" w14:textId="77777777" w:rsidR="005F4C28" w:rsidRPr="005F4C28" w:rsidRDefault="005F4C28" w:rsidP="005F4C28">
      <w:pPr>
        <w:rPr>
          <w:rFonts w:eastAsiaTheme="minorHAnsi"/>
          <w:lang w:val="en-AU" w:eastAsia="en-US"/>
        </w:rPr>
      </w:pPr>
      <w:r w:rsidRPr="005F4C28">
        <w:rPr>
          <w:rFonts w:eastAsiaTheme="minorHAnsi"/>
          <w:lang w:val="en-AU" w:eastAsia="en-US"/>
        </w:rPr>
        <w:t xml:space="preserve">Recommendation 8: </w:t>
      </w:r>
      <w:bookmarkEnd w:id="218"/>
      <w:bookmarkEnd w:id="219"/>
      <w:r w:rsidRPr="005F4C28">
        <w:rPr>
          <w:rFonts w:eastAsiaTheme="minorHAnsi"/>
          <w:lang w:val="en-AU" w:eastAsia="en-US"/>
        </w:rPr>
        <w:t xml:space="preserve">ISH test for </w:t>
      </w:r>
      <w:r w:rsidRPr="005F4C28">
        <w:rPr>
          <w:rFonts w:eastAsiaTheme="minorHAnsi"/>
          <w:i/>
          <w:lang w:val="en-AU" w:eastAsia="en-US"/>
        </w:rPr>
        <w:t>HER2</w:t>
      </w:r>
      <w:r w:rsidRPr="005F4C28">
        <w:rPr>
          <w:rFonts w:eastAsiaTheme="minorHAnsi"/>
          <w:lang w:val="en-AU" w:eastAsia="en-US"/>
        </w:rPr>
        <w:t xml:space="preserve"> for PBS trastuzumab for gastric cancer: item 73342</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8"/>
        <w:tblDescription w:val="Appendix C is a summary for consumers. There are 12 recommendation tables listed. Recommendation 8 table looks at a specific test for HER2 for PBS trastuzumab for gastric cancer: item 73342.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2FC285BB" w14:textId="77777777" w:rsidTr="0032349A">
        <w:trPr>
          <w:cantSplit/>
          <w:tblHeader/>
        </w:trPr>
        <w:tc>
          <w:tcPr>
            <w:tcW w:w="2126" w:type="dxa"/>
          </w:tcPr>
          <w:p w14:paraId="5C8CE0EC"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239DB1CD"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73BAC6CF"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5F69DC06"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7B2AB083"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177EE205" w14:textId="77777777" w:rsidTr="0032349A">
        <w:trPr>
          <w:cantSplit/>
        </w:trPr>
        <w:tc>
          <w:tcPr>
            <w:tcW w:w="2126" w:type="dxa"/>
          </w:tcPr>
          <w:p w14:paraId="54911F63"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73342</w:t>
            </w:r>
          </w:p>
        </w:tc>
        <w:tc>
          <w:tcPr>
            <w:tcW w:w="3118" w:type="dxa"/>
          </w:tcPr>
          <w:p w14:paraId="5E6E0B9B"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This test is used to identify the increase in the </w:t>
            </w:r>
            <w:r w:rsidRPr="005F4C28">
              <w:rPr>
                <w:rFonts w:ascii="Arial" w:eastAsiaTheme="minorHAnsi" w:hAnsi="Arial" w:cs="Arial"/>
                <w:i/>
                <w:sz w:val="18"/>
                <w:szCs w:val="18"/>
                <w:lang w:val="en-AU" w:eastAsia="en-US"/>
              </w:rPr>
              <w:t>HER2</w:t>
            </w:r>
            <w:r w:rsidRPr="005F4C28">
              <w:rPr>
                <w:rFonts w:ascii="Arial" w:eastAsiaTheme="minorHAnsi" w:hAnsi="Arial" w:cs="Arial"/>
                <w:sz w:val="18"/>
                <w:szCs w:val="18"/>
                <w:lang w:val="en-AU" w:eastAsia="en-US"/>
              </w:rPr>
              <w:t xml:space="preserve"> gene in gastric cancer, in order to meet specific criteria to access a treatment available on the Pharmaceutical Benefits Scheme (PBS).</w:t>
            </w:r>
          </w:p>
        </w:tc>
        <w:tc>
          <w:tcPr>
            <w:tcW w:w="3086" w:type="dxa"/>
          </w:tcPr>
          <w:p w14:paraId="3EC00FB4"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Update the wording to modernise the descriptor and provide more information to pathologists.</w:t>
            </w:r>
          </w:p>
        </w:tc>
        <w:tc>
          <w:tcPr>
            <w:tcW w:w="2977" w:type="dxa"/>
          </w:tcPr>
          <w:p w14:paraId="6927306C"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There would be no change for patients. Pathologists will have more information to assist them in performing the test appropriately.</w:t>
            </w:r>
          </w:p>
        </w:tc>
        <w:tc>
          <w:tcPr>
            <w:tcW w:w="3118" w:type="dxa"/>
          </w:tcPr>
          <w:p w14:paraId="1F799CBE"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Having the criteria required for the testing in the MBS descriptor is practical.</w:t>
            </w:r>
          </w:p>
        </w:tc>
      </w:tr>
    </w:tbl>
    <w:p w14:paraId="79B187BF" w14:textId="77777777" w:rsidR="005F4C28" w:rsidRPr="005F4C28" w:rsidRDefault="005F4C28" w:rsidP="005F4C28">
      <w:pPr>
        <w:spacing w:before="0" w:after="0"/>
        <w:rPr>
          <w:lang w:val="en-AU"/>
        </w:rPr>
      </w:pPr>
    </w:p>
    <w:p w14:paraId="2AB1917D" w14:textId="77777777" w:rsidR="005F4C28" w:rsidRDefault="005F4C28" w:rsidP="005F4C28">
      <w:pPr>
        <w:rPr>
          <w:rFonts w:eastAsiaTheme="minorHAnsi"/>
          <w:lang w:val="en-AU" w:eastAsia="en-US"/>
        </w:rPr>
      </w:pPr>
      <w:bookmarkStart w:id="220" w:name="_Toc477786684"/>
      <w:bookmarkStart w:id="221" w:name="_Toc478249954"/>
    </w:p>
    <w:p w14:paraId="79273FD9" w14:textId="77777777" w:rsidR="005A054A" w:rsidRDefault="005A054A" w:rsidP="005F4C28">
      <w:pPr>
        <w:rPr>
          <w:rFonts w:eastAsiaTheme="minorHAnsi"/>
          <w:lang w:val="en-AU" w:eastAsia="en-US"/>
        </w:rPr>
      </w:pPr>
    </w:p>
    <w:p w14:paraId="71C9670F" w14:textId="77777777" w:rsidR="005F4C28" w:rsidRPr="005F4C28" w:rsidRDefault="005F4C28" w:rsidP="005F4C28">
      <w:pPr>
        <w:rPr>
          <w:rFonts w:eastAsiaTheme="minorHAnsi"/>
          <w:lang w:val="en-AU" w:eastAsia="en-US"/>
        </w:rPr>
      </w:pPr>
      <w:r w:rsidRPr="005F4C28">
        <w:rPr>
          <w:rFonts w:eastAsiaTheme="minorHAnsi"/>
          <w:lang w:val="en-AU" w:eastAsia="en-US"/>
        </w:rPr>
        <w:lastRenderedPageBreak/>
        <w:t xml:space="preserve">Recommendation 9: </w:t>
      </w:r>
      <w:bookmarkEnd w:id="220"/>
      <w:bookmarkEnd w:id="221"/>
      <w:r w:rsidRPr="004C5F0B">
        <w:rPr>
          <w:rFonts w:eastAsiaTheme="minorHAnsi"/>
          <w:lang w:val="en-AU" w:eastAsia="en-US"/>
        </w:rPr>
        <w:t>Genotype factor V Leiden or other</w:t>
      </w:r>
      <w:r w:rsidRPr="005F4C28">
        <w:rPr>
          <w:rFonts w:eastAsiaTheme="minorHAnsi"/>
          <w:lang w:val="en-AU" w:eastAsia="en-US"/>
        </w:rPr>
        <w:t xml:space="preserve"> gene mutations in investigation of venous thromboembolism: items 73308—73312</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9"/>
        <w:tblDescription w:val="Appendix C is a summary for consumers. There are 12 recommendation tables listed. Recommendation 9 table looks at tests for genotype factor V Leiden or other gene mutations in the investigation of venous thromboembolism: items 73308—73312.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7D121C4C" w14:textId="77777777" w:rsidTr="0032349A">
        <w:trPr>
          <w:cantSplit/>
          <w:tblHeader/>
        </w:trPr>
        <w:tc>
          <w:tcPr>
            <w:tcW w:w="2126" w:type="dxa"/>
          </w:tcPr>
          <w:p w14:paraId="568394C5"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10EF402E"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457DECCB"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0AF1F78C"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7FB27A7D"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4BE0902A" w14:textId="77777777" w:rsidTr="0032349A">
        <w:trPr>
          <w:cantSplit/>
        </w:trPr>
        <w:tc>
          <w:tcPr>
            <w:tcW w:w="2126" w:type="dxa"/>
          </w:tcPr>
          <w:p w14:paraId="3AD4786F"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73308—73312</w:t>
            </w:r>
          </w:p>
        </w:tc>
        <w:tc>
          <w:tcPr>
            <w:tcW w:w="3118" w:type="dxa"/>
          </w:tcPr>
          <w:p w14:paraId="041D18AA"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 xml:space="preserve">These tests are used to identify the presence of gene mutations that predict </w:t>
            </w:r>
            <w:r w:rsidRPr="005F4C28">
              <w:rPr>
                <w:rFonts w:ascii="Arial" w:eastAsiaTheme="minorHAnsi" w:hAnsi="Arial" w:cs="Arial"/>
                <w:sz w:val="18"/>
                <w:szCs w:val="18"/>
                <w:lang w:val="en-AU" w:eastAsia="en-US"/>
              </w:rPr>
              <w:t>the</w:t>
            </w:r>
            <w:r w:rsidRPr="005F4C28">
              <w:rPr>
                <w:rFonts w:ascii="Arial" w:hAnsi="Arial" w:cs="Arial"/>
                <w:sz w:val="18"/>
                <w:szCs w:val="18"/>
                <w:lang w:val="en-AU" w:eastAsia="en-US"/>
              </w:rPr>
              <w:t xml:space="preserve"> risk of recurrent blood clots called venous thromboembolism (VTE) in patients who have previously had a VTE. They are also used to test first-degree relatives of patients who have the mutation.</w:t>
            </w:r>
          </w:p>
        </w:tc>
        <w:tc>
          <w:tcPr>
            <w:tcW w:w="3086" w:type="dxa"/>
          </w:tcPr>
          <w:p w14:paraId="6B47D92B" w14:textId="77777777" w:rsidR="005F4C28" w:rsidRPr="005F4C28" w:rsidRDefault="005F4C28" w:rsidP="005F4C28">
            <w:pPr>
              <w:spacing w:before="20" w:after="20"/>
              <w:rPr>
                <w:rFonts w:ascii="Arial" w:eastAsiaTheme="minorHAnsi" w:hAnsi="Arial" w:cs="Arial"/>
                <w:sz w:val="18"/>
                <w:szCs w:val="18"/>
                <w:lang w:val="en-AU" w:eastAsia="en-US"/>
              </w:rPr>
            </w:pPr>
            <w:r w:rsidRPr="004C5F0B">
              <w:rPr>
                <w:rFonts w:ascii="Arial" w:eastAsiaTheme="minorHAnsi" w:hAnsi="Arial" w:cs="Arial"/>
                <w:sz w:val="18"/>
                <w:szCs w:val="18"/>
                <w:lang w:val="en-AU" w:eastAsia="en-US"/>
              </w:rPr>
              <w:t>Restrict the test to only two gene mutations (factor V Leiden and prothrombin) in patients who have had a positive activated protein C resistance (APCR) test</w:t>
            </w:r>
            <w:r w:rsidRPr="004C5F0B">
              <w:rPr>
                <w:rFonts w:ascii="Arial" w:eastAsiaTheme="minorHAnsi" w:hAnsi="Arial" w:cs="Arial"/>
                <w:i/>
                <w:sz w:val="18"/>
                <w:szCs w:val="18"/>
                <w:lang w:val="en-AU" w:eastAsia="en-US"/>
              </w:rPr>
              <w:t>.</w:t>
            </w:r>
          </w:p>
        </w:tc>
        <w:tc>
          <w:tcPr>
            <w:tcW w:w="2977" w:type="dxa"/>
          </w:tcPr>
          <w:p w14:paraId="3E63354A"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Only the most appropriate tests wi</w:t>
            </w:r>
            <w:r w:rsidR="004C5F0B">
              <w:rPr>
                <w:rFonts w:ascii="Arial" w:hAnsi="Arial" w:cs="Arial"/>
                <w:sz w:val="18"/>
                <w:szCs w:val="18"/>
                <w:lang w:val="en-AU" w:eastAsia="en-US"/>
              </w:rPr>
              <w:t xml:space="preserve">ll be performed. </w:t>
            </w:r>
            <w:proofErr w:type="gramStart"/>
            <w:r w:rsidR="004C5F0B">
              <w:rPr>
                <w:rFonts w:ascii="Arial" w:hAnsi="Arial" w:cs="Arial"/>
                <w:sz w:val="18"/>
                <w:szCs w:val="18"/>
                <w:lang w:val="en-AU" w:eastAsia="en-US"/>
              </w:rPr>
              <w:t>At the moment</w:t>
            </w:r>
            <w:proofErr w:type="gramEnd"/>
            <w:r w:rsidR="004C5F0B">
              <w:rPr>
                <w:rFonts w:ascii="Arial" w:hAnsi="Arial" w:cs="Arial"/>
                <w:sz w:val="18"/>
                <w:szCs w:val="18"/>
                <w:lang w:val="en-AU" w:eastAsia="en-US"/>
              </w:rPr>
              <w:t xml:space="preserve"> </w:t>
            </w:r>
            <w:r w:rsidRPr="005F4C28">
              <w:rPr>
                <w:rFonts w:ascii="Arial" w:hAnsi="Arial" w:cs="Arial"/>
                <w:sz w:val="18"/>
                <w:szCs w:val="18"/>
                <w:lang w:val="en-AU" w:eastAsia="en-US"/>
              </w:rPr>
              <w:t>unnecessary tests may be performed when there is no evidence of them adding any value.</w:t>
            </w:r>
          </w:p>
        </w:tc>
        <w:tc>
          <w:tcPr>
            <w:tcW w:w="3118" w:type="dxa"/>
          </w:tcPr>
          <w:p w14:paraId="7F003CA8"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Evidence does not support the test for other gene mutations and does not support use in testing any of these gene mutations in relatives. </w:t>
            </w:r>
          </w:p>
          <w:p w14:paraId="472404FF"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These changes support best clinical practice and prevent unnecessary tests being performed and inappropriate costs. There is no evidence they add any value to patient care or change the way patients are managed.</w:t>
            </w:r>
          </w:p>
        </w:tc>
      </w:tr>
    </w:tbl>
    <w:p w14:paraId="010779D2" w14:textId="77777777" w:rsidR="005F4C28" w:rsidRPr="005F4C28" w:rsidRDefault="005F4C28" w:rsidP="005F4C28">
      <w:pPr>
        <w:rPr>
          <w:lang w:val="en-AU"/>
        </w:rPr>
      </w:pPr>
    </w:p>
    <w:p w14:paraId="16D9299C" w14:textId="77777777" w:rsidR="005F4C28" w:rsidRPr="005F4C28" w:rsidRDefault="005F4C28" w:rsidP="005F4C28">
      <w:pPr>
        <w:rPr>
          <w:lang w:val="en-AU"/>
        </w:rPr>
      </w:pPr>
      <w:r w:rsidRPr="005F4C28">
        <w:rPr>
          <w:rFonts w:eastAsiaTheme="minorHAnsi"/>
          <w:lang w:val="en-AU" w:eastAsia="en-US"/>
        </w:rPr>
        <w:t>Recommendation 10: Chromosome abnormalities products of conception: item 73293</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0"/>
        <w:tblDescription w:val="Appendix C is a summary for consumers. There are 12 recommendation tables listed. Recommendation 10 table looks at a test for chromosome abnormalities products of conception: item 73293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3C7C30C1" w14:textId="77777777" w:rsidTr="0032349A">
        <w:trPr>
          <w:cantSplit/>
          <w:tblHeader/>
        </w:trPr>
        <w:tc>
          <w:tcPr>
            <w:tcW w:w="2126" w:type="dxa"/>
          </w:tcPr>
          <w:p w14:paraId="241E019E"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2E30D55E"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22763381"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2BA2AE79"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1B0C288C"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6DEDDF73" w14:textId="77777777" w:rsidTr="0032349A">
        <w:trPr>
          <w:cantSplit/>
        </w:trPr>
        <w:tc>
          <w:tcPr>
            <w:tcW w:w="2126" w:type="dxa"/>
          </w:tcPr>
          <w:p w14:paraId="03672C8E"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73293</w:t>
            </w:r>
          </w:p>
        </w:tc>
        <w:tc>
          <w:tcPr>
            <w:tcW w:w="3118" w:type="dxa"/>
          </w:tcPr>
          <w:p w14:paraId="2824E382"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 xml:space="preserve">This test is used to identify abnormal genes in placental or </w:t>
            </w:r>
            <w:proofErr w:type="spellStart"/>
            <w:r w:rsidRPr="005F4C28">
              <w:rPr>
                <w:rFonts w:ascii="Arial" w:hAnsi="Arial" w:cs="Arial"/>
                <w:sz w:val="18"/>
                <w:szCs w:val="18"/>
                <w:lang w:val="en-AU" w:eastAsia="en-US"/>
              </w:rPr>
              <w:t>fetal</w:t>
            </w:r>
            <w:proofErr w:type="spellEnd"/>
            <w:r w:rsidRPr="005F4C28">
              <w:rPr>
                <w:rFonts w:ascii="Arial" w:hAnsi="Arial" w:cs="Arial"/>
                <w:sz w:val="18"/>
                <w:szCs w:val="18"/>
                <w:lang w:val="en-AU" w:eastAsia="en-US"/>
              </w:rPr>
              <w:t xml:space="preserve"> tissue after, for example, a miscarriage.</w:t>
            </w:r>
          </w:p>
        </w:tc>
        <w:tc>
          <w:tcPr>
            <w:tcW w:w="3086" w:type="dxa"/>
          </w:tcPr>
          <w:p w14:paraId="2A38B43D"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Add restrictors to ensure that this test is not unnecessarily repeated.</w:t>
            </w:r>
          </w:p>
        </w:tc>
        <w:tc>
          <w:tcPr>
            <w:tcW w:w="2977" w:type="dxa"/>
          </w:tcPr>
          <w:p w14:paraId="5C6762F9"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There would be no difference to patients.</w:t>
            </w:r>
          </w:p>
        </w:tc>
        <w:tc>
          <w:tcPr>
            <w:tcW w:w="3118" w:type="dxa"/>
          </w:tcPr>
          <w:p w14:paraId="054CC9FF"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This will prevent inadvertent claiming of similar tests.</w:t>
            </w:r>
          </w:p>
        </w:tc>
      </w:tr>
    </w:tbl>
    <w:p w14:paraId="59A2383C" w14:textId="77777777" w:rsidR="005F4C28" w:rsidRPr="005F4C28" w:rsidRDefault="005F4C28" w:rsidP="005F4C28">
      <w:pPr>
        <w:spacing w:before="0" w:after="0"/>
        <w:rPr>
          <w:lang w:val="en-AU"/>
        </w:rPr>
      </w:pPr>
    </w:p>
    <w:p w14:paraId="3F544092" w14:textId="77777777" w:rsidR="005F4C28" w:rsidRPr="005F4C28" w:rsidRDefault="005F4C28" w:rsidP="005F4C28">
      <w:pPr>
        <w:spacing w:before="0" w:after="0"/>
        <w:rPr>
          <w:lang w:val="en-AU"/>
        </w:rPr>
      </w:pPr>
    </w:p>
    <w:p w14:paraId="1E3DF4A9" w14:textId="77777777" w:rsidR="005F4C28" w:rsidRPr="005F4C28" w:rsidRDefault="005F4C28" w:rsidP="005F4C28">
      <w:pPr>
        <w:spacing w:before="0" w:after="0"/>
        <w:rPr>
          <w:lang w:val="en-AU"/>
        </w:rPr>
      </w:pPr>
      <w:r w:rsidRPr="005F4C28">
        <w:rPr>
          <w:lang w:val="en-AU"/>
        </w:rPr>
        <w:t>Recommendation 11: Extension of microarray populations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1"/>
        <w:tblDescription w:val="Appendix C is a summary for consumers. There are 12 recommendation tables listed. Recommendation 11 table looks at  the extension of  populations suitable for tests using microarray. Medical supervision of dialysis items.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36E20B79" w14:textId="77777777" w:rsidTr="0032349A">
        <w:trPr>
          <w:cantSplit/>
          <w:tblHeader/>
        </w:trPr>
        <w:tc>
          <w:tcPr>
            <w:tcW w:w="2126" w:type="dxa"/>
          </w:tcPr>
          <w:p w14:paraId="49DFC625"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28C14F9C"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1B17E92B"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7F58D3C2"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0DC0C213"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16F8A9AF" w14:textId="77777777" w:rsidTr="0032349A">
        <w:trPr>
          <w:cantSplit/>
        </w:trPr>
        <w:tc>
          <w:tcPr>
            <w:tcW w:w="2126" w:type="dxa"/>
          </w:tcPr>
          <w:p w14:paraId="18DF001E"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73292- new or amended.</w:t>
            </w:r>
          </w:p>
        </w:tc>
        <w:tc>
          <w:tcPr>
            <w:tcW w:w="3118" w:type="dxa"/>
          </w:tcPr>
          <w:p w14:paraId="3E144C99" w14:textId="77777777" w:rsidR="005F4C28" w:rsidRPr="005F4C28" w:rsidRDefault="005F4C28" w:rsidP="005F4C28">
            <w:pPr>
              <w:spacing w:before="20" w:after="20"/>
              <w:rPr>
                <w:rFonts w:ascii="Arial" w:hAnsi="Arial" w:cs="Arial"/>
                <w:sz w:val="18"/>
                <w:szCs w:val="18"/>
                <w:lang w:val="en-AU" w:eastAsia="en-US"/>
              </w:rPr>
            </w:pPr>
            <w:r w:rsidRPr="005F4C28">
              <w:rPr>
                <w:rFonts w:ascii="Arial" w:eastAsiaTheme="minorHAnsi" w:hAnsi="Arial" w:cs="Arial"/>
                <w:sz w:val="18"/>
                <w:szCs w:val="18"/>
                <w:lang w:val="en-AU" w:eastAsia="en-US"/>
              </w:rPr>
              <w:t xml:space="preserve">Microarray is a medium-resolution technique used to investigate the cause of major </w:t>
            </w:r>
            <w:proofErr w:type="spellStart"/>
            <w:r w:rsidRPr="005F4C28">
              <w:rPr>
                <w:rFonts w:ascii="Arial" w:eastAsiaTheme="minorHAnsi" w:hAnsi="Arial" w:cs="Arial"/>
                <w:sz w:val="18"/>
                <w:szCs w:val="18"/>
                <w:lang w:val="en-AU" w:eastAsia="en-US"/>
              </w:rPr>
              <w:t>fetal</w:t>
            </w:r>
            <w:proofErr w:type="spellEnd"/>
            <w:r w:rsidRPr="005F4C28">
              <w:rPr>
                <w:rFonts w:ascii="Arial" w:eastAsiaTheme="minorHAnsi" w:hAnsi="Arial" w:cs="Arial"/>
                <w:sz w:val="18"/>
                <w:szCs w:val="18"/>
                <w:lang w:val="en-AU" w:eastAsia="en-US"/>
              </w:rPr>
              <w:t xml:space="preserve"> abnormalities and some specific blood diseases.</w:t>
            </w:r>
          </w:p>
        </w:tc>
        <w:tc>
          <w:tcPr>
            <w:tcW w:w="3086" w:type="dxa"/>
          </w:tcPr>
          <w:p w14:paraId="2BCB7149"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Extend the approved indications for this test to include:</w:t>
            </w:r>
          </w:p>
          <w:p w14:paraId="36C5BFFB"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 investigation of major </w:t>
            </w:r>
            <w:proofErr w:type="spellStart"/>
            <w:r w:rsidRPr="005F4C28">
              <w:rPr>
                <w:rFonts w:ascii="Arial" w:eastAsiaTheme="minorHAnsi" w:hAnsi="Arial" w:cs="Arial"/>
                <w:sz w:val="18"/>
                <w:szCs w:val="18"/>
                <w:lang w:val="en-AU" w:eastAsia="en-US"/>
              </w:rPr>
              <w:t>fetal</w:t>
            </w:r>
            <w:proofErr w:type="spellEnd"/>
            <w:r w:rsidRPr="005F4C28">
              <w:rPr>
                <w:rFonts w:ascii="Arial" w:eastAsiaTheme="minorHAnsi" w:hAnsi="Arial" w:cs="Arial"/>
                <w:sz w:val="18"/>
                <w:szCs w:val="18"/>
                <w:lang w:val="en-AU" w:eastAsia="en-US"/>
              </w:rPr>
              <w:t xml:space="preserve"> ultrasound abnormalities and,</w:t>
            </w:r>
          </w:p>
          <w:p w14:paraId="5B62DE71"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 investigation of chronic lymphocytic leukaemia (CLL) and multiple myeloma (MM). </w:t>
            </w:r>
          </w:p>
        </w:tc>
        <w:tc>
          <w:tcPr>
            <w:tcW w:w="2977" w:type="dxa"/>
          </w:tcPr>
          <w:p w14:paraId="7AFC8238"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 xml:space="preserve">This test would be able to be used in more people and enable more accurate and timely diagnosis of either </w:t>
            </w:r>
            <w:proofErr w:type="spellStart"/>
            <w:r w:rsidRPr="005F4C28">
              <w:rPr>
                <w:rFonts w:ascii="Arial" w:hAnsi="Arial" w:cs="Arial"/>
                <w:sz w:val="18"/>
                <w:szCs w:val="18"/>
                <w:lang w:val="en-AU" w:eastAsia="en-US"/>
              </w:rPr>
              <w:t>fetal</w:t>
            </w:r>
            <w:proofErr w:type="spellEnd"/>
            <w:r w:rsidRPr="005F4C28">
              <w:rPr>
                <w:rFonts w:ascii="Arial" w:hAnsi="Arial" w:cs="Arial"/>
                <w:sz w:val="18"/>
                <w:szCs w:val="18"/>
                <w:lang w:val="en-AU" w:eastAsia="en-US"/>
              </w:rPr>
              <w:t xml:space="preserve"> abnormalities or blood diseases. </w:t>
            </w:r>
          </w:p>
        </w:tc>
        <w:tc>
          <w:tcPr>
            <w:tcW w:w="3118" w:type="dxa"/>
          </w:tcPr>
          <w:p w14:paraId="441C9122"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There is strong evidence to support using this test in these new populations. Using the most effective test will enable more accurate and timely diagnosis in these patient groups.</w:t>
            </w:r>
          </w:p>
        </w:tc>
      </w:tr>
    </w:tbl>
    <w:p w14:paraId="5C925A5E" w14:textId="77777777" w:rsidR="005A054A" w:rsidRDefault="005A054A" w:rsidP="005F4C28">
      <w:pPr>
        <w:spacing w:before="0" w:after="0"/>
        <w:rPr>
          <w:lang w:val="en-AU"/>
        </w:rPr>
      </w:pPr>
    </w:p>
    <w:p w14:paraId="75A1A009" w14:textId="77777777" w:rsidR="005A054A" w:rsidRDefault="005A054A" w:rsidP="005A054A">
      <w:pPr>
        <w:rPr>
          <w:lang w:val="en-AU"/>
        </w:rPr>
      </w:pPr>
      <w:r>
        <w:rPr>
          <w:lang w:val="en-AU"/>
        </w:rPr>
        <w:br w:type="page"/>
      </w:r>
    </w:p>
    <w:p w14:paraId="54857BF2" w14:textId="77777777" w:rsidR="005F4C28" w:rsidRPr="005F4C28" w:rsidRDefault="005F4C28" w:rsidP="005F4C28">
      <w:pPr>
        <w:rPr>
          <w:lang w:val="en-AU"/>
        </w:rPr>
      </w:pPr>
      <w:r w:rsidRPr="005F4C28">
        <w:rPr>
          <w:rFonts w:eastAsiaTheme="minorHAnsi"/>
          <w:lang w:val="en-AU" w:eastAsia="en-US"/>
        </w:rPr>
        <w:lastRenderedPageBreak/>
        <w:t>Recommendation 12: Extension of the population and a new gene mutation: item 73325</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2"/>
        <w:tblDescription w:val="Appendix D is a summary for consumers. There are 12 recommendation tables listed. Recommendation 12 table looks at  the extension of the eligible population and a new gene mutation for item 73325.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5F4C28" w:rsidRPr="005F4C28" w14:paraId="336143FF" w14:textId="77777777" w:rsidTr="0032349A">
        <w:trPr>
          <w:cantSplit/>
          <w:tblHeader/>
        </w:trPr>
        <w:tc>
          <w:tcPr>
            <w:tcW w:w="2126" w:type="dxa"/>
          </w:tcPr>
          <w:p w14:paraId="1FF0C45D"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Item </w:t>
            </w:r>
          </w:p>
        </w:tc>
        <w:tc>
          <w:tcPr>
            <w:tcW w:w="3118" w:type="dxa"/>
          </w:tcPr>
          <w:p w14:paraId="72A9E844" w14:textId="77777777" w:rsidR="005F4C28" w:rsidRPr="005F4C28" w:rsidRDefault="005F4C28" w:rsidP="005F4C28">
            <w:pPr>
              <w:spacing w:before="20" w:after="20"/>
              <w:rPr>
                <w:rFonts w:ascii="Arial" w:eastAsiaTheme="minorHAnsi" w:hAnsi="Arial" w:cs="Arial"/>
                <w:b/>
                <w:color w:val="222222"/>
                <w:sz w:val="18"/>
                <w:szCs w:val="18"/>
                <w:lang w:val="en-AU" w:eastAsia="en-US"/>
              </w:rPr>
            </w:pPr>
            <w:r w:rsidRPr="005F4C28">
              <w:rPr>
                <w:rFonts w:ascii="Arial" w:eastAsiaTheme="minorHAnsi" w:hAnsi="Arial" w:cs="Arial"/>
                <w:b/>
                <w:sz w:val="18"/>
                <w:szCs w:val="18"/>
                <w:lang w:val="en-AU" w:eastAsia="en-US"/>
              </w:rPr>
              <w:t xml:space="preserve">What it does </w:t>
            </w:r>
          </w:p>
        </w:tc>
        <w:tc>
          <w:tcPr>
            <w:tcW w:w="3086" w:type="dxa"/>
          </w:tcPr>
          <w:p w14:paraId="7B4079A7"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Committee recommendation</w:t>
            </w:r>
          </w:p>
        </w:tc>
        <w:tc>
          <w:tcPr>
            <w:tcW w:w="2977" w:type="dxa"/>
          </w:tcPr>
          <w:p w14:paraId="7387ECBB"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What would be different</w:t>
            </w:r>
          </w:p>
        </w:tc>
        <w:tc>
          <w:tcPr>
            <w:tcW w:w="3118" w:type="dxa"/>
          </w:tcPr>
          <w:p w14:paraId="4091C5E2" w14:textId="77777777" w:rsidR="005F4C28" w:rsidRPr="005F4C28" w:rsidRDefault="005F4C28" w:rsidP="005F4C28">
            <w:pPr>
              <w:spacing w:before="20" w:after="20"/>
              <w:rPr>
                <w:rFonts w:ascii="Arial" w:eastAsiaTheme="minorHAnsi" w:hAnsi="Arial" w:cs="Arial"/>
                <w:b/>
                <w:sz w:val="18"/>
                <w:szCs w:val="18"/>
                <w:lang w:val="en-AU" w:eastAsia="en-US"/>
              </w:rPr>
            </w:pPr>
            <w:r w:rsidRPr="005F4C28">
              <w:rPr>
                <w:rFonts w:ascii="Arial" w:eastAsiaTheme="minorHAnsi" w:hAnsi="Arial" w:cs="Arial"/>
                <w:b/>
                <w:sz w:val="18"/>
                <w:szCs w:val="18"/>
                <w:lang w:val="en-AU" w:eastAsia="en-US"/>
              </w:rPr>
              <w:t>Why</w:t>
            </w:r>
          </w:p>
        </w:tc>
      </w:tr>
      <w:tr w:rsidR="005F4C28" w:rsidRPr="005F4C28" w14:paraId="4DE2F353" w14:textId="77777777" w:rsidTr="0032349A">
        <w:trPr>
          <w:cantSplit/>
        </w:trPr>
        <w:tc>
          <w:tcPr>
            <w:tcW w:w="2126" w:type="dxa"/>
          </w:tcPr>
          <w:p w14:paraId="357A5FC2"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73325 extended</w:t>
            </w:r>
          </w:p>
        </w:tc>
        <w:tc>
          <w:tcPr>
            <w:tcW w:w="3118" w:type="dxa"/>
          </w:tcPr>
          <w:p w14:paraId="32B87250"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These tests are used to diagnose a group of diseases in which the bone marrow makes too many red blood cells, white blood cells, or platelets.</w:t>
            </w:r>
          </w:p>
        </w:tc>
        <w:tc>
          <w:tcPr>
            <w:tcW w:w="3086" w:type="dxa"/>
          </w:tcPr>
          <w:p w14:paraId="690642EC"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 xml:space="preserve">Add a new gene mutation </w:t>
            </w:r>
            <w:r w:rsidRPr="005F4C28">
              <w:rPr>
                <w:rFonts w:ascii="Arial" w:eastAsiaTheme="minorHAnsi" w:hAnsi="Arial" w:cs="Arial"/>
                <w:i/>
                <w:sz w:val="18"/>
                <w:szCs w:val="18"/>
                <w:lang w:val="en-AU" w:eastAsia="en-US"/>
              </w:rPr>
              <w:t>(CALR)</w:t>
            </w:r>
            <w:r w:rsidRPr="005F4C28">
              <w:rPr>
                <w:rFonts w:ascii="Arial" w:eastAsiaTheme="minorHAnsi" w:hAnsi="Arial" w:cs="Arial"/>
                <w:sz w:val="18"/>
                <w:szCs w:val="18"/>
                <w:lang w:val="en-AU" w:eastAsia="en-US"/>
              </w:rPr>
              <w:t xml:space="preserve"> to the list currently covered by this item, and add a new disease to the list that can be detected (primary myelofibrosis).</w:t>
            </w:r>
          </w:p>
          <w:p w14:paraId="30424C19" w14:textId="77777777" w:rsidR="005F4C28" w:rsidRPr="005F4C28" w:rsidRDefault="005F4C28" w:rsidP="005F4C28">
            <w:pPr>
              <w:spacing w:before="20" w:after="20"/>
              <w:rPr>
                <w:rFonts w:ascii="Arial" w:eastAsiaTheme="minorHAnsi" w:hAnsi="Arial" w:cs="Arial"/>
                <w:sz w:val="18"/>
                <w:szCs w:val="18"/>
                <w:lang w:val="en-AU" w:eastAsia="en-US"/>
              </w:rPr>
            </w:pPr>
          </w:p>
        </w:tc>
        <w:tc>
          <w:tcPr>
            <w:tcW w:w="2977" w:type="dxa"/>
          </w:tcPr>
          <w:p w14:paraId="7A6E384A" w14:textId="77777777" w:rsidR="005F4C28" w:rsidRPr="005F4C28" w:rsidRDefault="005F4C28" w:rsidP="005F4C28">
            <w:pPr>
              <w:spacing w:before="20" w:after="20"/>
              <w:rPr>
                <w:rFonts w:ascii="Arial" w:hAnsi="Arial" w:cs="Arial"/>
                <w:sz w:val="18"/>
                <w:szCs w:val="18"/>
                <w:lang w:val="en-AU" w:eastAsia="en-US"/>
              </w:rPr>
            </w:pPr>
            <w:r w:rsidRPr="005F4C28">
              <w:rPr>
                <w:rFonts w:ascii="Arial" w:hAnsi="Arial" w:cs="Arial"/>
                <w:sz w:val="18"/>
                <w:szCs w:val="18"/>
                <w:lang w:val="en-AU" w:eastAsia="en-US"/>
              </w:rPr>
              <w:t xml:space="preserve">More patients would be able to be tested, and all patients would be tested for an additional gene mutation. This will improve the diagnosis of these diseases. </w:t>
            </w:r>
          </w:p>
        </w:tc>
        <w:tc>
          <w:tcPr>
            <w:tcW w:w="3118" w:type="dxa"/>
          </w:tcPr>
          <w:p w14:paraId="71726D95" w14:textId="77777777" w:rsidR="005F4C28" w:rsidRPr="005F4C28" w:rsidRDefault="005F4C28" w:rsidP="005F4C28">
            <w:pPr>
              <w:spacing w:before="20" w:after="20"/>
              <w:rPr>
                <w:rFonts w:ascii="Arial" w:eastAsiaTheme="minorHAnsi" w:hAnsi="Arial" w:cs="Arial"/>
                <w:sz w:val="18"/>
                <w:szCs w:val="18"/>
                <w:lang w:val="en-AU" w:eastAsia="en-US"/>
              </w:rPr>
            </w:pPr>
            <w:r w:rsidRPr="005F4C28">
              <w:rPr>
                <w:rFonts w:ascii="Arial" w:eastAsiaTheme="minorHAnsi" w:hAnsi="Arial" w:cs="Arial"/>
                <w:sz w:val="18"/>
                <w:szCs w:val="18"/>
                <w:lang w:val="en-AU" w:eastAsia="en-US"/>
              </w:rPr>
              <w:t>Extending the testing to include the new gene mutation and the additional disease is supported by the biomedical literature and will support best clinical practice and enable better diagnosis.</w:t>
            </w:r>
          </w:p>
        </w:tc>
      </w:tr>
      <w:bookmarkEnd w:id="212"/>
      <w:bookmarkEnd w:id="213"/>
      <w:bookmarkEnd w:id="214"/>
      <w:bookmarkEnd w:id="215"/>
    </w:tbl>
    <w:p w14:paraId="169D9D48" w14:textId="77777777" w:rsidR="00C85A0A" w:rsidRPr="00720661" w:rsidRDefault="00C85A0A" w:rsidP="00984BD0">
      <w:pPr>
        <w:spacing w:before="60"/>
        <w:contextualSpacing/>
        <w:rPr>
          <w:lang w:val="en-AU"/>
        </w:rPr>
        <w:sectPr w:rsidR="00C85A0A" w:rsidRPr="00720661" w:rsidSect="00C54F6B">
          <w:footerReference w:type="default" r:id="rId16"/>
          <w:pgSz w:w="16838" w:h="11906" w:orient="landscape" w:code="9"/>
          <w:pgMar w:top="1077" w:right="1440" w:bottom="624" w:left="1276" w:header="720" w:footer="720" w:gutter="0"/>
          <w:paperSrc w:first="2" w:other="2"/>
          <w:cols w:space="720"/>
          <w:docGrid w:linePitch="326"/>
        </w:sectPr>
      </w:pPr>
    </w:p>
    <w:p w14:paraId="37A79CBD" w14:textId="77777777" w:rsidR="00D10783" w:rsidRPr="003B31BB" w:rsidRDefault="00F10518" w:rsidP="00AB472D">
      <w:pPr>
        <w:pStyle w:val="Heading1"/>
        <w:numPr>
          <w:ilvl w:val="0"/>
          <w:numId w:val="0"/>
        </w:numPr>
        <w:ind w:left="432" w:hanging="432"/>
        <w:rPr>
          <w:lang w:val="en-AU"/>
        </w:rPr>
      </w:pPr>
      <w:bookmarkStart w:id="222" w:name="_Toc456045468"/>
      <w:bookmarkStart w:id="223" w:name="_Toc13736024"/>
      <w:r w:rsidRPr="003B31BB">
        <w:rPr>
          <w:lang w:val="en-AU"/>
        </w:rPr>
        <w:lastRenderedPageBreak/>
        <w:t xml:space="preserve">Appendix D: </w:t>
      </w:r>
      <w:r w:rsidR="00D10783" w:rsidRPr="003B31BB">
        <w:rPr>
          <w:lang w:val="en-AU"/>
        </w:rPr>
        <w:t>Glossary</w:t>
      </w:r>
      <w:bookmarkEnd w:id="222"/>
      <w:bookmarkEnd w:id="223"/>
      <w:r w:rsidR="00871A49" w:rsidRPr="003B31BB">
        <w:rPr>
          <w:lang w:val="en-AU"/>
        </w:rPr>
        <w:t xml:space="preserve"> </w:t>
      </w:r>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Glossary"/>
        <w:tblDescription w:val="Glossary table contains two heading columns: terms and their descriptions."/>
      </w:tblPr>
      <w:tblGrid>
        <w:gridCol w:w="2128"/>
        <w:gridCol w:w="6888"/>
      </w:tblGrid>
      <w:tr w:rsidR="00D10783" w:rsidRPr="00720661" w14:paraId="2A17D895" w14:textId="77777777" w:rsidTr="006A1616">
        <w:trPr>
          <w:cnfStyle w:val="100000000000" w:firstRow="1" w:lastRow="0" w:firstColumn="0" w:lastColumn="0" w:oddVBand="0" w:evenVBand="0" w:oddHBand="0" w:evenHBand="0" w:firstRowFirstColumn="0" w:firstRowLastColumn="0" w:lastRowFirstColumn="0" w:lastRowLastColumn="0"/>
          <w:tblHeader/>
        </w:trPr>
        <w:tc>
          <w:tcPr>
            <w:tcW w:w="2128" w:type="dxa"/>
            <w:shd w:val="clear" w:color="auto" w:fill="F2F2F2" w:themeFill="background1" w:themeFillShade="F2"/>
            <w:vAlign w:val="bottom"/>
          </w:tcPr>
          <w:p w14:paraId="3434C060" w14:textId="77777777" w:rsidR="00D10783" w:rsidRPr="00720661" w:rsidRDefault="00D10783" w:rsidP="00D10783">
            <w:pPr>
              <w:pStyle w:val="01Tableheaderrow"/>
              <w:rPr>
                <w:b/>
                <w:lang w:val="en-AU"/>
              </w:rPr>
            </w:pPr>
            <w:r w:rsidRPr="00720661">
              <w:rPr>
                <w:b/>
                <w:lang w:val="en-AU"/>
              </w:rPr>
              <w:t>Term</w:t>
            </w:r>
          </w:p>
        </w:tc>
        <w:tc>
          <w:tcPr>
            <w:tcW w:w="6888" w:type="dxa"/>
            <w:shd w:val="clear" w:color="auto" w:fill="F2F2F2" w:themeFill="background1" w:themeFillShade="F2"/>
            <w:vAlign w:val="bottom"/>
          </w:tcPr>
          <w:p w14:paraId="66C4E1D0" w14:textId="77777777" w:rsidR="00D10783" w:rsidRPr="00720661" w:rsidRDefault="00D10783" w:rsidP="00D10783">
            <w:pPr>
              <w:pStyle w:val="01Tableheaderrow"/>
              <w:rPr>
                <w:b/>
                <w:lang w:val="en-AU"/>
              </w:rPr>
            </w:pPr>
            <w:r w:rsidRPr="00074911">
              <w:rPr>
                <w:lang w:val="en-AU"/>
              </w:rPr>
              <w:t>Description</w:t>
            </w:r>
          </w:p>
        </w:tc>
      </w:tr>
      <w:tr w:rsidR="00FF04B8" w:rsidRPr="00720661" w14:paraId="17A63BB5" w14:textId="77777777" w:rsidTr="006A1616">
        <w:tc>
          <w:tcPr>
            <w:tcW w:w="2128" w:type="dxa"/>
          </w:tcPr>
          <w:p w14:paraId="6FDC94CF" w14:textId="77777777" w:rsidR="00FF04B8" w:rsidRPr="00720661" w:rsidRDefault="00FF04B8" w:rsidP="00D10783">
            <w:pPr>
              <w:pStyle w:val="02Tabletext"/>
              <w:rPr>
                <w:lang w:val="en-AU"/>
              </w:rPr>
            </w:pPr>
            <w:r>
              <w:rPr>
                <w:lang w:val="en-AU"/>
              </w:rPr>
              <w:t>APCR</w:t>
            </w:r>
          </w:p>
        </w:tc>
        <w:tc>
          <w:tcPr>
            <w:tcW w:w="6888" w:type="dxa"/>
          </w:tcPr>
          <w:p w14:paraId="7C45AA61" w14:textId="77777777" w:rsidR="00FF04B8" w:rsidRPr="00720661" w:rsidRDefault="00FF04B8" w:rsidP="00D10783">
            <w:pPr>
              <w:pStyle w:val="02Tabletext"/>
              <w:rPr>
                <w:lang w:val="en-AU"/>
              </w:rPr>
            </w:pPr>
            <w:r w:rsidRPr="00FF04B8">
              <w:rPr>
                <w:iCs/>
              </w:rPr>
              <w:t>Activated protein C resistance – a test used in the investigation of tendency to venous thromboembolism</w:t>
            </w:r>
          </w:p>
        </w:tc>
      </w:tr>
      <w:tr w:rsidR="00D10783" w:rsidRPr="00720661" w14:paraId="6B2C9C1D" w14:textId="77777777" w:rsidTr="006A1616">
        <w:tc>
          <w:tcPr>
            <w:tcW w:w="2128" w:type="dxa"/>
          </w:tcPr>
          <w:p w14:paraId="5F4D5AF4" w14:textId="77777777" w:rsidR="00D10783" w:rsidRPr="00720661" w:rsidRDefault="00D10783" w:rsidP="00D10783">
            <w:pPr>
              <w:pStyle w:val="02Tabletext"/>
              <w:rPr>
                <w:lang w:val="en-AU"/>
              </w:rPr>
            </w:pPr>
            <w:r w:rsidRPr="00720661">
              <w:rPr>
                <w:lang w:val="en-AU"/>
              </w:rPr>
              <w:t>CAGR</w:t>
            </w:r>
          </w:p>
        </w:tc>
        <w:tc>
          <w:tcPr>
            <w:tcW w:w="6888" w:type="dxa"/>
          </w:tcPr>
          <w:p w14:paraId="35A7386E" w14:textId="77777777" w:rsidR="00D10783" w:rsidRPr="00720661" w:rsidRDefault="00D10783" w:rsidP="00D10783">
            <w:pPr>
              <w:pStyle w:val="02Tabletext"/>
              <w:rPr>
                <w:lang w:val="en-AU"/>
              </w:rPr>
            </w:pPr>
            <w:r w:rsidRPr="00720661">
              <w:rPr>
                <w:lang w:val="en-AU"/>
              </w:rPr>
              <w:t xml:space="preserve">Compound annual growth rate, or the average annual growth rate over a specified time period. </w:t>
            </w:r>
          </w:p>
        </w:tc>
      </w:tr>
      <w:tr w:rsidR="00A54553" w:rsidRPr="00720661" w14:paraId="2777987F" w14:textId="77777777" w:rsidTr="006A1616">
        <w:tc>
          <w:tcPr>
            <w:tcW w:w="2128" w:type="dxa"/>
          </w:tcPr>
          <w:p w14:paraId="296E01AB" w14:textId="77777777" w:rsidR="00A54553" w:rsidRPr="00720661" w:rsidRDefault="00A54553" w:rsidP="00A54553">
            <w:pPr>
              <w:pStyle w:val="02Tabletext"/>
              <w:rPr>
                <w:lang w:val="en-AU"/>
              </w:rPr>
            </w:pPr>
            <w:r w:rsidRPr="00720661">
              <w:rPr>
                <w:lang w:val="en-AU"/>
              </w:rPr>
              <w:t>Change</w:t>
            </w:r>
          </w:p>
        </w:tc>
        <w:tc>
          <w:tcPr>
            <w:tcW w:w="6888" w:type="dxa"/>
          </w:tcPr>
          <w:p w14:paraId="7C42BDC8" w14:textId="77777777" w:rsidR="00A54553" w:rsidRPr="00720661" w:rsidRDefault="00A54553" w:rsidP="00A54553">
            <w:pPr>
              <w:pStyle w:val="02Tabletext"/>
              <w:rPr>
                <w:lang w:val="en-AU"/>
              </w:rPr>
            </w:pPr>
            <w:r w:rsidRPr="00720661">
              <w:rPr>
                <w:lang w:val="en-AU"/>
              </w:rPr>
              <w:t>When referring to an item, describes when the item and/or its services will be affected by the recommendations. This could result from a range of recommendations, such as: (</w:t>
            </w:r>
            <w:proofErr w:type="spellStart"/>
            <w:r w:rsidRPr="00720661">
              <w:rPr>
                <w:lang w:val="en-AU"/>
              </w:rPr>
              <w:t>i</w:t>
            </w:r>
            <w:proofErr w:type="spellEnd"/>
            <w:r w:rsidRPr="00720661">
              <w:rPr>
                <w:lang w:val="en-AU"/>
              </w:rPr>
              <w:t xml:space="preserve">) specific recommendations that affect the services provided by changing item descriptors or explanatory notes, (ii) the consolidation of item numbers, and (iii) splitting item numbers (e.g., splitting the current services provided across two or more items). </w:t>
            </w:r>
          </w:p>
        </w:tc>
      </w:tr>
      <w:tr w:rsidR="005D79AA" w:rsidRPr="00720661" w14:paraId="0A94EF56" w14:textId="77777777" w:rsidTr="006A1616">
        <w:tc>
          <w:tcPr>
            <w:tcW w:w="2128" w:type="dxa"/>
          </w:tcPr>
          <w:p w14:paraId="3221F6E9" w14:textId="77777777" w:rsidR="005D79AA" w:rsidRPr="00720661" w:rsidRDefault="005D79AA" w:rsidP="00A54553">
            <w:pPr>
              <w:pStyle w:val="02Tabletext"/>
              <w:rPr>
                <w:lang w:val="en-AU"/>
              </w:rPr>
            </w:pPr>
            <w:r>
              <w:rPr>
                <w:lang w:val="en-AU"/>
              </w:rPr>
              <w:t>CLL</w:t>
            </w:r>
          </w:p>
        </w:tc>
        <w:tc>
          <w:tcPr>
            <w:tcW w:w="6888" w:type="dxa"/>
          </w:tcPr>
          <w:p w14:paraId="5C0A1A04" w14:textId="77777777" w:rsidR="005D79AA" w:rsidRPr="00720661" w:rsidRDefault="005D79AA" w:rsidP="00A54553">
            <w:pPr>
              <w:pStyle w:val="02Tabletext"/>
              <w:rPr>
                <w:lang w:val="en-AU"/>
              </w:rPr>
            </w:pPr>
            <w:r>
              <w:rPr>
                <w:lang w:val="en-AU"/>
              </w:rPr>
              <w:t>Chronic lymphocytic leukaemia</w:t>
            </w:r>
          </w:p>
        </w:tc>
      </w:tr>
      <w:tr w:rsidR="00D10783" w:rsidRPr="00720661" w14:paraId="18FB493D" w14:textId="77777777" w:rsidTr="006A1616">
        <w:tc>
          <w:tcPr>
            <w:tcW w:w="2128" w:type="dxa"/>
          </w:tcPr>
          <w:p w14:paraId="0EAE6E97" w14:textId="77777777" w:rsidR="00D10783" w:rsidRPr="00720661" w:rsidRDefault="00D10783" w:rsidP="00D10783">
            <w:pPr>
              <w:pStyle w:val="02Tabletext"/>
              <w:rPr>
                <w:lang w:val="en-AU"/>
              </w:rPr>
            </w:pPr>
            <w:r w:rsidRPr="00720661">
              <w:rPr>
                <w:lang w:val="en-AU"/>
              </w:rPr>
              <w:t>Department, The</w:t>
            </w:r>
          </w:p>
        </w:tc>
        <w:tc>
          <w:tcPr>
            <w:tcW w:w="6888" w:type="dxa"/>
          </w:tcPr>
          <w:p w14:paraId="54D5611C" w14:textId="77777777" w:rsidR="00D10783" w:rsidRPr="00720661" w:rsidRDefault="00D10783" w:rsidP="00D10783">
            <w:pPr>
              <w:pStyle w:val="02Tabletext"/>
              <w:rPr>
                <w:lang w:val="en-AU"/>
              </w:rPr>
            </w:pPr>
            <w:r w:rsidRPr="00720661">
              <w:rPr>
                <w:lang w:val="en-AU"/>
              </w:rPr>
              <w:t>Australian Government Department of Health</w:t>
            </w:r>
          </w:p>
        </w:tc>
      </w:tr>
      <w:tr w:rsidR="00A54553" w:rsidRPr="00720661" w14:paraId="7F7DF143" w14:textId="77777777" w:rsidTr="006A1616">
        <w:tc>
          <w:tcPr>
            <w:tcW w:w="2128" w:type="dxa"/>
          </w:tcPr>
          <w:p w14:paraId="7B35695F" w14:textId="77777777" w:rsidR="00A54553" w:rsidRPr="00551F4D" w:rsidRDefault="00A54553" w:rsidP="00A54553">
            <w:pPr>
              <w:pStyle w:val="02Tabletext"/>
              <w:rPr>
                <w:lang w:val="en-AU"/>
              </w:rPr>
            </w:pPr>
            <w:r w:rsidRPr="00720661">
              <w:rPr>
                <w:lang w:val="en-AU"/>
              </w:rPr>
              <w:t>Delete</w:t>
            </w:r>
          </w:p>
        </w:tc>
        <w:tc>
          <w:tcPr>
            <w:tcW w:w="6888" w:type="dxa"/>
          </w:tcPr>
          <w:p w14:paraId="4B1854E7" w14:textId="77777777" w:rsidR="00A54553" w:rsidRPr="00720661" w:rsidRDefault="00A54553" w:rsidP="00A54553">
            <w:pPr>
              <w:pStyle w:val="02Tabletext"/>
              <w:rPr>
                <w:lang w:val="en-AU"/>
              </w:rPr>
            </w:pPr>
            <w:r w:rsidRPr="00720661">
              <w:rPr>
                <w:lang w:val="en-AU"/>
              </w:rPr>
              <w:t>Describes when an item is recommended for removal from the MBS and its services will no longer be provided under the MBS.</w:t>
            </w:r>
          </w:p>
        </w:tc>
      </w:tr>
      <w:tr w:rsidR="005D79AA" w:rsidRPr="00720661" w14:paraId="0B8299BF" w14:textId="77777777" w:rsidTr="006A1616">
        <w:tc>
          <w:tcPr>
            <w:tcW w:w="2128" w:type="dxa"/>
          </w:tcPr>
          <w:p w14:paraId="1D9DA542" w14:textId="77777777" w:rsidR="005D79AA" w:rsidRPr="00720661" w:rsidRDefault="005D79AA" w:rsidP="00A54553">
            <w:pPr>
              <w:pStyle w:val="02Tabletext"/>
              <w:rPr>
                <w:lang w:val="en-AU"/>
              </w:rPr>
            </w:pPr>
            <w:r>
              <w:rPr>
                <w:lang w:val="en-AU"/>
              </w:rPr>
              <w:t>ET</w:t>
            </w:r>
          </w:p>
        </w:tc>
        <w:tc>
          <w:tcPr>
            <w:tcW w:w="6888" w:type="dxa"/>
          </w:tcPr>
          <w:p w14:paraId="43D989A7" w14:textId="77777777" w:rsidR="005D79AA" w:rsidRPr="00720661" w:rsidRDefault="005D79AA" w:rsidP="00A54553">
            <w:pPr>
              <w:pStyle w:val="02Tabletext"/>
              <w:rPr>
                <w:lang w:val="en-AU"/>
              </w:rPr>
            </w:pPr>
            <w:r>
              <w:rPr>
                <w:lang w:val="en-AU"/>
              </w:rPr>
              <w:t xml:space="preserve">Essential </w:t>
            </w:r>
            <w:proofErr w:type="spellStart"/>
            <w:r>
              <w:rPr>
                <w:lang w:val="en-AU"/>
              </w:rPr>
              <w:t>t</w:t>
            </w:r>
            <w:r w:rsidRPr="005D79AA">
              <w:rPr>
                <w:lang w:val="en-AU"/>
              </w:rPr>
              <w:t>hrombocythaemia</w:t>
            </w:r>
            <w:proofErr w:type="spellEnd"/>
          </w:p>
        </w:tc>
      </w:tr>
      <w:tr w:rsidR="003D5C76" w:rsidRPr="00720661" w14:paraId="1D60D74F" w14:textId="77777777" w:rsidTr="006A1616">
        <w:tc>
          <w:tcPr>
            <w:tcW w:w="2128" w:type="dxa"/>
          </w:tcPr>
          <w:p w14:paraId="2C50F234" w14:textId="77777777" w:rsidR="003D5C76" w:rsidRPr="00720661" w:rsidRDefault="003D5C76" w:rsidP="00A54553">
            <w:pPr>
              <w:pStyle w:val="02Tabletext"/>
              <w:rPr>
                <w:lang w:val="en-AU"/>
              </w:rPr>
            </w:pPr>
            <w:r>
              <w:rPr>
                <w:lang w:val="en-AU"/>
              </w:rPr>
              <w:t>FISH</w:t>
            </w:r>
          </w:p>
        </w:tc>
        <w:tc>
          <w:tcPr>
            <w:tcW w:w="6888" w:type="dxa"/>
          </w:tcPr>
          <w:p w14:paraId="3868891C" w14:textId="77777777" w:rsidR="003D5C76" w:rsidRPr="00720661" w:rsidRDefault="003D5C76" w:rsidP="00A54553">
            <w:pPr>
              <w:pStyle w:val="02Tabletext"/>
              <w:rPr>
                <w:lang w:val="en-AU"/>
              </w:rPr>
            </w:pPr>
            <w:r>
              <w:t>F</w:t>
            </w:r>
            <w:r w:rsidRPr="003D5C76">
              <w:t>luorescence</w:t>
            </w:r>
            <w:r w:rsidRPr="003D5C76">
              <w:rPr>
                <w:i/>
                <w:iCs/>
              </w:rPr>
              <w:t> </w:t>
            </w:r>
            <w:r w:rsidRPr="003D5C76">
              <w:rPr>
                <w:iCs/>
              </w:rPr>
              <w:t>in situ </w:t>
            </w:r>
            <w:r w:rsidRPr="003D5C76">
              <w:t>hybridization</w:t>
            </w:r>
            <w:r>
              <w:t xml:space="preserve"> </w:t>
            </w:r>
          </w:p>
        </w:tc>
      </w:tr>
      <w:tr w:rsidR="005D79AA" w:rsidRPr="00720661" w14:paraId="0ADEF9B2" w14:textId="77777777" w:rsidTr="006A1616">
        <w:tc>
          <w:tcPr>
            <w:tcW w:w="2128" w:type="dxa"/>
          </w:tcPr>
          <w:p w14:paraId="2730A6E6" w14:textId="77777777" w:rsidR="005D79AA" w:rsidRPr="00720661" w:rsidRDefault="005D79AA" w:rsidP="00D10783">
            <w:pPr>
              <w:pStyle w:val="02Tabletext"/>
              <w:rPr>
                <w:lang w:val="en-AU"/>
              </w:rPr>
            </w:pPr>
            <w:r>
              <w:rPr>
                <w:lang w:val="en-AU"/>
              </w:rPr>
              <w:t>FVL</w:t>
            </w:r>
          </w:p>
        </w:tc>
        <w:tc>
          <w:tcPr>
            <w:tcW w:w="6888" w:type="dxa"/>
          </w:tcPr>
          <w:p w14:paraId="107F9E0C" w14:textId="77777777" w:rsidR="005D79AA" w:rsidRPr="00720661" w:rsidRDefault="005D79AA" w:rsidP="00D10783">
            <w:pPr>
              <w:pStyle w:val="02Tabletext"/>
              <w:rPr>
                <w:lang w:val="en-AU"/>
              </w:rPr>
            </w:pPr>
            <w:r>
              <w:rPr>
                <w:lang w:val="en-AU"/>
              </w:rPr>
              <w:t>Factor V Leiden</w:t>
            </w:r>
          </w:p>
        </w:tc>
      </w:tr>
      <w:tr w:rsidR="00D10783" w:rsidRPr="00720661" w14:paraId="1177EE84" w14:textId="77777777" w:rsidTr="006A1616">
        <w:tc>
          <w:tcPr>
            <w:tcW w:w="2128" w:type="dxa"/>
          </w:tcPr>
          <w:p w14:paraId="271DD225" w14:textId="77777777" w:rsidR="00D10783" w:rsidRPr="00551F4D" w:rsidRDefault="00D10783" w:rsidP="00D10783">
            <w:pPr>
              <w:pStyle w:val="02Tabletext"/>
              <w:rPr>
                <w:lang w:val="en-AU"/>
              </w:rPr>
            </w:pPr>
            <w:r w:rsidRPr="00720661">
              <w:rPr>
                <w:lang w:val="en-AU"/>
              </w:rPr>
              <w:t>FY</w:t>
            </w:r>
          </w:p>
        </w:tc>
        <w:tc>
          <w:tcPr>
            <w:tcW w:w="6888" w:type="dxa"/>
          </w:tcPr>
          <w:p w14:paraId="3E139CEC" w14:textId="77777777" w:rsidR="00D10783" w:rsidRPr="00720661" w:rsidRDefault="00D10783" w:rsidP="00D10783">
            <w:pPr>
              <w:pStyle w:val="02Tabletext"/>
              <w:rPr>
                <w:lang w:val="en-AU"/>
              </w:rPr>
            </w:pPr>
            <w:r w:rsidRPr="00720661">
              <w:rPr>
                <w:lang w:val="en-AU"/>
              </w:rPr>
              <w:t>Financial year</w:t>
            </w:r>
          </w:p>
        </w:tc>
      </w:tr>
      <w:tr w:rsidR="00D10783" w:rsidRPr="00720661" w14:paraId="2EFE4314" w14:textId="77777777" w:rsidTr="006A1616">
        <w:tc>
          <w:tcPr>
            <w:tcW w:w="2128" w:type="dxa"/>
          </w:tcPr>
          <w:p w14:paraId="4105FD31" w14:textId="77777777" w:rsidR="00D10783" w:rsidRPr="00720661" w:rsidRDefault="00D10783" w:rsidP="00D10783">
            <w:pPr>
              <w:pStyle w:val="02Tabletext"/>
              <w:rPr>
                <w:lang w:val="en-AU"/>
              </w:rPr>
            </w:pPr>
            <w:r w:rsidRPr="00720661">
              <w:rPr>
                <w:lang w:val="en-AU"/>
              </w:rPr>
              <w:t>GP</w:t>
            </w:r>
          </w:p>
        </w:tc>
        <w:tc>
          <w:tcPr>
            <w:tcW w:w="6888" w:type="dxa"/>
          </w:tcPr>
          <w:p w14:paraId="1DCF2655" w14:textId="77777777" w:rsidR="00D10783" w:rsidRPr="00720661" w:rsidRDefault="00D10783" w:rsidP="00D10783">
            <w:pPr>
              <w:pStyle w:val="02Tabletext"/>
              <w:rPr>
                <w:lang w:val="en-AU"/>
              </w:rPr>
            </w:pPr>
            <w:r w:rsidRPr="00720661">
              <w:rPr>
                <w:lang w:val="en-AU"/>
              </w:rPr>
              <w:t>General practitioner</w:t>
            </w:r>
          </w:p>
        </w:tc>
      </w:tr>
      <w:tr w:rsidR="00743359" w:rsidRPr="00720661" w14:paraId="5AA44827" w14:textId="77777777" w:rsidTr="00D03CB1">
        <w:tc>
          <w:tcPr>
            <w:tcW w:w="2128" w:type="dxa"/>
            <w:vAlign w:val="center"/>
          </w:tcPr>
          <w:p w14:paraId="6B601295" w14:textId="77777777" w:rsidR="00743359" w:rsidRPr="00720661" w:rsidRDefault="00743359" w:rsidP="00743359">
            <w:pPr>
              <w:pStyle w:val="02Tabletext"/>
              <w:rPr>
                <w:lang w:val="en-AU"/>
              </w:rPr>
            </w:pPr>
            <w:r w:rsidRPr="00720661">
              <w:rPr>
                <w:lang w:val="en-AU"/>
              </w:rPr>
              <w:t>GP</w:t>
            </w:r>
            <w:r w:rsidRPr="00551F4D">
              <w:rPr>
                <w:lang w:val="en-AU"/>
              </w:rPr>
              <w:t>PCCC</w:t>
            </w:r>
          </w:p>
        </w:tc>
        <w:tc>
          <w:tcPr>
            <w:tcW w:w="6888" w:type="dxa"/>
            <w:vAlign w:val="center"/>
          </w:tcPr>
          <w:p w14:paraId="5FB5C06F" w14:textId="77777777" w:rsidR="00743359" w:rsidRPr="00720661" w:rsidRDefault="00743359" w:rsidP="00743359">
            <w:pPr>
              <w:pStyle w:val="02Tabletext"/>
              <w:rPr>
                <w:lang w:val="en-AU"/>
              </w:rPr>
            </w:pPr>
            <w:r w:rsidRPr="00720661">
              <w:rPr>
                <w:lang w:val="en-AU"/>
              </w:rPr>
              <w:t>General Practice and Primary Care Clinical Committee</w:t>
            </w:r>
          </w:p>
        </w:tc>
      </w:tr>
      <w:tr w:rsidR="00D10783" w:rsidRPr="00720661" w14:paraId="08B358F1" w14:textId="77777777" w:rsidTr="006A1616">
        <w:tc>
          <w:tcPr>
            <w:tcW w:w="2128" w:type="dxa"/>
          </w:tcPr>
          <w:p w14:paraId="6B70D43C" w14:textId="77777777" w:rsidR="00D10783" w:rsidRPr="00720661" w:rsidRDefault="00D10783" w:rsidP="00D10783">
            <w:pPr>
              <w:pStyle w:val="02Tabletext"/>
              <w:rPr>
                <w:lang w:val="en-AU"/>
              </w:rPr>
            </w:pPr>
            <w:r w:rsidRPr="00720661">
              <w:rPr>
                <w:lang w:val="en-AU"/>
              </w:rPr>
              <w:t>High-value care</w:t>
            </w:r>
          </w:p>
        </w:tc>
        <w:tc>
          <w:tcPr>
            <w:tcW w:w="6888" w:type="dxa"/>
          </w:tcPr>
          <w:p w14:paraId="628AFA5B" w14:textId="77777777" w:rsidR="00D10783" w:rsidRPr="00720661" w:rsidRDefault="00D10783" w:rsidP="00D10783">
            <w:pPr>
              <w:pStyle w:val="02Tabletext"/>
              <w:rPr>
                <w:lang w:val="en-AU"/>
              </w:rPr>
            </w:pPr>
            <w:r w:rsidRPr="00720661">
              <w:rPr>
                <w:lang w:val="en-AU"/>
              </w:rPr>
              <w:t>Services of proven efficacy reflecting current best medical practice, or for which the potential benefit to consumers exceeds the risk and costs.</w:t>
            </w:r>
          </w:p>
        </w:tc>
      </w:tr>
      <w:tr w:rsidR="00FF04B8" w:rsidRPr="00720661" w14:paraId="20D57144" w14:textId="77777777" w:rsidTr="006A1616">
        <w:tc>
          <w:tcPr>
            <w:tcW w:w="2128" w:type="dxa"/>
          </w:tcPr>
          <w:p w14:paraId="6367CDE5" w14:textId="77777777" w:rsidR="00FF04B8" w:rsidRPr="00720661" w:rsidRDefault="00FF04B8" w:rsidP="00D10783">
            <w:pPr>
              <w:pStyle w:val="02Tabletext"/>
              <w:rPr>
                <w:lang w:val="en-AU"/>
              </w:rPr>
            </w:pPr>
            <w:r>
              <w:rPr>
                <w:lang w:val="en-AU"/>
              </w:rPr>
              <w:t>IHC</w:t>
            </w:r>
          </w:p>
        </w:tc>
        <w:tc>
          <w:tcPr>
            <w:tcW w:w="6888" w:type="dxa"/>
          </w:tcPr>
          <w:p w14:paraId="2052BAD0" w14:textId="77777777" w:rsidR="00FF04B8" w:rsidRPr="00720661" w:rsidRDefault="00FF04B8" w:rsidP="00D10783">
            <w:pPr>
              <w:pStyle w:val="02Tabletext"/>
              <w:rPr>
                <w:lang w:val="en-AU"/>
              </w:rPr>
            </w:pPr>
            <w:r w:rsidRPr="00FF04B8">
              <w:t>immunohistochemistry</w:t>
            </w:r>
          </w:p>
        </w:tc>
      </w:tr>
      <w:tr w:rsidR="00D10783" w:rsidRPr="00720661" w14:paraId="67CB3167" w14:textId="77777777" w:rsidTr="006A1616">
        <w:tc>
          <w:tcPr>
            <w:tcW w:w="2128" w:type="dxa"/>
          </w:tcPr>
          <w:p w14:paraId="3766FDEB" w14:textId="77777777" w:rsidR="00D10783" w:rsidRPr="00720661" w:rsidRDefault="00D10783" w:rsidP="00D10783">
            <w:pPr>
              <w:pStyle w:val="02Tabletext"/>
              <w:rPr>
                <w:lang w:val="en-AU"/>
              </w:rPr>
            </w:pPr>
            <w:r w:rsidRPr="00720661">
              <w:rPr>
                <w:lang w:val="en-AU"/>
              </w:rPr>
              <w:t>Inappropriate use / misuse</w:t>
            </w:r>
          </w:p>
        </w:tc>
        <w:tc>
          <w:tcPr>
            <w:tcW w:w="6888" w:type="dxa"/>
          </w:tcPr>
          <w:p w14:paraId="0527ED67" w14:textId="77777777" w:rsidR="00D10783" w:rsidRPr="00720661" w:rsidRDefault="00D10783" w:rsidP="00D10783">
            <w:pPr>
              <w:pStyle w:val="02Tabletext"/>
              <w:rPr>
                <w:lang w:val="en-AU"/>
              </w:rPr>
            </w:pPr>
            <w:r w:rsidRPr="00720661">
              <w:rPr>
                <w:lang w:val="en-AU"/>
              </w:rPr>
              <w:t>The use of MBS services for purposes other than those intended. This includes a range of behaviours, from failing to adhere to particular item descriptors or rules through to deliberate fraud.</w:t>
            </w:r>
          </w:p>
        </w:tc>
      </w:tr>
      <w:tr w:rsidR="00A8091F" w:rsidRPr="00720661" w14:paraId="6FF372C2" w14:textId="77777777" w:rsidTr="006A1616">
        <w:tc>
          <w:tcPr>
            <w:tcW w:w="2128" w:type="dxa"/>
          </w:tcPr>
          <w:p w14:paraId="793323F7" w14:textId="77777777" w:rsidR="00A8091F" w:rsidRPr="00743359" w:rsidRDefault="003D5C76" w:rsidP="00D10783">
            <w:pPr>
              <w:pStyle w:val="02Tabletext"/>
              <w:rPr>
                <w:highlight w:val="yellow"/>
                <w:lang w:val="en-AU"/>
              </w:rPr>
            </w:pPr>
            <w:r>
              <w:rPr>
                <w:lang w:val="en-AU"/>
              </w:rPr>
              <w:t>ISH</w:t>
            </w:r>
          </w:p>
        </w:tc>
        <w:tc>
          <w:tcPr>
            <w:tcW w:w="6888" w:type="dxa"/>
          </w:tcPr>
          <w:p w14:paraId="39F7BBFC" w14:textId="77777777" w:rsidR="00A8091F" w:rsidRPr="00D03CB1" w:rsidRDefault="003D5C76" w:rsidP="003D5C76">
            <w:pPr>
              <w:pStyle w:val="02Tabletext"/>
              <w:rPr>
                <w:lang w:val="en-AU"/>
              </w:rPr>
            </w:pPr>
            <w:r>
              <w:rPr>
                <w:lang w:val="en-AU"/>
              </w:rPr>
              <w:t xml:space="preserve">In Situ Hybridization </w:t>
            </w:r>
          </w:p>
        </w:tc>
      </w:tr>
      <w:tr w:rsidR="00743359" w:rsidRPr="00720661" w14:paraId="3D422C30" w14:textId="77777777" w:rsidTr="006A1616">
        <w:tc>
          <w:tcPr>
            <w:tcW w:w="2128" w:type="dxa"/>
          </w:tcPr>
          <w:p w14:paraId="69866FDD" w14:textId="77777777" w:rsidR="00743359" w:rsidRPr="006A1616" w:rsidRDefault="001D7B44" w:rsidP="00D10783">
            <w:pPr>
              <w:pStyle w:val="02Tabletext"/>
              <w:rPr>
                <w:lang w:val="en-AU"/>
              </w:rPr>
            </w:pPr>
            <w:r w:rsidRPr="006A1616">
              <w:rPr>
                <w:lang w:val="en-AU"/>
              </w:rPr>
              <w:t>K</w:t>
            </w:r>
            <w:r w:rsidR="00743359" w:rsidRPr="006A1616">
              <w:rPr>
                <w:lang w:val="en-AU"/>
              </w:rPr>
              <w:t>aryotyping</w:t>
            </w:r>
          </w:p>
        </w:tc>
        <w:tc>
          <w:tcPr>
            <w:tcW w:w="6888" w:type="dxa"/>
          </w:tcPr>
          <w:p w14:paraId="657E66FF" w14:textId="77777777" w:rsidR="00743359" w:rsidRPr="006A1616" w:rsidRDefault="00D03CB1" w:rsidP="00807710">
            <w:pPr>
              <w:pStyle w:val="02Tabletext"/>
              <w:rPr>
                <w:lang w:val="en-AU"/>
              </w:rPr>
            </w:pPr>
            <w:r w:rsidRPr="006A1616">
              <w:rPr>
                <w:lang w:val="en-AU"/>
              </w:rPr>
              <w:t>Identifying</w:t>
            </w:r>
            <w:r w:rsidR="00902477" w:rsidRPr="006A1616">
              <w:rPr>
                <w:lang w:val="en-AU"/>
              </w:rPr>
              <w:t xml:space="preserve"> and evaluating the size, shape, and number of chromosomes in a sample of body cells.</w:t>
            </w:r>
          </w:p>
        </w:tc>
      </w:tr>
      <w:tr w:rsidR="003B675D" w:rsidRPr="00720661" w14:paraId="62627916" w14:textId="77777777" w:rsidTr="006A1616">
        <w:tc>
          <w:tcPr>
            <w:tcW w:w="2128" w:type="dxa"/>
          </w:tcPr>
          <w:p w14:paraId="2EA60854" w14:textId="77777777" w:rsidR="003B675D" w:rsidRPr="00551F4D" w:rsidRDefault="00355705" w:rsidP="00D10783">
            <w:pPr>
              <w:pStyle w:val="02Tabletext"/>
              <w:rPr>
                <w:lang w:val="en-AU"/>
              </w:rPr>
            </w:pPr>
            <w:r w:rsidRPr="00720661">
              <w:rPr>
                <w:lang w:val="en-AU"/>
              </w:rPr>
              <w:t>kb</w:t>
            </w:r>
          </w:p>
        </w:tc>
        <w:tc>
          <w:tcPr>
            <w:tcW w:w="6888" w:type="dxa"/>
          </w:tcPr>
          <w:p w14:paraId="329A3EA8" w14:textId="77777777" w:rsidR="003B675D" w:rsidRPr="00720661" w:rsidRDefault="00355705" w:rsidP="00807710">
            <w:pPr>
              <w:pStyle w:val="02Tabletext"/>
              <w:rPr>
                <w:lang w:val="en-AU"/>
              </w:rPr>
            </w:pPr>
            <w:r w:rsidRPr="00720661">
              <w:rPr>
                <w:lang w:val="en-AU"/>
              </w:rPr>
              <w:t xml:space="preserve">kilobase: </w:t>
            </w:r>
            <w:r w:rsidR="004324D4" w:rsidRPr="00720661">
              <w:rPr>
                <w:lang w:val="en-AU"/>
              </w:rPr>
              <w:t>a measurement of the size of a piece of DNA/RNA (</w:t>
            </w:r>
            <w:r w:rsidRPr="00720661">
              <w:rPr>
                <w:lang w:val="en-AU"/>
              </w:rPr>
              <w:t>1000 contiguous nucleotide bases in a strand of DNA or RNA</w:t>
            </w:r>
            <w:r w:rsidR="004324D4" w:rsidRPr="00720661">
              <w:rPr>
                <w:lang w:val="en-AU"/>
              </w:rPr>
              <w:t>).</w:t>
            </w:r>
          </w:p>
        </w:tc>
      </w:tr>
      <w:tr w:rsidR="00D10783" w:rsidRPr="00720661" w14:paraId="69427E7F" w14:textId="77777777" w:rsidTr="006A1616">
        <w:tc>
          <w:tcPr>
            <w:tcW w:w="2128" w:type="dxa"/>
          </w:tcPr>
          <w:p w14:paraId="76CC3AD3" w14:textId="77777777" w:rsidR="00D10783" w:rsidRPr="00720661" w:rsidRDefault="00D10783" w:rsidP="00D10783">
            <w:pPr>
              <w:pStyle w:val="02Tabletext"/>
              <w:rPr>
                <w:lang w:val="en-AU"/>
              </w:rPr>
            </w:pPr>
            <w:r w:rsidRPr="00720661">
              <w:rPr>
                <w:lang w:val="en-AU"/>
              </w:rPr>
              <w:t>Low-value care</w:t>
            </w:r>
          </w:p>
        </w:tc>
        <w:tc>
          <w:tcPr>
            <w:tcW w:w="6888" w:type="dxa"/>
          </w:tcPr>
          <w:p w14:paraId="13F997D5" w14:textId="77777777" w:rsidR="00D10783" w:rsidRPr="00720661" w:rsidRDefault="00D10783" w:rsidP="00D10783">
            <w:pPr>
              <w:pStyle w:val="02Tabletext"/>
              <w:rPr>
                <w:lang w:val="en-AU"/>
              </w:rPr>
            </w:pPr>
            <w:r w:rsidRPr="00720661">
              <w:rPr>
                <w:lang w:val="en-AU"/>
              </w:rPr>
              <w:t>Services that evidence suggests confer no or very little benefit to consumers; or for which the risk of harm exceeds the likely benefit; or, more broadly, where the added costs of services do not provide proportional added benefits.</w:t>
            </w:r>
          </w:p>
        </w:tc>
      </w:tr>
      <w:tr w:rsidR="00D10783" w:rsidRPr="00720661" w14:paraId="53A92173" w14:textId="77777777" w:rsidTr="006A1616">
        <w:tc>
          <w:tcPr>
            <w:tcW w:w="2128" w:type="dxa"/>
            <w:vAlign w:val="center"/>
          </w:tcPr>
          <w:p w14:paraId="36FBD037" w14:textId="77777777" w:rsidR="00D10783" w:rsidRPr="00720661" w:rsidRDefault="00D10783" w:rsidP="00D10783">
            <w:pPr>
              <w:pStyle w:val="02Tabletext"/>
              <w:rPr>
                <w:lang w:val="en-AU"/>
              </w:rPr>
            </w:pPr>
            <w:r w:rsidRPr="00720661">
              <w:rPr>
                <w:lang w:val="en-AU"/>
              </w:rPr>
              <w:t>MBS</w:t>
            </w:r>
          </w:p>
        </w:tc>
        <w:tc>
          <w:tcPr>
            <w:tcW w:w="6888" w:type="dxa"/>
            <w:vAlign w:val="center"/>
          </w:tcPr>
          <w:p w14:paraId="756F8E0B" w14:textId="77777777" w:rsidR="00D10783" w:rsidRPr="00720661" w:rsidRDefault="00D10783" w:rsidP="00D10783">
            <w:pPr>
              <w:pStyle w:val="02Tabletext"/>
              <w:rPr>
                <w:lang w:val="en-AU"/>
              </w:rPr>
            </w:pPr>
            <w:r w:rsidRPr="00720661">
              <w:rPr>
                <w:lang w:val="en-AU"/>
              </w:rPr>
              <w:t xml:space="preserve">Medicare Benefits Schedule </w:t>
            </w:r>
          </w:p>
        </w:tc>
      </w:tr>
      <w:tr w:rsidR="00D10783" w:rsidRPr="00720661" w14:paraId="74AD3BFD" w14:textId="77777777" w:rsidTr="006A1616">
        <w:tc>
          <w:tcPr>
            <w:tcW w:w="2128" w:type="dxa"/>
          </w:tcPr>
          <w:p w14:paraId="1A751085" w14:textId="77777777" w:rsidR="00D10783" w:rsidRPr="00720661" w:rsidRDefault="00D10783" w:rsidP="00D10783">
            <w:pPr>
              <w:pStyle w:val="02Tabletext"/>
              <w:rPr>
                <w:lang w:val="en-AU"/>
              </w:rPr>
            </w:pPr>
            <w:r w:rsidRPr="00720661">
              <w:rPr>
                <w:lang w:val="en-AU"/>
              </w:rPr>
              <w:t>MBS item</w:t>
            </w:r>
          </w:p>
        </w:tc>
        <w:tc>
          <w:tcPr>
            <w:tcW w:w="6888" w:type="dxa"/>
          </w:tcPr>
          <w:p w14:paraId="18078CB2" w14:textId="77777777" w:rsidR="00D10783" w:rsidRPr="00720661" w:rsidRDefault="00D10783" w:rsidP="00D10783">
            <w:pPr>
              <w:pStyle w:val="02Tabletext"/>
              <w:rPr>
                <w:lang w:val="en-AU"/>
              </w:rPr>
            </w:pPr>
            <w:r w:rsidRPr="00720661">
              <w:rPr>
                <w:lang w:val="en-AU"/>
              </w:rPr>
              <w:t>An administrative object listed in the MBS and used for the purposes of claiming and paying Medicare benefits, consisting of an item number, service descriptor and supporting information, schedule fee and Medicare benefits.</w:t>
            </w:r>
          </w:p>
        </w:tc>
      </w:tr>
      <w:tr w:rsidR="00D10783" w:rsidRPr="00720661" w14:paraId="2F9EE7E6" w14:textId="77777777" w:rsidTr="006A1616">
        <w:tc>
          <w:tcPr>
            <w:tcW w:w="2128" w:type="dxa"/>
          </w:tcPr>
          <w:p w14:paraId="34E34302" w14:textId="77777777" w:rsidR="00D10783" w:rsidRPr="00720661" w:rsidRDefault="00D10783" w:rsidP="00D10783">
            <w:pPr>
              <w:pStyle w:val="02Tabletext"/>
              <w:rPr>
                <w:lang w:val="en-AU"/>
              </w:rPr>
            </w:pPr>
            <w:r w:rsidRPr="00720661">
              <w:rPr>
                <w:lang w:val="en-AU"/>
              </w:rPr>
              <w:t>MBS service</w:t>
            </w:r>
          </w:p>
        </w:tc>
        <w:tc>
          <w:tcPr>
            <w:tcW w:w="6888" w:type="dxa"/>
          </w:tcPr>
          <w:p w14:paraId="0D8E855D" w14:textId="77777777" w:rsidR="00D10783" w:rsidRPr="00720661" w:rsidRDefault="00D10783" w:rsidP="00D10783">
            <w:pPr>
              <w:pStyle w:val="02Tabletext"/>
              <w:rPr>
                <w:lang w:val="en-AU"/>
              </w:rPr>
            </w:pPr>
            <w:r w:rsidRPr="00720661">
              <w:rPr>
                <w:lang w:val="en-AU"/>
              </w:rPr>
              <w:t>The actual medical consultation, procedure or test to which the relevant MBS item refers.</w:t>
            </w:r>
          </w:p>
        </w:tc>
      </w:tr>
      <w:tr w:rsidR="00830302" w:rsidRPr="00720661" w14:paraId="4A25A774" w14:textId="77777777" w:rsidTr="006A1616">
        <w:tc>
          <w:tcPr>
            <w:tcW w:w="2128" w:type="dxa"/>
          </w:tcPr>
          <w:p w14:paraId="7E333559" w14:textId="77777777" w:rsidR="00830302" w:rsidRPr="00720661" w:rsidRDefault="005D79AA" w:rsidP="00D10783">
            <w:pPr>
              <w:pStyle w:val="02Tabletext"/>
              <w:rPr>
                <w:lang w:val="en-AU"/>
              </w:rPr>
            </w:pPr>
            <w:r>
              <w:rPr>
                <w:lang w:val="en-AU"/>
              </w:rPr>
              <w:t xml:space="preserve">Microarray, </w:t>
            </w:r>
            <w:r w:rsidR="00EF08A9" w:rsidRPr="00720661">
              <w:rPr>
                <w:lang w:val="en-AU"/>
              </w:rPr>
              <w:t>Chromosome microarray (CMA)</w:t>
            </w:r>
          </w:p>
        </w:tc>
        <w:tc>
          <w:tcPr>
            <w:tcW w:w="6888" w:type="dxa"/>
          </w:tcPr>
          <w:p w14:paraId="0D928C86" w14:textId="77777777" w:rsidR="00830302" w:rsidRPr="00720661" w:rsidRDefault="00EF08A9" w:rsidP="00D10783">
            <w:pPr>
              <w:pStyle w:val="02Tabletext"/>
              <w:rPr>
                <w:lang w:val="en-AU"/>
              </w:rPr>
            </w:pPr>
            <w:r w:rsidRPr="003B31BB">
              <w:rPr>
                <w:lang w:val="en-AU"/>
              </w:rPr>
              <w:t>A chromosome microarray is a test which detects extra or missing segments of DNA in a person’s genome.</w:t>
            </w:r>
            <w:r w:rsidRPr="003B31BB">
              <w:rPr>
                <w:rFonts w:eastAsia="Times New Roman"/>
                <w:lang w:val="en-AU" w:eastAsia="en-AU"/>
              </w:rPr>
              <w:t xml:space="preserve"> Chromosome</w:t>
            </w:r>
            <w:r w:rsidRPr="003B31BB">
              <w:rPr>
                <w:rFonts w:asciiTheme="minorHAnsi" w:eastAsia="Times New Roman" w:hAnsiTheme="minorHAnsi" w:cs="Times New Roman"/>
                <w:sz w:val="22"/>
                <w:szCs w:val="24"/>
                <w:lang w:val="en-AU" w:eastAsia="en-AU"/>
              </w:rPr>
              <w:t xml:space="preserve"> </w:t>
            </w:r>
            <w:r w:rsidRPr="003B31BB">
              <w:rPr>
                <w:lang w:val="en-AU"/>
              </w:rPr>
              <w:t>microarrays can detect much more subtle copy number variants than conventional chromosome analysis (also known as karyotype analysis) and so are more effective at finding the cause of developmental or other health problems.</w:t>
            </w:r>
          </w:p>
        </w:tc>
      </w:tr>
      <w:tr w:rsidR="005D79AA" w:rsidRPr="00720661" w14:paraId="6F3E794D" w14:textId="77777777" w:rsidTr="006A1616">
        <w:tc>
          <w:tcPr>
            <w:tcW w:w="2128" w:type="dxa"/>
          </w:tcPr>
          <w:p w14:paraId="2195DE84" w14:textId="77777777" w:rsidR="005D79AA" w:rsidRPr="00720661" w:rsidRDefault="005D79AA" w:rsidP="00D10783">
            <w:pPr>
              <w:pStyle w:val="02Tabletext"/>
              <w:rPr>
                <w:lang w:val="en-AU"/>
              </w:rPr>
            </w:pPr>
            <w:r>
              <w:rPr>
                <w:lang w:val="en-AU"/>
              </w:rPr>
              <w:t>MM</w:t>
            </w:r>
          </w:p>
        </w:tc>
        <w:tc>
          <w:tcPr>
            <w:tcW w:w="6888" w:type="dxa"/>
          </w:tcPr>
          <w:p w14:paraId="0D862B79" w14:textId="77777777" w:rsidR="005D79AA" w:rsidRPr="00720661" w:rsidRDefault="005D79AA" w:rsidP="00D10783">
            <w:pPr>
              <w:pStyle w:val="02Tabletext"/>
              <w:rPr>
                <w:lang w:val="en-AU"/>
              </w:rPr>
            </w:pPr>
            <w:r>
              <w:rPr>
                <w:lang w:val="en-AU"/>
              </w:rPr>
              <w:t>Multiple myeloma</w:t>
            </w:r>
          </w:p>
        </w:tc>
      </w:tr>
      <w:tr w:rsidR="00D10783" w:rsidRPr="00720661" w14:paraId="4F3C76D1" w14:textId="77777777" w:rsidTr="006A1616">
        <w:tc>
          <w:tcPr>
            <w:tcW w:w="2128" w:type="dxa"/>
          </w:tcPr>
          <w:p w14:paraId="4AC06F97" w14:textId="77777777" w:rsidR="00D10783" w:rsidRPr="00720661" w:rsidRDefault="00D10783" w:rsidP="00D10783">
            <w:pPr>
              <w:pStyle w:val="02Tabletext"/>
              <w:rPr>
                <w:lang w:val="en-AU"/>
              </w:rPr>
            </w:pPr>
            <w:r w:rsidRPr="00720661">
              <w:rPr>
                <w:lang w:val="en-AU"/>
              </w:rPr>
              <w:lastRenderedPageBreak/>
              <w:t>MSAC</w:t>
            </w:r>
          </w:p>
        </w:tc>
        <w:tc>
          <w:tcPr>
            <w:tcW w:w="6888" w:type="dxa"/>
          </w:tcPr>
          <w:p w14:paraId="5385CDFE" w14:textId="77777777" w:rsidR="00D10783" w:rsidRPr="00720661" w:rsidRDefault="00D10783" w:rsidP="00D10783">
            <w:pPr>
              <w:pStyle w:val="02Tabletext"/>
              <w:rPr>
                <w:lang w:val="en-AU"/>
              </w:rPr>
            </w:pPr>
            <w:r w:rsidRPr="00720661">
              <w:rPr>
                <w:lang w:val="en-AU"/>
              </w:rPr>
              <w:t>Medical Services Advisory Committee</w:t>
            </w:r>
          </w:p>
        </w:tc>
      </w:tr>
      <w:tr w:rsidR="00A54553" w:rsidRPr="00720661" w14:paraId="00173880" w14:textId="77777777" w:rsidTr="006A1616">
        <w:tc>
          <w:tcPr>
            <w:tcW w:w="2128" w:type="dxa"/>
          </w:tcPr>
          <w:p w14:paraId="5DA71F31" w14:textId="77777777" w:rsidR="00A54553" w:rsidRPr="00551F4D" w:rsidRDefault="00A54553" w:rsidP="00A54553">
            <w:pPr>
              <w:pStyle w:val="02Tabletext"/>
              <w:rPr>
                <w:lang w:val="en-AU"/>
              </w:rPr>
            </w:pPr>
            <w:r w:rsidRPr="00720661">
              <w:rPr>
                <w:lang w:val="en-AU"/>
              </w:rPr>
              <w:t xml:space="preserve">No change or unchanged </w:t>
            </w:r>
          </w:p>
        </w:tc>
        <w:tc>
          <w:tcPr>
            <w:tcW w:w="6888" w:type="dxa"/>
          </w:tcPr>
          <w:p w14:paraId="6F6490E3" w14:textId="77777777" w:rsidR="00A54553" w:rsidRPr="00720661" w:rsidRDefault="00A54553" w:rsidP="00A54553">
            <w:pPr>
              <w:pStyle w:val="02Tabletext"/>
              <w:rPr>
                <w:lang w:val="en-AU"/>
              </w:rPr>
            </w:pPr>
            <w:r w:rsidRPr="00720661">
              <w:rPr>
                <w:lang w:val="en-AU"/>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D10783" w:rsidRPr="00720661" w14:paraId="73E9263E" w14:textId="77777777" w:rsidTr="006A1616">
        <w:tc>
          <w:tcPr>
            <w:tcW w:w="2128" w:type="dxa"/>
          </w:tcPr>
          <w:p w14:paraId="15DF267F" w14:textId="77777777" w:rsidR="00D10783" w:rsidRPr="00720661" w:rsidRDefault="00D10783" w:rsidP="00D10783">
            <w:pPr>
              <w:pStyle w:val="02Tabletext"/>
              <w:rPr>
                <w:lang w:val="en-AU"/>
              </w:rPr>
            </w:pPr>
            <w:r w:rsidRPr="00720661">
              <w:rPr>
                <w:lang w:val="en-AU"/>
              </w:rPr>
              <w:t>Obsolete services</w:t>
            </w:r>
          </w:p>
        </w:tc>
        <w:tc>
          <w:tcPr>
            <w:tcW w:w="6888" w:type="dxa"/>
          </w:tcPr>
          <w:p w14:paraId="2CD49F1F" w14:textId="77777777" w:rsidR="00D10783" w:rsidRPr="00720661" w:rsidRDefault="00D10783" w:rsidP="00D10783">
            <w:pPr>
              <w:pStyle w:val="02Tabletext"/>
              <w:rPr>
                <w:lang w:val="en-AU"/>
              </w:rPr>
            </w:pPr>
            <w:r w:rsidRPr="00720661">
              <w:rPr>
                <w:lang w:val="en-AU"/>
              </w:rPr>
              <w:t>Services that should no longer be provided as they do not represent current clinical best practice and have been superseded by superior tests or procedures.</w:t>
            </w:r>
          </w:p>
        </w:tc>
      </w:tr>
      <w:tr w:rsidR="001F4DA1" w:rsidRPr="006A1616" w14:paraId="432DA421" w14:textId="77777777" w:rsidTr="006A1616">
        <w:tc>
          <w:tcPr>
            <w:tcW w:w="2128" w:type="dxa"/>
          </w:tcPr>
          <w:p w14:paraId="526D192D" w14:textId="77777777" w:rsidR="001F4DA1" w:rsidRPr="006A1616" w:rsidRDefault="001F4DA1" w:rsidP="00D10783">
            <w:pPr>
              <w:pStyle w:val="02Tabletext"/>
              <w:rPr>
                <w:lang w:val="en-AU"/>
              </w:rPr>
            </w:pPr>
            <w:r w:rsidRPr="006A1616">
              <w:rPr>
                <w:lang w:val="en-AU"/>
              </w:rPr>
              <w:t>Pathologist determinable</w:t>
            </w:r>
          </w:p>
        </w:tc>
        <w:tc>
          <w:tcPr>
            <w:tcW w:w="6888" w:type="dxa"/>
          </w:tcPr>
          <w:p w14:paraId="3E6BA88B" w14:textId="77777777" w:rsidR="001F4DA1" w:rsidRPr="006A1616" w:rsidRDefault="00B21B56" w:rsidP="00D10783">
            <w:pPr>
              <w:pStyle w:val="02Tabletext"/>
              <w:rPr>
                <w:lang w:val="en-AU"/>
              </w:rPr>
            </w:pPr>
            <w:r w:rsidRPr="006A1616">
              <w:rPr>
                <w:lang w:val="en-AU"/>
              </w:rPr>
              <w:t xml:space="preserve">Certain tests on the MBS are ‘pathologist determinable’, meaning that a pathologist can add them on to a request without a written request from the clinician </w:t>
            </w:r>
            <w:r w:rsidR="00D03CB1">
              <w:rPr>
                <w:lang w:val="en-AU"/>
              </w:rPr>
              <w:t xml:space="preserve">ordering the test </w:t>
            </w:r>
            <w:r w:rsidR="00D03CB1" w:rsidRPr="00D03CB1">
              <w:rPr>
                <w:lang w:val="en-AU"/>
              </w:rPr>
              <w:t>if the pathologist, on the basis of requested test outcomes, determines they are necessary.</w:t>
            </w:r>
          </w:p>
        </w:tc>
      </w:tr>
      <w:tr w:rsidR="00D10783" w:rsidRPr="00720661" w14:paraId="0BF6DA03" w14:textId="77777777" w:rsidTr="006A1616">
        <w:tc>
          <w:tcPr>
            <w:tcW w:w="2128" w:type="dxa"/>
          </w:tcPr>
          <w:p w14:paraId="48FE5257" w14:textId="77777777" w:rsidR="00D10783" w:rsidRPr="00720661" w:rsidRDefault="00D10783" w:rsidP="00D10783">
            <w:pPr>
              <w:pStyle w:val="02Tabletext"/>
              <w:rPr>
                <w:lang w:val="en-AU"/>
              </w:rPr>
            </w:pPr>
            <w:r w:rsidRPr="00720661">
              <w:rPr>
                <w:lang w:val="en-AU"/>
              </w:rPr>
              <w:t>PBS</w:t>
            </w:r>
          </w:p>
        </w:tc>
        <w:tc>
          <w:tcPr>
            <w:tcW w:w="6888" w:type="dxa"/>
          </w:tcPr>
          <w:p w14:paraId="5FA9B0F7" w14:textId="77777777" w:rsidR="00D10783" w:rsidRPr="00720661" w:rsidRDefault="00D10783" w:rsidP="00D10783">
            <w:pPr>
              <w:pStyle w:val="02Tabletext"/>
              <w:rPr>
                <w:lang w:val="en-AU"/>
              </w:rPr>
            </w:pPr>
            <w:r w:rsidRPr="00720661">
              <w:rPr>
                <w:lang w:val="en-AU"/>
              </w:rPr>
              <w:t>Pharmaceutical Benefits Scheme</w:t>
            </w:r>
          </w:p>
        </w:tc>
      </w:tr>
      <w:tr w:rsidR="003B675D" w:rsidRPr="00720661" w14:paraId="4D6B511C" w14:textId="77777777" w:rsidTr="006A1616">
        <w:tc>
          <w:tcPr>
            <w:tcW w:w="2128" w:type="dxa"/>
            <w:vAlign w:val="center"/>
          </w:tcPr>
          <w:p w14:paraId="1816563F" w14:textId="77777777" w:rsidR="003B675D" w:rsidRPr="00720661" w:rsidRDefault="003B675D" w:rsidP="00D10783">
            <w:pPr>
              <w:pStyle w:val="02Tabletext"/>
              <w:rPr>
                <w:lang w:val="en-AU"/>
              </w:rPr>
            </w:pPr>
            <w:r w:rsidRPr="00720661">
              <w:rPr>
                <w:lang w:val="en-AU"/>
              </w:rPr>
              <w:t>PCR</w:t>
            </w:r>
          </w:p>
        </w:tc>
        <w:tc>
          <w:tcPr>
            <w:tcW w:w="6888" w:type="dxa"/>
            <w:vAlign w:val="center"/>
          </w:tcPr>
          <w:p w14:paraId="2BF7685C" w14:textId="77777777" w:rsidR="003B675D" w:rsidRPr="00720661" w:rsidRDefault="003B675D" w:rsidP="00D10783">
            <w:pPr>
              <w:pStyle w:val="02Tabletext"/>
              <w:rPr>
                <w:lang w:val="en-AU"/>
              </w:rPr>
            </w:pPr>
            <w:bookmarkStart w:id="224" w:name="_Hlk479336934"/>
            <w:r w:rsidRPr="00720661">
              <w:rPr>
                <w:lang w:val="en-AU"/>
              </w:rPr>
              <w:t>Polymerase chain reaction</w:t>
            </w:r>
            <w:bookmarkEnd w:id="224"/>
            <w:r w:rsidR="004324D4" w:rsidRPr="00720661">
              <w:rPr>
                <w:lang w:val="en-AU"/>
              </w:rPr>
              <w:t xml:space="preserve">: a method for </w:t>
            </w:r>
            <w:r w:rsidR="00A8091F">
              <w:rPr>
                <w:lang w:val="en-AU"/>
              </w:rPr>
              <w:t>amplifying (</w:t>
            </w:r>
            <w:r w:rsidR="004324D4" w:rsidRPr="00720661">
              <w:rPr>
                <w:lang w:val="en-AU"/>
              </w:rPr>
              <w:t>producing multiple copies of</w:t>
            </w:r>
            <w:r w:rsidR="00A8091F">
              <w:rPr>
                <w:lang w:val="en-AU"/>
              </w:rPr>
              <w:t>)</w:t>
            </w:r>
            <w:r w:rsidR="004324D4" w:rsidRPr="00720661">
              <w:rPr>
                <w:lang w:val="en-AU"/>
              </w:rPr>
              <w:t xml:space="preserve"> a gene for identification/testing</w:t>
            </w:r>
          </w:p>
        </w:tc>
      </w:tr>
      <w:tr w:rsidR="005D79AA" w:rsidRPr="00720661" w14:paraId="52425524" w14:textId="77777777" w:rsidTr="006A1616">
        <w:tc>
          <w:tcPr>
            <w:tcW w:w="2128" w:type="dxa"/>
            <w:vAlign w:val="center"/>
          </w:tcPr>
          <w:p w14:paraId="29138826" w14:textId="77777777" w:rsidR="005D79AA" w:rsidRPr="00720661" w:rsidRDefault="005D79AA" w:rsidP="00D10783">
            <w:pPr>
              <w:pStyle w:val="02Tabletext"/>
              <w:rPr>
                <w:lang w:val="en-AU"/>
              </w:rPr>
            </w:pPr>
            <w:r>
              <w:rPr>
                <w:lang w:val="en-AU"/>
              </w:rPr>
              <w:t>PMF</w:t>
            </w:r>
          </w:p>
        </w:tc>
        <w:tc>
          <w:tcPr>
            <w:tcW w:w="6888" w:type="dxa"/>
            <w:vAlign w:val="center"/>
          </w:tcPr>
          <w:p w14:paraId="6D5ADFA3" w14:textId="77777777" w:rsidR="005D79AA" w:rsidRPr="00720661" w:rsidRDefault="005D79AA" w:rsidP="00D10783">
            <w:pPr>
              <w:pStyle w:val="02Tabletext"/>
              <w:rPr>
                <w:lang w:val="en-AU"/>
              </w:rPr>
            </w:pPr>
            <w:r w:rsidRPr="005D79AA">
              <w:t>Primary myelofibrosis</w:t>
            </w:r>
          </w:p>
        </w:tc>
      </w:tr>
      <w:tr w:rsidR="005D79AA" w:rsidRPr="00720661" w14:paraId="434265C6" w14:textId="77777777" w:rsidTr="006A1616">
        <w:tc>
          <w:tcPr>
            <w:tcW w:w="2128" w:type="dxa"/>
            <w:vAlign w:val="center"/>
          </w:tcPr>
          <w:p w14:paraId="55C939B1" w14:textId="77777777" w:rsidR="005D79AA" w:rsidRDefault="005D79AA" w:rsidP="00D10783">
            <w:pPr>
              <w:pStyle w:val="02Tabletext"/>
              <w:rPr>
                <w:lang w:val="en-AU"/>
              </w:rPr>
            </w:pPr>
            <w:r>
              <w:rPr>
                <w:lang w:val="en-AU"/>
              </w:rPr>
              <w:t>PT</w:t>
            </w:r>
          </w:p>
        </w:tc>
        <w:tc>
          <w:tcPr>
            <w:tcW w:w="6888" w:type="dxa"/>
            <w:vAlign w:val="center"/>
          </w:tcPr>
          <w:p w14:paraId="23B71F8F" w14:textId="77777777" w:rsidR="005D79AA" w:rsidRPr="005D79AA" w:rsidRDefault="005D79AA" w:rsidP="00D10783">
            <w:pPr>
              <w:pStyle w:val="02Tabletext"/>
            </w:pPr>
            <w:r>
              <w:t>Prothrombin</w:t>
            </w:r>
          </w:p>
        </w:tc>
      </w:tr>
      <w:tr w:rsidR="005D79AA" w:rsidRPr="00720661" w14:paraId="2222FD62" w14:textId="77777777" w:rsidTr="006A1616">
        <w:tc>
          <w:tcPr>
            <w:tcW w:w="2128" w:type="dxa"/>
            <w:vAlign w:val="center"/>
          </w:tcPr>
          <w:p w14:paraId="654738F1" w14:textId="77777777" w:rsidR="005D79AA" w:rsidRPr="00720661" w:rsidRDefault="005D79AA" w:rsidP="00D10783">
            <w:pPr>
              <w:pStyle w:val="02Tabletext"/>
              <w:rPr>
                <w:lang w:val="en-AU"/>
              </w:rPr>
            </w:pPr>
            <w:r>
              <w:rPr>
                <w:lang w:val="en-AU"/>
              </w:rPr>
              <w:t>PV</w:t>
            </w:r>
          </w:p>
        </w:tc>
        <w:tc>
          <w:tcPr>
            <w:tcW w:w="6888" w:type="dxa"/>
            <w:vAlign w:val="center"/>
          </w:tcPr>
          <w:p w14:paraId="7860517C" w14:textId="77777777" w:rsidR="005D79AA" w:rsidRPr="00720661" w:rsidRDefault="005D79AA" w:rsidP="00D10783">
            <w:pPr>
              <w:pStyle w:val="02Tabletext"/>
              <w:rPr>
                <w:lang w:val="en-AU"/>
              </w:rPr>
            </w:pPr>
            <w:proofErr w:type="spellStart"/>
            <w:r>
              <w:rPr>
                <w:color w:val="111111"/>
                <w:shd w:val="clear" w:color="auto" w:fill="FFFFFF"/>
              </w:rPr>
              <w:t>Polycythemia</w:t>
            </w:r>
            <w:proofErr w:type="spellEnd"/>
            <w:r>
              <w:rPr>
                <w:color w:val="111111"/>
                <w:shd w:val="clear" w:color="auto" w:fill="FFFFFF"/>
              </w:rPr>
              <w:t xml:space="preserve"> vera</w:t>
            </w:r>
          </w:p>
        </w:tc>
      </w:tr>
      <w:tr w:rsidR="00D10783" w:rsidRPr="00720661" w14:paraId="3B8ABD74" w14:textId="77777777" w:rsidTr="006A1616">
        <w:tc>
          <w:tcPr>
            <w:tcW w:w="2128" w:type="dxa"/>
            <w:vAlign w:val="center"/>
          </w:tcPr>
          <w:p w14:paraId="335F4B7B" w14:textId="77777777" w:rsidR="00D10783" w:rsidRPr="00551F4D" w:rsidRDefault="00D10783" w:rsidP="00D10783">
            <w:pPr>
              <w:pStyle w:val="02Tabletext"/>
              <w:rPr>
                <w:lang w:val="en-AU"/>
              </w:rPr>
            </w:pPr>
            <w:r w:rsidRPr="00720661">
              <w:rPr>
                <w:lang w:val="en-AU"/>
              </w:rPr>
              <w:t>RACGP</w:t>
            </w:r>
          </w:p>
        </w:tc>
        <w:tc>
          <w:tcPr>
            <w:tcW w:w="6888" w:type="dxa"/>
            <w:vAlign w:val="center"/>
          </w:tcPr>
          <w:p w14:paraId="69DF6DF8" w14:textId="77777777" w:rsidR="00D10783" w:rsidRPr="00720661" w:rsidRDefault="00D10783" w:rsidP="00D10783">
            <w:pPr>
              <w:pStyle w:val="02Tabletext"/>
              <w:rPr>
                <w:lang w:val="en-AU"/>
              </w:rPr>
            </w:pPr>
            <w:r w:rsidRPr="00720661">
              <w:rPr>
                <w:lang w:val="en-AU"/>
              </w:rPr>
              <w:t>Royal Australian College of General Practitioners</w:t>
            </w:r>
          </w:p>
        </w:tc>
      </w:tr>
      <w:tr w:rsidR="00D10783" w:rsidRPr="00720661" w14:paraId="6ED9FC44" w14:textId="77777777" w:rsidTr="006A1616">
        <w:tc>
          <w:tcPr>
            <w:tcW w:w="2128" w:type="dxa"/>
            <w:vAlign w:val="center"/>
          </w:tcPr>
          <w:p w14:paraId="5492D65E" w14:textId="77777777" w:rsidR="00D10783" w:rsidRPr="00551F4D" w:rsidRDefault="000668FD" w:rsidP="00D10783">
            <w:pPr>
              <w:pStyle w:val="02Tabletext"/>
              <w:rPr>
                <w:lang w:val="en-AU"/>
              </w:rPr>
            </w:pPr>
            <w:r w:rsidRPr="00720661">
              <w:rPr>
                <w:lang w:val="en-AU"/>
              </w:rPr>
              <w:t>RCPA</w:t>
            </w:r>
          </w:p>
        </w:tc>
        <w:tc>
          <w:tcPr>
            <w:tcW w:w="6888" w:type="dxa"/>
            <w:vAlign w:val="center"/>
          </w:tcPr>
          <w:p w14:paraId="2036BC14" w14:textId="77777777" w:rsidR="00D10783" w:rsidRPr="00720661" w:rsidRDefault="000668FD" w:rsidP="00807710">
            <w:pPr>
              <w:pStyle w:val="02Tabletext"/>
              <w:rPr>
                <w:lang w:val="en-AU"/>
              </w:rPr>
            </w:pPr>
            <w:bookmarkStart w:id="225" w:name="_Hlk479336810"/>
            <w:r w:rsidRPr="00720661">
              <w:rPr>
                <w:lang w:val="en-AU"/>
              </w:rPr>
              <w:t xml:space="preserve">Royal College of Pathologists Australasia </w:t>
            </w:r>
            <w:bookmarkEnd w:id="225"/>
          </w:p>
        </w:tc>
      </w:tr>
      <w:tr w:rsidR="00D10783" w:rsidRPr="00720661" w14:paraId="413A2E7E" w14:textId="77777777" w:rsidTr="006A1616">
        <w:tc>
          <w:tcPr>
            <w:tcW w:w="2128" w:type="dxa"/>
          </w:tcPr>
          <w:p w14:paraId="3BAFB4F7" w14:textId="77777777" w:rsidR="00D10783" w:rsidRPr="00720661" w:rsidRDefault="00D10783" w:rsidP="00D10783">
            <w:pPr>
              <w:pStyle w:val="02Tabletext"/>
              <w:rPr>
                <w:lang w:val="en-AU"/>
              </w:rPr>
            </w:pPr>
            <w:r w:rsidRPr="00720661">
              <w:rPr>
                <w:lang w:val="en-AU"/>
              </w:rPr>
              <w:t>Services average annual growth</w:t>
            </w:r>
          </w:p>
        </w:tc>
        <w:tc>
          <w:tcPr>
            <w:tcW w:w="6888" w:type="dxa"/>
          </w:tcPr>
          <w:p w14:paraId="5EBE2FBC" w14:textId="77777777" w:rsidR="00D10783" w:rsidRPr="00720661" w:rsidRDefault="00D10783" w:rsidP="00807710">
            <w:pPr>
              <w:pStyle w:val="02Tabletext"/>
              <w:rPr>
                <w:lang w:val="en-AU"/>
              </w:rPr>
            </w:pPr>
            <w:r w:rsidRPr="00720661">
              <w:rPr>
                <w:lang w:val="en-AU"/>
              </w:rPr>
              <w:t xml:space="preserve">The average growth per year, over </w:t>
            </w:r>
            <w:r w:rsidR="00807710" w:rsidRPr="00720661">
              <w:rPr>
                <w:lang w:val="en-AU"/>
              </w:rPr>
              <w:t xml:space="preserve">5 </w:t>
            </w:r>
            <w:r w:rsidRPr="00720661">
              <w:rPr>
                <w:lang w:val="en-AU"/>
              </w:rPr>
              <w:t>years to 2014/15, in utilisation of services. Also known as the compound annual growth rate (CAGR).</w:t>
            </w:r>
          </w:p>
        </w:tc>
      </w:tr>
      <w:tr w:rsidR="00D10783" w:rsidRPr="00720661" w14:paraId="07C15B3A" w14:textId="77777777" w:rsidTr="006A1616">
        <w:tc>
          <w:tcPr>
            <w:tcW w:w="2128" w:type="dxa"/>
            <w:vAlign w:val="center"/>
          </w:tcPr>
          <w:p w14:paraId="70166087" w14:textId="77777777" w:rsidR="00D10783" w:rsidRPr="00720661" w:rsidRDefault="00D10783" w:rsidP="00D10783">
            <w:pPr>
              <w:pStyle w:val="02Tabletext"/>
              <w:rPr>
                <w:lang w:val="en-AU"/>
              </w:rPr>
            </w:pPr>
            <w:r w:rsidRPr="00720661">
              <w:rPr>
                <w:lang w:val="en-AU"/>
              </w:rPr>
              <w:t xml:space="preserve">The Committee </w:t>
            </w:r>
          </w:p>
        </w:tc>
        <w:tc>
          <w:tcPr>
            <w:tcW w:w="6888" w:type="dxa"/>
            <w:vAlign w:val="center"/>
          </w:tcPr>
          <w:p w14:paraId="25820332" w14:textId="77777777" w:rsidR="00D10783" w:rsidRPr="00720661" w:rsidRDefault="00D10783" w:rsidP="00D10783">
            <w:pPr>
              <w:pStyle w:val="02Tabletext"/>
              <w:rPr>
                <w:lang w:val="en-AU"/>
              </w:rPr>
            </w:pPr>
            <w:r w:rsidRPr="00720661">
              <w:rPr>
                <w:lang w:val="en-AU"/>
              </w:rPr>
              <w:t xml:space="preserve">The </w:t>
            </w:r>
            <w:r w:rsidR="00871A49" w:rsidRPr="00720661">
              <w:rPr>
                <w:lang w:val="en-AU"/>
              </w:rPr>
              <w:t>Pathology</w:t>
            </w:r>
            <w:r w:rsidR="00B00DBF" w:rsidRPr="00720661">
              <w:rPr>
                <w:lang w:val="en-AU"/>
              </w:rPr>
              <w:t xml:space="preserve"> </w:t>
            </w:r>
            <w:r w:rsidRPr="00720661">
              <w:rPr>
                <w:lang w:val="en-AU"/>
              </w:rPr>
              <w:t xml:space="preserve">Clinical Committee </w:t>
            </w:r>
          </w:p>
        </w:tc>
      </w:tr>
      <w:tr w:rsidR="00D10783" w:rsidRPr="00720661" w14:paraId="3ECD7917" w14:textId="77777777" w:rsidTr="006A1616">
        <w:tc>
          <w:tcPr>
            <w:tcW w:w="2128" w:type="dxa"/>
            <w:vAlign w:val="center"/>
          </w:tcPr>
          <w:p w14:paraId="1FD56D2E" w14:textId="77777777" w:rsidR="00D10783" w:rsidRPr="00720661" w:rsidRDefault="00D10783" w:rsidP="00D10783">
            <w:pPr>
              <w:pStyle w:val="02Tabletext"/>
              <w:rPr>
                <w:lang w:val="en-AU"/>
              </w:rPr>
            </w:pPr>
            <w:r w:rsidRPr="00720661">
              <w:rPr>
                <w:lang w:val="en-AU"/>
              </w:rPr>
              <w:t xml:space="preserve">The Taskforce </w:t>
            </w:r>
          </w:p>
        </w:tc>
        <w:tc>
          <w:tcPr>
            <w:tcW w:w="6888" w:type="dxa"/>
            <w:vAlign w:val="center"/>
          </w:tcPr>
          <w:p w14:paraId="59CA3E86" w14:textId="77777777" w:rsidR="00D10783" w:rsidRPr="00720661" w:rsidRDefault="00D10783" w:rsidP="00D10783">
            <w:pPr>
              <w:pStyle w:val="02Tabletext"/>
              <w:rPr>
                <w:lang w:val="en-AU"/>
              </w:rPr>
            </w:pPr>
            <w:r w:rsidRPr="00720661">
              <w:rPr>
                <w:lang w:val="en-AU"/>
              </w:rPr>
              <w:t xml:space="preserve">The MBS Review Taskforce </w:t>
            </w:r>
          </w:p>
        </w:tc>
      </w:tr>
      <w:tr w:rsidR="00D10783" w:rsidRPr="00720661" w14:paraId="220686B8" w14:textId="77777777" w:rsidTr="006A1616">
        <w:tc>
          <w:tcPr>
            <w:tcW w:w="2128" w:type="dxa"/>
          </w:tcPr>
          <w:p w14:paraId="6BAB3C19" w14:textId="77777777" w:rsidR="00D10783" w:rsidRPr="00720661" w:rsidRDefault="00D10783" w:rsidP="00D10783">
            <w:pPr>
              <w:pStyle w:val="02Tabletext"/>
              <w:rPr>
                <w:lang w:val="en-AU"/>
              </w:rPr>
            </w:pPr>
            <w:r w:rsidRPr="00720661">
              <w:rPr>
                <w:lang w:val="en-AU"/>
              </w:rPr>
              <w:t>Total benefits</w:t>
            </w:r>
          </w:p>
        </w:tc>
        <w:tc>
          <w:tcPr>
            <w:tcW w:w="6888" w:type="dxa"/>
          </w:tcPr>
          <w:p w14:paraId="232D75A2" w14:textId="77777777" w:rsidR="00D10783" w:rsidRPr="00720661" w:rsidRDefault="00D10783" w:rsidP="00D10783">
            <w:pPr>
              <w:pStyle w:val="02Tabletext"/>
              <w:rPr>
                <w:lang w:val="en-AU"/>
              </w:rPr>
            </w:pPr>
            <w:r w:rsidRPr="00720661">
              <w:rPr>
                <w:lang w:val="en-AU"/>
              </w:rPr>
              <w:t>Total benefits paid in 2014/15 unless otherwise specified.</w:t>
            </w:r>
          </w:p>
        </w:tc>
      </w:tr>
      <w:tr w:rsidR="00FF04B8" w:rsidRPr="00720661" w14:paraId="1C32E324" w14:textId="77777777" w:rsidTr="006A1616">
        <w:tc>
          <w:tcPr>
            <w:tcW w:w="2128" w:type="dxa"/>
          </w:tcPr>
          <w:p w14:paraId="6F6B0387" w14:textId="77777777" w:rsidR="00FF04B8" w:rsidRPr="00720661" w:rsidRDefault="00FF04B8" w:rsidP="00D10783">
            <w:pPr>
              <w:pStyle w:val="02Tabletext"/>
              <w:rPr>
                <w:lang w:val="en-AU"/>
              </w:rPr>
            </w:pPr>
            <w:r>
              <w:rPr>
                <w:lang w:val="en-AU"/>
              </w:rPr>
              <w:t>VTE</w:t>
            </w:r>
          </w:p>
        </w:tc>
        <w:tc>
          <w:tcPr>
            <w:tcW w:w="6888" w:type="dxa"/>
          </w:tcPr>
          <w:p w14:paraId="77734534" w14:textId="77777777" w:rsidR="00FF04B8" w:rsidRPr="00720661" w:rsidRDefault="00FF04B8" w:rsidP="00D10783">
            <w:pPr>
              <w:pStyle w:val="02Tabletext"/>
              <w:rPr>
                <w:lang w:val="en-AU"/>
              </w:rPr>
            </w:pPr>
            <w:r>
              <w:rPr>
                <w:lang w:val="en-AU"/>
              </w:rPr>
              <w:t>Venous thromboembolism</w:t>
            </w:r>
          </w:p>
        </w:tc>
      </w:tr>
    </w:tbl>
    <w:p w14:paraId="67408A4F" w14:textId="77777777" w:rsidR="007547A9" w:rsidRPr="00720661" w:rsidRDefault="007547A9" w:rsidP="00B325D6">
      <w:pPr>
        <w:tabs>
          <w:tab w:val="left" w:pos="3334"/>
        </w:tabs>
        <w:rPr>
          <w:lang w:val="en-AU" w:eastAsia="en-US"/>
        </w:rPr>
      </w:pPr>
    </w:p>
    <w:sectPr w:rsidR="007547A9" w:rsidRPr="00720661" w:rsidSect="00151F01">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8ADFA" w14:textId="77777777" w:rsidR="00367D11" w:rsidRDefault="00367D11" w:rsidP="00082595">
      <w:r>
        <w:separator/>
      </w:r>
    </w:p>
    <w:p w14:paraId="10B739B2" w14:textId="77777777" w:rsidR="00367D11" w:rsidRDefault="00367D11" w:rsidP="00082595"/>
    <w:p w14:paraId="602D2E64" w14:textId="77777777" w:rsidR="00367D11" w:rsidRDefault="00367D11"/>
  </w:endnote>
  <w:endnote w:type="continuationSeparator" w:id="0">
    <w:p w14:paraId="46631F4B" w14:textId="77777777" w:rsidR="00367D11" w:rsidRDefault="00367D11" w:rsidP="00082595">
      <w:r>
        <w:continuationSeparator/>
      </w:r>
    </w:p>
    <w:p w14:paraId="63B459A2" w14:textId="77777777" w:rsidR="00367D11" w:rsidRDefault="00367D11" w:rsidP="00082595"/>
    <w:p w14:paraId="18DF9071" w14:textId="77777777" w:rsidR="00367D11" w:rsidRDefault="00367D11"/>
  </w:endnote>
  <w:endnote w:type="continuationNotice" w:id="1">
    <w:p w14:paraId="636C4CD0" w14:textId="77777777" w:rsidR="00367D11" w:rsidRDefault="00367D11" w:rsidP="00082595"/>
    <w:p w14:paraId="4CCBA872" w14:textId="77777777" w:rsidR="00367D11" w:rsidRDefault="00367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A672" w14:textId="77777777" w:rsidR="00367D11" w:rsidRPr="008460E3" w:rsidRDefault="00367D11" w:rsidP="008460E3">
    <w:pPr>
      <w:pStyle w:val="Footer"/>
      <w:pBdr>
        <w:top w:val="single" w:sz="4" w:space="1" w:color="B66113"/>
      </w:pBdr>
      <w:tabs>
        <w:tab w:val="clear" w:pos="4513"/>
      </w:tabs>
      <w:rPr>
        <w:color w:val="01653F"/>
      </w:rPr>
    </w:pPr>
    <w:r>
      <w:rPr>
        <w:color w:val="01653F"/>
      </w:rPr>
      <w:t>Report from</w:t>
    </w:r>
    <w:r w:rsidRPr="008460E3">
      <w:rPr>
        <w:color w:val="01653F"/>
      </w:rPr>
      <w:t xml:space="preserve"> </w:t>
    </w:r>
    <w:r>
      <w:rPr>
        <w:color w:val="01653F"/>
      </w:rPr>
      <w:t>Pathology</w:t>
    </w:r>
    <w:r w:rsidRPr="008460E3">
      <w:rPr>
        <w:color w:val="01653F"/>
      </w:rPr>
      <w:t xml:space="preserve"> Clinical Committee</w:t>
    </w:r>
    <w:r>
      <w:rPr>
        <w:color w:val="01653F"/>
      </w:rPr>
      <w:t>—Genetics, October 2017 v1</w:t>
    </w:r>
    <w:r>
      <w:rPr>
        <w:color w:val="01653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5C0A" w14:textId="7223A2A5" w:rsidR="00367D11" w:rsidRPr="008460E3" w:rsidRDefault="00367D11" w:rsidP="008460E3">
    <w:pPr>
      <w:pStyle w:val="Footer"/>
      <w:pBdr>
        <w:top w:val="single" w:sz="4" w:space="1" w:color="B66113"/>
      </w:pBdr>
      <w:tabs>
        <w:tab w:val="clear" w:pos="4513"/>
      </w:tabs>
      <w:rPr>
        <w:color w:val="01653F"/>
      </w:rPr>
    </w:pPr>
    <w:r>
      <w:rPr>
        <w:color w:val="01653F"/>
      </w:rPr>
      <w:t>Report from</w:t>
    </w:r>
    <w:r w:rsidRPr="008460E3">
      <w:rPr>
        <w:color w:val="01653F"/>
      </w:rPr>
      <w:t xml:space="preserve"> </w:t>
    </w:r>
    <w:r>
      <w:rPr>
        <w:color w:val="01653F"/>
      </w:rPr>
      <w:t>Pathology</w:t>
    </w:r>
    <w:r w:rsidRPr="008460E3">
      <w:rPr>
        <w:color w:val="01653F"/>
      </w:rPr>
      <w:t xml:space="preserve"> Clinical Committee</w:t>
    </w:r>
    <w:r>
      <w:rPr>
        <w:color w:val="01653F"/>
      </w:rPr>
      <w:t>—Genetics, October 2017 v1</w:t>
    </w:r>
    <w:r>
      <w:rPr>
        <w:color w:val="01653F"/>
      </w:rPr>
      <w:tab/>
      <w:t xml:space="preserve">Page </w:t>
    </w:r>
    <w:r>
      <w:rPr>
        <w:color w:val="01653F"/>
      </w:rPr>
      <w:fldChar w:fldCharType="begin"/>
    </w:r>
    <w:r>
      <w:rPr>
        <w:color w:val="01653F"/>
      </w:rPr>
      <w:instrText xml:space="preserve"> PAGE  \* Arabic  \* MERGEFORMAT </w:instrText>
    </w:r>
    <w:r>
      <w:rPr>
        <w:color w:val="01653F"/>
      </w:rPr>
      <w:fldChar w:fldCharType="separate"/>
    </w:r>
    <w:r>
      <w:rPr>
        <w:noProof/>
        <w:color w:val="01653F"/>
      </w:rPr>
      <w:t>11</w:t>
    </w:r>
    <w:r>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01FFD" w14:textId="6D40306F" w:rsidR="00367D11" w:rsidRPr="008460E3" w:rsidRDefault="00367D11" w:rsidP="00245933">
    <w:pPr>
      <w:pStyle w:val="Footer"/>
      <w:pBdr>
        <w:top w:val="single" w:sz="4" w:space="1" w:color="B66113"/>
      </w:pBdr>
      <w:tabs>
        <w:tab w:val="clear" w:pos="4513"/>
        <w:tab w:val="clear" w:pos="9026"/>
        <w:tab w:val="right" w:pos="13892"/>
      </w:tabs>
      <w:rPr>
        <w:color w:val="01653F"/>
      </w:rPr>
    </w:pPr>
    <w:r w:rsidRPr="008460E3">
      <w:rPr>
        <w:color w:val="01653F"/>
      </w:rPr>
      <w:t xml:space="preserve">Report from </w:t>
    </w:r>
    <w:r>
      <w:rPr>
        <w:color w:val="01653F"/>
      </w:rPr>
      <w:t xml:space="preserve">Pathology </w:t>
    </w:r>
    <w:r w:rsidRPr="005D41CC">
      <w:rPr>
        <w:color w:val="01653F"/>
      </w:rPr>
      <w:t xml:space="preserve">Clinical Committee </w:t>
    </w:r>
    <w:r>
      <w:rPr>
        <w:color w:val="01653F"/>
      </w:rPr>
      <w:t>–</w:t>
    </w:r>
    <w:r w:rsidRPr="005D41CC">
      <w:rPr>
        <w:color w:val="01653F"/>
      </w:rPr>
      <w:t xml:space="preserve"> </w:t>
    </w:r>
    <w:r>
      <w:rPr>
        <w:color w:val="01653F"/>
      </w:rPr>
      <w:t>Genetics, October 2017 v1</w:t>
    </w:r>
    <w:r w:rsidRPr="003B1222">
      <w:tab/>
    </w:r>
    <w:r w:rsidRPr="008460E3">
      <w:rPr>
        <w:color w:val="01653F"/>
      </w:rPr>
      <w:t xml:space="preserve">Page </w:t>
    </w:r>
    <w:r w:rsidRPr="008460E3">
      <w:rPr>
        <w:color w:val="01653F"/>
      </w:rPr>
      <w:fldChar w:fldCharType="begin"/>
    </w:r>
    <w:r w:rsidRPr="002D6286">
      <w:rPr>
        <w:color w:val="01653F"/>
      </w:rPr>
      <w:instrText xml:space="preserve"> PAGE   \* MERGEFORMAT </w:instrText>
    </w:r>
    <w:r w:rsidRPr="008460E3">
      <w:rPr>
        <w:color w:val="01653F"/>
      </w:rPr>
      <w:fldChar w:fldCharType="separate"/>
    </w:r>
    <w:r w:rsidRPr="009A1BCE">
      <w:rPr>
        <w:rFonts w:eastAsiaTheme="majorEastAsia"/>
        <w:noProof/>
        <w:color w:val="01653F"/>
      </w:rPr>
      <w:t>45</w:t>
    </w:r>
    <w:r w:rsidRPr="008460E3">
      <w:rPr>
        <w:color w:val="01653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5E2A" w14:textId="77777777" w:rsidR="00367D11" w:rsidRDefault="00367D11" w:rsidP="00082595">
    <w:pPr>
      <w:pStyle w:val="Footer"/>
    </w:pPr>
  </w:p>
  <w:p w14:paraId="013A5764" w14:textId="77777777" w:rsidR="00367D11" w:rsidRDefault="00367D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AE71" w14:textId="50F56E58" w:rsidR="00367D11" w:rsidRPr="006B6DBF" w:rsidRDefault="00367D11" w:rsidP="00082595">
    <w:pPr>
      <w:pStyle w:val="Footer"/>
    </w:pPr>
    <w:r w:rsidRPr="008460E3">
      <w:rPr>
        <w:color w:val="01653F"/>
      </w:rPr>
      <w:t xml:space="preserve">Report from </w:t>
    </w:r>
    <w:r>
      <w:rPr>
        <w:color w:val="01653F"/>
      </w:rPr>
      <w:t xml:space="preserve">Pathology </w:t>
    </w:r>
    <w:r w:rsidRPr="005D41CC">
      <w:rPr>
        <w:color w:val="01653F"/>
      </w:rPr>
      <w:t>Clinical Committee</w:t>
    </w:r>
    <w:r>
      <w:rPr>
        <w:color w:val="01653F"/>
      </w:rPr>
      <w:t>—Genetics, October 2017 v1</w:t>
    </w:r>
    <w:r w:rsidRPr="003B1222">
      <w:tab/>
    </w:r>
    <w:r w:rsidRPr="008460E3">
      <w:rPr>
        <w:color w:val="01653F"/>
      </w:rPr>
      <w:t xml:space="preserve">Page </w:t>
    </w:r>
    <w:r w:rsidRPr="008460E3">
      <w:rPr>
        <w:color w:val="01653F"/>
      </w:rPr>
      <w:fldChar w:fldCharType="begin"/>
    </w:r>
    <w:r w:rsidRPr="008460E3">
      <w:rPr>
        <w:color w:val="01653F"/>
      </w:rPr>
      <w:instrText xml:space="preserve"> PAGE   \* MERGEFORMAT </w:instrText>
    </w:r>
    <w:r w:rsidRPr="008460E3">
      <w:rPr>
        <w:color w:val="01653F"/>
      </w:rPr>
      <w:fldChar w:fldCharType="separate"/>
    </w:r>
    <w:r w:rsidRPr="009A1BCE">
      <w:rPr>
        <w:rFonts w:eastAsiaTheme="majorEastAsia"/>
        <w:noProof/>
        <w:color w:val="01653F"/>
      </w:rPr>
      <w:t>47</w:t>
    </w:r>
    <w:r w:rsidRPr="008460E3">
      <w:rPr>
        <w:color w:val="01653F"/>
      </w:rPr>
      <w:fldChar w:fldCharType="end"/>
    </w:r>
  </w:p>
  <w:p w14:paraId="03C111B3" w14:textId="77777777" w:rsidR="00367D11" w:rsidRDefault="00367D1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ECDE" w14:textId="77777777" w:rsidR="00367D11" w:rsidRDefault="00367D11"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C154" w14:textId="77777777" w:rsidR="00367D11" w:rsidRDefault="00367D11" w:rsidP="00082595">
      <w:r>
        <w:separator/>
      </w:r>
    </w:p>
    <w:p w14:paraId="316B87A9" w14:textId="77777777" w:rsidR="00367D11" w:rsidRDefault="00367D11"/>
  </w:footnote>
  <w:footnote w:type="continuationSeparator" w:id="0">
    <w:p w14:paraId="0BA048A3" w14:textId="77777777" w:rsidR="00367D11" w:rsidRDefault="00367D11" w:rsidP="00082595">
      <w:r>
        <w:continuationSeparator/>
      </w:r>
    </w:p>
    <w:p w14:paraId="1F0F46F8" w14:textId="77777777" w:rsidR="00367D11" w:rsidRDefault="00367D11" w:rsidP="00082595"/>
    <w:p w14:paraId="282262F3" w14:textId="77777777" w:rsidR="00367D11" w:rsidRDefault="00367D11"/>
  </w:footnote>
  <w:footnote w:type="continuationNotice" w:id="1">
    <w:p w14:paraId="4C4BBA65" w14:textId="77777777" w:rsidR="00367D11" w:rsidRDefault="00367D11" w:rsidP="00082595"/>
    <w:p w14:paraId="103A84B8" w14:textId="77777777" w:rsidR="00367D11" w:rsidRDefault="00367D11"/>
  </w:footnote>
  <w:footnote w:id="2">
    <w:p w14:paraId="3BF57E1E" w14:textId="77777777" w:rsidR="00367D11" w:rsidRDefault="00367D11" w:rsidP="009A53D1">
      <w:pPr>
        <w:pStyle w:val="FootnoteText"/>
      </w:pPr>
      <w:r>
        <w:rPr>
          <w:rStyle w:val="FootnoteReference"/>
        </w:rPr>
        <w:footnoteRef/>
      </w:r>
      <w:r>
        <w:tab/>
      </w:r>
      <w:r w:rsidRPr="0077562D">
        <w:t xml:space="preserve">The use of an intervention </w:t>
      </w:r>
      <w:r>
        <w:t>that</w:t>
      </w:r>
      <w:r w:rsidRPr="0077562D">
        <w:t xml:space="preserve"> evidence suggests confers no or very little benefit on </w:t>
      </w:r>
      <w:r>
        <w:t>consumers;</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3">
    <w:p w14:paraId="53F41AEA" w14:textId="77777777" w:rsidR="00367D11" w:rsidRDefault="00367D11" w:rsidP="009A53D1">
      <w:pPr>
        <w:pStyle w:val="FootnoteText"/>
      </w:pPr>
      <w:r>
        <w:rPr>
          <w:rStyle w:val="FootnoteReference"/>
        </w:rPr>
        <w:footnoteRef/>
      </w:r>
      <w:r>
        <w:tab/>
      </w:r>
      <w:r w:rsidRPr="0077562D">
        <w:t>The use of MBS services for purposes other than those intended. This includes a range of behaviours</w:t>
      </w:r>
      <w:r>
        <w:t>,</w:t>
      </w:r>
      <w:r w:rsidRPr="0077562D">
        <w:t xml:space="preserve"> from failing to adhere to particular item descriptors or rules through to deliberate fraud.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56C55" w14:textId="77777777" w:rsidR="00367D11" w:rsidRDefault="00367D11" w:rsidP="0009619B">
    <w:pPr>
      <w:pStyle w:val="Header"/>
      <w:tabs>
        <w:tab w:val="left" w:pos="53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D20B" w14:textId="77777777" w:rsidR="00367D11" w:rsidRDefault="00367D11" w:rsidP="00082595">
    <w:pPr>
      <w:pStyle w:val="Header"/>
    </w:pPr>
  </w:p>
  <w:p w14:paraId="71DBCEED" w14:textId="77777777" w:rsidR="00367D11" w:rsidRDefault="00367D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7249E" w14:textId="77777777" w:rsidR="00367D11" w:rsidRDefault="00367D11" w:rsidP="00082595">
    <w:pPr>
      <w:pStyle w:val="Header"/>
    </w:pPr>
  </w:p>
  <w:p w14:paraId="08D46A50" w14:textId="77777777" w:rsidR="00367D11" w:rsidRDefault="00367D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9431" w14:textId="77777777" w:rsidR="00367D11" w:rsidRDefault="00367D11"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92C8B"/>
    <w:multiLevelType w:val="hybridMultilevel"/>
    <w:tmpl w:val="C5A606F0"/>
    <w:lvl w:ilvl="0" w:tplc="82708660">
      <w:start w:val="1"/>
      <w:numFmt w:val="lowerLetter"/>
      <w:pStyle w:val="06letter2"/>
      <w:lvlText w:val="%1."/>
      <w:lvlJc w:val="left"/>
      <w:pPr>
        <w:ind w:left="1077" w:hanging="360"/>
      </w:pPr>
      <w:rPr>
        <w:rFonts w:ascii="Arial" w:hAnsi="Arial" w:hint="default"/>
        <w:color w:val="auto"/>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23834"/>
    <w:multiLevelType w:val="hybridMultilevel"/>
    <w:tmpl w:val="0E82CDC2"/>
    <w:lvl w:ilvl="0" w:tplc="2A5EDBD6">
      <w:start w:val="1"/>
      <w:numFmt w:val="upperLetter"/>
      <w:pStyle w:val="AppendixStyle1"/>
      <w:lvlText w:val="Appendix %1 - "/>
      <w:lvlJc w:val="left"/>
      <w:pPr>
        <w:ind w:left="2204"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 w15:restartNumberingAfterBreak="0">
    <w:nsid w:val="1C622153"/>
    <w:multiLevelType w:val="hybridMultilevel"/>
    <w:tmpl w:val="3532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E2852"/>
    <w:multiLevelType w:val="hybridMultilevel"/>
    <w:tmpl w:val="3ABEEAE8"/>
    <w:lvl w:ilvl="0" w:tplc="18F00934">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F11481"/>
    <w:multiLevelType w:val="multilevel"/>
    <w:tmpl w:val="9078D582"/>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8EB4179"/>
    <w:multiLevelType w:val="hybridMultilevel"/>
    <w:tmpl w:val="EB744EE0"/>
    <w:lvl w:ilvl="0" w:tplc="45D438A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600540"/>
    <w:multiLevelType w:val="hybridMultilevel"/>
    <w:tmpl w:val="1BF86FF2"/>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1" w15:restartNumberingAfterBreak="0">
    <w:nsid w:val="468361C0"/>
    <w:multiLevelType w:val="hybridMultilevel"/>
    <w:tmpl w:val="82B003E8"/>
    <w:lvl w:ilvl="0" w:tplc="0C09000F">
      <w:start w:val="1"/>
      <w:numFmt w:val="decimal"/>
      <w:lvlText w:val="%1."/>
      <w:lvlJc w:val="left"/>
      <w:pPr>
        <w:ind w:left="360" w:hanging="360"/>
      </w:pPr>
    </w:lvl>
    <w:lvl w:ilvl="1" w:tplc="3350CAC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6" w15:restartNumberingAfterBreak="0">
    <w:nsid w:val="5C574A11"/>
    <w:multiLevelType w:val="multilevel"/>
    <w:tmpl w:val="8DB4AC64"/>
    <w:numStyleLink w:val="Style2"/>
  </w:abstractNum>
  <w:abstractNum w:abstractNumId="17"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8"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0"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1" w15:restartNumberingAfterBreak="0">
    <w:nsid w:val="7B8E557E"/>
    <w:multiLevelType w:val="multilevel"/>
    <w:tmpl w:val="B04AABB8"/>
    <w:lvl w:ilvl="0">
      <w:start w:val="1"/>
      <w:numFmt w:val="decimal"/>
      <w:pStyle w:val="05number1"/>
      <w:lvlText w:val="%1."/>
      <w:lvlJc w:val="left"/>
      <w:pPr>
        <w:ind w:left="360" w:hanging="360"/>
      </w:pPr>
      <w:rPr>
        <w:rFonts w:asciiTheme="minorHAnsi" w:hAnsiTheme="minorHAnsi"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EDB59BA"/>
    <w:multiLevelType w:val="multilevel"/>
    <w:tmpl w:val="8DB4AC64"/>
    <w:numStyleLink w:val="Style2"/>
  </w:abstractNum>
  <w:num w:numId="1">
    <w:abstractNumId w:val="14"/>
  </w:num>
  <w:num w:numId="2">
    <w:abstractNumId w:val="7"/>
  </w:num>
  <w:num w:numId="3">
    <w:abstractNumId w:val="12"/>
  </w:num>
  <w:num w:numId="4">
    <w:abstractNumId w:val="5"/>
  </w:num>
  <w:num w:numId="5">
    <w:abstractNumId w:val="2"/>
  </w:num>
  <w:num w:numId="6">
    <w:abstractNumId w:val="16"/>
  </w:num>
  <w:num w:numId="7">
    <w:abstractNumId w:val="22"/>
  </w:num>
  <w:num w:numId="8">
    <w:abstractNumId w:val="15"/>
  </w:num>
  <w:num w:numId="9">
    <w:abstractNumId w:val="21"/>
  </w:num>
  <w:num w:numId="10">
    <w:abstractNumId w:val="0"/>
  </w:num>
  <w:num w:numId="11">
    <w:abstractNumId w:val="10"/>
  </w:num>
  <w:num w:numId="12">
    <w:abstractNumId w:val="20"/>
  </w:num>
  <w:num w:numId="13">
    <w:abstractNumId w:val="17"/>
  </w:num>
  <w:num w:numId="14">
    <w:abstractNumId w:val="13"/>
  </w:num>
  <w:num w:numId="15">
    <w:abstractNumId w:val="18"/>
  </w:num>
  <w:num w:numId="16">
    <w:abstractNumId w:val="4"/>
  </w:num>
  <w:num w:numId="17">
    <w:abstractNumId w:val="23"/>
  </w:num>
  <w:num w:numId="18">
    <w:abstractNumId w:val="1"/>
  </w:num>
  <w:num w:numId="19">
    <w:abstractNumId w:val="19"/>
  </w:num>
  <w:num w:numId="20">
    <w:abstractNumId w:val="11"/>
  </w:num>
  <w:num w:numId="21">
    <w:abstractNumId w:val="16"/>
    <w:lvlOverride w:ilvl="1">
      <w:lvl w:ilvl="1">
        <w:start w:val="1"/>
        <w:numFmt w:val="bullet"/>
        <w:pStyle w:val="02dash"/>
        <w:lvlText w:val="–"/>
        <w:lvlJc w:val="left"/>
        <w:pPr>
          <w:tabs>
            <w:tab w:val="num" w:pos="1421"/>
          </w:tabs>
          <w:ind w:left="1419" w:hanging="284"/>
        </w:pPr>
        <w:rPr>
          <w:rFonts w:ascii="Arial" w:hAnsi="Arial" w:hint="default"/>
          <w:color w:val="auto"/>
          <w:sz w:val="24"/>
        </w:rPr>
      </w:lvl>
    </w:lvlOverride>
  </w:num>
  <w:num w:numId="22">
    <w:abstractNumId w:val="9"/>
  </w:num>
  <w:num w:numId="23">
    <w:abstractNumId w:val="8"/>
  </w:num>
  <w:num w:numId="24">
    <w:abstractNumId w:val="3"/>
  </w:num>
  <w:num w:numId="25">
    <w:abstractNumId w:val="6"/>
  </w:num>
  <w:num w:numId="26">
    <w:abstractNumId w:val="23"/>
  </w:num>
  <w:num w:numId="27">
    <w:abstractNumId w:val="23"/>
  </w:num>
  <w:num w:numId="28">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5DB"/>
    <w:rsid w:val="000006E3"/>
    <w:rsid w:val="000007FA"/>
    <w:rsid w:val="00000940"/>
    <w:rsid w:val="00000A1D"/>
    <w:rsid w:val="00000C05"/>
    <w:rsid w:val="00000EF0"/>
    <w:rsid w:val="000012D6"/>
    <w:rsid w:val="0000133F"/>
    <w:rsid w:val="000017F9"/>
    <w:rsid w:val="0000185E"/>
    <w:rsid w:val="00001B0E"/>
    <w:rsid w:val="00001D4A"/>
    <w:rsid w:val="00001F7B"/>
    <w:rsid w:val="000021A9"/>
    <w:rsid w:val="00002477"/>
    <w:rsid w:val="00002678"/>
    <w:rsid w:val="00002E40"/>
    <w:rsid w:val="00002FBF"/>
    <w:rsid w:val="000037FE"/>
    <w:rsid w:val="000041AB"/>
    <w:rsid w:val="000044E9"/>
    <w:rsid w:val="00004920"/>
    <w:rsid w:val="00004CCA"/>
    <w:rsid w:val="0000566B"/>
    <w:rsid w:val="00005D04"/>
    <w:rsid w:val="00006020"/>
    <w:rsid w:val="000060B8"/>
    <w:rsid w:val="00006876"/>
    <w:rsid w:val="00006915"/>
    <w:rsid w:val="00006AE9"/>
    <w:rsid w:val="00007682"/>
    <w:rsid w:val="00007CFB"/>
    <w:rsid w:val="00007E33"/>
    <w:rsid w:val="000103C1"/>
    <w:rsid w:val="0001064E"/>
    <w:rsid w:val="000107B3"/>
    <w:rsid w:val="0001084A"/>
    <w:rsid w:val="000126EA"/>
    <w:rsid w:val="0001353E"/>
    <w:rsid w:val="00013630"/>
    <w:rsid w:val="00013662"/>
    <w:rsid w:val="00013881"/>
    <w:rsid w:val="0001393A"/>
    <w:rsid w:val="000140C8"/>
    <w:rsid w:val="00014305"/>
    <w:rsid w:val="00014712"/>
    <w:rsid w:val="000149D2"/>
    <w:rsid w:val="000150D7"/>
    <w:rsid w:val="0001513D"/>
    <w:rsid w:val="000152FC"/>
    <w:rsid w:val="0001545C"/>
    <w:rsid w:val="000156E7"/>
    <w:rsid w:val="00015973"/>
    <w:rsid w:val="00015DF8"/>
    <w:rsid w:val="00015E01"/>
    <w:rsid w:val="00017509"/>
    <w:rsid w:val="00017D59"/>
    <w:rsid w:val="00020196"/>
    <w:rsid w:val="000202A1"/>
    <w:rsid w:val="000202DB"/>
    <w:rsid w:val="00020431"/>
    <w:rsid w:val="000205C1"/>
    <w:rsid w:val="000206BB"/>
    <w:rsid w:val="000208B5"/>
    <w:rsid w:val="00020ABB"/>
    <w:rsid w:val="00020D13"/>
    <w:rsid w:val="00021A9A"/>
    <w:rsid w:val="00021BEE"/>
    <w:rsid w:val="00022183"/>
    <w:rsid w:val="0002237C"/>
    <w:rsid w:val="00022E87"/>
    <w:rsid w:val="00022FC4"/>
    <w:rsid w:val="0002353D"/>
    <w:rsid w:val="00023693"/>
    <w:rsid w:val="00023948"/>
    <w:rsid w:val="00023C89"/>
    <w:rsid w:val="00023E5B"/>
    <w:rsid w:val="00024197"/>
    <w:rsid w:val="00024FB5"/>
    <w:rsid w:val="00024FE0"/>
    <w:rsid w:val="0002528B"/>
    <w:rsid w:val="000253EC"/>
    <w:rsid w:val="00025668"/>
    <w:rsid w:val="00026021"/>
    <w:rsid w:val="00026792"/>
    <w:rsid w:val="00026891"/>
    <w:rsid w:val="00026C4F"/>
    <w:rsid w:val="00026C6C"/>
    <w:rsid w:val="000278CF"/>
    <w:rsid w:val="00027D1B"/>
    <w:rsid w:val="0003004C"/>
    <w:rsid w:val="000307DA"/>
    <w:rsid w:val="00030912"/>
    <w:rsid w:val="000309CE"/>
    <w:rsid w:val="00030DEA"/>
    <w:rsid w:val="00031095"/>
    <w:rsid w:val="000310C6"/>
    <w:rsid w:val="00031871"/>
    <w:rsid w:val="00031ADE"/>
    <w:rsid w:val="00031E84"/>
    <w:rsid w:val="00032108"/>
    <w:rsid w:val="000334A2"/>
    <w:rsid w:val="000337EF"/>
    <w:rsid w:val="00033DA4"/>
    <w:rsid w:val="00033EBC"/>
    <w:rsid w:val="00035797"/>
    <w:rsid w:val="00036133"/>
    <w:rsid w:val="000364A0"/>
    <w:rsid w:val="00036C0E"/>
    <w:rsid w:val="0003762C"/>
    <w:rsid w:val="00040418"/>
    <w:rsid w:val="00040EAC"/>
    <w:rsid w:val="0004124F"/>
    <w:rsid w:val="00041A9D"/>
    <w:rsid w:val="00041F35"/>
    <w:rsid w:val="0004246F"/>
    <w:rsid w:val="00042A17"/>
    <w:rsid w:val="00042A71"/>
    <w:rsid w:val="00042C25"/>
    <w:rsid w:val="00043742"/>
    <w:rsid w:val="0004432C"/>
    <w:rsid w:val="0004434C"/>
    <w:rsid w:val="0004465B"/>
    <w:rsid w:val="00044946"/>
    <w:rsid w:val="00044AA2"/>
    <w:rsid w:val="00044C42"/>
    <w:rsid w:val="00045066"/>
    <w:rsid w:val="000452BA"/>
    <w:rsid w:val="00045495"/>
    <w:rsid w:val="000459AD"/>
    <w:rsid w:val="00045A89"/>
    <w:rsid w:val="00045C6A"/>
    <w:rsid w:val="00045F6B"/>
    <w:rsid w:val="00045FE6"/>
    <w:rsid w:val="00046491"/>
    <w:rsid w:val="00046506"/>
    <w:rsid w:val="00046AB1"/>
    <w:rsid w:val="00046AF0"/>
    <w:rsid w:val="00046C9C"/>
    <w:rsid w:val="00047145"/>
    <w:rsid w:val="00047F78"/>
    <w:rsid w:val="00047FB5"/>
    <w:rsid w:val="000501C9"/>
    <w:rsid w:val="00050514"/>
    <w:rsid w:val="000507BA"/>
    <w:rsid w:val="000508E2"/>
    <w:rsid w:val="00050ED2"/>
    <w:rsid w:val="00050EF0"/>
    <w:rsid w:val="00051583"/>
    <w:rsid w:val="0005181B"/>
    <w:rsid w:val="00051874"/>
    <w:rsid w:val="00051A50"/>
    <w:rsid w:val="00051D6D"/>
    <w:rsid w:val="00052A7E"/>
    <w:rsid w:val="000532A7"/>
    <w:rsid w:val="000537C0"/>
    <w:rsid w:val="00053800"/>
    <w:rsid w:val="00054036"/>
    <w:rsid w:val="00054178"/>
    <w:rsid w:val="00054D23"/>
    <w:rsid w:val="00054FC0"/>
    <w:rsid w:val="0005501C"/>
    <w:rsid w:val="0005522D"/>
    <w:rsid w:val="0005557F"/>
    <w:rsid w:val="00055766"/>
    <w:rsid w:val="000558E5"/>
    <w:rsid w:val="00055F39"/>
    <w:rsid w:val="00056426"/>
    <w:rsid w:val="00056545"/>
    <w:rsid w:val="00056CF7"/>
    <w:rsid w:val="00056D16"/>
    <w:rsid w:val="0005707D"/>
    <w:rsid w:val="000576DC"/>
    <w:rsid w:val="00057AB0"/>
    <w:rsid w:val="00057F0D"/>
    <w:rsid w:val="000605B2"/>
    <w:rsid w:val="000607B6"/>
    <w:rsid w:val="000607EE"/>
    <w:rsid w:val="000608B1"/>
    <w:rsid w:val="00060C76"/>
    <w:rsid w:val="000612B9"/>
    <w:rsid w:val="0006140B"/>
    <w:rsid w:val="00061567"/>
    <w:rsid w:val="00061600"/>
    <w:rsid w:val="0006183A"/>
    <w:rsid w:val="00061B23"/>
    <w:rsid w:val="00061B44"/>
    <w:rsid w:val="00062ADD"/>
    <w:rsid w:val="0006309D"/>
    <w:rsid w:val="00063587"/>
    <w:rsid w:val="00063B43"/>
    <w:rsid w:val="00064465"/>
    <w:rsid w:val="00064685"/>
    <w:rsid w:val="00064B26"/>
    <w:rsid w:val="00064B9C"/>
    <w:rsid w:val="000653C1"/>
    <w:rsid w:val="000655C1"/>
    <w:rsid w:val="00065ADB"/>
    <w:rsid w:val="00065CD7"/>
    <w:rsid w:val="000668FD"/>
    <w:rsid w:val="00066AF2"/>
    <w:rsid w:val="000671CD"/>
    <w:rsid w:val="00067BEC"/>
    <w:rsid w:val="00070210"/>
    <w:rsid w:val="00070239"/>
    <w:rsid w:val="000703E8"/>
    <w:rsid w:val="000703EC"/>
    <w:rsid w:val="00070689"/>
    <w:rsid w:val="000707D3"/>
    <w:rsid w:val="00070935"/>
    <w:rsid w:val="00070CD8"/>
    <w:rsid w:val="0007194A"/>
    <w:rsid w:val="00071EB7"/>
    <w:rsid w:val="0007261D"/>
    <w:rsid w:val="00072697"/>
    <w:rsid w:val="000728DD"/>
    <w:rsid w:val="00072B98"/>
    <w:rsid w:val="00072D68"/>
    <w:rsid w:val="00072F16"/>
    <w:rsid w:val="000733AA"/>
    <w:rsid w:val="00073627"/>
    <w:rsid w:val="00073660"/>
    <w:rsid w:val="00073A98"/>
    <w:rsid w:val="00073B40"/>
    <w:rsid w:val="00074357"/>
    <w:rsid w:val="00074411"/>
    <w:rsid w:val="000744E0"/>
    <w:rsid w:val="00074911"/>
    <w:rsid w:val="00074C33"/>
    <w:rsid w:val="00074D44"/>
    <w:rsid w:val="0007506F"/>
    <w:rsid w:val="00075123"/>
    <w:rsid w:val="00075436"/>
    <w:rsid w:val="000761F0"/>
    <w:rsid w:val="0007623D"/>
    <w:rsid w:val="000765ED"/>
    <w:rsid w:val="00076717"/>
    <w:rsid w:val="000767D9"/>
    <w:rsid w:val="00076AB6"/>
    <w:rsid w:val="00076CD4"/>
    <w:rsid w:val="00076D08"/>
    <w:rsid w:val="00077225"/>
    <w:rsid w:val="00077D61"/>
    <w:rsid w:val="00080238"/>
    <w:rsid w:val="00080271"/>
    <w:rsid w:val="000812CF"/>
    <w:rsid w:val="00081320"/>
    <w:rsid w:val="00081875"/>
    <w:rsid w:val="00081F8E"/>
    <w:rsid w:val="00082595"/>
    <w:rsid w:val="00082F01"/>
    <w:rsid w:val="0008304E"/>
    <w:rsid w:val="000831B4"/>
    <w:rsid w:val="000831DB"/>
    <w:rsid w:val="000831FF"/>
    <w:rsid w:val="000838B7"/>
    <w:rsid w:val="00083E2A"/>
    <w:rsid w:val="00083F66"/>
    <w:rsid w:val="0008402E"/>
    <w:rsid w:val="0008446C"/>
    <w:rsid w:val="0008448B"/>
    <w:rsid w:val="000848EC"/>
    <w:rsid w:val="00084B53"/>
    <w:rsid w:val="00084F7A"/>
    <w:rsid w:val="00085AD3"/>
    <w:rsid w:val="00085E97"/>
    <w:rsid w:val="00086AFF"/>
    <w:rsid w:val="00086C40"/>
    <w:rsid w:val="00086E14"/>
    <w:rsid w:val="00086FD0"/>
    <w:rsid w:val="00087366"/>
    <w:rsid w:val="0008778F"/>
    <w:rsid w:val="00087975"/>
    <w:rsid w:val="00087D2B"/>
    <w:rsid w:val="00087FDA"/>
    <w:rsid w:val="00090196"/>
    <w:rsid w:val="000904C0"/>
    <w:rsid w:val="00090C6A"/>
    <w:rsid w:val="00090D74"/>
    <w:rsid w:val="0009183B"/>
    <w:rsid w:val="000919D8"/>
    <w:rsid w:val="00091FC4"/>
    <w:rsid w:val="000923EA"/>
    <w:rsid w:val="00092463"/>
    <w:rsid w:val="000926F0"/>
    <w:rsid w:val="00092723"/>
    <w:rsid w:val="0009284F"/>
    <w:rsid w:val="00092967"/>
    <w:rsid w:val="00092AB5"/>
    <w:rsid w:val="00092D2F"/>
    <w:rsid w:val="00093404"/>
    <w:rsid w:val="00093558"/>
    <w:rsid w:val="000938D4"/>
    <w:rsid w:val="00093FBE"/>
    <w:rsid w:val="00094411"/>
    <w:rsid w:val="0009479D"/>
    <w:rsid w:val="00094B40"/>
    <w:rsid w:val="00094F63"/>
    <w:rsid w:val="0009619B"/>
    <w:rsid w:val="000967E6"/>
    <w:rsid w:val="000968E7"/>
    <w:rsid w:val="00097693"/>
    <w:rsid w:val="00097A82"/>
    <w:rsid w:val="00097AC1"/>
    <w:rsid w:val="000A014A"/>
    <w:rsid w:val="000A0939"/>
    <w:rsid w:val="000A0AEC"/>
    <w:rsid w:val="000A0C01"/>
    <w:rsid w:val="000A10E3"/>
    <w:rsid w:val="000A126D"/>
    <w:rsid w:val="000A17D0"/>
    <w:rsid w:val="000A1C0D"/>
    <w:rsid w:val="000A1C35"/>
    <w:rsid w:val="000A1F85"/>
    <w:rsid w:val="000A226B"/>
    <w:rsid w:val="000A2C3B"/>
    <w:rsid w:val="000A3319"/>
    <w:rsid w:val="000A33A1"/>
    <w:rsid w:val="000A3729"/>
    <w:rsid w:val="000A38E3"/>
    <w:rsid w:val="000A3C55"/>
    <w:rsid w:val="000A3CE0"/>
    <w:rsid w:val="000A3E5E"/>
    <w:rsid w:val="000A3FBE"/>
    <w:rsid w:val="000A43FB"/>
    <w:rsid w:val="000A473B"/>
    <w:rsid w:val="000A4A72"/>
    <w:rsid w:val="000A4E64"/>
    <w:rsid w:val="000A4EF9"/>
    <w:rsid w:val="000A5376"/>
    <w:rsid w:val="000A5E11"/>
    <w:rsid w:val="000A69A9"/>
    <w:rsid w:val="000A69D4"/>
    <w:rsid w:val="000A6DFE"/>
    <w:rsid w:val="000A705B"/>
    <w:rsid w:val="000A7921"/>
    <w:rsid w:val="000B0799"/>
    <w:rsid w:val="000B07AA"/>
    <w:rsid w:val="000B0F22"/>
    <w:rsid w:val="000B0FB3"/>
    <w:rsid w:val="000B167F"/>
    <w:rsid w:val="000B18B2"/>
    <w:rsid w:val="000B1908"/>
    <w:rsid w:val="000B197F"/>
    <w:rsid w:val="000B1F18"/>
    <w:rsid w:val="000B214E"/>
    <w:rsid w:val="000B2534"/>
    <w:rsid w:val="000B30AF"/>
    <w:rsid w:val="000B30DE"/>
    <w:rsid w:val="000B328A"/>
    <w:rsid w:val="000B34A7"/>
    <w:rsid w:val="000B3741"/>
    <w:rsid w:val="000B3A6B"/>
    <w:rsid w:val="000B3C1A"/>
    <w:rsid w:val="000B3D44"/>
    <w:rsid w:val="000B44A0"/>
    <w:rsid w:val="000B4557"/>
    <w:rsid w:val="000B4726"/>
    <w:rsid w:val="000B48DB"/>
    <w:rsid w:val="000B4B1F"/>
    <w:rsid w:val="000B4BA7"/>
    <w:rsid w:val="000B4CE8"/>
    <w:rsid w:val="000B4D14"/>
    <w:rsid w:val="000B4EB8"/>
    <w:rsid w:val="000B4FE7"/>
    <w:rsid w:val="000B5054"/>
    <w:rsid w:val="000B52C9"/>
    <w:rsid w:val="000B560B"/>
    <w:rsid w:val="000B5AEE"/>
    <w:rsid w:val="000B6808"/>
    <w:rsid w:val="000B710A"/>
    <w:rsid w:val="000B7216"/>
    <w:rsid w:val="000B76F2"/>
    <w:rsid w:val="000B7A70"/>
    <w:rsid w:val="000C01B2"/>
    <w:rsid w:val="000C10BE"/>
    <w:rsid w:val="000C1841"/>
    <w:rsid w:val="000C1D2C"/>
    <w:rsid w:val="000C207C"/>
    <w:rsid w:val="000C2086"/>
    <w:rsid w:val="000C2699"/>
    <w:rsid w:val="000C2768"/>
    <w:rsid w:val="000C2E10"/>
    <w:rsid w:val="000C3060"/>
    <w:rsid w:val="000C32E6"/>
    <w:rsid w:val="000C366C"/>
    <w:rsid w:val="000C3E3F"/>
    <w:rsid w:val="000C4035"/>
    <w:rsid w:val="000C41CB"/>
    <w:rsid w:val="000C421B"/>
    <w:rsid w:val="000C498A"/>
    <w:rsid w:val="000C4AA4"/>
    <w:rsid w:val="000C5088"/>
    <w:rsid w:val="000C548F"/>
    <w:rsid w:val="000C54E8"/>
    <w:rsid w:val="000C55A3"/>
    <w:rsid w:val="000C565E"/>
    <w:rsid w:val="000C56FD"/>
    <w:rsid w:val="000C5EC0"/>
    <w:rsid w:val="000C5F18"/>
    <w:rsid w:val="000C674E"/>
    <w:rsid w:val="000C694D"/>
    <w:rsid w:val="000C6A0D"/>
    <w:rsid w:val="000C6C05"/>
    <w:rsid w:val="000C70F5"/>
    <w:rsid w:val="000C7588"/>
    <w:rsid w:val="000C7A37"/>
    <w:rsid w:val="000C7AE4"/>
    <w:rsid w:val="000D03DB"/>
    <w:rsid w:val="000D0765"/>
    <w:rsid w:val="000D0C10"/>
    <w:rsid w:val="000D0D99"/>
    <w:rsid w:val="000D0E46"/>
    <w:rsid w:val="000D0FA4"/>
    <w:rsid w:val="000D1176"/>
    <w:rsid w:val="000D14E3"/>
    <w:rsid w:val="000D15BA"/>
    <w:rsid w:val="000D171F"/>
    <w:rsid w:val="000D1905"/>
    <w:rsid w:val="000D1C08"/>
    <w:rsid w:val="000D1CF6"/>
    <w:rsid w:val="000D22C2"/>
    <w:rsid w:val="000D2368"/>
    <w:rsid w:val="000D2AED"/>
    <w:rsid w:val="000D2B65"/>
    <w:rsid w:val="000D2E58"/>
    <w:rsid w:val="000D2E96"/>
    <w:rsid w:val="000D2EBE"/>
    <w:rsid w:val="000D37B1"/>
    <w:rsid w:val="000D3DE1"/>
    <w:rsid w:val="000D41C0"/>
    <w:rsid w:val="000D429F"/>
    <w:rsid w:val="000D4345"/>
    <w:rsid w:val="000D4490"/>
    <w:rsid w:val="000D44D0"/>
    <w:rsid w:val="000D4B9F"/>
    <w:rsid w:val="000D5093"/>
    <w:rsid w:val="000D5132"/>
    <w:rsid w:val="000D532B"/>
    <w:rsid w:val="000D533F"/>
    <w:rsid w:val="000D5AEE"/>
    <w:rsid w:val="000D5E90"/>
    <w:rsid w:val="000D677B"/>
    <w:rsid w:val="000D67CB"/>
    <w:rsid w:val="000D68B2"/>
    <w:rsid w:val="000D69A0"/>
    <w:rsid w:val="000D6C33"/>
    <w:rsid w:val="000D73DF"/>
    <w:rsid w:val="000D76D7"/>
    <w:rsid w:val="000D7716"/>
    <w:rsid w:val="000D7F4F"/>
    <w:rsid w:val="000E015A"/>
    <w:rsid w:val="000E03E7"/>
    <w:rsid w:val="000E0690"/>
    <w:rsid w:val="000E0950"/>
    <w:rsid w:val="000E0A8A"/>
    <w:rsid w:val="000E13E8"/>
    <w:rsid w:val="000E169C"/>
    <w:rsid w:val="000E1934"/>
    <w:rsid w:val="000E1B03"/>
    <w:rsid w:val="000E2BA4"/>
    <w:rsid w:val="000E2F64"/>
    <w:rsid w:val="000E2FF7"/>
    <w:rsid w:val="000E3A72"/>
    <w:rsid w:val="000E3BF6"/>
    <w:rsid w:val="000E3E29"/>
    <w:rsid w:val="000E4A79"/>
    <w:rsid w:val="000E5204"/>
    <w:rsid w:val="000E5530"/>
    <w:rsid w:val="000E55F2"/>
    <w:rsid w:val="000E6B0A"/>
    <w:rsid w:val="000E6B3D"/>
    <w:rsid w:val="000E6C56"/>
    <w:rsid w:val="000E70E3"/>
    <w:rsid w:val="000E74E5"/>
    <w:rsid w:val="000E7650"/>
    <w:rsid w:val="000E76BF"/>
    <w:rsid w:val="000E7727"/>
    <w:rsid w:val="000E7CEA"/>
    <w:rsid w:val="000F0295"/>
    <w:rsid w:val="000F08C5"/>
    <w:rsid w:val="000F08D3"/>
    <w:rsid w:val="000F0B7D"/>
    <w:rsid w:val="000F0F68"/>
    <w:rsid w:val="000F0F7F"/>
    <w:rsid w:val="000F2CDA"/>
    <w:rsid w:val="000F2E2B"/>
    <w:rsid w:val="000F2E9B"/>
    <w:rsid w:val="000F3F4F"/>
    <w:rsid w:val="000F402D"/>
    <w:rsid w:val="000F47BC"/>
    <w:rsid w:val="000F4B86"/>
    <w:rsid w:val="000F4DB6"/>
    <w:rsid w:val="000F5115"/>
    <w:rsid w:val="000F563D"/>
    <w:rsid w:val="000F6083"/>
    <w:rsid w:val="000F67AE"/>
    <w:rsid w:val="000F6B59"/>
    <w:rsid w:val="000F705F"/>
    <w:rsid w:val="000F70C4"/>
    <w:rsid w:val="000F72BF"/>
    <w:rsid w:val="000F7566"/>
    <w:rsid w:val="000F7930"/>
    <w:rsid w:val="000F7D1F"/>
    <w:rsid w:val="000F7D4A"/>
    <w:rsid w:val="000F7D58"/>
    <w:rsid w:val="0010003C"/>
    <w:rsid w:val="00100084"/>
    <w:rsid w:val="0010008F"/>
    <w:rsid w:val="00100640"/>
    <w:rsid w:val="00101268"/>
    <w:rsid w:val="0010143D"/>
    <w:rsid w:val="00101452"/>
    <w:rsid w:val="00101880"/>
    <w:rsid w:val="00101948"/>
    <w:rsid w:val="00101C56"/>
    <w:rsid w:val="00101DE4"/>
    <w:rsid w:val="00101E86"/>
    <w:rsid w:val="001024BA"/>
    <w:rsid w:val="001025AD"/>
    <w:rsid w:val="001025D1"/>
    <w:rsid w:val="00102ED0"/>
    <w:rsid w:val="00103669"/>
    <w:rsid w:val="00103857"/>
    <w:rsid w:val="00103C7A"/>
    <w:rsid w:val="00103DA5"/>
    <w:rsid w:val="00104311"/>
    <w:rsid w:val="00104788"/>
    <w:rsid w:val="00104E61"/>
    <w:rsid w:val="00105210"/>
    <w:rsid w:val="0010529D"/>
    <w:rsid w:val="00105421"/>
    <w:rsid w:val="0010546E"/>
    <w:rsid w:val="00105901"/>
    <w:rsid w:val="00105EB2"/>
    <w:rsid w:val="00105F47"/>
    <w:rsid w:val="00106078"/>
    <w:rsid w:val="0010664E"/>
    <w:rsid w:val="00106795"/>
    <w:rsid w:val="00106ABD"/>
    <w:rsid w:val="00107911"/>
    <w:rsid w:val="00107B15"/>
    <w:rsid w:val="00107D72"/>
    <w:rsid w:val="0011017F"/>
    <w:rsid w:val="00110431"/>
    <w:rsid w:val="001104FA"/>
    <w:rsid w:val="00110604"/>
    <w:rsid w:val="00110FAC"/>
    <w:rsid w:val="0011158E"/>
    <w:rsid w:val="00111A0E"/>
    <w:rsid w:val="00111A50"/>
    <w:rsid w:val="001121E7"/>
    <w:rsid w:val="001122B9"/>
    <w:rsid w:val="001123EE"/>
    <w:rsid w:val="00112A74"/>
    <w:rsid w:val="00112C49"/>
    <w:rsid w:val="001136B9"/>
    <w:rsid w:val="00113725"/>
    <w:rsid w:val="00113907"/>
    <w:rsid w:val="00114065"/>
    <w:rsid w:val="001141BB"/>
    <w:rsid w:val="001143E8"/>
    <w:rsid w:val="0011492F"/>
    <w:rsid w:val="00114BDF"/>
    <w:rsid w:val="00114E0F"/>
    <w:rsid w:val="00115189"/>
    <w:rsid w:val="001151D1"/>
    <w:rsid w:val="001156AF"/>
    <w:rsid w:val="001156CB"/>
    <w:rsid w:val="00115759"/>
    <w:rsid w:val="001159F8"/>
    <w:rsid w:val="00115A3B"/>
    <w:rsid w:val="00115F6A"/>
    <w:rsid w:val="00116136"/>
    <w:rsid w:val="001161C6"/>
    <w:rsid w:val="00116B83"/>
    <w:rsid w:val="00116BB6"/>
    <w:rsid w:val="001172B8"/>
    <w:rsid w:val="001173BE"/>
    <w:rsid w:val="001175F2"/>
    <w:rsid w:val="0011770F"/>
    <w:rsid w:val="001177E6"/>
    <w:rsid w:val="001201D4"/>
    <w:rsid w:val="00120318"/>
    <w:rsid w:val="00120389"/>
    <w:rsid w:val="001206D7"/>
    <w:rsid w:val="00120C04"/>
    <w:rsid w:val="00120E25"/>
    <w:rsid w:val="00121562"/>
    <w:rsid w:val="00121D6C"/>
    <w:rsid w:val="00122506"/>
    <w:rsid w:val="00122816"/>
    <w:rsid w:val="00122BFE"/>
    <w:rsid w:val="00122F79"/>
    <w:rsid w:val="00123147"/>
    <w:rsid w:val="001233B2"/>
    <w:rsid w:val="00123A42"/>
    <w:rsid w:val="00123CD3"/>
    <w:rsid w:val="00123D3B"/>
    <w:rsid w:val="00124A29"/>
    <w:rsid w:val="00124D7A"/>
    <w:rsid w:val="00124F32"/>
    <w:rsid w:val="00124FA4"/>
    <w:rsid w:val="0012562D"/>
    <w:rsid w:val="00126243"/>
    <w:rsid w:val="0012677A"/>
    <w:rsid w:val="00126E67"/>
    <w:rsid w:val="001274B2"/>
    <w:rsid w:val="00127A2B"/>
    <w:rsid w:val="00127BD9"/>
    <w:rsid w:val="0013057B"/>
    <w:rsid w:val="00130B82"/>
    <w:rsid w:val="00130E34"/>
    <w:rsid w:val="00130EAF"/>
    <w:rsid w:val="00130F9E"/>
    <w:rsid w:val="001313C0"/>
    <w:rsid w:val="00131466"/>
    <w:rsid w:val="00131578"/>
    <w:rsid w:val="0013182E"/>
    <w:rsid w:val="00131F22"/>
    <w:rsid w:val="0013258D"/>
    <w:rsid w:val="001329BB"/>
    <w:rsid w:val="00132EE7"/>
    <w:rsid w:val="00132F58"/>
    <w:rsid w:val="00133F28"/>
    <w:rsid w:val="00134245"/>
    <w:rsid w:val="0013441A"/>
    <w:rsid w:val="0013495B"/>
    <w:rsid w:val="001349F0"/>
    <w:rsid w:val="00134CA2"/>
    <w:rsid w:val="00135512"/>
    <w:rsid w:val="00135745"/>
    <w:rsid w:val="00135D05"/>
    <w:rsid w:val="00135D45"/>
    <w:rsid w:val="0013619D"/>
    <w:rsid w:val="0013638A"/>
    <w:rsid w:val="001368D1"/>
    <w:rsid w:val="00136A96"/>
    <w:rsid w:val="00136B5C"/>
    <w:rsid w:val="00136C3E"/>
    <w:rsid w:val="00137B58"/>
    <w:rsid w:val="00137EE5"/>
    <w:rsid w:val="0014092E"/>
    <w:rsid w:val="00141FCB"/>
    <w:rsid w:val="00142C57"/>
    <w:rsid w:val="00142CBD"/>
    <w:rsid w:val="0014315F"/>
    <w:rsid w:val="0014321F"/>
    <w:rsid w:val="00143804"/>
    <w:rsid w:val="00143948"/>
    <w:rsid w:val="00144740"/>
    <w:rsid w:val="00144B85"/>
    <w:rsid w:val="00144CC3"/>
    <w:rsid w:val="00144EF7"/>
    <w:rsid w:val="00144F76"/>
    <w:rsid w:val="00145358"/>
    <w:rsid w:val="001453BB"/>
    <w:rsid w:val="00145A1D"/>
    <w:rsid w:val="00146161"/>
    <w:rsid w:val="001461F3"/>
    <w:rsid w:val="00146280"/>
    <w:rsid w:val="00146542"/>
    <w:rsid w:val="0014694A"/>
    <w:rsid w:val="00147069"/>
    <w:rsid w:val="001472FA"/>
    <w:rsid w:val="00147383"/>
    <w:rsid w:val="001504C7"/>
    <w:rsid w:val="0015052B"/>
    <w:rsid w:val="00150A04"/>
    <w:rsid w:val="00150C38"/>
    <w:rsid w:val="00150E67"/>
    <w:rsid w:val="00151193"/>
    <w:rsid w:val="00151381"/>
    <w:rsid w:val="0015141E"/>
    <w:rsid w:val="001514D7"/>
    <w:rsid w:val="00151894"/>
    <w:rsid w:val="001518DA"/>
    <w:rsid w:val="00151AAE"/>
    <w:rsid w:val="00151F01"/>
    <w:rsid w:val="00152AC0"/>
    <w:rsid w:val="00152C99"/>
    <w:rsid w:val="00153217"/>
    <w:rsid w:val="00153816"/>
    <w:rsid w:val="00153FB2"/>
    <w:rsid w:val="001545AB"/>
    <w:rsid w:val="001548FB"/>
    <w:rsid w:val="00154E3B"/>
    <w:rsid w:val="0015505E"/>
    <w:rsid w:val="00155994"/>
    <w:rsid w:val="00155B26"/>
    <w:rsid w:val="00155BCB"/>
    <w:rsid w:val="00155E28"/>
    <w:rsid w:val="00155FA6"/>
    <w:rsid w:val="001560F9"/>
    <w:rsid w:val="00156408"/>
    <w:rsid w:val="00156461"/>
    <w:rsid w:val="001565EA"/>
    <w:rsid w:val="00156CF3"/>
    <w:rsid w:val="00157102"/>
    <w:rsid w:val="00157337"/>
    <w:rsid w:val="0015789A"/>
    <w:rsid w:val="0015796C"/>
    <w:rsid w:val="00157E0E"/>
    <w:rsid w:val="00157F85"/>
    <w:rsid w:val="00157FDB"/>
    <w:rsid w:val="00160601"/>
    <w:rsid w:val="00160629"/>
    <w:rsid w:val="00160A9F"/>
    <w:rsid w:val="001614A0"/>
    <w:rsid w:val="001615B7"/>
    <w:rsid w:val="00161871"/>
    <w:rsid w:val="00161998"/>
    <w:rsid w:val="0016207A"/>
    <w:rsid w:val="0016215E"/>
    <w:rsid w:val="00162A08"/>
    <w:rsid w:val="00162D1B"/>
    <w:rsid w:val="001631CB"/>
    <w:rsid w:val="00163874"/>
    <w:rsid w:val="001639C0"/>
    <w:rsid w:val="00163AA0"/>
    <w:rsid w:val="001643F5"/>
    <w:rsid w:val="00164423"/>
    <w:rsid w:val="00164487"/>
    <w:rsid w:val="00165B7D"/>
    <w:rsid w:val="00166430"/>
    <w:rsid w:val="0016694A"/>
    <w:rsid w:val="00166CAF"/>
    <w:rsid w:val="00166D14"/>
    <w:rsid w:val="00166E01"/>
    <w:rsid w:val="00167047"/>
    <w:rsid w:val="00167150"/>
    <w:rsid w:val="001672F2"/>
    <w:rsid w:val="00167C2E"/>
    <w:rsid w:val="00167DB5"/>
    <w:rsid w:val="0017008C"/>
    <w:rsid w:val="0017017C"/>
    <w:rsid w:val="001704D2"/>
    <w:rsid w:val="00170685"/>
    <w:rsid w:val="0017098E"/>
    <w:rsid w:val="00170A19"/>
    <w:rsid w:val="00170C97"/>
    <w:rsid w:val="00170CD5"/>
    <w:rsid w:val="00171193"/>
    <w:rsid w:val="00171521"/>
    <w:rsid w:val="001717C6"/>
    <w:rsid w:val="00171891"/>
    <w:rsid w:val="00171B90"/>
    <w:rsid w:val="00171BA8"/>
    <w:rsid w:val="001720B7"/>
    <w:rsid w:val="0017217D"/>
    <w:rsid w:val="001722C6"/>
    <w:rsid w:val="0017270D"/>
    <w:rsid w:val="001727E3"/>
    <w:rsid w:val="001728D7"/>
    <w:rsid w:val="0017295C"/>
    <w:rsid w:val="00172A0E"/>
    <w:rsid w:val="001732EB"/>
    <w:rsid w:val="001742A7"/>
    <w:rsid w:val="00174822"/>
    <w:rsid w:val="00174940"/>
    <w:rsid w:val="00174BD7"/>
    <w:rsid w:val="00175189"/>
    <w:rsid w:val="001752AC"/>
    <w:rsid w:val="0017587C"/>
    <w:rsid w:val="00175D33"/>
    <w:rsid w:val="00176080"/>
    <w:rsid w:val="00176E59"/>
    <w:rsid w:val="00176F32"/>
    <w:rsid w:val="001772CE"/>
    <w:rsid w:val="0017769E"/>
    <w:rsid w:val="00177AF8"/>
    <w:rsid w:val="00177DE6"/>
    <w:rsid w:val="00177E5A"/>
    <w:rsid w:val="00177E9F"/>
    <w:rsid w:val="00177F8C"/>
    <w:rsid w:val="0018075E"/>
    <w:rsid w:val="0018076C"/>
    <w:rsid w:val="001807AC"/>
    <w:rsid w:val="001807ED"/>
    <w:rsid w:val="0018094C"/>
    <w:rsid w:val="00180959"/>
    <w:rsid w:val="00180F07"/>
    <w:rsid w:val="00181145"/>
    <w:rsid w:val="00181195"/>
    <w:rsid w:val="0018172B"/>
    <w:rsid w:val="001819E2"/>
    <w:rsid w:val="00181C5E"/>
    <w:rsid w:val="00181F0F"/>
    <w:rsid w:val="001820D2"/>
    <w:rsid w:val="00182146"/>
    <w:rsid w:val="00182A9B"/>
    <w:rsid w:val="001830DA"/>
    <w:rsid w:val="00183251"/>
    <w:rsid w:val="001833A6"/>
    <w:rsid w:val="0018384D"/>
    <w:rsid w:val="0018389D"/>
    <w:rsid w:val="00183FEE"/>
    <w:rsid w:val="001842C4"/>
    <w:rsid w:val="0018460D"/>
    <w:rsid w:val="00184957"/>
    <w:rsid w:val="001849D5"/>
    <w:rsid w:val="00184ECD"/>
    <w:rsid w:val="001855FC"/>
    <w:rsid w:val="00186065"/>
    <w:rsid w:val="00186CD0"/>
    <w:rsid w:val="00187050"/>
    <w:rsid w:val="001870BC"/>
    <w:rsid w:val="001871A8"/>
    <w:rsid w:val="00187333"/>
    <w:rsid w:val="00187A24"/>
    <w:rsid w:val="00187A9D"/>
    <w:rsid w:val="00187F36"/>
    <w:rsid w:val="00190347"/>
    <w:rsid w:val="001906B0"/>
    <w:rsid w:val="00190AA2"/>
    <w:rsid w:val="00191078"/>
    <w:rsid w:val="0019117E"/>
    <w:rsid w:val="00191B06"/>
    <w:rsid w:val="00191FF2"/>
    <w:rsid w:val="00192413"/>
    <w:rsid w:val="00192436"/>
    <w:rsid w:val="001925E8"/>
    <w:rsid w:val="00192C6B"/>
    <w:rsid w:val="00192F97"/>
    <w:rsid w:val="00193022"/>
    <w:rsid w:val="0019315B"/>
    <w:rsid w:val="0019316F"/>
    <w:rsid w:val="001937BB"/>
    <w:rsid w:val="001938B2"/>
    <w:rsid w:val="001938F8"/>
    <w:rsid w:val="00193946"/>
    <w:rsid w:val="00193B3D"/>
    <w:rsid w:val="00193D49"/>
    <w:rsid w:val="001949E4"/>
    <w:rsid w:val="001951F7"/>
    <w:rsid w:val="00195552"/>
    <w:rsid w:val="0019569B"/>
    <w:rsid w:val="00195D92"/>
    <w:rsid w:val="00195E80"/>
    <w:rsid w:val="00196256"/>
    <w:rsid w:val="00196AA8"/>
    <w:rsid w:val="00196EF6"/>
    <w:rsid w:val="00196F67"/>
    <w:rsid w:val="00197190"/>
    <w:rsid w:val="00197283"/>
    <w:rsid w:val="0019747D"/>
    <w:rsid w:val="00197696"/>
    <w:rsid w:val="00197F7F"/>
    <w:rsid w:val="00197FA2"/>
    <w:rsid w:val="001A025B"/>
    <w:rsid w:val="001A05DF"/>
    <w:rsid w:val="001A0A2F"/>
    <w:rsid w:val="001A0BE6"/>
    <w:rsid w:val="001A10D5"/>
    <w:rsid w:val="001A1B51"/>
    <w:rsid w:val="001A1D53"/>
    <w:rsid w:val="001A2772"/>
    <w:rsid w:val="001A2F4C"/>
    <w:rsid w:val="001A3164"/>
    <w:rsid w:val="001A3D86"/>
    <w:rsid w:val="001A442C"/>
    <w:rsid w:val="001A5017"/>
    <w:rsid w:val="001A5297"/>
    <w:rsid w:val="001A5639"/>
    <w:rsid w:val="001A5E3A"/>
    <w:rsid w:val="001A7234"/>
    <w:rsid w:val="001A758D"/>
    <w:rsid w:val="001A7644"/>
    <w:rsid w:val="001B0195"/>
    <w:rsid w:val="001B01E4"/>
    <w:rsid w:val="001B05C2"/>
    <w:rsid w:val="001B0EFC"/>
    <w:rsid w:val="001B191F"/>
    <w:rsid w:val="001B21CA"/>
    <w:rsid w:val="001B22F5"/>
    <w:rsid w:val="001B3443"/>
    <w:rsid w:val="001B3B27"/>
    <w:rsid w:val="001B3B53"/>
    <w:rsid w:val="001B44C3"/>
    <w:rsid w:val="001B4762"/>
    <w:rsid w:val="001B5198"/>
    <w:rsid w:val="001B53EB"/>
    <w:rsid w:val="001B5AF1"/>
    <w:rsid w:val="001B5B16"/>
    <w:rsid w:val="001B5EBB"/>
    <w:rsid w:val="001B5EEF"/>
    <w:rsid w:val="001B7A86"/>
    <w:rsid w:val="001B7D4C"/>
    <w:rsid w:val="001B7DCA"/>
    <w:rsid w:val="001B7F03"/>
    <w:rsid w:val="001C013C"/>
    <w:rsid w:val="001C032F"/>
    <w:rsid w:val="001C067D"/>
    <w:rsid w:val="001C0B83"/>
    <w:rsid w:val="001C0C8C"/>
    <w:rsid w:val="001C0F63"/>
    <w:rsid w:val="001C0FDE"/>
    <w:rsid w:val="001C14A7"/>
    <w:rsid w:val="001C152C"/>
    <w:rsid w:val="001C1650"/>
    <w:rsid w:val="001C172A"/>
    <w:rsid w:val="001C1BDF"/>
    <w:rsid w:val="001C2003"/>
    <w:rsid w:val="001C263F"/>
    <w:rsid w:val="001C26CD"/>
    <w:rsid w:val="001C2780"/>
    <w:rsid w:val="001C2AA1"/>
    <w:rsid w:val="001C2CAA"/>
    <w:rsid w:val="001C2D99"/>
    <w:rsid w:val="001C2EB2"/>
    <w:rsid w:val="001C2FE0"/>
    <w:rsid w:val="001C3753"/>
    <w:rsid w:val="001C37C5"/>
    <w:rsid w:val="001C37DA"/>
    <w:rsid w:val="001C3A7C"/>
    <w:rsid w:val="001C3ECE"/>
    <w:rsid w:val="001C3F3D"/>
    <w:rsid w:val="001C4151"/>
    <w:rsid w:val="001C41B9"/>
    <w:rsid w:val="001C5558"/>
    <w:rsid w:val="001C5746"/>
    <w:rsid w:val="001C588B"/>
    <w:rsid w:val="001C5E2F"/>
    <w:rsid w:val="001C610D"/>
    <w:rsid w:val="001C7142"/>
    <w:rsid w:val="001C751F"/>
    <w:rsid w:val="001C79A8"/>
    <w:rsid w:val="001C7A4A"/>
    <w:rsid w:val="001D01C2"/>
    <w:rsid w:val="001D088A"/>
    <w:rsid w:val="001D0AE4"/>
    <w:rsid w:val="001D0AEF"/>
    <w:rsid w:val="001D0B68"/>
    <w:rsid w:val="001D0D1A"/>
    <w:rsid w:val="001D0EE7"/>
    <w:rsid w:val="001D17CD"/>
    <w:rsid w:val="001D1B84"/>
    <w:rsid w:val="001D209A"/>
    <w:rsid w:val="001D2260"/>
    <w:rsid w:val="001D226A"/>
    <w:rsid w:val="001D2AF1"/>
    <w:rsid w:val="001D2FB5"/>
    <w:rsid w:val="001D3587"/>
    <w:rsid w:val="001D3AA1"/>
    <w:rsid w:val="001D4B72"/>
    <w:rsid w:val="001D4DF3"/>
    <w:rsid w:val="001D4FE5"/>
    <w:rsid w:val="001D507E"/>
    <w:rsid w:val="001D593B"/>
    <w:rsid w:val="001D5A0B"/>
    <w:rsid w:val="001D5AB6"/>
    <w:rsid w:val="001D5E10"/>
    <w:rsid w:val="001D658B"/>
    <w:rsid w:val="001D674F"/>
    <w:rsid w:val="001D6B33"/>
    <w:rsid w:val="001D6C8F"/>
    <w:rsid w:val="001D73E5"/>
    <w:rsid w:val="001D7846"/>
    <w:rsid w:val="001D7927"/>
    <w:rsid w:val="001D7B25"/>
    <w:rsid w:val="001D7B44"/>
    <w:rsid w:val="001D7C3C"/>
    <w:rsid w:val="001D7C4E"/>
    <w:rsid w:val="001D7EB6"/>
    <w:rsid w:val="001D7F51"/>
    <w:rsid w:val="001E02C7"/>
    <w:rsid w:val="001E05FB"/>
    <w:rsid w:val="001E113F"/>
    <w:rsid w:val="001E1192"/>
    <w:rsid w:val="001E146E"/>
    <w:rsid w:val="001E1953"/>
    <w:rsid w:val="001E234B"/>
    <w:rsid w:val="001E2467"/>
    <w:rsid w:val="001E2602"/>
    <w:rsid w:val="001E26B2"/>
    <w:rsid w:val="001E2778"/>
    <w:rsid w:val="001E2A66"/>
    <w:rsid w:val="001E2D81"/>
    <w:rsid w:val="001E2E7D"/>
    <w:rsid w:val="001E2FA6"/>
    <w:rsid w:val="001E35DC"/>
    <w:rsid w:val="001E36E2"/>
    <w:rsid w:val="001E37EA"/>
    <w:rsid w:val="001E3B00"/>
    <w:rsid w:val="001E3E01"/>
    <w:rsid w:val="001E3E66"/>
    <w:rsid w:val="001E3E7E"/>
    <w:rsid w:val="001E4BE7"/>
    <w:rsid w:val="001E59A7"/>
    <w:rsid w:val="001E6031"/>
    <w:rsid w:val="001E604D"/>
    <w:rsid w:val="001E68C9"/>
    <w:rsid w:val="001E6EB8"/>
    <w:rsid w:val="001E72BC"/>
    <w:rsid w:val="001E7BD7"/>
    <w:rsid w:val="001E7E30"/>
    <w:rsid w:val="001F051E"/>
    <w:rsid w:val="001F0CAB"/>
    <w:rsid w:val="001F0F85"/>
    <w:rsid w:val="001F1810"/>
    <w:rsid w:val="001F1C87"/>
    <w:rsid w:val="001F1CF6"/>
    <w:rsid w:val="001F28B7"/>
    <w:rsid w:val="001F300E"/>
    <w:rsid w:val="001F38C2"/>
    <w:rsid w:val="001F45A9"/>
    <w:rsid w:val="001F4706"/>
    <w:rsid w:val="001F4B20"/>
    <w:rsid w:val="001F4DA1"/>
    <w:rsid w:val="001F4DF5"/>
    <w:rsid w:val="001F502B"/>
    <w:rsid w:val="001F50C1"/>
    <w:rsid w:val="001F50F6"/>
    <w:rsid w:val="001F6269"/>
    <w:rsid w:val="001F63BB"/>
    <w:rsid w:val="001F6667"/>
    <w:rsid w:val="001F7873"/>
    <w:rsid w:val="001F7B85"/>
    <w:rsid w:val="001F7D9B"/>
    <w:rsid w:val="0020083B"/>
    <w:rsid w:val="0020092B"/>
    <w:rsid w:val="002009CD"/>
    <w:rsid w:val="00200B49"/>
    <w:rsid w:val="00200F16"/>
    <w:rsid w:val="00201125"/>
    <w:rsid w:val="0020199E"/>
    <w:rsid w:val="0020200D"/>
    <w:rsid w:val="00202031"/>
    <w:rsid w:val="002020DE"/>
    <w:rsid w:val="00202185"/>
    <w:rsid w:val="0020226D"/>
    <w:rsid w:val="00202A4F"/>
    <w:rsid w:val="00202AD5"/>
    <w:rsid w:val="00202BC7"/>
    <w:rsid w:val="00202DB4"/>
    <w:rsid w:val="00202E80"/>
    <w:rsid w:val="002036D3"/>
    <w:rsid w:val="00203768"/>
    <w:rsid w:val="00203CF8"/>
    <w:rsid w:val="00203D14"/>
    <w:rsid w:val="0020403F"/>
    <w:rsid w:val="002041BF"/>
    <w:rsid w:val="00204229"/>
    <w:rsid w:val="00204534"/>
    <w:rsid w:val="002045E0"/>
    <w:rsid w:val="00204BEE"/>
    <w:rsid w:val="00204EAE"/>
    <w:rsid w:val="0020555B"/>
    <w:rsid w:val="00205BC3"/>
    <w:rsid w:val="00205C46"/>
    <w:rsid w:val="00205F91"/>
    <w:rsid w:val="002061EB"/>
    <w:rsid w:val="002067A8"/>
    <w:rsid w:val="00206B71"/>
    <w:rsid w:val="00206D05"/>
    <w:rsid w:val="00206F6E"/>
    <w:rsid w:val="00206FF1"/>
    <w:rsid w:val="00207450"/>
    <w:rsid w:val="002074CE"/>
    <w:rsid w:val="0020761E"/>
    <w:rsid w:val="0020796B"/>
    <w:rsid w:val="00207EFB"/>
    <w:rsid w:val="002105F7"/>
    <w:rsid w:val="0021097C"/>
    <w:rsid w:val="00210A7C"/>
    <w:rsid w:val="0021171A"/>
    <w:rsid w:val="00211A73"/>
    <w:rsid w:val="002121AB"/>
    <w:rsid w:val="00212250"/>
    <w:rsid w:val="002129AE"/>
    <w:rsid w:val="00212AF8"/>
    <w:rsid w:val="00212BB5"/>
    <w:rsid w:val="00212CF5"/>
    <w:rsid w:val="00212D41"/>
    <w:rsid w:val="002132C5"/>
    <w:rsid w:val="00213442"/>
    <w:rsid w:val="00213592"/>
    <w:rsid w:val="00213F0B"/>
    <w:rsid w:val="00214107"/>
    <w:rsid w:val="002144C0"/>
    <w:rsid w:val="002147B7"/>
    <w:rsid w:val="002155D3"/>
    <w:rsid w:val="00215607"/>
    <w:rsid w:val="00215C29"/>
    <w:rsid w:val="00215CDD"/>
    <w:rsid w:val="002161AE"/>
    <w:rsid w:val="002162A1"/>
    <w:rsid w:val="00216340"/>
    <w:rsid w:val="0021642A"/>
    <w:rsid w:val="0021682D"/>
    <w:rsid w:val="00216B4E"/>
    <w:rsid w:val="00216DD6"/>
    <w:rsid w:val="0021731C"/>
    <w:rsid w:val="002173D9"/>
    <w:rsid w:val="002175F5"/>
    <w:rsid w:val="0021772A"/>
    <w:rsid w:val="00217B1F"/>
    <w:rsid w:val="0022044A"/>
    <w:rsid w:val="00220CAE"/>
    <w:rsid w:val="00220D21"/>
    <w:rsid w:val="00221296"/>
    <w:rsid w:val="00221664"/>
    <w:rsid w:val="00221EE3"/>
    <w:rsid w:val="0022219C"/>
    <w:rsid w:val="00222609"/>
    <w:rsid w:val="002227B6"/>
    <w:rsid w:val="002229A1"/>
    <w:rsid w:val="002229DB"/>
    <w:rsid w:val="00222AC8"/>
    <w:rsid w:val="00222D1D"/>
    <w:rsid w:val="00222E15"/>
    <w:rsid w:val="00222E2F"/>
    <w:rsid w:val="0022331C"/>
    <w:rsid w:val="0022386D"/>
    <w:rsid w:val="00223899"/>
    <w:rsid w:val="00223C8B"/>
    <w:rsid w:val="00224135"/>
    <w:rsid w:val="002243CB"/>
    <w:rsid w:val="002247F1"/>
    <w:rsid w:val="00224A1D"/>
    <w:rsid w:val="00224AC8"/>
    <w:rsid w:val="00225235"/>
    <w:rsid w:val="00225887"/>
    <w:rsid w:val="00225896"/>
    <w:rsid w:val="00226178"/>
    <w:rsid w:val="00226257"/>
    <w:rsid w:val="002262DB"/>
    <w:rsid w:val="002265AF"/>
    <w:rsid w:val="002267F4"/>
    <w:rsid w:val="00226CA6"/>
    <w:rsid w:val="0022729C"/>
    <w:rsid w:val="00230048"/>
    <w:rsid w:val="002301EA"/>
    <w:rsid w:val="00230619"/>
    <w:rsid w:val="002310DB"/>
    <w:rsid w:val="0023138C"/>
    <w:rsid w:val="00231B37"/>
    <w:rsid w:val="00231E16"/>
    <w:rsid w:val="00232F8E"/>
    <w:rsid w:val="002336C9"/>
    <w:rsid w:val="00233A55"/>
    <w:rsid w:val="00233F05"/>
    <w:rsid w:val="002348B7"/>
    <w:rsid w:val="00234A2C"/>
    <w:rsid w:val="00234A93"/>
    <w:rsid w:val="002351B4"/>
    <w:rsid w:val="002354DE"/>
    <w:rsid w:val="002355B4"/>
    <w:rsid w:val="00235840"/>
    <w:rsid w:val="00235975"/>
    <w:rsid w:val="00235DD0"/>
    <w:rsid w:val="00236BB7"/>
    <w:rsid w:val="00236FB1"/>
    <w:rsid w:val="00237403"/>
    <w:rsid w:val="00237606"/>
    <w:rsid w:val="002376D4"/>
    <w:rsid w:val="002378DB"/>
    <w:rsid w:val="00237BA5"/>
    <w:rsid w:val="00237ECB"/>
    <w:rsid w:val="00237EDF"/>
    <w:rsid w:val="00240099"/>
    <w:rsid w:val="002400C9"/>
    <w:rsid w:val="002406FB"/>
    <w:rsid w:val="002407CB"/>
    <w:rsid w:val="00240A81"/>
    <w:rsid w:val="00241429"/>
    <w:rsid w:val="00241D60"/>
    <w:rsid w:val="00241D98"/>
    <w:rsid w:val="00241E3C"/>
    <w:rsid w:val="00242398"/>
    <w:rsid w:val="002429D9"/>
    <w:rsid w:val="00242BA2"/>
    <w:rsid w:val="00242BA3"/>
    <w:rsid w:val="00242CDE"/>
    <w:rsid w:val="0024325A"/>
    <w:rsid w:val="00243438"/>
    <w:rsid w:val="00243A06"/>
    <w:rsid w:val="00243BE2"/>
    <w:rsid w:val="002441E7"/>
    <w:rsid w:val="0024432B"/>
    <w:rsid w:val="00244799"/>
    <w:rsid w:val="00244CFB"/>
    <w:rsid w:val="002451E7"/>
    <w:rsid w:val="002454FD"/>
    <w:rsid w:val="002455A2"/>
    <w:rsid w:val="00245933"/>
    <w:rsid w:val="00245C0E"/>
    <w:rsid w:val="0024629F"/>
    <w:rsid w:val="002467CB"/>
    <w:rsid w:val="00246B0E"/>
    <w:rsid w:val="0024713F"/>
    <w:rsid w:val="00247585"/>
    <w:rsid w:val="002475C5"/>
    <w:rsid w:val="002477A3"/>
    <w:rsid w:val="00247B17"/>
    <w:rsid w:val="00247FBB"/>
    <w:rsid w:val="00250279"/>
    <w:rsid w:val="00250524"/>
    <w:rsid w:val="002505A8"/>
    <w:rsid w:val="00250749"/>
    <w:rsid w:val="00250804"/>
    <w:rsid w:val="00250831"/>
    <w:rsid w:val="0025096F"/>
    <w:rsid w:val="00250E64"/>
    <w:rsid w:val="00250E9C"/>
    <w:rsid w:val="002513F9"/>
    <w:rsid w:val="00251931"/>
    <w:rsid w:val="00251B9C"/>
    <w:rsid w:val="00251DD5"/>
    <w:rsid w:val="00251EEE"/>
    <w:rsid w:val="00251FF0"/>
    <w:rsid w:val="0025278A"/>
    <w:rsid w:val="00252ACF"/>
    <w:rsid w:val="00252BBC"/>
    <w:rsid w:val="00252DFB"/>
    <w:rsid w:val="00253146"/>
    <w:rsid w:val="0025322B"/>
    <w:rsid w:val="00253414"/>
    <w:rsid w:val="0025342B"/>
    <w:rsid w:val="00253577"/>
    <w:rsid w:val="00253728"/>
    <w:rsid w:val="0025372F"/>
    <w:rsid w:val="00253780"/>
    <w:rsid w:val="00253C23"/>
    <w:rsid w:val="00253EE4"/>
    <w:rsid w:val="00253EE6"/>
    <w:rsid w:val="00254557"/>
    <w:rsid w:val="00254BE8"/>
    <w:rsid w:val="00254FB2"/>
    <w:rsid w:val="002552B6"/>
    <w:rsid w:val="002552E4"/>
    <w:rsid w:val="00255AD3"/>
    <w:rsid w:val="00255CBF"/>
    <w:rsid w:val="00255E89"/>
    <w:rsid w:val="00255F57"/>
    <w:rsid w:val="002569BB"/>
    <w:rsid w:val="002569F4"/>
    <w:rsid w:val="00256AEF"/>
    <w:rsid w:val="00256DE4"/>
    <w:rsid w:val="00256FEA"/>
    <w:rsid w:val="00257032"/>
    <w:rsid w:val="0025730A"/>
    <w:rsid w:val="0025740C"/>
    <w:rsid w:val="002575B0"/>
    <w:rsid w:val="002575CA"/>
    <w:rsid w:val="0025772B"/>
    <w:rsid w:val="00257C02"/>
    <w:rsid w:val="00257CB6"/>
    <w:rsid w:val="00257D79"/>
    <w:rsid w:val="00257DB3"/>
    <w:rsid w:val="0026010C"/>
    <w:rsid w:val="00260182"/>
    <w:rsid w:val="00261E61"/>
    <w:rsid w:val="00262127"/>
    <w:rsid w:val="002638F7"/>
    <w:rsid w:val="002640C0"/>
    <w:rsid w:val="00264359"/>
    <w:rsid w:val="00264364"/>
    <w:rsid w:val="002647E1"/>
    <w:rsid w:val="00264D67"/>
    <w:rsid w:val="00265446"/>
    <w:rsid w:val="0026545F"/>
    <w:rsid w:val="00265DC7"/>
    <w:rsid w:val="00266262"/>
    <w:rsid w:val="00266516"/>
    <w:rsid w:val="0026678E"/>
    <w:rsid w:val="00266968"/>
    <w:rsid w:val="0026797F"/>
    <w:rsid w:val="00267E18"/>
    <w:rsid w:val="002701BD"/>
    <w:rsid w:val="00270349"/>
    <w:rsid w:val="0027084B"/>
    <w:rsid w:val="00270866"/>
    <w:rsid w:val="002709A4"/>
    <w:rsid w:val="00270DA4"/>
    <w:rsid w:val="00270E97"/>
    <w:rsid w:val="00270F66"/>
    <w:rsid w:val="00271422"/>
    <w:rsid w:val="00271B85"/>
    <w:rsid w:val="00272500"/>
    <w:rsid w:val="00272695"/>
    <w:rsid w:val="00272707"/>
    <w:rsid w:val="00272C71"/>
    <w:rsid w:val="00273AAE"/>
    <w:rsid w:val="00273B42"/>
    <w:rsid w:val="002741EF"/>
    <w:rsid w:val="0027474C"/>
    <w:rsid w:val="002747DE"/>
    <w:rsid w:val="002755AF"/>
    <w:rsid w:val="0027580A"/>
    <w:rsid w:val="002764A6"/>
    <w:rsid w:val="002768F1"/>
    <w:rsid w:val="00276A36"/>
    <w:rsid w:val="00277043"/>
    <w:rsid w:val="00277D46"/>
    <w:rsid w:val="00281508"/>
    <w:rsid w:val="0028172C"/>
    <w:rsid w:val="00281A36"/>
    <w:rsid w:val="00281AA7"/>
    <w:rsid w:val="00282D58"/>
    <w:rsid w:val="0028345C"/>
    <w:rsid w:val="0028432A"/>
    <w:rsid w:val="002843C6"/>
    <w:rsid w:val="00284E84"/>
    <w:rsid w:val="00285E03"/>
    <w:rsid w:val="002863FB"/>
    <w:rsid w:val="002866D5"/>
    <w:rsid w:val="00286B4C"/>
    <w:rsid w:val="00286DBC"/>
    <w:rsid w:val="00286E9F"/>
    <w:rsid w:val="00286F03"/>
    <w:rsid w:val="00287649"/>
    <w:rsid w:val="002878B3"/>
    <w:rsid w:val="00287F0D"/>
    <w:rsid w:val="002907A8"/>
    <w:rsid w:val="00290BF2"/>
    <w:rsid w:val="002911ED"/>
    <w:rsid w:val="00291680"/>
    <w:rsid w:val="00291A31"/>
    <w:rsid w:val="00291BA0"/>
    <w:rsid w:val="00291BD8"/>
    <w:rsid w:val="00291BF6"/>
    <w:rsid w:val="002923B0"/>
    <w:rsid w:val="002926AD"/>
    <w:rsid w:val="002926F0"/>
    <w:rsid w:val="00292C7A"/>
    <w:rsid w:val="0029368F"/>
    <w:rsid w:val="002937DA"/>
    <w:rsid w:val="00293C64"/>
    <w:rsid w:val="00294091"/>
    <w:rsid w:val="00294241"/>
    <w:rsid w:val="002945B4"/>
    <w:rsid w:val="00294895"/>
    <w:rsid w:val="00295167"/>
    <w:rsid w:val="00295954"/>
    <w:rsid w:val="00295AD2"/>
    <w:rsid w:val="00295AF0"/>
    <w:rsid w:val="00295B40"/>
    <w:rsid w:val="00295C3E"/>
    <w:rsid w:val="00296034"/>
    <w:rsid w:val="00296289"/>
    <w:rsid w:val="00296439"/>
    <w:rsid w:val="00296534"/>
    <w:rsid w:val="00296C96"/>
    <w:rsid w:val="00297A90"/>
    <w:rsid w:val="00297CD3"/>
    <w:rsid w:val="002A086B"/>
    <w:rsid w:val="002A0BF1"/>
    <w:rsid w:val="002A1292"/>
    <w:rsid w:val="002A1546"/>
    <w:rsid w:val="002A1756"/>
    <w:rsid w:val="002A191C"/>
    <w:rsid w:val="002A20A7"/>
    <w:rsid w:val="002A293E"/>
    <w:rsid w:val="002A30E1"/>
    <w:rsid w:val="002A3863"/>
    <w:rsid w:val="002A389E"/>
    <w:rsid w:val="002A3C45"/>
    <w:rsid w:val="002A438C"/>
    <w:rsid w:val="002A4577"/>
    <w:rsid w:val="002A53CD"/>
    <w:rsid w:val="002A5BCB"/>
    <w:rsid w:val="002A5C75"/>
    <w:rsid w:val="002A5E16"/>
    <w:rsid w:val="002A614A"/>
    <w:rsid w:val="002A62B0"/>
    <w:rsid w:val="002A6EE9"/>
    <w:rsid w:val="002A7D0E"/>
    <w:rsid w:val="002B003D"/>
    <w:rsid w:val="002B03B0"/>
    <w:rsid w:val="002B0616"/>
    <w:rsid w:val="002B06DD"/>
    <w:rsid w:val="002B0BA4"/>
    <w:rsid w:val="002B11A3"/>
    <w:rsid w:val="002B137D"/>
    <w:rsid w:val="002B158C"/>
    <w:rsid w:val="002B1911"/>
    <w:rsid w:val="002B1AE5"/>
    <w:rsid w:val="002B1D8A"/>
    <w:rsid w:val="002B2457"/>
    <w:rsid w:val="002B276D"/>
    <w:rsid w:val="002B2866"/>
    <w:rsid w:val="002B288A"/>
    <w:rsid w:val="002B2971"/>
    <w:rsid w:val="002B2A6C"/>
    <w:rsid w:val="002B2C08"/>
    <w:rsid w:val="002B2D5B"/>
    <w:rsid w:val="002B2E9C"/>
    <w:rsid w:val="002B357B"/>
    <w:rsid w:val="002B35E8"/>
    <w:rsid w:val="002B3C3D"/>
    <w:rsid w:val="002B3D62"/>
    <w:rsid w:val="002B3FAB"/>
    <w:rsid w:val="002B462B"/>
    <w:rsid w:val="002B46ED"/>
    <w:rsid w:val="002B51FB"/>
    <w:rsid w:val="002B5522"/>
    <w:rsid w:val="002B5C09"/>
    <w:rsid w:val="002B5E78"/>
    <w:rsid w:val="002B5EDE"/>
    <w:rsid w:val="002B67AA"/>
    <w:rsid w:val="002B67DA"/>
    <w:rsid w:val="002B6AC6"/>
    <w:rsid w:val="002B6E50"/>
    <w:rsid w:val="002B7C6B"/>
    <w:rsid w:val="002C0E5E"/>
    <w:rsid w:val="002C18C1"/>
    <w:rsid w:val="002C1ADA"/>
    <w:rsid w:val="002C1E6B"/>
    <w:rsid w:val="002C25DF"/>
    <w:rsid w:val="002C2638"/>
    <w:rsid w:val="002C2805"/>
    <w:rsid w:val="002C2879"/>
    <w:rsid w:val="002C2A74"/>
    <w:rsid w:val="002C30D5"/>
    <w:rsid w:val="002C323E"/>
    <w:rsid w:val="002C3AA9"/>
    <w:rsid w:val="002C450D"/>
    <w:rsid w:val="002C4624"/>
    <w:rsid w:val="002C4900"/>
    <w:rsid w:val="002C4BDA"/>
    <w:rsid w:val="002C4DCE"/>
    <w:rsid w:val="002C5054"/>
    <w:rsid w:val="002C5616"/>
    <w:rsid w:val="002C5905"/>
    <w:rsid w:val="002C5916"/>
    <w:rsid w:val="002C5B4C"/>
    <w:rsid w:val="002C5CD9"/>
    <w:rsid w:val="002C604B"/>
    <w:rsid w:val="002C635C"/>
    <w:rsid w:val="002C63B6"/>
    <w:rsid w:val="002C6F9F"/>
    <w:rsid w:val="002C7C8F"/>
    <w:rsid w:val="002D0013"/>
    <w:rsid w:val="002D05EC"/>
    <w:rsid w:val="002D0BF2"/>
    <w:rsid w:val="002D1275"/>
    <w:rsid w:val="002D12B1"/>
    <w:rsid w:val="002D12ED"/>
    <w:rsid w:val="002D16D3"/>
    <w:rsid w:val="002D172E"/>
    <w:rsid w:val="002D19FB"/>
    <w:rsid w:val="002D1B90"/>
    <w:rsid w:val="002D1FF3"/>
    <w:rsid w:val="002D2021"/>
    <w:rsid w:val="002D2075"/>
    <w:rsid w:val="002D2F76"/>
    <w:rsid w:val="002D2FD2"/>
    <w:rsid w:val="002D3019"/>
    <w:rsid w:val="002D3243"/>
    <w:rsid w:val="002D35C0"/>
    <w:rsid w:val="002D3642"/>
    <w:rsid w:val="002D3A2B"/>
    <w:rsid w:val="002D4220"/>
    <w:rsid w:val="002D4395"/>
    <w:rsid w:val="002D458B"/>
    <w:rsid w:val="002D4906"/>
    <w:rsid w:val="002D5258"/>
    <w:rsid w:val="002D539F"/>
    <w:rsid w:val="002D554E"/>
    <w:rsid w:val="002D5AA5"/>
    <w:rsid w:val="002D5F62"/>
    <w:rsid w:val="002D60CE"/>
    <w:rsid w:val="002D6286"/>
    <w:rsid w:val="002D63AE"/>
    <w:rsid w:val="002D6B03"/>
    <w:rsid w:val="002D6FCA"/>
    <w:rsid w:val="002D72FF"/>
    <w:rsid w:val="002D7EDE"/>
    <w:rsid w:val="002E0927"/>
    <w:rsid w:val="002E1273"/>
    <w:rsid w:val="002E1306"/>
    <w:rsid w:val="002E1B06"/>
    <w:rsid w:val="002E2198"/>
    <w:rsid w:val="002E2233"/>
    <w:rsid w:val="002E28FD"/>
    <w:rsid w:val="002E2E01"/>
    <w:rsid w:val="002E2F45"/>
    <w:rsid w:val="002E3388"/>
    <w:rsid w:val="002E3398"/>
    <w:rsid w:val="002E372E"/>
    <w:rsid w:val="002E3F72"/>
    <w:rsid w:val="002E4168"/>
    <w:rsid w:val="002E4513"/>
    <w:rsid w:val="002E454D"/>
    <w:rsid w:val="002E531B"/>
    <w:rsid w:val="002E53BA"/>
    <w:rsid w:val="002E5508"/>
    <w:rsid w:val="002E5561"/>
    <w:rsid w:val="002E5CDA"/>
    <w:rsid w:val="002E5EDD"/>
    <w:rsid w:val="002E64D2"/>
    <w:rsid w:val="002E6B61"/>
    <w:rsid w:val="002E6C2C"/>
    <w:rsid w:val="002E6F57"/>
    <w:rsid w:val="002E73EE"/>
    <w:rsid w:val="002E74A9"/>
    <w:rsid w:val="002E79A1"/>
    <w:rsid w:val="002E7F34"/>
    <w:rsid w:val="002F0021"/>
    <w:rsid w:val="002F0CCD"/>
    <w:rsid w:val="002F158F"/>
    <w:rsid w:val="002F1747"/>
    <w:rsid w:val="002F1CA5"/>
    <w:rsid w:val="002F1D29"/>
    <w:rsid w:val="002F1E12"/>
    <w:rsid w:val="002F246F"/>
    <w:rsid w:val="002F24B5"/>
    <w:rsid w:val="002F25CF"/>
    <w:rsid w:val="002F264B"/>
    <w:rsid w:val="002F2A81"/>
    <w:rsid w:val="002F2AA0"/>
    <w:rsid w:val="002F300D"/>
    <w:rsid w:val="002F3A20"/>
    <w:rsid w:val="002F4265"/>
    <w:rsid w:val="002F43B8"/>
    <w:rsid w:val="002F54D3"/>
    <w:rsid w:val="002F5A7A"/>
    <w:rsid w:val="002F5BB4"/>
    <w:rsid w:val="002F5F27"/>
    <w:rsid w:val="002F67A0"/>
    <w:rsid w:val="002F6827"/>
    <w:rsid w:val="002F6B7C"/>
    <w:rsid w:val="002F6F23"/>
    <w:rsid w:val="002F702A"/>
    <w:rsid w:val="002F734A"/>
    <w:rsid w:val="002F7717"/>
    <w:rsid w:val="002F7B1C"/>
    <w:rsid w:val="003006F5"/>
    <w:rsid w:val="003008EB"/>
    <w:rsid w:val="0030116A"/>
    <w:rsid w:val="00301524"/>
    <w:rsid w:val="00301C06"/>
    <w:rsid w:val="00301CAE"/>
    <w:rsid w:val="00301CCF"/>
    <w:rsid w:val="00302B95"/>
    <w:rsid w:val="00302F55"/>
    <w:rsid w:val="0030361B"/>
    <w:rsid w:val="00303EDF"/>
    <w:rsid w:val="00304158"/>
    <w:rsid w:val="00304376"/>
    <w:rsid w:val="00304514"/>
    <w:rsid w:val="00304769"/>
    <w:rsid w:val="00304974"/>
    <w:rsid w:val="00304A10"/>
    <w:rsid w:val="00305457"/>
    <w:rsid w:val="0030562B"/>
    <w:rsid w:val="00305651"/>
    <w:rsid w:val="00305745"/>
    <w:rsid w:val="0030579C"/>
    <w:rsid w:val="00305F6B"/>
    <w:rsid w:val="00306697"/>
    <w:rsid w:val="003067E4"/>
    <w:rsid w:val="0030696F"/>
    <w:rsid w:val="00306AC2"/>
    <w:rsid w:val="00306CC9"/>
    <w:rsid w:val="00306D5B"/>
    <w:rsid w:val="00306EF2"/>
    <w:rsid w:val="00306FEE"/>
    <w:rsid w:val="003072CD"/>
    <w:rsid w:val="0030740B"/>
    <w:rsid w:val="0030786C"/>
    <w:rsid w:val="0030796F"/>
    <w:rsid w:val="00307B0B"/>
    <w:rsid w:val="00307B56"/>
    <w:rsid w:val="0031002A"/>
    <w:rsid w:val="0031021E"/>
    <w:rsid w:val="0031036B"/>
    <w:rsid w:val="00310945"/>
    <w:rsid w:val="00310BCE"/>
    <w:rsid w:val="00310DC6"/>
    <w:rsid w:val="00311AC9"/>
    <w:rsid w:val="003124A4"/>
    <w:rsid w:val="003126DB"/>
    <w:rsid w:val="00312873"/>
    <w:rsid w:val="00312CA7"/>
    <w:rsid w:val="0031308D"/>
    <w:rsid w:val="003130BB"/>
    <w:rsid w:val="0031317F"/>
    <w:rsid w:val="003131D1"/>
    <w:rsid w:val="003136F2"/>
    <w:rsid w:val="00314F69"/>
    <w:rsid w:val="00315865"/>
    <w:rsid w:val="003159C9"/>
    <w:rsid w:val="00315B01"/>
    <w:rsid w:val="00316081"/>
    <w:rsid w:val="003162CF"/>
    <w:rsid w:val="003166B4"/>
    <w:rsid w:val="00316C74"/>
    <w:rsid w:val="00316FFE"/>
    <w:rsid w:val="003174CF"/>
    <w:rsid w:val="0031799A"/>
    <w:rsid w:val="00317AC9"/>
    <w:rsid w:val="0032056A"/>
    <w:rsid w:val="0032056B"/>
    <w:rsid w:val="0032076A"/>
    <w:rsid w:val="003215DF"/>
    <w:rsid w:val="003216B7"/>
    <w:rsid w:val="00321E01"/>
    <w:rsid w:val="0032221D"/>
    <w:rsid w:val="00322403"/>
    <w:rsid w:val="00322482"/>
    <w:rsid w:val="00322F7D"/>
    <w:rsid w:val="0032320C"/>
    <w:rsid w:val="00323267"/>
    <w:rsid w:val="0032349A"/>
    <w:rsid w:val="00323AE8"/>
    <w:rsid w:val="00323B09"/>
    <w:rsid w:val="00324415"/>
    <w:rsid w:val="003246CB"/>
    <w:rsid w:val="0032471A"/>
    <w:rsid w:val="00324818"/>
    <w:rsid w:val="00324AA4"/>
    <w:rsid w:val="00324AC4"/>
    <w:rsid w:val="00324D37"/>
    <w:rsid w:val="003253A9"/>
    <w:rsid w:val="003254A5"/>
    <w:rsid w:val="0032559C"/>
    <w:rsid w:val="00325A53"/>
    <w:rsid w:val="00325C88"/>
    <w:rsid w:val="00326210"/>
    <w:rsid w:val="0032666B"/>
    <w:rsid w:val="003267A7"/>
    <w:rsid w:val="0032717F"/>
    <w:rsid w:val="0032742C"/>
    <w:rsid w:val="003275A5"/>
    <w:rsid w:val="003277A8"/>
    <w:rsid w:val="00327E58"/>
    <w:rsid w:val="003302A7"/>
    <w:rsid w:val="0033218F"/>
    <w:rsid w:val="0033224B"/>
    <w:rsid w:val="003328F0"/>
    <w:rsid w:val="0033299B"/>
    <w:rsid w:val="00332A99"/>
    <w:rsid w:val="00332E9E"/>
    <w:rsid w:val="00333A56"/>
    <w:rsid w:val="00334000"/>
    <w:rsid w:val="0033420E"/>
    <w:rsid w:val="00334550"/>
    <w:rsid w:val="0033471B"/>
    <w:rsid w:val="00334FFC"/>
    <w:rsid w:val="00335051"/>
    <w:rsid w:val="00335277"/>
    <w:rsid w:val="003362BA"/>
    <w:rsid w:val="00336386"/>
    <w:rsid w:val="00336563"/>
    <w:rsid w:val="00336996"/>
    <w:rsid w:val="00336BD9"/>
    <w:rsid w:val="00337817"/>
    <w:rsid w:val="0034005E"/>
    <w:rsid w:val="0034083E"/>
    <w:rsid w:val="00340BB4"/>
    <w:rsid w:val="00341948"/>
    <w:rsid w:val="003420BD"/>
    <w:rsid w:val="0034240E"/>
    <w:rsid w:val="00342BDD"/>
    <w:rsid w:val="00342D62"/>
    <w:rsid w:val="00342F35"/>
    <w:rsid w:val="00342F4B"/>
    <w:rsid w:val="00343D5C"/>
    <w:rsid w:val="00343F37"/>
    <w:rsid w:val="0034437F"/>
    <w:rsid w:val="003444D2"/>
    <w:rsid w:val="003446BE"/>
    <w:rsid w:val="00344975"/>
    <w:rsid w:val="00344A70"/>
    <w:rsid w:val="003457C0"/>
    <w:rsid w:val="00346060"/>
    <w:rsid w:val="003465F1"/>
    <w:rsid w:val="0034674B"/>
    <w:rsid w:val="003469A3"/>
    <w:rsid w:val="00346F24"/>
    <w:rsid w:val="00346FA0"/>
    <w:rsid w:val="00346FA4"/>
    <w:rsid w:val="003473D5"/>
    <w:rsid w:val="00347BA6"/>
    <w:rsid w:val="00347C4F"/>
    <w:rsid w:val="00347D50"/>
    <w:rsid w:val="00347F89"/>
    <w:rsid w:val="00347FA2"/>
    <w:rsid w:val="00350453"/>
    <w:rsid w:val="00350813"/>
    <w:rsid w:val="00350891"/>
    <w:rsid w:val="00350D59"/>
    <w:rsid w:val="00351109"/>
    <w:rsid w:val="00351217"/>
    <w:rsid w:val="0035187A"/>
    <w:rsid w:val="00351916"/>
    <w:rsid w:val="0035212D"/>
    <w:rsid w:val="00352872"/>
    <w:rsid w:val="00352999"/>
    <w:rsid w:val="003529B8"/>
    <w:rsid w:val="00352A55"/>
    <w:rsid w:val="0035317F"/>
    <w:rsid w:val="00353206"/>
    <w:rsid w:val="0035331E"/>
    <w:rsid w:val="00353DCB"/>
    <w:rsid w:val="00354755"/>
    <w:rsid w:val="003549AB"/>
    <w:rsid w:val="003549E1"/>
    <w:rsid w:val="00354AC7"/>
    <w:rsid w:val="0035501F"/>
    <w:rsid w:val="00355663"/>
    <w:rsid w:val="00355705"/>
    <w:rsid w:val="00355977"/>
    <w:rsid w:val="00355A13"/>
    <w:rsid w:val="00355AF5"/>
    <w:rsid w:val="00355BAB"/>
    <w:rsid w:val="00355D10"/>
    <w:rsid w:val="00355E4D"/>
    <w:rsid w:val="00355EB2"/>
    <w:rsid w:val="00355EBC"/>
    <w:rsid w:val="003562BD"/>
    <w:rsid w:val="00356EC8"/>
    <w:rsid w:val="00356FAF"/>
    <w:rsid w:val="00357085"/>
    <w:rsid w:val="003579CE"/>
    <w:rsid w:val="00357FE4"/>
    <w:rsid w:val="0036052D"/>
    <w:rsid w:val="003607B2"/>
    <w:rsid w:val="00360B7A"/>
    <w:rsid w:val="00360BDB"/>
    <w:rsid w:val="00360BF6"/>
    <w:rsid w:val="003610BB"/>
    <w:rsid w:val="00361E39"/>
    <w:rsid w:val="0036237D"/>
    <w:rsid w:val="00362687"/>
    <w:rsid w:val="003627A4"/>
    <w:rsid w:val="00362D8A"/>
    <w:rsid w:val="003631D5"/>
    <w:rsid w:val="00364411"/>
    <w:rsid w:val="00364BB7"/>
    <w:rsid w:val="00365A92"/>
    <w:rsid w:val="00365F3A"/>
    <w:rsid w:val="00365F7F"/>
    <w:rsid w:val="00366606"/>
    <w:rsid w:val="00366697"/>
    <w:rsid w:val="00366D0C"/>
    <w:rsid w:val="003678AE"/>
    <w:rsid w:val="00367D11"/>
    <w:rsid w:val="00367D50"/>
    <w:rsid w:val="003703C9"/>
    <w:rsid w:val="0037062C"/>
    <w:rsid w:val="003706DF"/>
    <w:rsid w:val="00370DEF"/>
    <w:rsid w:val="003711BA"/>
    <w:rsid w:val="003711BF"/>
    <w:rsid w:val="00371560"/>
    <w:rsid w:val="00371573"/>
    <w:rsid w:val="0037183B"/>
    <w:rsid w:val="00371DD4"/>
    <w:rsid w:val="00371E38"/>
    <w:rsid w:val="003720F0"/>
    <w:rsid w:val="003723B2"/>
    <w:rsid w:val="00372460"/>
    <w:rsid w:val="003727F4"/>
    <w:rsid w:val="003728D0"/>
    <w:rsid w:val="00372A48"/>
    <w:rsid w:val="00372AED"/>
    <w:rsid w:val="00372AFE"/>
    <w:rsid w:val="00372BF0"/>
    <w:rsid w:val="00372CB3"/>
    <w:rsid w:val="00372E34"/>
    <w:rsid w:val="0037305C"/>
    <w:rsid w:val="00373476"/>
    <w:rsid w:val="00373E4B"/>
    <w:rsid w:val="003744D6"/>
    <w:rsid w:val="0037459C"/>
    <w:rsid w:val="00374D9F"/>
    <w:rsid w:val="00375688"/>
    <w:rsid w:val="0037592D"/>
    <w:rsid w:val="00375BAB"/>
    <w:rsid w:val="00377186"/>
    <w:rsid w:val="00377277"/>
    <w:rsid w:val="003802F0"/>
    <w:rsid w:val="00380443"/>
    <w:rsid w:val="00380966"/>
    <w:rsid w:val="00380E39"/>
    <w:rsid w:val="003812CD"/>
    <w:rsid w:val="0038151C"/>
    <w:rsid w:val="003815AE"/>
    <w:rsid w:val="003821FC"/>
    <w:rsid w:val="00382C96"/>
    <w:rsid w:val="00382CC5"/>
    <w:rsid w:val="00382FC2"/>
    <w:rsid w:val="00383202"/>
    <w:rsid w:val="00383590"/>
    <w:rsid w:val="003837AF"/>
    <w:rsid w:val="003847D3"/>
    <w:rsid w:val="0038491B"/>
    <w:rsid w:val="00384A6E"/>
    <w:rsid w:val="00384C23"/>
    <w:rsid w:val="003854A9"/>
    <w:rsid w:val="003856EA"/>
    <w:rsid w:val="00385953"/>
    <w:rsid w:val="00386155"/>
    <w:rsid w:val="00386480"/>
    <w:rsid w:val="00386942"/>
    <w:rsid w:val="00386D66"/>
    <w:rsid w:val="00387321"/>
    <w:rsid w:val="003877AB"/>
    <w:rsid w:val="0039008B"/>
    <w:rsid w:val="0039010D"/>
    <w:rsid w:val="00390242"/>
    <w:rsid w:val="00390750"/>
    <w:rsid w:val="00390A4C"/>
    <w:rsid w:val="00390BD4"/>
    <w:rsid w:val="00390C3D"/>
    <w:rsid w:val="00390F34"/>
    <w:rsid w:val="00391B78"/>
    <w:rsid w:val="00391B9B"/>
    <w:rsid w:val="00391EAA"/>
    <w:rsid w:val="003922A8"/>
    <w:rsid w:val="00392464"/>
    <w:rsid w:val="00392A02"/>
    <w:rsid w:val="00393123"/>
    <w:rsid w:val="003933DB"/>
    <w:rsid w:val="0039342A"/>
    <w:rsid w:val="003934F8"/>
    <w:rsid w:val="00393A1C"/>
    <w:rsid w:val="00393D14"/>
    <w:rsid w:val="003940C1"/>
    <w:rsid w:val="00394AE3"/>
    <w:rsid w:val="00394D35"/>
    <w:rsid w:val="00394EAE"/>
    <w:rsid w:val="00394F20"/>
    <w:rsid w:val="003954DF"/>
    <w:rsid w:val="003955A7"/>
    <w:rsid w:val="003955D7"/>
    <w:rsid w:val="0039568A"/>
    <w:rsid w:val="00395A26"/>
    <w:rsid w:val="00395CB6"/>
    <w:rsid w:val="00395D50"/>
    <w:rsid w:val="00395F78"/>
    <w:rsid w:val="00396B69"/>
    <w:rsid w:val="003970A7"/>
    <w:rsid w:val="00397141"/>
    <w:rsid w:val="00397D9D"/>
    <w:rsid w:val="003A0046"/>
    <w:rsid w:val="003A024C"/>
    <w:rsid w:val="003A031F"/>
    <w:rsid w:val="003A0C79"/>
    <w:rsid w:val="003A0D43"/>
    <w:rsid w:val="003A0EE7"/>
    <w:rsid w:val="003A0F85"/>
    <w:rsid w:val="003A1AED"/>
    <w:rsid w:val="003A2586"/>
    <w:rsid w:val="003A35A5"/>
    <w:rsid w:val="003A418B"/>
    <w:rsid w:val="003A438C"/>
    <w:rsid w:val="003A48EB"/>
    <w:rsid w:val="003A4C61"/>
    <w:rsid w:val="003A500A"/>
    <w:rsid w:val="003A54C4"/>
    <w:rsid w:val="003A5665"/>
    <w:rsid w:val="003A5728"/>
    <w:rsid w:val="003A5A46"/>
    <w:rsid w:val="003A5D54"/>
    <w:rsid w:val="003A6E1E"/>
    <w:rsid w:val="003A6E84"/>
    <w:rsid w:val="003A7C5B"/>
    <w:rsid w:val="003A7D3F"/>
    <w:rsid w:val="003B00FD"/>
    <w:rsid w:val="003B029A"/>
    <w:rsid w:val="003B033A"/>
    <w:rsid w:val="003B04C3"/>
    <w:rsid w:val="003B0AAD"/>
    <w:rsid w:val="003B0B47"/>
    <w:rsid w:val="003B0CEA"/>
    <w:rsid w:val="003B1590"/>
    <w:rsid w:val="003B15BA"/>
    <w:rsid w:val="003B23E5"/>
    <w:rsid w:val="003B23FD"/>
    <w:rsid w:val="003B25AE"/>
    <w:rsid w:val="003B2657"/>
    <w:rsid w:val="003B2972"/>
    <w:rsid w:val="003B2A3B"/>
    <w:rsid w:val="003B2C42"/>
    <w:rsid w:val="003B2E5C"/>
    <w:rsid w:val="003B30E4"/>
    <w:rsid w:val="003B31BB"/>
    <w:rsid w:val="003B367B"/>
    <w:rsid w:val="003B3B2D"/>
    <w:rsid w:val="003B3C7F"/>
    <w:rsid w:val="003B3CE9"/>
    <w:rsid w:val="003B3FB5"/>
    <w:rsid w:val="003B43BC"/>
    <w:rsid w:val="003B44E3"/>
    <w:rsid w:val="003B47EC"/>
    <w:rsid w:val="003B4838"/>
    <w:rsid w:val="003B497A"/>
    <w:rsid w:val="003B512C"/>
    <w:rsid w:val="003B54BC"/>
    <w:rsid w:val="003B5627"/>
    <w:rsid w:val="003B576A"/>
    <w:rsid w:val="003B59C4"/>
    <w:rsid w:val="003B5AC1"/>
    <w:rsid w:val="003B6012"/>
    <w:rsid w:val="003B60A7"/>
    <w:rsid w:val="003B675D"/>
    <w:rsid w:val="003B797C"/>
    <w:rsid w:val="003C0634"/>
    <w:rsid w:val="003C0856"/>
    <w:rsid w:val="003C0974"/>
    <w:rsid w:val="003C0A83"/>
    <w:rsid w:val="003C1644"/>
    <w:rsid w:val="003C1B32"/>
    <w:rsid w:val="003C1DD5"/>
    <w:rsid w:val="003C1E3D"/>
    <w:rsid w:val="003C24D9"/>
    <w:rsid w:val="003C257E"/>
    <w:rsid w:val="003C25D5"/>
    <w:rsid w:val="003C28DB"/>
    <w:rsid w:val="003C2A1B"/>
    <w:rsid w:val="003C2F8E"/>
    <w:rsid w:val="003C36FF"/>
    <w:rsid w:val="003C378C"/>
    <w:rsid w:val="003C3E2A"/>
    <w:rsid w:val="003C4E4C"/>
    <w:rsid w:val="003C502B"/>
    <w:rsid w:val="003C51B9"/>
    <w:rsid w:val="003C5409"/>
    <w:rsid w:val="003C6180"/>
    <w:rsid w:val="003C681F"/>
    <w:rsid w:val="003C69AE"/>
    <w:rsid w:val="003C6EEF"/>
    <w:rsid w:val="003C729B"/>
    <w:rsid w:val="003C736D"/>
    <w:rsid w:val="003C7513"/>
    <w:rsid w:val="003C7C0B"/>
    <w:rsid w:val="003D0276"/>
    <w:rsid w:val="003D0AA3"/>
    <w:rsid w:val="003D0BA7"/>
    <w:rsid w:val="003D0D16"/>
    <w:rsid w:val="003D0D1C"/>
    <w:rsid w:val="003D1381"/>
    <w:rsid w:val="003D15F8"/>
    <w:rsid w:val="003D1693"/>
    <w:rsid w:val="003D1F57"/>
    <w:rsid w:val="003D2F8F"/>
    <w:rsid w:val="003D3218"/>
    <w:rsid w:val="003D3A98"/>
    <w:rsid w:val="003D3E15"/>
    <w:rsid w:val="003D417A"/>
    <w:rsid w:val="003D4306"/>
    <w:rsid w:val="003D43FB"/>
    <w:rsid w:val="003D451E"/>
    <w:rsid w:val="003D453E"/>
    <w:rsid w:val="003D49F0"/>
    <w:rsid w:val="003D4C82"/>
    <w:rsid w:val="003D53B7"/>
    <w:rsid w:val="003D5C76"/>
    <w:rsid w:val="003D5E45"/>
    <w:rsid w:val="003D5F62"/>
    <w:rsid w:val="003D616D"/>
    <w:rsid w:val="003D6171"/>
    <w:rsid w:val="003D64D2"/>
    <w:rsid w:val="003D6974"/>
    <w:rsid w:val="003D6BEE"/>
    <w:rsid w:val="003D72F9"/>
    <w:rsid w:val="003D73F1"/>
    <w:rsid w:val="003E0F8B"/>
    <w:rsid w:val="003E1403"/>
    <w:rsid w:val="003E1A47"/>
    <w:rsid w:val="003E1B9F"/>
    <w:rsid w:val="003E21DE"/>
    <w:rsid w:val="003E2AFB"/>
    <w:rsid w:val="003E3189"/>
    <w:rsid w:val="003E34C2"/>
    <w:rsid w:val="003E34F9"/>
    <w:rsid w:val="003E36C5"/>
    <w:rsid w:val="003E39C7"/>
    <w:rsid w:val="003E3BEF"/>
    <w:rsid w:val="003E41B7"/>
    <w:rsid w:val="003E4622"/>
    <w:rsid w:val="003E4902"/>
    <w:rsid w:val="003E494C"/>
    <w:rsid w:val="003E497F"/>
    <w:rsid w:val="003E4EDB"/>
    <w:rsid w:val="003E5288"/>
    <w:rsid w:val="003E5BCB"/>
    <w:rsid w:val="003E5C2A"/>
    <w:rsid w:val="003E63E6"/>
    <w:rsid w:val="003E642F"/>
    <w:rsid w:val="003E6B4C"/>
    <w:rsid w:val="003E76A2"/>
    <w:rsid w:val="003E7AB4"/>
    <w:rsid w:val="003E7ADD"/>
    <w:rsid w:val="003F03D0"/>
    <w:rsid w:val="003F06B0"/>
    <w:rsid w:val="003F09FF"/>
    <w:rsid w:val="003F1038"/>
    <w:rsid w:val="003F1667"/>
    <w:rsid w:val="003F19D4"/>
    <w:rsid w:val="003F1D70"/>
    <w:rsid w:val="003F1F10"/>
    <w:rsid w:val="003F1FBB"/>
    <w:rsid w:val="003F21C5"/>
    <w:rsid w:val="003F22F2"/>
    <w:rsid w:val="003F2371"/>
    <w:rsid w:val="003F2676"/>
    <w:rsid w:val="003F2A8D"/>
    <w:rsid w:val="003F2CD7"/>
    <w:rsid w:val="003F308D"/>
    <w:rsid w:val="003F35FA"/>
    <w:rsid w:val="003F3F88"/>
    <w:rsid w:val="003F40FC"/>
    <w:rsid w:val="003F41CA"/>
    <w:rsid w:val="003F4241"/>
    <w:rsid w:val="003F485A"/>
    <w:rsid w:val="003F4CF2"/>
    <w:rsid w:val="003F4E26"/>
    <w:rsid w:val="003F4ED4"/>
    <w:rsid w:val="003F4F2C"/>
    <w:rsid w:val="003F54E2"/>
    <w:rsid w:val="003F5919"/>
    <w:rsid w:val="003F6163"/>
    <w:rsid w:val="003F6464"/>
    <w:rsid w:val="003F659C"/>
    <w:rsid w:val="003F677B"/>
    <w:rsid w:val="003F67E6"/>
    <w:rsid w:val="003F6E62"/>
    <w:rsid w:val="003F777B"/>
    <w:rsid w:val="003F7882"/>
    <w:rsid w:val="003F7A46"/>
    <w:rsid w:val="003F7A83"/>
    <w:rsid w:val="003F7F62"/>
    <w:rsid w:val="004006F7"/>
    <w:rsid w:val="004007EC"/>
    <w:rsid w:val="00400C5D"/>
    <w:rsid w:val="0040164D"/>
    <w:rsid w:val="0040174E"/>
    <w:rsid w:val="00401BD7"/>
    <w:rsid w:val="00401D0C"/>
    <w:rsid w:val="00401E59"/>
    <w:rsid w:val="004022CD"/>
    <w:rsid w:val="0040252E"/>
    <w:rsid w:val="00402696"/>
    <w:rsid w:val="00402D30"/>
    <w:rsid w:val="004037F2"/>
    <w:rsid w:val="00403ACD"/>
    <w:rsid w:val="00403C76"/>
    <w:rsid w:val="00403D8A"/>
    <w:rsid w:val="00403E1A"/>
    <w:rsid w:val="00403ECA"/>
    <w:rsid w:val="00404394"/>
    <w:rsid w:val="00404471"/>
    <w:rsid w:val="00404475"/>
    <w:rsid w:val="00404599"/>
    <w:rsid w:val="00404D90"/>
    <w:rsid w:val="00404E18"/>
    <w:rsid w:val="00405027"/>
    <w:rsid w:val="0040643B"/>
    <w:rsid w:val="004069AD"/>
    <w:rsid w:val="00406B7B"/>
    <w:rsid w:val="00406DCB"/>
    <w:rsid w:val="00406E49"/>
    <w:rsid w:val="00406ED1"/>
    <w:rsid w:val="004072A8"/>
    <w:rsid w:val="004074E1"/>
    <w:rsid w:val="00407505"/>
    <w:rsid w:val="0041025D"/>
    <w:rsid w:val="00410662"/>
    <w:rsid w:val="004107FE"/>
    <w:rsid w:val="004110A5"/>
    <w:rsid w:val="004115AD"/>
    <w:rsid w:val="00411892"/>
    <w:rsid w:val="00411B3F"/>
    <w:rsid w:val="00412122"/>
    <w:rsid w:val="00412607"/>
    <w:rsid w:val="00412723"/>
    <w:rsid w:val="004129DD"/>
    <w:rsid w:val="00412A94"/>
    <w:rsid w:val="00413087"/>
    <w:rsid w:val="004134F7"/>
    <w:rsid w:val="004142B7"/>
    <w:rsid w:val="00414903"/>
    <w:rsid w:val="00414954"/>
    <w:rsid w:val="00414A40"/>
    <w:rsid w:val="004151A8"/>
    <w:rsid w:val="00415553"/>
    <w:rsid w:val="00416114"/>
    <w:rsid w:val="00416279"/>
    <w:rsid w:val="004165AC"/>
    <w:rsid w:val="00416622"/>
    <w:rsid w:val="0041699A"/>
    <w:rsid w:val="00416C03"/>
    <w:rsid w:val="004174FD"/>
    <w:rsid w:val="004177E1"/>
    <w:rsid w:val="00417C34"/>
    <w:rsid w:val="00417E61"/>
    <w:rsid w:val="0042033B"/>
    <w:rsid w:val="00420391"/>
    <w:rsid w:val="0042057E"/>
    <w:rsid w:val="0042071B"/>
    <w:rsid w:val="00420A01"/>
    <w:rsid w:val="00420E1A"/>
    <w:rsid w:val="00421B81"/>
    <w:rsid w:val="00422436"/>
    <w:rsid w:val="00422829"/>
    <w:rsid w:val="00422DDA"/>
    <w:rsid w:val="00423225"/>
    <w:rsid w:val="00423928"/>
    <w:rsid w:val="00423AB9"/>
    <w:rsid w:val="00423C4D"/>
    <w:rsid w:val="00424DB2"/>
    <w:rsid w:val="004250DB"/>
    <w:rsid w:val="0042540B"/>
    <w:rsid w:val="00425708"/>
    <w:rsid w:val="004257BF"/>
    <w:rsid w:val="0042581E"/>
    <w:rsid w:val="0042614A"/>
    <w:rsid w:val="0042645B"/>
    <w:rsid w:val="0042692C"/>
    <w:rsid w:val="0042696C"/>
    <w:rsid w:val="004272EB"/>
    <w:rsid w:val="0042744A"/>
    <w:rsid w:val="0042752C"/>
    <w:rsid w:val="0042753C"/>
    <w:rsid w:val="00427657"/>
    <w:rsid w:val="00427779"/>
    <w:rsid w:val="0042791B"/>
    <w:rsid w:val="00427E59"/>
    <w:rsid w:val="004307C5"/>
    <w:rsid w:val="00430D5B"/>
    <w:rsid w:val="00430E87"/>
    <w:rsid w:val="00430EC1"/>
    <w:rsid w:val="0043134E"/>
    <w:rsid w:val="00431EC4"/>
    <w:rsid w:val="00432023"/>
    <w:rsid w:val="004324D4"/>
    <w:rsid w:val="00432A68"/>
    <w:rsid w:val="00432EEE"/>
    <w:rsid w:val="0043303C"/>
    <w:rsid w:val="004332B4"/>
    <w:rsid w:val="004333AA"/>
    <w:rsid w:val="0043359F"/>
    <w:rsid w:val="00433DA7"/>
    <w:rsid w:val="0043495D"/>
    <w:rsid w:val="00434AF3"/>
    <w:rsid w:val="00434D9D"/>
    <w:rsid w:val="00434E43"/>
    <w:rsid w:val="0043504B"/>
    <w:rsid w:val="0043510F"/>
    <w:rsid w:val="004351A4"/>
    <w:rsid w:val="00435432"/>
    <w:rsid w:val="00435810"/>
    <w:rsid w:val="00435A5F"/>
    <w:rsid w:val="00435B4A"/>
    <w:rsid w:val="0043623E"/>
    <w:rsid w:val="0043636D"/>
    <w:rsid w:val="00436A36"/>
    <w:rsid w:val="00436C63"/>
    <w:rsid w:val="00436DE6"/>
    <w:rsid w:val="0043706C"/>
    <w:rsid w:val="00437620"/>
    <w:rsid w:val="004378E1"/>
    <w:rsid w:val="00437CF3"/>
    <w:rsid w:val="00437DD3"/>
    <w:rsid w:val="00437FF2"/>
    <w:rsid w:val="004406A0"/>
    <w:rsid w:val="00440C07"/>
    <w:rsid w:val="00440C32"/>
    <w:rsid w:val="0044189D"/>
    <w:rsid w:val="00441909"/>
    <w:rsid w:val="00441FC2"/>
    <w:rsid w:val="0044224F"/>
    <w:rsid w:val="0044292D"/>
    <w:rsid w:val="00442A68"/>
    <w:rsid w:val="00442F2E"/>
    <w:rsid w:val="00443623"/>
    <w:rsid w:val="00444173"/>
    <w:rsid w:val="00444647"/>
    <w:rsid w:val="00444B95"/>
    <w:rsid w:val="00444E5A"/>
    <w:rsid w:val="004457B5"/>
    <w:rsid w:val="00445CC7"/>
    <w:rsid w:val="004460A8"/>
    <w:rsid w:val="00446589"/>
    <w:rsid w:val="004465C8"/>
    <w:rsid w:val="0044665E"/>
    <w:rsid w:val="0044671D"/>
    <w:rsid w:val="00446AF5"/>
    <w:rsid w:val="00446B3B"/>
    <w:rsid w:val="00446CE4"/>
    <w:rsid w:val="004471DA"/>
    <w:rsid w:val="0044768D"/>
    <w:rsid w:val="004477BE"/>
    <w:rsid w:val="00447AE6"/>
    <w:rsid w:val="00447B2D"/>
    <w:rsid w:val="004503A6"/>
    <w:rsid w:val="0045067A"/>
    <w:rsid w:val="00450873"/>
    <w:rsid w:val="00450F8C"/>
    <w:rsid w:val="00450FDF"/>
    <w:rsid w:val="00451065"/>
    <w:rsid w:val="004511D1"/>
    <w:rsid w:val="00451311"/>
    <w:rsid w:val="00451372"/>
    <w:rsid w:val="0045155B"/>
    <w:rsid w:val="00451934"/>
    <w:rsid w:val="00451CA2"/>
    <w:rsid w:val="004520E6"/>
    <w:rsid w:val="00452152"/>
    <w:rsid w:val="00453BE4"/>
    <w:rsid w:val="00453E38"/>
    <w:rsid w:val="00454068"/>
    <w:rsid w:val="00454176"/>
    <w:rsid w:val="00454A2E"/>
    <w:rsid w:val="00454C77"/>
    <w:rsid w:val="00454CAC"/>
    <w:rsid w:val="00454FE1"/>
    <w:rsid w:val="004555A9"/>
    <w:rsid w:val="00455849"/>
    <w:rsid w:val="00455CA1"/>
    <w:rsid w:val="0045647A"/>
    <w:rsid w:val="00456712"/>
    <w:rsid w:val="00456EA8"/>
    <w:rsid w:val="00456EEC"/>
    <w:rsid w:val="00457029"/>
    <w:rsid w:val="00457661"/>
    <w:rsid w:val="00457693"/>
    <w:rsid w:val="004578B0"/>
    <w:rsid w:val="00457A12"/>
    <w:rsid w:val="00457B2A"/>
    <w:rsid w:val="004608AF"/>
    <w:rsid w:val="00460A32"/>
    <w:rsid w:val="00460B98"/>
    <w:rsid w:val="00460C41"/>
    <w:rsid w:val="00460EDB"/>
    <w:rsid w:val="0046120F"/>
    <w:rsid w:val="0046142B"/>
    <w:rsid w:val="0046198B"/>
    <w:rsid w:val="00461BF4"/>
    <w:rsid w:val="0046248B"/>
    <w:rsid w:val="004625B5"/>
    <w:rsid w:val="00462C69"/>
    <w:rsid w:val="00462C86"/>
    <w:rsid w:val="00462CB1"/>
    <w:rsid w:val="00463683"/>
    <w:rsid w:val="00463792"/>
    <w:rsid w:val="00463B1C"/>
    <w:rsid w:val="00463CE2"/>
    <w:rsid w:val="004642D5"/>
    <w:rsid w:val="00464464"/>
    <w:rsid w:val="004644F9"/>
    <w:rsid w:val="004646D2"/>
    <w:rsid w:val="004646D5"/>
    <w:rsid w:val="0046512B"/>
    <w:rsid w:val="004657A3"/>
    <w:rsid w:val="00466953"/>
    <w:rsid w:val="00467035"/>
    <w:rsid w:val="004670B5"/>
    <w:rsid w:val="0046737D"/>
    <w:rsid w:val="00467409"/>
    <w:rsid w:val="00470033"/>
    <w:rsid w:val="004704C4"/>
    <w:rsid w:val="00470B37"/>
    <w:rsid w:val="00470CDE"/>
    <w:rsid w:val="00470E39"/>
    <w:rsid w:val="00470EFB"/>
    <w:rsid w:val="0047123C"/>
    <w:rsid w:val="004714E8"/>
    <w:rsid w:val="00471E34"/>
    <w:rsid w:val="00471FC0"/>
    <w:rsid w:val="004720AC"/>
    <w:rsid w:val="004720F0"/>
    <w:rsid w:val="00472534"/>
    <w:rsid w:val="0047256D"/>
    <w:rsid w:val="00472743"/>
    <w:rsid w:val="00472A4B"/>
    <w:rsid w:val="00472BEA"/>
    <w:rsid w:val="00472C91"/>
    <w:rsid w:val="00473200"/>
    <w:rsid w:val="0047329B"/>
    <w:rsid w:val="004737DB"/>
    <w:rsid w:val="00473E68"/>
    <w:rsid w:val="00474686"/>
    <w:rsid w:val="004749C7"/>
    <w:rsid w:val="004749E9"/>
    <w:rsid w:val="00474A66"/>
    <w:rsid w:val="00474BB2"/>
    <w:rsid w:val="00474DAD"/>
    <w:rsid w:val="00474F25"/>
    <w:rsid w:val="00474FA1"/>
    <w:rsid w:val="004750A6"/>
    <w:rsid w:val="00475785"/>
    <w:rsid w:val="004757D1"/>
    <w:rsid w:val="004757FA"/>
    <w:rsid w:val="004758C4"/>
    <w:rsid w:val="00475940"/>
    <w:rsid w:val="00475FB5"/>
    <w:rsid w:val="00476270"/>
    <w:rsid w:val="0047654A"/>
    <w:rsid w:val="0047697D"/>
    <w:rsid w:val="00476C07"/>
    <w:rsid w:val="00477345"/>
    <w:rsid w:val="00477437"/>
    <w:rsid w:val="004778A6"/>
    <w:rsid w:val="004778AB"/>
    <w:rsid w:val="00480367"/>
    <w:rsid w:val="0048093A"/>
    <w:rsid w:val="00480ADC"/>
    <w:rsid w:val="0048117E"/>
    <w:rsid w:val="0048125A"/>
    <w:rsid w:val="0048144C"/>
    <w:rsid w:val="00481C28"/>
    <w:rsid w:val="00481FDB"/>
    <w:rsid w:val="00482932"/>
    <w:rsid w:val="00482A86"/>
    <w:rsid w:val="0048317B"/>
    <w:rsid w:val="0048322F"/>
    <w:rsid w:val="0048386A"/>
    <w:rsid w:val="00483CC7"/>
    <w:rsid w:val="00484218"/>
    <w:rsid w:val="00484D3B"/>
    <w:rsid w:val="0048553C"/>
    <w:rsid w:val="0048563C"/>
    <w:rsid w:val="004856CE"/>
    <w:rsid w:val="004859A5"/>
    <w:rsid w:val="004859DF"/>
    <w:rsid w:val="00485A0F"/>
    <w:rsid w:val="00485D21"/>
    <w:rsid w:val="004862D3"/>
    <w:rsid w:val="004867E2"/>
    <w:rsid w:val="004869D4"/>
    <w:rsid w:val="00486A7D"/>
    <w:rsid w:val="004874F3"/>
    <w:rsid w:val="0048781A"/>
    <w:rsid w:val="0049158C"/>
    <w:rsid w:val="00491C25"/>
    <w:rsid w:val="00491F70"/>
    <w:rsid w:val="004920E9"/>
    <w:rsid w:val="0049229B"/>
    <w:rsid w:val="0049247B"/>
    <w:rsid w:val="0049272D"/>
    <w:rsid w:val="00492C7B"/>
    <w:rsid w:val="004931AA"/>
    <w:rsid w:val="0049389A"/>
    <w:rsid w:val="00493A8A"/>
    <w:rsid w:val="00493F43"/>
    <w:rsid w:val="00493FD2"/>
    <w:rsid w:val="00494584"/>
    <w:rsid w:val="004947F6"/>
    <w:rsid w:val="00494B98"/>
    <w:rsid w:val="00494F71"/>
    <w:rsid w:val="0049557C"/>
    <w:rsid w:val="00495DE2"/>
    <w:rsid w:val="004963B8"/>
    <w:rsid w:val="00496426"/>
    <w:rsid w:val="00496478"/>
    <w:rsid w:val="00496B56"/>
    <w:rsid w:val="00496CD3"/>
    <w:rsid w:val="00497603"/>
    <w:rsid w:val="00497BD4"/>
    <w:rsid w:val="00497F9F"/>
    <w:rsid w:val="004A0A1C"/>
    <w:rsid w:val="004A0BD2"/>
    <w:rsid w:val="004A1730"/>
    <w:rsid w:val="004A1D0D"/>
    <w:rsid w:val="004A20CD"/>
    <w:rsid w:val="004A251E"/>
    <w:rsid w:val="004A253B"/>
    <w:rsid w:val="004A2682"/>
    <w:rsid w:val="004A28B2"/>
    <w:rsid w:val="004A29C3"/>
    <w:rsid w:val="004A2A51"/>
    <w:rsid w:val="004A2C4C"/>
    <w:rsid w:val="004A2F14"/>
    <w:rsid w:val="004A3661"/>
    <w:rsid w:val="004A38C2"/>
    <w:rsid w:val="004A3C76"/>
    <w:rsid w:val="004A3E36"/>
    <w:rsid w:val="004A3E71"/>
    <w:rsid w:val="004A40A5"/>
    <w:rsid w:val="004A43BE"/>
    <w:rsid w:val="004A43F3"/>
    <w:rsid w:val="004A44A6"/>
    <w:rsid w:val="004A4B39"/>
    <w:rsid w:val="004A4BD6"/>
    <w:rsid w:val="004A4F8A"/>
    <w:rsid w:val="004A556B"/>
    <w:rsid w:val="004A5B7F"/>
    <w:rsid w:val="004A61BE"/>
    <w:rsid w:val="004A6351"/>
    <w:rsid w:val="004A6E95"/>
    <w:rsid w:val="004A790E"/>
    <w:rsid w:val="004A7F33"/>
    <w:rsid w:val="004B0455"/>
    <w:rsid w:val="004B0928"/>
    <w:rsid w:val="004B0F53"/>
    <w:rsid w:val="004B12E1"/>
    <w:rsid w:val="004B1DFA"/>
    <w:rsid w:val="004B2397"/>
    <w:rsid w:val="004B2987"/>
    <w:rsid w:val="004B2EE8"/>
    <w:rsid w:val="004B2F46"/>
    <w:rsid w:val="004B3450"/>
    <w:rsid w:val="004B395A"/>
    <w:rsid w:val="004B3B13"/>
    <w:rsid w:val="004B418C"/>
    <w:rsid w:val="004B43A4"/>
    <w:rsid w:val="004B4440"/>
    <w:rsid w:val="004B4971"/>
    <w:rsid w:val="004B4C1A"/>
    <w:rsid w:val="004B4D10"/>
    <w:rsid w:val="004B56BE"/>
    <w:rsid w:val="004B58C3"/>
    <w:rsid w:val="004B5C3E"/>
    <w:rsid w:val="004B6382"/>
    <w:rsid w:val="004B66C8"/>
    <w:rsid w:val="004B6F11"/>
    <w:rsid w:val="004B7242"/>
    <w:rsid w:val="004B78AC"/>
    <w:rsid w:val="004C0614"/>
    <w:rsid w:val="004C13B1"/>
    <w:rsid w:val="004C1C9E"/>
    <w:rsid w:val="004C1EA8"/>
    <w:rsid w:val="004C2425"/>
    <w:rsid w:val="004C26FC"/>
    <w:rsid w:val="004C2904"/>
    <w:rsid w:val="004C2D73"/>
    <w:rsid w:val="004C2E09"/>
    <w:rsid w:val="004C3FAC"/>
    <w:rsid w:val="004C48D5"/>
    <w:rsid w:val="004C4951"/>
    <w:rsid w:val="004C4B81"/>
    <w:rsid w:val="004C4CAD"/>
    <w:rsid w:val="004C55B1"/>
    <w:rsid w:val="004C56F0"/>
    <w:rsid w:val="004C5E9C"/>
    <w:rsid w:val="004C5F0B"/>
    <w:rsid w:val="004C6288"/>
    <w:rsid w:val="004C6596"/>
    <w:rsid w:val="004C66D5"/>
    <w:rsid w:val="004C6844"/>
    <w:rsid w:val="004C6985"/>
    <w:rsid w:val="004C724D"/>
    <w:rsid w:val="004D06E0"/>
    <w:rsid w:val="004D09F0"/>
    <w:rsid w:val="004D0A22"/>
    <w:rsid w:val="004D0C50"/>
    <w:rsid w:val="004D0EC0"/>
    <w:rsid w:val="004D121F"/>
    <w:rsid w:val="004D136B"/>
    <w:rsid w:val="004D1FB6"/>
    <w:rsid w:val="004D22EE"/>
    <w:rsid w:val="004D2602"/>
    <w:rsid w:val="004D2685"/>
    <w:rsid w:val="004D2C42"/>
    <w:rsid w:val="004D2F61"/>
    <w:rsid w:val="004D354D"/>
    <w:rsid w:val="004D3578"/>
    <w:rsid w:val="004D4525"/>
    <w:rsid w:val="004D482B"/>
    <w:rsid w:val="004D5156"/>
    <w:rsid w:val="004D536A"/>
    <w:rsid w:val="004D567F"/>
    <w:rsid w:val="004D57AE"/>
    <w:rsid w:val="004D584F"/>
    <w:rsid w:val="004D5E0D"/>
    <w:rsid w:val="004D5EB2"/>
    <w:rsid w:val="004D6088"/>
    <w:rsid w:val="004D6453"/>
    <w:rsid w:val="004D64B8"/>
    <w:rsid w:val="004D6570"/>
    <w:rsid w:val="004D67AF"/>
    <w:rsid w:val="004D6832"/>
    <w:rsid w:val="004D68DE"/>
    <w:rsid w:val="004D69BB"/>
    <w:rsid w:val="004D6B5E"/>
    <w:rsid w:val="004D6FB9"/>
    <w:rsid w:val="004D7280"/>
    <w:rsid w:val="004D781D"/>
    <w:rsid w:val="004D7AF8"/>
    <w:rsid w:val="004E004F"/>
    <w:rsid w:val="004E0638"/>
    <w:rsid w:val="004E0725"/>
    <w:rsid w:val="004E118E"/>
    <w:rsid w:val="004E145C"/>
    <w:rsid w:val="004E14A4"/>
    <w:rsid w:val="004E1F3F"/>
    <w:rsid w:val="004E21F8"/>
    <w:rsid w:val="004E2D78"/>
    <w:rsid w:val="004E2DF7"/>
    <w:rsid w:val="004E3092"/>
    <w:rsid w:val="004E3BB2"/>
    <w:rsid w:val="004E3CF5"/>
    <w:rsid w:val="004E400F"/>
    <w:rsid w:val="004E4471"/>
    <w:rsid w:val="004E49EA"/>
    <w:rsid w:val="004E4AA0"/>
    <w:rsid w:val="004E4DDE"/>
    <w:rsid w:val="004E5393"/>
    <w:rsid w:val="004E5C08"/>
    <w:rsid w:val="004E5D11"/>
    <w:rsid w:val="004E67C3"/>
    <w:rsid w:val="004E6D1A"/>
    <w:rsid w:val="004E6DA5"/>
    <w:rsid w:val="004E705F"/>
    <w:rsid w:val="004E72CB"/>
    <w:rsid w:val="004E72CC"/>
    <w:rsid w:val="004E734A"/>
    <w:rsid w:val="004E744C"/>
    <w:rsid w:val="004E7548"/>
    <w:rsid w:val="004E781E"/>
    <w:rsid w:val="004F0267"/>
    <w:rsid w:val="004F0CAE"/>
    <w:rsid w:val="004F0CC7"/>
    <w:rsid w:val="004F18C0"/>
    <w:rsid w:val="004F208D"/>
    <w:rsid w:val="004F2671"/>
    <w:rsid w:val="004F2EE6"/>
    <w:rsid w:val="004F3775"/>
    <w:rsid w:val="004F39C0"/>
    <w:rsid w:val="004F444D"/>
    <w:rsid w:val="004F4E0D"/>
    <w:rsid w:val="004F5307"/>
    <w:rsid w:val="004F56EF"/>
    <w:rsid w:val="004F571C"/>
    <w:rsid w:val="004F5B5C"/>
    <w:rsid w:val="004F63B7"/>
    <w:rsid w:val="004F67C8"/>
    <w:rsid w:val="004F6D63"/>
    <w:rsid w:val="004F6F19"/>
    <w:rsid w:val="004F7254"/>
    <w:rsid w:val="004F779D"/>
    <w:rsid w:val="004F78EB"/>
    <w:rsid w:val="005001C8"/>
    <w:rsid w:val="005004EB"/>
    <w:rsid w:val="00500A9B"/>
    <w:rsid w:val="00500BFD"/>
    <w:rsid w:val="005014B9"/>
    <w:rsid w:val="00501A51"/>
    <w:rsid w:val="00502006"/>
    <w:rsid w:val="00502741"/>
    <w:rsid w:val="005027FD"/>
    <w:rsid w:val="00502A2A"/>
    <w:rsid w:val="00502A38"/>
    <w:rsid w:val="0050382D"/>
    <w:rsid w:val="005038B4"/>
    <w:rsid w:val="00503986"/>
    <w:rsid w:val="00503B15"/>
    <w:rsid w:val="005040B7"/>
    <w:rsid w:val="005042C5"/>
    <w:rsid w:val="00504457"/>
    <w:rsid w:val="005049DD"/>
    <w:rsid w:val="00504DD0"/>
    <w:rsid w:val="00504E32"/>
    <w:rsid w:val="005051FD"/>
    <w:rsid w:val="00505694"/>
    <w:rsid w:val="005057EB"/>
    <w:rsid w:val="0050672A"/>
    <w:rsid w:val="0050676F"/>
    <w:rsid w:val="00506B36"/>
    <w:rsid w:val="00507152"/>
    <w:rsid w:val="00507402"/>
    <w:rsid w:val="005076E4"/>
    <w:rsid w:val="005078A4"/>
    <w:rsid w:val="00507F8F"/>
    <w:rsid w:val="00507FB2"/>
    <w:rsid w:val="0051010D"/>
    <w:rsid w:val="00510445"/>
    <w:rsid w:val="00510A98"/>
    <w:rsid w:val="005110E5"/>
    <w:rsid w:val="00511214"/>
    <w:rsid w:val="00511282"/>
    <w:rsid w:val="00511D3F"/>
    <w:rsid w:val="0051250F"/>
    <w:rsid w:val="00512DE7"/>
    <w:rsid w:val="00512F2C"/>
    <w:rsid w:val="005130A6"/>
    <w:rsid w:val="00513CD2"/>
    <w:rsid w:val="005146A9"/>
    <w:rsid w:val="005147FF"/>
    <w:rsid w:val="005149E5"/>
    <w:rsid w:val="00514D8A"/>
    <w:rsid w:val="00515111"/>
    <w:rsid w:val="00515974"/>
    <w:rsid w:val="00515C8C"/>
    <w:rsid w:val="00515CC1"/>
    <w:rsid w:val="00515E46"/>
    <w:rsid w:val="00516298"/>
    <w:rsid w:val="005164C0"/>
    <w:rsid w:val="0051650E"/>
    <w:rsid w:val="005168DD"/>
    <w:rsid w:val="00516CCF"/>
    <w:rsid w:val="00516F16"/>
    <w:rsid w:val="00516FC2"/>
    <w:rsid w:val="0051731E"/>
    <w:rsid w:val="0051735A"/>
    <w:rsid w:val="00517383"/>
    <w:rsid w:val="005173EC"/>
    <w:rsid w:val="00517749"/>
    <w:rsid w:val="00517CB2"/>
    <w:rsid w:val="00517CB8"/>
    <w:rsid w:val="00517D3C"/>
    <w:rsid w:val="005201BC"/>
    <w:rsid w:val="00520594"/>
    <w:rsid w:val="00520710"/>
    <w:rsid w:val="00520846"/>
    <w:rsid w:val="005208DC"/>
    <w:rsid w:val="005210CB"/>
    <w:rsid w:val="0052142D"/>
    <w:rsid w:val="00521A61"/>
    <w:rsid w:val="00522491"/>
    <w:rsid w:val="00522B51"/>
    <w:rsid w:val="00523BE9"/>
    <w:rsid w:val="0052418D"/>
    <w:rsid w:val="005248C8"/>
    <w:rsid w:val="00524996"/>
    <w:rsid w:val="00524ACF"/>
    <w:rsid w:val="00524C4D"/>
    <w:rsid w:val="00525A00"/>
    <w:rsid w:val="005262C3"/>
    <w:rsid w:val="00526832"/>
    <w:rsid w:val="005269F1"/>
    <w:rsid w:val="0052702B"/>
    <w:rsid w:val="00527034"/>
    <w:rsid w:val="00527A9A"/>
    <w:rsid w:val="0053053F"/>
    <w:rsid w:val="005307BB"/>
    <w:rsid w:val="00530920"/>
    <w:rsid w:val="005309D5"/>
    <w:rsid w:val="00530ED3"/>
    <w:rsid w:val="0053130E"/>
    <w:rsid w:val="00531348"/>
    <w:rsid w:val="00531BEE"/>
    <w:rsid w:val="00532D8C"/>
    <w:rsid w:val="00533160"/>
    <w:rsid w:val="005332A5"/>
    <w:rsid w:val="005338CE"/>
    <w:rsid w:val="00533BA1"/>
    <w:rsid w:val="00533CFE"/>
    <w:rsid w:val="0053414F"/>
    <w:rsid w:val="00534577"/>
    <w:rsid w:val="00534A5D"/>
    <w:rsid w:val="00534C4A"/>
    <w:rsid w:val="00534F8D"/>
    <w:rsid w:val="0053562D"/>
    <w:rsid w:val="005357A7"/>
    <w:rsid w:val="00535AF2"/>
    <w:rsid w:val="00535E22"/>
    <w:rsid w:val="00536379"/>
    <w:rsid w:val="005364D9"/>
    <w:rsid w:val="005366A2"/>
    <w:rsid w:val="0053694B"/>
    <w:rsid w:val="00536E34"/>
    <w:rsid w:val="00536EB8"/>
    <w:rsid w:val="00537011"/>
    <w:rsid w:val="005371E7"/>
    <w:rsid w:val="00537269"/>
    <w:rsid w:val="005375FC"/>
    <w:rsid w:val="0053791D"/>
    <w:rsid w:val="00537E53"/>
    <w:rsid w:val="005404A8"/>
    <w:rsid w:val="00541A71"/>
    <w:rsid w:val="00541D72"/>
    <w:rsid w:val="00541E6E"/>
    <w:rsid w:val="005422C3"/>
    <w:rsid w:val="00542564"/>
    <w:rsid w:val="00542990"/>
    <w:rsid w:val="00542D38"/>
    <w:rsid w:val="00543B50"/>
    <w:rsid w:val="0054443F"/>
    <w:rsid w:val="00544701"/>
    <w:rsid w:val="00544798"/>
    <w:rsid w:val="00544C04"/>
    <w:rsid w:val="00544CC7"/>
    <w:rsid w:val="0054528F"/>
    <w:rsid w:val="0054559B"/>
    <w:rsid w:val="00545D9B"/>
    <w:rsid w:val="00546C8D"/>
    <w:rsid w:val="00546D64"/>
    <w:rsid w:val="00547427"/>
    <w:rsid w:val="00550364"/>
    <w:rsid w:val="00550612"/>
    <w:rsid w:val="00550A9E"/>
    <w:rsid w:val="00550C3A"/>
    <w:rsid w:val="00550E23"/>
    <w:rsid w:val="00551707"/>
    <w:rsid w:val="005517AA"/>
    <w:rsid w:val="00551A6C"/>
    <w:rsid w:val="00551F4D"/>
    <w:rsid w:val="00551FA9"/>
    <w:rsid w:val="005521F7"/>
    <w:rsid w:val="00552820"/>
    <w:rsid w:val="0055285B"/>
    <w:rsid w:val="00552935"/>
    <w:rsid w:val="00552A56"/>
    <w:rsid w:val="00552AF6"/>
    <w:rsid w:val="00552C69"/>
    <w:rsid w:val="00552F9E"/>
    <w:rsid w:val="005530BA"/>
    <w:rsid w:val="0055338F"/>
    <w:rsid w:val="005541B4"/>
    <w:rsid w:val="0055458C"/>
    <w:rsid w:val="005552E7"/>
    <w:rsid w:val="00555BA9"/>
    <w:rsid w:val="0055643B"/>
    <w:rsid w:val="005564ED"/>
    <w:rsid w:val="00556519"/>
    <w:rsid w:val="00556BE5"/>
    <w:rsid w:val="00557362"/>
    <w:rsid w:val="00557801"/>
    <w:rsid w:val="00557D61"/>
    <w:rsid w:val="00557E8B"/>
    <w:rsid w:val="0056057C"/>
    <w:rsid w:val="00560BC9"/>
    <w:rsid w:val="00561614"/>
    <w:rsid w:val="0056191C"/>
    <w:rsid w:val="0056237F"/>
    <w:rsid w:val="00562E2F"/>
    <w:rsid w:val="00563284"/>
    <w:rsid w:val="00563783"/>
    <w:rsid w:val="00563887"/>
    <w:rsid w:val="00563C3F"/>
    <w:rsid w:val="00563CCC"/>
    <w:rsid w:val="00563F57"/>
    <w:rsid w:val="00564549"/>
    <w:rsid w:val="00564567"/>
    <w:rsid w:val="00564595"/>
    <w:rsid w:val="00564B30"/>
    <w:rsid w:val="00564B54"/>
    <w:rsid w:val="00564D5A"/>
    <w:rsid w:val="00564DA4"/>
    <w:rsid w:val="00564F2B"/>
    <w:rsid w:val="00564F96"/>
    <w:rsid w:val="00565048"/>
    <w:rsid w:val="00565224"/>
    <w:rsid w:val="0056522B"/>
    <w:rsid w:val="005652A3"/>
    <w:rsid w:val="0056584F"/>
    <w:rsid w:val="00566467"/>
    <w:rsid w:val="00566CE0"/>
    <w:rsid w:val="005670EF"/>
    <w:rsid w:val="00567527"/>
    <w:rsid w:val="00567672"/>
    <w:rsid w:val="00567815"/>
    <w:rsid w:val="00567A33"/>
    <w:rsid w:val="00567AC9"/>
    <w:rsid w:val="005703A3"/>
    <w:rsid w:val="005703ED"/>
    <w:rsid w:val="00570845"/>
    <w:rsid w:val="00570A1E"/>
    <w:rsid w:val="00571062"/>
    <w:rsid w:val="005717BB"/>
    <w:rsid w:val="005719DA"/>
    <w:rsid w:val="00572838"/>
    <w:rsid w:val="00572B5D"/>
    <w:rsid w:val="005735AD"/>
    <w:rsid w:val="005739DC"/>
    <w:rsid w:val="00573D95"/>
    <w:rsid w:val="00574669"/>
    <w:rsid w:val="00574733"/>
    <w:rsid w:val="005749DC"/>
    <w:rsid w:val="00574BA2"/>
    <w:rsid w:val="00574C8B"/>
    <w:rsid w:val="00574CCF"/>
    <w:rsid w:val="00574E84"/>
    <w:rsid w:val="005755AF"/>
    <w:rsid w:val="00575C2E"/>
    <w:rsid w:val="00575D02"/>
    <w:rsid w:val="0057605A"/>
    <w:rsid w:val="00576232"/>
    <w:rsid w:val="00576A52"/>
    <w:rsid w:val="00576BDE"/>
    <w:rsid w:val="00576DE2"/>
    <w:rsid w:val="00576F75"/>
    <w:rsid w:val="00577390"/>
    <w:rsid w:val="00577783"/>
    <w:rsid w:val="005777B6"/>
    <w:rsid w:val="005801CC"/>
    <w:rsid w:val="00580207"/>
    <w:rsid w:val="00580263"/>
    <w:rsid w:val="005804AB"/>
    <w:rsid w:val="00580605"/>
    <w:rsid w:val="00580CB5"/>
    <w:rsid w:val="00581812"/>
    <w:rsid w:val="0058196D"/>
    <w:rsid w:val="00581ABC"/>
    <w:rsid w:val="00581B71"/>
    <w:rsid w:val="00581CB6"/>
    <w:rsid w:val="005822EB"/>
    <w:rsid w:val="005825D0"/>
    <w:rsid w:val="00582947"/>
    <w:rsid w:val="00582F4D"/>
    <w:rsid w:val="00583C98"/>
    <w:rsid w:val="0058494E"/>
    <w:rsid w:val="00584AFC"/>
    <w:rsid w:val="00584C97"/>
    <w:rsid w:val="00584DA6"/>
    <w:rsid w:val="00584DB9"/>
    <w:rsid w:val="00584F46"/>
    <w:rsid w:val="00585760"/>
    <w:rsid w:val="00585871"/>
    <w:rsid w:val="00585A1A"/>
    <w:rsid w:val="00585C90"/>
    <w:rsid w:val="00585F54"/>
    <w:rsid w:val="00585FC3"/>
    <w:rsid w:val="00586078"/>
    <w:rsid w:val="00587227"/>
    <w:rsid w:val="005879F8"/>
    <w:rsid w:val="00590133"/>
    <w:rsid w:val="005901C8"/>
    <w:rsid w:val="005901F2"/>
    <w:rsid w:val="005913C5"/>
    <w:rsid w:val="00591EB8"/>
    <w:rsid w:val="005921B6"/>
    <w:rsid w:val="0059223F"/>
    <w:rsid w:val="0059230C"/>
    <w:rsid w:val="005924AD"/>
    <w:rsid w:val="00593142"/>
    <w:rsid w:val="00593BB7"/>
    <w:rsid w:val="005941E7"/>
    <w:rsid w:val="0059489D"/>
    <w:rsid w:val="0059491E"/>
    <w:rsid w:val="0059498E"/>
    <w:rsid w:val="005953AE"/>
    <w:rsid w:val="005955C5"/>
    <w:rsid w:val="00595811"/>
    <w:rsid w:val="00595AB3"/>
    <w:rsid w:val="00595B9E"/>
    <w:rsid w:val="00595F78"/>
    <w:rsid w:val="005960B1"/>
    <w:rsid w:val="0059628F"/>
    <w:rsid w:val="00596362"/>
    <w:rsid w:val="00596777"/>
    <w:rsid w:val="005974D2"/>
    <w:rsid w:val="005A054A"/>
    <w:rsid w:val="005A0F99"/>
    <w:rsid w:val="005A1285"/>
    <w:rsid w:val="005A143E"/>
    <w:rsid w:val="005A1A12"/>
    <w:rsid w:val="005A2153"/>
    <w:rsid w:val="005A25E8"/>
    <w:rsid w:val="005A33B9"/>
    <w:rsid w:val="005A3ED3"/>
    <w:rsid w:val="005A3FB8"/>
    <w:rsid w:val="005A41AC"/>
    <w:rsid w:val="005A4485"/>
    <w:rsid w:val="005A462A"/>
    <w:rsid w:val="005A46A8"/>
    <w:rsid w:val="005A47E9"/>
    <w:rsid w:val="005A4BEE"/>
    <w:rsid w:val="005A52F2"/>
    <w:rsid w:val="005A5391"/>
    <w:rsid w:val="005A5416"/>
    <w:rsid w:val="005A5640"/>
    <w:rsid w:val="005A58DE"/>
    <w:rsid w:val="005A600D"/>
    <w:rsid w:val="005A623E"/>
    <w:rsid w:val="005A6369"/>
    <w:rsid w:val="005A66E8"/>
    <w:rsid w:val="005A6B6A"/>
    <w:rsid w:val="005A6D6D"/>
    <w:rsid w:val="005A6EAF"/>
    <w:rsid w:val="005A706C"/>
    <w:rsid w:val="005A7AE5"/>
    <w:rsid w:val="005A7F4B"/>
    <w:rsid w:val="005B0053"/>
    <w:rsid w:val="005B006C"/>
    <w:rsid w:val="005B0504"/>
    <w:rsid w:val="005B0F4D"/>
    <w:rsid w:val="005B1124"/>
    <w:rsid w:val="005B1355"/>
    <w:rsid w:val="005B13A8"/>
    <w:rsid w:val="005B1D0B"/>
    <w:rsid w:val="005B1DA0"/>
    <w:rsid w:val="005B22A7"/>
    <w:rsid w:val="005B2C2C"/>
    <w:rsid w:val="005B2C31"/>
    <w:rsid w:val="005B2CA4"/>
    <w:rsid w:val="005B2CB0"/>
    <w:rsid w:val="005B2E79"/>
    <w:rsid w:val="005B2F78"/>
    <w:rsid w:val="005B30E9"/>
    <w:rsid w:val="005B3495"/>
    <w:rsid w:val="005B3597"/>
    <w:rsid w:val="005B3874"/>
    <w:rsid w:val="005B3D3B"/>
    <w:rsid w:val="005B3DE3"/>
    <w:rsid w:val="005B3F4F"/>
    <w:rsid w:val="005B4393"/>
    <w:rsid w:val="005B497A"/>
    <w:rsid w:val="005B4A13"/>
    <w:rsid w:val="005B4B7D"/>
    <w:rsid w:val="005B668C"/>
    <w:rsid w:val="005B6939"/>
    <w:rsid w:val="005B6C9B"/>
    <w:rsid w:val="005B7467"/>
    <w:rsid w:val="005B7582"/>
    <w:rsid w:val="005B7D85"/>
    <w:rsid w:val="005B7F9B"/>
    <w:rsid w:val="005C0054"/>
    <w:rsid w:val="005C00B4"/>
    <w:rsid w:val="005C02A3"/>
    <w:rsid w:val="005C0B14"/>
    <w:rsid w:val="005C0D1C"/>
    <w:rsid w:val="005C1053"/>
    <w:rsid w:val="005C11B4"/>
    <w:rsid w:val="005C14C4"/>
    <w:rsid w:val="005C1A64"/>
    <w:rsid w:val="005C1B8E"/>
    <w:rsid w:val="005C1FFB"/>
    <w:rsid w:val="005C2F8D"/>
    <w:rsid w:val="005C350A"/>
    <w:rsid w:val="005C3B2D"/>
    <w:rsid w:val="005C43A3"/>
    <w:rsid w:val="005C43D8"/>
    <w:rsid w:val="005C4DFD"/>
    <w:rsid w:val="005C4ED0"/>
    <w:rsid w:val="005C517D"/>
    <w:rsid w:val="005C5291"/>
    <w:rsid w:val="005C5596"/>
    <w:rsid w:val="005C5864"/>
    <w:rsid w:val="005C5C4A"/>
    <w:rsid w:val="005C5C96"/>
    <w:rsid w:val="005C6E27"/>
    <w:rsid w:val="005C6FFC"/>
    <w:rsid w:val="005C7AE2"/>
    <w:rsid w:val="005D0181"/>
    <w:rsid w:val="005D0441"/>
    <w:rsid w:val="005D04ED"/>
    <w:rsid w:val="005D0761"/>
    <w:rsid w:val="005D1190"/>
    <w:rsid w:val="005D1AED"/>
    <w:rsid w:val="005D1B05"/>
    <w:rsid w:val="005D24EC"/>
    <w:rsid w:val="005D2543"/>
    <w:rsid w:val="005D2AE6"/>
    <w:rsid w:val="005D2C6E"/>
    <w:rsid w:val="005D2E12"/>
    <w:rsid w:val="005D2FF1"/>
    <w:rsid w:val="005D32A3"/>
    <w:rsid w:val="005D3B21"/>
    <w:rsid w:val="005D3D11"/>
    <w:rsid w:val="005D3D6B"/>
    <w:rsid w:val="005D41CC"/>
    <w:rsid w:val="005D4453"/>
    <w:rsid w:val="005D46A7"/>
    <w:rsid w:val="005D490C"/>
    <w:rsid w:val="005D4A4C"/>
    <w:rsid w:val="005D4BE1"/>
    <w:rsid w:val="005D4CF7"/>
    <w:rsid w:val="005D4F97"/>
    <w:rsid w:val="005D53F3"/>
    <w:rsid w:val="005D551C"/>
    <w:rsid w:val="005D6FC7"/>
    <w:rsid w:val="005D7270"/>
    <w:rsid w:val="005D73A8"/>
    <w:rsid w:val="005D79AA"/>
    <w:rsid w:val="005E008F"/>
    <w:rsid w:val="005E0507"/>
    <w:rsid w:val="005E06D0"/>
    <w:rsid w:val="005E0B4E"/>
    <w:rsid w:val="005E1111"/>
    <w:rsid w:val="005E1126"/>
    <w:rsid w:val="005E1695"/>
    <w:rsid w:val="005E17A6"/>
    <w:rsid w:val="005E1809"/>
    <w:rsid w:val="005E18FB"/>
    <w:rsid w:val="005E1FCF"/>
    <w:rsid w:val="005E2160"/>
    <w:rsid w:val="005E2CF2"/>
    <w:rsid w:val="005E2D5A"/>
    <w:rsid w:val="005E363E"/>
    <w:rsid w:val="005E3726"/>
    <w:rsid w:val="005E373B"/>
    <w:rsid w:val="005E379F"/>
    <w:rsid w:val="005E37D3"/>
    <w:rsid w:val="005E37D4"/>
    <w:rsid w:val="005E3CD1"/>
    <w:rsid w:val="005E3EA4"/>
    <w:rsid w:val="005E4471"/>
    <w:rsid w:val="005E44CE"/>
    <w:rsid w:val="005E47DB"/>
    <w:rsid w:val="005E4DDD"/>
    <w:rsid w:val="005E4E94"/>
    <w:rsid w:val="005E5468"/>
    <w:rsid w:val="005E55C2"/>
    <w:rsid w:val="005E5898"/>
    <w:rsid w:val="005E60DE"/>
    <w:rsid w:val="005E6F21"/>
    <w:rsid w:val="005E78AE"/>
    <w:rsid w:val="005E7CE3"/>
    <w:rsid w:val="005E7DB7"/>
    <w:rsid w:val="005E7DCC"/>
    <w:rsid w:val="005E7DDE"/>
    <w:rsid w:val="005E7F27"/>
    <w:rsid w:val="005F0181"/>
    <w:rsid w:val="005F02E3"/>
    <w:rsid w:val="005F079D"/>
    <w:rsid w:val="005F0C09"/>
    <w:rsid w:val="005F12E1"/>
    <w:rsid w:val="005F15C5"/>
    <w:rsid w:val="005F16AA"/>
    <w:rsid w:val="005F1760"/>
    <w:rsid w:val="005F1818"/>
    <w:rsid w:val="005F1B52"/>
    <w:rsid w:val="005F1C7C"/>
    <w:rsid w:val="005F1FE6"/>
    <w:rsid w:val="005F29B7"/>
    <w:rsid w:val="005F2D6B"/>
    <w:rsid w:val="005F2DD9"/>
    <w:rsid w:val="005F30E0"/>
    <w:rsid w:val="005F3166"/>
    <w:rsid w:val="005F3C2A"/>
    <w:rsid w:val="005F3C7E"/>
    <w:rsid w:val="005F4B34"/>
    <w:rsid w:val="005F4C28"/>
    <w:rsid w:val="005F5081"/>
    <w:rsid w:val="005F5744"/>
    <w:rsid w:val="005F57D1"/>
    <w:rsid w:val="005F5A7E"/>
    <w:rsid w:val="005F5BBC"/>
    <w:rsid w:val="005F5BF0"/>
    <w:rsid w:val="005F6683"/>
    <w:rsid w:val="005F671B"/>
    <w:rsid w:val="005F6C25"/>
    <w:rsid w:val="005F6CF4"/>
    <w:rsid w:val="005F70FA"/>
    <w:rsid w:val="005F7C4B"/>
    <w:rsid w:val="006000A7"/>
    <w:rsid w:val="006000B5"/>
    <w:rsid w:val="0060075E"/>
    <w:rsid w:val="006008FE"/>
    <w:rsid w:val="006010BC"/>
    <w:rsid w:val="00601253"/>
    <w:rsid w:val="006013F1"/>
    <w:rsid w:val="00601415"/>
    <w:rsid w:val="00601C45"/>
    <w:rsid w:val="00601DA4"/>
    <w:rsid w:val="00601FA1"/>
    <w:rsid w:val="006020F4"/>
    <w:rsid w:val="00602344"/>
    <w:rsid w:val="0060245F"/>
    <w:rsid w:val="00602566"/>
    <w:rsid w:val="00602596"/>
    <w:rsid w:val="00603395"/>
    <w:rsid w:val="00603A66"/>
    <w:rsid w:val="00603B6F"/>
    <w:rsid w:val="00603B94"/>
    <w:rsid w:val="00603E84"/>
    <w:rsid w:val="00604176"/>
    <w:rsid w:val="00604E97"/>
    <w:rsid w:val="00605090"/>
    <w:rsid w:val="0060537E"/>
    <w:rsid w:val="00605796"/>
    <w:rsid w:val="00605812"/>
    <w:rsid w:val="00605B07"/>
    <w:rsid w:val="00605D6D"/>
    <w:rsid w:val="00605D80"/>
    <w:rsid w:val="00605DF3"/>
    <w:rsid w:val="0061030F"/>
    <w:rsid w:val="0061043D"/>
    <w:rsid w:val="00610B0D"/>
    <w:rsid w:val="00610C77"/>
    <w:rsid w:val="006111F0"/>
    <w:rsid w:val="00611E5D"/>
    <w:rsid w:val="00611EC0"/>
    <w:rsid w:val="00611FC2"/>
    <w:rsid w:val="0061248A"/>
    <w:rsid w:val="00612C95"/>
    <w:rsid w:val="00612ECD"/>
    <w:rsid w:val="00612F87"/>
    <w:rsid w:val="00613143"/>
    <w:rsid w:val="00613533"/>
    <w:rsid w:val="00613901"/>
    <w:rsid w:val="006139BC"/>
    <w:rsid w:val="00614121"/>
    <w:rsid w:val="00614A82"/>
    <w:rsid w:val="00615102"/>
    <w:rsid w:val="006153C7"/>
    <w:rsid w:val="006161C7"/>
    <w:rsid w:val="00616311"/>
    <w:rsid w:val="006163D8"/>
    <w:rsid w:val="00616A1E"/>
    <w:rsid w:val="00616D3D"/>
    <w:rsid w:val="00616F3A"/>
    <w:rsid w:val="00616FF3"/>
    <w:rsid w:val="00617DD9"/>
    <w:rsid w:val="00617EC8"/>
    <w:rsid w:val="00617F9E"/>
    <w:rsid w:val="0062006B"/>
    <w:rsid w:val="00620503"/>
    <w:rsid w:val="00620C76"/>
    <w:rsid w:val="00620F24"/>
    <w:rsid w:val="006214EF"/>
    <w:rsid w:val="00621980"/>
    <w:rsid w:val="00621B8E"/>
    <w:rsid w:val="00622642"/>
    <w:rsid w:val="0062331D"/>
    <w:rsid w:val="006237E2"/>
    <w:rsid w:val="00624552"/>
    <w:rsid w:val="00624ABA"/>
    <w:rsid w:val="00624CB1"/>
    <w:rsid w:val="00625156"/>
    <w:rsid w:val="00625801"/>
    <w:rsid w:val="00625E32"/>
    <w:rsid w:val="00625F27"/>
    <w:rsid w:val="00626805"/>
    <w:rsid w:val="00627DC8"/>
    <w:rsid w:val="00630131"/>
    <w:rsid w:val="00630391"/>
    <w:rsid w:val="00630D65"/>
    <w:rsid w:val="00630E7C"/>
    <w:rsid w:val="0063103E"/>
    <w:rsid w:val="00631C18"/>
    <w:rsid w:val="00632263"/>
    <w:rsid w:val="006324EE"/>
    <w:rsid w:val="00632C47"/>
    <w:rsid w:val="006333F4"/>
    <w:rsid w:val="00633420"/>
    <w:rsid w:val="00633424"/>
    <w:rsid w:val="006334E9"/>
    <w:rsid w:val="006335A7"/>
    <w:rsid w:val="006338B4"/>
    <w:rsid w:val="00633CC4"/>
    <w:rsid w:val="00633D04"/>
    <w:rsid w:val="0063478C"/>
    <w:rsid w:val="0063494C"/>
    <w:rsid w:val="00634A4F"/>
    <w:rsid w:val="00634E32"/>
    <w:rsid w:val="00634FA3"/>
    <w:rsid w:val="006351E8"/>
    <w:rsid w:val="00635AA9"/>
    <w:rsid w:val="00635D9A"/>
    <w:rsid w:val="006361A4"/>
    <w:rsid w:val="00636221"/>
    <w:rsid w:val="00636BE4"/>
    <w:rsid w:val="00636C75"/>
    <w:rsid w:val="00636C93"/>
    <w:rsid w:val="00636D4C"/>
    <w:rsid w:val="00636DBA"/>
    <w:rsid w:val="00636EE9"/>
    <w:rsid w:val="00636F7B"/>
    <w:rsid w:val="00636F95"/>
    <w:rsid w:val="006373AA"/>
    <w:rsid w:val="006376CA"/>
    <w:rsid w:val="00637DFC"/>
    <w:rsid w:val="00637FFB"/>
    <w:rsid w:val="00640207"/>
    <w:rsid w:val="006408F4"/>
    <w:rsid w:val="00640BCE"/>
    <w:rsid w:val="00640D73"/>
    <w:rsid w:val="00640EF8"/>
    <w:rsid w:val="00640F74"/>
    <w:rsid w:val="006413B4"/>
    <w:rsid w:val="006417DC"/>
    <w:rsid w:val="00641DF4"/>
    <w:rsid w:val="006420CA"/>
    <w:rsid w:val="00643356"/>
    <w:rsid w:val="00643535"/>
    <w:rsid w:val="0064373A"/>
    <w:rsid w:val="0064439A"/>
    <w:rsid w:val="00644D22"/>
    <w:rsid w:val="00644D64"/>
    <w:rsid w:val="0064562F"/>
    <w:rsid w:val="006456C0"/>
    <w:rsid w:val="006458E6"/>
    <w:rsid w:val="00645949"/>
    <w:rsid w:val="00645ED4"/>
    <w:rsid w:val="006466E2"/>
    <w:rsid w:val="00646F6F"/>
    <w:rsid w:val="006470B7"/>
    <w:rsid w:val="00647973"/>
    <w:rsid w:val="00647B34"/>
    <w:rsid w:val="00647C64"/>
    <w:rsid w:val="00647E58"/>
    <w:rsid w:val="0065036B"/>
    <w:rsid w:val="0065067D"/>
    <w:rsid w:val="00650725"/>
    <w:rsid w:val="00650915"/>
    <w:rsid w:val="00650961"/>
    <w:rsid w:val="0065099B"/>
    <w:rsid w:val="0065107B"/>
    <w:rsid w:val="00651111"/>
    <w:rsid w:val="006512B3"/>
    <w:rsid w:val="006514AB"/>
    <w:rsid w:val="006518AA"/>
    <w:rsid w:val="006519CA"/>
    <w:rsid w:val="006524A9"/>
    <w:rsid w:val="00652C56"/>
    <w:rsid w:val="0065312B"/>
    <w:rsid w:val="0065351B"/>
    <w:rsid w:val="0065355D"/>
    <w:rsid w:val="00653785"/>
    <w:rsid w:val="00655054"/>
    <w:rsid w:val="006551B4"/>
    <w:rsid w:val="00655586"/>
    <w:rsid w:val="00655870"/>
    <w:rsid w:val="00655A8A"/>
    <w:rsid w:val="00656087"/>
    <w:rsid w:val="00656270"/>
    <w:rsid w:val="0065703C"/>
    <w:rsid w:val="0065718C"/>
    <w:rsid w:val="0065729E"/>
    <w:rsid w:val="0065759F"/>
    <w:rsid w:val="00657BB2"/>
    <w:rsid w:val="00657C74"/>
    <w:rsid w:val="00660142"/>
    <w:rsid w:val="00660C59"/>
    <w:rsid w:val="0066277B"/>
    <w:rsid w:val="00662AF3"/>
    <w:rsid w:val="00662B08"/>
    <w:rsid w:val="00662D4A"/>
    <w:rsid w:val="00662E28"/>
    <w:rsid w:val="0066317B"/>
    <w:rsid w:val="00663229"/>
    <w:rsid w:val="006637C7"/>
    <w:rsid w:val="0066386A"/>
    <w:rsid w:val="00663C72"/>
    <w:rsid w:val="00663CA3"/>
    <w:rsid w:val="00663D65"/>
    <w:rsid w:val="006646CB"/>
    <w:rsid w:val="006648E7"/>
    <w:rsid w:val="00664ED7"/>
    <w:rsid w:val="00665290"/>
    <w:rsid w:val="006655DE"/>
    <w:rsid w:val="006657C4"/>
    <w:rsid w:val="006658D2"/>
    <w:rsid w:val="00665CF8"/>
    <w:rsid w:val="00665D48"/>
    <w:rsid w:val="00666241"/>
    <w:rsid w:val="006673E0"/>
    <w:rsid w:val="0066752F"/>
    <w:rsid w:val="006678A0"/>
    <w:rsid w:val="00667A5F"/>
    <w:rsid w:val="00670376"/>
    <w:rsid w:val="00670465"/>
    <w:rsid w:val="00670579"/>
    <w:rsid w:val="00670B42"/>
    <w:rsid w:val="00670C77"/>
    <w:rsid w:val="006713A7"/>
    <w:rsid w:val="0067173F"/>
    <w:rsid w:val="0067213C"/>
    <w:rsid w:val="00672333"/>
    <w:rsid w:val="0067299F"/>
    <w:rsid w:val="006729E5"/>
    <w:rsid w:val="00672B2A"/>
    <w:rsid w:val="006734A7"/>
    <w:rsid w:val="006736F7"/>
    <w:rsid w:val="0067380B"/>
    <w:rsid w:val="006738E5"/>
    <w:rsid w:val="00673AC5"/>
    <w:rsid w:val="006745E6"/>
    <w:rsid w:val="006748B5"/>
    <w:rsid w:val="00674DA3"/>
    <w:rsid w:val="00675138"/>
    <w:rsid w:val="00675304"/>
    <w:rsid w:val="006754FF"/>
    <w:rsid w:val="00675A6B"/>
    <w:rsid w:val="00675DC9"/>
    <w:rsid w:val="00675F01"/>
    <w:rsid w:val="0067600D"/>
    <w:rsid w:val="006765EE"/>
    <w:rsid w:val="00676DA9"/>
    <w:rsid w:val="00676EDC"/>
    <w:rsid w:val="006771AD"/>
    <w:rsid w:val="00677251"/>
    <w:rsid w:val="006772E3"/>
    <w:rsid w:val="006776FE"/>
    <w:rsid w:val="00677818"/>
    <w:rsid w:val="00677AEE"/>
    <w:rsid w:val="00677E12"/>
    <w:rsid w:val="00677E98"/>
    <w:rsid w:val="00677EBB"/>
    <w:rsid w:val="00680028"/>
    <w:rsid w:val="00680035"/>
    <w:rsid w:val="0068069D"/>
    <w:rsid w:val="00680960"/>
    <w:rsid w:val="0068137D"/>
    <w:rsid w:val="0068270C"/>
    <w:rsid w:val="00682838"/>
    <w:rsid w:val="00682A9D"/>
    <w:rsid w:val="00682C10"/>
    <w:rsid w:val="00682D40"/>
    <w:rsid w:val="0068387C"/>
    <w:rsid w:val="00683966"/>
    <w:rsid w:val="00683B78"/>
    <w:rsid w:val="00683C22"/>
    <w:rsid w:val="00683E56"/>
    <w:rsid w:val="00684FE9"/>
    <w:rsid w:val="006856FC"/>
    <w:rsid w:val="00685CE3"/>
    <w:rsid w:val="00685E41"/>
    <w:rsid w:val="00685F61"/>
    <w:rsid w:val="00686517"/>
    <w:rsid w:val="0068672B"/>
    <w:rsid w:val="00686778"/>
    <w:rsid w:val="006868AC"/>
    <w:rsid w:val="00686FA0"/>
    <w:rsid w:val="0068737E"/>
    <w:rsid w:val="006873F8"/>
    <w:rsid w:val="006877D3"/>
    <w:rsid w:val="00690104"/>
    <w:rsid w:val="00690EF1"/>
    <w:rsid w:val="00690FEB"/>
    <w:rsid w:val="0069187F"/>
    <w:rsid w:val="00691B59"/>
    <w:rsid w:val="00691C5B"/>
    <w:rsid w:val="00691E61"/>
    <w:rsid w:val="00692057"/>
    <w:rsid w:val="0069240F"/>
    <w:rsid w:val="0069342F"/>
    <w:rsid w:val="00693A3C"/>
    <w:rsid w:val="006946AB"/>
    <w:rsid w:val="00694986"/>
    <w:rsid w:val="00694AB7"/>
    <w:rsid w:val="00694E18"/>
    <w:rsid w:val="0069613E"/>
    <w:rsid w:val="00696295"/>
    <w:rsid w:val="006962B5"/>
    <w:rsid w:val="00696AEF"/>
    <w:rsid w:val="00696E51"/>
    <w:rsid w:val="0069737A"/>
    <w:rsid w:val="006976AE"/>
    <w:rsid w:val="00697B14"/>
    <w:rsid w:val="00697EAF"/>
    <w:rsid w:val="00697F76"/>
    <w:rsid w:val="006A036A"/>
    <w:rsid w:val="006A117E"/>
    <w:rsid w:val="006A1616"/>
    <w:rsid w:val="006A1A24"/>
    <w:rsid w:val="006A24C9"/>
    <w:rsid w:val="006A26B8"/>
    <w:rsid w:val="006A272F"/>
    <w:rsid w:val="006A2BC3"/>
    <w:rsid w:val="006A373A"/>
    <w:rsid w:val="006A3A98"/>
    <w:rsid w:val="006A3BF1"/>
    <w:rsid w:val="006A48FC"/>
    <w:rsid w:val="006A4BB7"/>
    <w:rsid w:val="006A4F92"/>
    <w:rsid w:val="006A52C0"/>
    <w:rsid w:val="006A581C"/>
    <w:rsid w:val="006A668A"/>
    <w:rsid w:val="006A679B"/>
    <w:rsid w:val="006A7406"/>
    <w:rsid w:val="006A740A"/>
    <w:rsid w:val="006A768C"/>
    <w:rsid w:val="006A77C7"/>
    <w:rsid w:val="006A7956"/>
    <w:rsid w:val="006A7AB2"/>
    <w:rsid w:val="006B034B"/>
    <w:rsid w:val="006B0B1D"/>
    <w:rsid w:val="006B0BFA"/>
    <w:rsid w:val="006B0C5A"/>
    <w:rsid w:val="006B0D15"/>
    <w:rsid w:val="006B153F"/>
    <w:rsid w:val="006B15BC"/>
    <w:rsid w:val="006B16BF"/>
    <w:rsid w:val="006B1CA0"/>
    <w:rsid w:val="006B2917"/>
    <w:rsid w:val="006B2E4A"/>
    <w:rsid w:val="006B2E99"/>
    <w:rsid w:val="006B2F8D"/>
    <w:rsid w:val="006B31A8"/>
    <w:rsid w:val="006B34AE"/>
    <w:rsid w:val="006B383C"/>
    <w:rsid w:val="006B3A80"/>
    <w:rsid w:val="006B3C13"/>
    <w:rsid w:val="006B3D63"/>
    <w:rsid w:val="006B4430"/>
    <w:rsid w:val="006B4591"/>
    <w:rsid w:val="006B4DDC"/>
    <w:rsid w:val="006B4DF1"/>
    <w:rsid w:val="006B4EA4"/>
    <w:rsid w:val="006B51F5"/>
    <w:rsid w:val="006B523D"/>
    <w:rsid w:val="006B5552"/>
    <w:rsid w:val="006B61DA"/>
    <w:rsid w:val="006B629B"/>
    <w:rsid w:val="006B6787"/>
    <w:rsid w:val="006B6D45"/>
    <w:rsid w:val="006B6DBF"/>
    <w:rsid w:val="006B6EE1"/>
    <w:rsid w:val="006B781C"/>
    <w:rsid w:val="006C0049"/>
    <w:rsid w:val="006C026D"/>
    <w:rsid w:val="006C02B8"/>
    <w:rsid w:val="006C1FA2"/>
    <w:rsid w:val="006C1FAC"/>
    <w:rsid w:val="006C2409"/>
    <w:rsid w:val="006C2C20"/>
    <w:rsid w:val="006C2C37"/>
    <w:rsid w:val="006C2F4F"/>
    <w:rsid w:val="006C310B"/>
    <w:rsid w:val="006C3338"/>
    <w:rsid w:val="006C34AD"/>
    <w:rsid w:val="006C3698"/>
    <w:rsid w:val="006C38C5"/>
    <w:rsid w:val="006C3F52"/>
    <w:rsid w:val="006C509C"/>
    <w:rsid w:val="006C5359"/>
    <w:rsid w:val="006C53CD"/>
    <w:rsid w:val="006C56B2"/>
    <w:rsid w:val="006C5B5E"/>
    <w:rsid w:val="006C5D1D"/>
    <w:rsid w:val="006C688E"/>
    <w:rsid w:val="006C6963"/>
    <w:rsid w:val="006C751B"/>
    <w:rsid w:val="006C79F0"/>
    <w:rsid w:val="006C7D68"/>
    <w:rsid w:val="006C7EAF"/>
    <w:rsid w:val="006C7EEB"/>
    <w:rsid w:val="006C7FE8"/>
    <w:rsid w:val="006D0012"/>
    <w:rsid w:val="006D040A"/>
    <w:rsid w:val="006D0BEA"/>
    <w:rsid w:val="006D0D61"/>
    <w:rsid w:val="006D0DAE"/>
    <w:rsid w:val="006D18B2"/>
    <w:rsid w:val="006D1AFE"/>
    <w:rsid w:val="006D1D8A"/>
    <w:rsid w:val="006D1E01"/>
    <w:rsid w:val="006D1EEA"/>
    <w:rsid w:val="006D2143"/>
    <w:rsid w:val="006D218D"/>
    <w:rsid w:val="006D244B"/>
    <w:rsid w:val="006D2A92"/>
    <w:rsid w:val="006D3040"/>
    <w:rsid w:val="006D306A"/>
    <w:rsid w:val="006D335E"/>
    <w:rsid w:val="006D4747"/>
    <w:rsid w:val="006D4902"/>
    <w:rsid w:val="006D4BBC"/>
    <w:rsid w:val="006D4EEF"/>
    <w:rsid w:val="006D4FA4"/>
    <w:rsid w:val="006D57E8"/>
    <w:rsid w:val="006D57F0"/>
    <w:rsid w:val="006D5995"/>
    <w:rsid w:val="006D5B9D"/>
    <w:rsid w:val="006D6061"/>
    <w:rsid w:val="006D60D2"/>
    <w:rsid w:val="006D624B"/>
    <w:rsid w:val="006D640A"/>
    <w:rsid w:val="006D65A1"/>
    <w:rsid w:val="006D6A5D"/>
    <w:rsid w:val="006D6C98"/>
    <w:rsid w:val="006D77FD"/>
    <w:rsid w:val="006D7BEE"/>
    <w:rsid w:val="006D7C4B"/>
    <w:rsid w:val="006D7C75"/>
    <w:rsid w:val="006E0081"/>
    <w:rsid w:val="006E01CA"/>
    <w:rsid w:val="006E0588"/>
    <w:rsid w:val="006E08C4"/>
    <w:rsid w:val="006E0B39"/>
    <w:rsid w:val="006E0BAC"/>
    <w:rsid w:val="006E0D20"/>
    <w:rsid w:val="006E0DC3"/>
    <w:rsid w:val="006E0F99"/>
    <w:rsid w:val="006E105B"/>
    <w:rsid w:val="006E168D"/>
    <w:rsid w:val="006E16EC"/>
    <w:rsid w:val="006E186B"/>
    <w:rsid w:val="006E1919"/>
    <w:rsid w:val="006E1B5C"/>
    <w:rsid w:val="006E1CA6"/>
    <w:rsid w:val="006E1CEE"/>
    <w:rsid w:val="006E2011"/>
    <w:rsid w:val="006E275A"/>
    <w:rsid w:val="006E2919"/>
    <w:rsid w:val="006E2B84"/>
    <w:rsid w:val="006E2C4B"/>
    <w:rsid w:val="006E2F52"/>
    <w:rsid w:val="006E312A"/>
    <w:rsid w:val="006E3504"/>
    <w:rsid w:val="006E474E"/>
    <w:rsid w:val="006E4AD8"/>
    <w:rsid w:val="006E4BDB"/>
    <w:rsid w:val="006E55D7"/>
    <w:rsid w:val="006E55E3"/>
    <w:rsid w:val="006E627D"/>
    <w:rsid w:val="006E6547"/>
    <w:rsid w:val="006E6869"/>
    <w:rsid w:val="006E69DB"/>
    <w:rsid w:val="006E6C19"/>
    <w:rsid w:val="006E741B"/>
    <w:rsid w:val="006E7685"/>
    <w:rsid w:val="006E799D"/>
    <w:rsid w:val="006E7B86"/>
    <w:rsid w:val="006F0082"/>
    <w:rsid w:val="006F02A9"/>
    <w:rsid w:val="006F05BD"/>
    <w:rsid w:val="006F07CC"/>
    <w:rsid w:val="006F14C6"/>
    <w:rsid w:val="006F15BF"/>
    <w:rsid w:val="006F1702"/>
    <w:rsid w:val="006F1BD6"/>
    <w:rsid w:val="006F26D4"/>
    <w:rsid w:val="006F2792"/>
    <w:rsid w:val="006F2A16"/>
    <w:rsid w:val="006F2D44"/>
    <w:rsid w:val="006F3354"/>
    <w:rsid w:val="006F36D1"/>
    <w:rsid w:val="006F476C"/>
    <w:rsid w:val="006F5015"/>
    <w:rsid w:val="006F57E6"/>
    <w:rsid w:val="006F6007"/>
    <w:rsid w:val="006F61CF"/>
    <w:rsid w:val="006F6581"/>
    <w:rsid w:val="006F6592"/>
    <w:rsid w:val="006F6B91"/>
    <w:rsid w:val="006F6BA7"/>
    <w:rsid w:val="006F6F5B"/>
    <w:rsid w:val="006F7C28"/>
    <w:rsid w:val="006F7E2D"/>
    <w:rsid w:val="007002C4"/>
    <w:rsid w:val="007007C5"/>
    <w:rsid w:val="00700B9A"/>
    <w:rsid w:val="00700F5D"/>
    <w:rsid w:val="007010F8"/>
    <w:rsid w:val="007015ED"/>
    <w:rsid w:val="00701F36"/>
    <w:rsid w:val="00702843"/>
    <w:rsid w:val="00702E8E"/>
    <w:rsid w:val="00703ED7"/>
    <w:rsid w:val="00704C63"/>
    <w:rsid w:val="00704E29"/>
    <w:rsid w:val="00704E32"/>
    <w:rsid w:val="00705256"/>
    <w:rsid w:val="007058EE"/>
    <w:rsid w:val="00705FDF"/>
    <w:rsid w:val="007060DA"/>
    <w:rsid w:val="007061D2"/>
    <w:rsid w:val="007064A1"/>
    <w:rsid w:val="0070687A"/>
    <w:rsid w:val="007068FE"/>
    <w:rsid w:val="00707616"/>
    <w:rsid w:val="00707929"/>
    <w:rsid w:val="00710078"/>
    <w:rsid w:val="00710394"/>
    <w:rsid w:val="00710E4D"/>
    <w:rsid w:val="00710E65"/>
    <w:rsid w:val="0071160A"/>
    <w:rsid w:val="00711C35"/>
    <w:rsid w:val="00711E47"/>
    <w:rsid w:val="007128EB"/>
    <w:rsid w:val="00712CB1"/>
    <w:rsid w:val="007131DD"/>
    <w:rsid w:val="00713594"/>
    <w:rsid w:val="00713662"/>
    <w:rsid w:val="00713942"/>
    <w:rsid w:val="00713B0C"/>
    <w:rsid w:val="00714558"/>
    <w:rsid w:val="0071481F"/>
    <w:rsid w:val="00714989"/>
    <w:rsid w:val="00714C81"/>
    <w:rsid w:val="00714D9B"/>
    <w:rsid w:val="00714DBD"/>
    <w:rsid w:val="0071509B"/>
    <w:rsid w:val="00715996"/>
    <w:rsid w:val="00715CA7"/>
    <w:rsid w:val="00715FC6"/>
    <w:rsid w:val="00716A19"/>
    <w:rsid w:val="00716DC7"/>
    <w:rsid w:val="007170E2"/>
    <w:rsid w:val="00717139"/>
    <w:rsid w:val="007171C5"/>
    <w:rsid w:val="007171C6"/>
    <w:rsid w:val="00717BE9"/>
    <w:rsid w:val="0072016D"/>
    <w:rsid w:val="007203D1"/>
    <w:rsid w:val="00720442"/>
    <w:rsid w:val="007205DF"/>
    <w:rsid w:val="00720661"/>
    <w:rsid w:val="007211C8"/>
    <w:rsid w:val="007220D9"/>
    <w:rsid w:val="00722FDA"/>
    <w:rsid w:val="007237A9"/>
    <w:rsid w:val="00723932"/>
    <w:rsid w:val="00723F8E"/>
    <w:rsid w:val="0072400C"/>
    <w:rsid w:val="00724174"/>
    <w:rsid w:val="007245FE"/>
    <w:rsid w:val="007249B2"/>
    <w:rsid w:val="00724B90"/>
    <w:rsid w:val="00724E90"/>
    <w:rsid w:val="007257C0"/>
    <w:rsid w:val="00725D11"/>
    <w:rsid w:val="00725E74"/>
    <w:rsid w:val="007260AE"/>
    <w:rsid w:val="00726344"/>
    <w:rsid w:val="0072634B"/>
    <w:rsid w:val="007266CB"/>
    <w:rsid w:val="00727064"/>
    <w:rsid w:val="0072706B"/>
    <w:rsid w:val="007274A9"/>
    <w:rsid w:val="00730545"/>
    <w:rsid w:val="00730A3E"/>
    <w:rsid w:val="00730A4B"/>
    <w:rsid w:val="00730C7B"/>
    <w:rsid w:val="0073121D"/>
    <w:rsid w:val="00731268"/>
    <w:rsid w:val="00732EDC"/>
    <w:rsid w:val="00733070"/>
    <w:rsid w:val="00733562"/>
    <w:rsid w:val="0073374D"/>
    <w:rsid w:val="007337A5"/>
    <w:rsid w:val="007342BE"/>
    <w:rsid w:val="00734908"/>
    <w:rsid w:val="007350C0"/>
    <w:rsid w:val="00735230"/>
    <w:rsid w:val="00735366"/>
    <w:rsid w:val="0073614C"/>
    <w:rsid w:val="00736654"/>
    <w:rsid w:val="007367B4"/>
    <w:rsid w:val="00736964"/>
    <w:rsid w:val="007369A0"/>
    <w:rsid w:val="00737147"/>
    <w:rsid w:val="00737491"/>
    <w:rsid w:val="00737AEE"/>
    <w:rsid w:val="00737B23"/>
    <w:rsid w:val="00737F66"/>
    <w:rsid w:val="007405AB"/>
    <w:rsid w:val="00740758"/>
    <w:rsid w:val="007408A0"/>
    <w:rsid w:val="00740D54"/>
    <w:rsid w:val="00740D87"/>
    <w:rsid w:val="0074117E"/>
    <w:rsid w:val="007411EF"/>
    <w:rsid w:val="007412FE"/>
    <w:rsid w:val="0074171E"/>
    <w:rsid w:val="00741959"/>
    <w:rsid w:val="00741C5B"/>
    <w:rsid w:val="00741F06"/>
    <w:rsid w:val="0074222D"/>
    <w:rsid w:val="007427F3"/>
    <w:rsid w:val="00742A19"/>
    <w:rsid w:val="00742A44"/>
    <w:rsid w:val="00742EAD"/>
    <w:rsid w:val="00743091"/>
    <w:rsid w:val="007432FE"/>
    <w:rsid w:val="00743359"/>
    <w:rsid w:val="00743D9C"/>
    <w:rsid w:val="00743F09"/>
    <w:rsid w:val="00743F50"/>
    <w:rsid w:val="007440BC"/>
    <w:rsid w:val="00744949"/>
    <w:rsid w:val="00744FBE"/>
    <w:rsid w:val="00745138"/>
    <w:rsid w:val="0074538E"/>
    <w:rsid w:val="0074549B"/>
    <w:rsid w:val="007457F2"/>
    <w:rsid w:val="00745ABC"/>
    <w:rsid w:val="00746466"/>
    <w:rsid w:val="00746AF2"/>
    <w:rsid w:val="00746E5F"/>
    <w:rsid w:val="00746E7D"/>
    <w:rsid w:val="007474BE"/>
    <w:rsid w:val="0074754E"/>
    <w:rsid w:val="007502D6"/>
    <w:rsid w:val="0075036E"/>
    <w:rsid w:val="007507D5"/>
    <w:rsid w:val="0075098E"/>
    <w:rsid w:val="007511AD"/>
    <w:rsid w:val="007512B4"/>
    <w:rsid w:val="00751D72"/>
    <w:rsid w:val="00752230"/>
    <w:rsid w:val="00752334"/>
    <w:rsid w:val="007524C0"/>
    <w:rsid w:val="00752830"/>
    <w:rsid w:val="00752B5E"/>
    <w:rsid w:val="007530C3"/>
    <w:rsid w:val="0075372F"/>
    <w:rsid w:val="00753B3C"/>
    <w:rsid w:val="00753D7C"/>
    <w:rsid w:val="00754383"/>
    <w:rsid w:val="007547A9"/>
    <w:rsid w:val="00755971"/>
    <w:rsid w:val="00755FE9"/>
    <w:rsid w:val="00756090"/>
    <w:rsid w:val="0075652C"/>
    <w:rsid w:val="007566EB"/>
    <w:rsid w:val="0075794E"/>
    <w:rsid w:val="00757A45"/>
    <w:rsid w:val="00757C05"/>
    <w:rsid w:val="00757DA0"/>
    <w:rsid w:val="00760059"/>
    <w:rsid w:val="00760502"/>
    <w:rsid w:val="00760691"/>
    <w:rsid w:val="007606F4"/>
    <w:rsid w:val="007607FD"/>
    <w:rsid w:val="007609EB"/>
    <w:rsid w:val="00760BB9"/>
    <w:rsid w:val="00760CE1"/>
    <w:rsid w:val="00761373"/>
    <w:rsid w:val="00761FB3"/>
    <w:rsid w:val="0076223E"/>
    <w:rsid w:val="007623ED"/>
    <w:rsid w:val="007627E0"/>
    <w:rsid w:val="00762848"/>
    <w:rsid w:val="00762D5B"/>
    <w:rsid w:val="0076302F"/>
    <w:rsid w:val="007630B3"/>
    <w:rsid w:val="0076349B"/>
    <w:rsid w:val="007639BB"/>
    <w:rsid w:val="00763CD7"/>
    <w:rsid w:val="00764295"/>
    <w:rsid w:val="007644F3"/>
    <w:rsid w:val="007648E5"/>
    <w:rsid w:val="00764AC0"/>
    <w:rsid w:val="00764D6C"/>
    <w:rsid w:val="0076511E"/>
    <w:rsid w:val="007651D0"/>
    <w:rsid w:val="00765421"/>
    <w:rsid w:val="00765536"/>
    <w:rsid w:val="007655EC"/>
    <w:rsid w:val="00765A12"/>
    <w:rsid w:val="00765B09"/>
    <w:rsid w:val="00765E19"/>
    <w:rsid w:val="007660C1"/>
    <w:rsid w:val="0076619C"/>
    <w:rsid w:val="007668FB"/>
    <w:rsid w:val="00767868"/>
    <w:rsid w:val="00767C3E"/>
    <w:rsid w:val="00771531"/>
    <w:rsid w:val="007716D6"/>
    <w:rsid w:val="007717A5"/>
    <w:rsid w:val="00771969"/>
    <w:rsid w:val="007719E0"/>
    <w:rsid w:val="00771FCC"/>
    <w:rsid w:val="0077228B"/>
    <w:rsid w:val="0077269E"/>
    <w:rsid w:val="007728EB"/>
    <w:rsid w:val="00772A1F"/>
    <w:rsid w:val="0077348D"/>
    <w:rsid w:val="00773721"/>
    <w:rsid w:val="00773A42"/>
    <w:rsid w:val="00773C6F"/>
    <w:rsid w:val="00773C84"/>
    <w:rsid w:val="00774A64"/>
    <w:rsid w:val="00774B0C"/>
    <w:rsid w:val="00774B99"/>
    <w:rsid w:val="00774D10"/>
    <w:rsid w:val="0077524D"/>
    <w:rsid w:val="00775525"/>
    <w:rsid w:val="00775B54"/>
    <w:rsid w:val="00775BF0"/>
    <w:rsid w:val="00775F16"/>
    <w:rsid w:val="00776162"/>
    <w:rsid w:val="00776ADA"/>
    <w:rsid w:val="00776E7F"/>
    <w:rsid w:val="00776F82"/>
    <w:rsid w:val="007770D9"/>
    <w:rsid w:val="0077741D"/>
    <w:rsid w:val="00777701"/>
    <w:rsid w:val="007777EE"/>
    <w:rsid w:val="00777D29"/>
    <w:rsid w:val="00777D66"/>
    <w:rsid w:val="00777DB4"/>
    <w:rsid w:val="00777FB4"/>
    <w:rsid w:val="00780CBF"/>
    <w:rsid w:val="00780D02"/>
    <w:rsid w:val="007812F4"/>
    <w:rsid w:val="007820BE"/>
    <w:rsid w:val="00782D36"/>
    <w:rsid w:val="00782DF5"/>
    <w:rsid w:val="00782EC3"/>
    <w:rsid w:val="00783285"/>
    <w:rsid w:val="007832B2"/>
    <w:rsid w:val="00783F83"/>
    <w:rsid w:val="00784534"/>
    <w:rsid w:val="00784B22"/>
    <w:rsid w:val="00784E75"/>
    <w:rsid w:val="00784EAE"/>
    <w:rsid w:val="00785098"/>
    <w:rsid w:val="007851E8"/>
    <w:rsid w:val="00785236"/>
    <w:rsid w:val="007852DC"/>
    <w:rsid w:val="007858B3"/>
    <w:rsid w:val="00785C6E"/>
    <w:rsid w:val="00785C74"/>
    <w:rsid w:val="00785FF2"/>
    <w:rsid w:val="007869A5"/>
    <w:rsid w:val="007876E9"/>
    <w:rsid w:val="0078775B"/>
    <w:rsid w:val="00787E16"/>
    <w:rsid w:val="007900CE"/>
    <w:rsid w:val="00790499"/>
    <w:rsid w:val="00790C75"/>
    <w:rsid w:val="00790C76"/>
    <w:rsid w:val="00791154"/>
    <w:rsid w:val="007913D9"/>
    <w:rsid w:val="0079179E"/>
    <w:rsid w:val="00791B88"/>
    <w:rsid w:val="00791CA7"/>
    <w:rsid w:val="00791ECC"/>
    <w:rsid w:val="0079203B"/>
    <w:rsid w:val="00792521"/>
    <w:rsid w:val="00792914"/>
    <w:rsid w:val="007929E6"/>
    <w:rsid w:val="00792A2F"/>
    <w:rsid w:val="00792F98"/>
    <w:rsid w:val="0079346C"/>
    <w:rsid w:val="007934E1"/>
    <w:rsid w:val="00793B71"/>
    <w:rsid w:val="007943C2"/>
    <w:rsid w:val="00794741"/>
    <w:rsid w:val="00794CCB"/>
    <w:rsid w:val="00794FE8"/>
    <w:rsid w:val="00795132"/>
    <w:rsid w:val="007952F2"/>
    <w:rsid w:val="00795693"/>
    <w:rsid w:val="00795937"/>
    <w:rsid w:val="00795BE6"/>
    <w:rsid w:val="007961BE"/>
    <w:rsid w:val="0079631F"/>
    <w:rsid w:val="00797801"/>
    <w:rsid w:val="00797A02"/>
    <w:rsid w:val="007A002F"/>
    <w:rsid w:val="007A025D"/>
    <w:rsid w:val="007A0938"/>
    <w:rsid w:val="007A1012"/>
    <w:rsid w:val="007A13C0"/>
    <w:rsid w:val="007A1647"/>
    <w:rsid w:val="007A1654"/>
    <w:rsid w:val="007A1A79"/>
    <w:rsid w:val="007A1B8D"/>
    <w:rsid w:val="007A2143"/>
    <w:rsid w:val="007A2209"/>
    <w:rsid w:val="007A24BE"/>
    <w:rsid w:val="007A287F"/>
    <w:rsid w:val="007A2927"/>
    <w:rsid w:val="007A2B72"/>
    <w:rsid w:val="007A2F27"/>
    <w:rsid w:val="007A3124"/>
    <w:rsid w:val="007A31D0"/>
    <w:rsid w:val="007A3207"/>
    <w:rsid w:val="007A382D"/>
    <w:rsid w:val="007A3831"/>
    <w:rsid w:val="007A41A7"/>
    <w:rsid w:val="007A4896"/>
    <w:rsid w:val="007A48C9"/>
    <w:rsid w:val="007A52F9"/>
    <w:rsid w:val="007A59C7"/>
    <w:rsid w:val="007A5BC1"/>
    <w:rsid w:val="007A6270"/>
    <w:rsid w:val="007A64FB"/>
    <w:rsid w:val="007A673E"/>
    <w:rsid w:val="007A674E"/>
    <w:rsid w:val="007A6B19"/>
    <w:rsid w:val="007A6EAD"/>
    <w:rsid w:val="007A729F"/>
    <w:rsid w:val="007A73EE"/>
    <w:rsid w:val="007B04A9"/>
    <w:rsid w:val="007B068D"/>
    <w:rsid w:val="007B09A4"/>
    <w:rsid w:val="007B0B8F"/>
    <w:rsid w:val="007B0CE2"/>
    <w:rsid w:val="007B0D15"/>
    <w:rsid w:val="007B1E5A"/>
    <w:rsid w:val="007B1E97"/>
    <w:rsid w:val="007B31A4"/>
    <w:rsid w:val="007B3382"/>
    <w:rsid w:val="007B37D2"/>
    <w:rsid w:val="007B38C4"/>
    <w:rsid w:val="007B3FE5"/>
    <w:rsid w:val="007B4508"/>
    <w:rsid w:val="007B4918"/>
    <w:rsid w:val="007B4A68"/>
    <w:rsid w:val="007B4BD1"/>
    <w:rsid w:val="007B4C06"/>
    <w:rsid w:val="007B4FA2"/>
    <w:rsid w:val="007B5034"/>
    <w:rsid w:val="007B57A1"/>
    <w:rsid w:val="007B5EF6"/>
    <w:rsid w:val="007B6241"/>
    <w:rsid w:val="007B71E4"/>
    <w:rsid w:val="007B7421"/>
    <w:rsid w:val="007C0066"/>
    <w:rsid w:val="007C0A8D"/>
    <w:rsid w:val="007C0B33"/>
    <w:rsid w:val="007C1360"/>
    <w:rsid w:val="007C2345"/>
    <w:rsid w:val="007C2E00"/>
    <w:rsid w:val="007C2E8E"/>
    <w:rsid w:val="007C2F92"/>
    <w:rsid w:val="007C476B"/>
    <w:rsid w:val="007C507E"/>
    <w:rsid w:val="007C52F4"/>
    <w:rsid w:val="007C5D43"/>
    <w:rsid w:val="007C5DFA"/>
    <w:rsid w:val="007C6DD5"/>
    <w:rsid w:val="007C7016"/>
    <w:rsid w:val="007C72DC"/>
    <w:rsid w:val="007C7517"/>
    <w:rsid w:val="007C787B"/>
    <w:rsid w:val="007C7B08"/>
    <w:rsid w:val="007C7E52"/>
    <w:rsid w:val="007D03B6"/>
    <w:rsid w:val="007D03FD"/>
    <w:rsid w:val="007D0654"/>
    <w:rsid w:val="007D0881"/>
    <w:rsid w:val="007D0FC2"/>
    <w:rsid w:val="007D1668"/>
    <w:rsid w:val="007D1762"/>
    <w:rsid w:val="007D1D01"/>
    <w:rsid w:val="007D206D"/>
    <w:rsid w:val="007D245F"/>
    <w:rsid w:val="007D2992"/>
    <w:rsid w:val="007D2DBD"/>
    <w:rsid w:val="007D2F6A"/>
    <w:rsid w:val="007D2FC9"/>
    <w:rsid w:val="007D3156"/>
    <w:rsid w:val="007D3395"/>
    <w:rsid w:val="007D36B9"/>
    <w:rsid w:val="007D37CC"/>
    <w:rsid w:val="007D383E"/>
    <w:rsid w:val="007D3935"/>
    <w:rsid w:val="007D3EFB"/>
    <w:rsid w:val="007D4032"/>
    <w:rsid w:val="007D4373"/>
    <w:rsid w:val="007D479F"/>
    <w:rsid w:val="007D49F1"/>
    <w:rsid w:val="007D54C4"/>
    <w:rsid w:val="007D597B"/>
    <w:rsid w:val="007D5BDF"/>
    <w:rsid w:val="007D5CFB"/>
    <w:rsid w:val="007D5F3F"/>
    <w:rsid w:val="007D606F"/>
    <w:rsid w:val="007D642B"/>
    <w:rsid w:val="007D669C"/>
    <w:rsid w:val="007D66EE"/>
    <w:rsid w:val="007D6DEA"/>
    <w:rsid w:val="007D7083"/>
    <w:rsid w:val="007D7322"/>
    <w:rsid w:val="007D7E91"/>
    <w:rsid w:val="007E0177"/>
    <w:rsid w:val="007E0690"/>
    <w:rsid w:val="007E082D"/>
    <w:rsid w:val="007E0F3D"/>
    <w:rsid w:val="007E1027"/>
    <w:rsid w:val="007E12A7"/>
    <w:rsid w:val="007E1388"/>
    <w:rsid w:val="007E18F6"/>
    <w:rsid w:val="007E1E25"/>
    <w:rsid w:val="007E2194"/>
    <w:rsid w:val="007E2615"/>
    <w:rsid w:val="007E26EF"/>
    <w:rsid w:val="007E2B6C"/>
    <w:rsid w:val="007E2BD5"/>
    <w:rsid w:val="007E320A"/>
    <w:rsid w:val="007E356A"/>
    <w:rsid w:val="007E4154"/>
    <w:rsid w:val="007E47EF"/>
    <w:rsid w:val="007E495C"/>
    <w:rsid w:val="007E4981"/>
    <w:rsid w:val="007E4FBC"/>
    <w:rsid w:val="007E525A"/>
    <w:rsid w:val="007E588A"/>
    <w:rsid w:val="007E5CE2"/>
    <w:rsid w:val="007E5CF8"/>
    <w:rsid w:val="007E62F7"/>
    <w:rsid w:val="007E69FC"/>
    <w:rsid w:val="007E6B98"/>
    <w:rsid w:val="007E74DC"/>
    <w:rsid w:val="007E7563"/>
    <w:rsid w:val="007E7974"/>
    <w:rsid w:val="007E79CE"/>
    <w:rsid w:val="007E7BB1"/>
    <w:rsid w:val="007E7CCD"/>
    <w:rsid w:val="007E7FC8"/>
    <w:rsid w:val="007F00FB"/>
    <w:rsid w:val="007F052C"/>
    <w:rsid w:val="007F0579"/>
    <w:rsid w:val="007F0B1F"/>
    <w:rsid w:val="007F0DD3"/>
    <w:rsid w:val="007F0DDB"/>
    <w:rsid w:val="007F0FF3"/>
    <w:rsid w:val="007F136B"/>
    <w:rsid w:val="007F1641"/>
    <w:rsid w:val="007F178F"/>
    <w:rsid w:val="007F17CC"/>
    <w:rsid w:val="007F181F"/>
    <w:rsid w:val="007F1A56"/>
    <w:rsid w:val="007F3401"/>
    <w:rsid w:val="007F35DA"/>
    <w:rsid w:val="007F4195"/>
    <w:rsid w:val="007F4FBC"/>
    <w:rsid w:val="007F5528"/>
    <w:rsid w:val="007F59A2"/>
    <w:rsid w:val="007F5F81"/>
    <w:rsid w:val="007F5F99"/>
    <w:rsid w:val="007F60DE"/>
    <w:rsid w:val="007F6331"/>
    <w:rsid w:val="007F637C"/>
    <w:rsid w:val="007F65AE"/>
    <w:rsid w:val="007F6814"/>
    <w:rsid w:val="007F69F3"/>
    <w:rsid w:val="007F70DE"/>
    <w:rsid w:val="007F722B"/>
    <w:rsid w:val="0080000B"/>
    <w:rsid w:val="0080160D"/>
    <w:rsid w:val="0080191D"/>
    <w:rsid w:val="00801B4A"/>
    <w:rsid w:val="00801E38"/>
    <w:rsid w:val="00801E5A"/>
    <w:rsid w:val="00802112"/>
    <w:rsid w:val="00802177"/>
    <w:rsid w:val="0080260C"/>
    <w:rsid w:val="008028FB"/>
    <w:rsid w:val="00802903"/>
    <w:rsid w:val="008034AA"/>
    <w:rsid w:val="008037C5"/>
    <w:rsid w:val="008037F6"/>
    <w:rsid w:val="00803CBB"/>
    <w:rsid w:val="00803DA5"/>
    <w:rsid w:val="00804BC5"/>
    <w:rsid w:val="0080543C"/>
    <w:rsid w:val="00805802"/>
    <w:rsid w:val="008059EE"/>
    <w:rsid w:val="008059FC"/>
    <w:rsid w:val="00805EBD"/>
    <w:rsid w:val="00806043"/>
    <w:rsid w:val="008060A5"/>
    <w:rsid w:val="008060D3"/>
    <w:rsid w:val="008066EC"/>
    <w:rsid w:val="008066FB"/>
    <w:rsid w:val="008067F8"/>
    <w:rsid w:val="00806915"/>
    <w:rsid w:val="0080700E"/>
    <w:rsid w:val="00807710"/>
    <w:rsid w:val="0080781A"/>
    <w:rsid w:val="00807A12"/>
    <w:rsid w:val="00807E7B"/>
    <w:rsid w:val="008106C4"/>
    <w:rsid w:val="008108AA"/>
    <w:rsid w:val="008108CB"/>
    <w:rsid w:val="008111D6"/>
    <w:rsid w:val="00811224"/>
    <w:rsid w:val="00811745"/>
    <w:rsid w:val="00811E9A"/>
    <w:rsid w:val="0081227D"/>
    <w:rsid w:val="008123D8"/>
    <w:rsid w:val="00812CC5"/>
    <w:rsid w:val="00812DD2"/>
    <w:rsid w:val="00812EE5"/>
    <w:rsid w:val="008133E9"/>
    <w:rsid w:val="00813B35"/>
    <w:rsid w:val="00814B85"/>
    <w:rsid w:val="00814BDD"/>
    <w:rsid w:val="00814F3A"/>
    <w:rsid w:val="0081679A"/>
    <w:rsid w:val="008173DB"/>
    <w:rsid w:val="008174CF"/>
    <w:rsid w:val="00817A04"/>
    <w:rsid w:val="00817E9E"/>
    <w:rsid w:val="008203FB"/>
    <w:rsid w:val="008204EF"/>
    <w:rsid w:val="00820A20"/>
    <w:rsid w:val="00820C48"/>
    <w:rsid w:val="00820FC4"/>
    <w:rsid w:val="0082158E"/>
    <w:rsid w:val="00821A99"/>
    <w:rsid w:val="00822756"/>
    <w:rsid w:val="00822A21"/>
    <w:rsid w:val="00823299"/>
    <w:rsid w:val="00823873"/>
    <w:rsid w:val="00823A9D"/>
    <w:rsid w:val="00823D80"/>
    <w:rsid w:val="00824809"/>
    <w:rsid w:val="00824C50"/>
    <w:rsid w:val="00824D9D"/>
    <w:rsid w:val="00825088"/>
    <w:rsid w:val="00825525"/>
    <w:rsid w:val="008258F4"/>
    <w:rsid w:val="00825A48"/>
    <w:rsid w:val="00825F02"/>
    <w:rsid w:val="0082638A"/>
    <w:rsid w:val="008264EB"/>
    <w:rsid w:val="0082672C"/>
    <w:rsid w:val="00826972"/>
    <w:rsid w:val="00826C8F"/>
    <w:rsid w:val="00826F1D"/>
    <w:rsid w:val="0082700D"/>
    <w:rsid w:val="00827069"/>
    <w:rsid w:val="008273D2"/>
    <w:rsid w:val="0082780B"/>
    <w:rsid w:val="0082788A"/>
    <w:rsid w:val="008279BC"/>
    <w:rsid w:val="00827F65"/>
    <w:rsid w:val="00830150"/>
    <w:rsid w:val="00830302"/>
    <w:rsid w:val="008305F8"/>
    <w:rsid w:val="00830811"/>
    <w:rsid w:val="008309AF"/>
    <w:rsid w:val="00830C05"/>
    <w:rsid w:val="008310F6"/>
    <w:rsid w:val="008311AA"/>
    <w:rsid w:val="00831390"/>
    <w:rsid w:val="00831F1D"/>
    <w:rsid w:val="00832045"/>
    <w:rsid w:val="008327BF"/>
    <w:rsid w:val="008328CB"/>
    <w:rsid w:val="00832C0E"/>
    <w:rsid w:val="00832C53"/>
    <w:rsid w:val="00832C96"/>
    <w:rsid w:val="00832E26"/>
    <w:rsid w:val="00833B19"/>
    <w:rsid w:val="00833C60"/>
    <w:rsid w:val="00833CE1"/>
    <w:rsid w:val="008342B2"/>
    <w:rsid w:val="00834300"/>
    <w:rsid w:val="00834CE6"/>
    <w:rsid w:val="00835456"/>
    <w:rsid w:val="00835593"/>
    <w:rsid w:val="00835D9F"/>
    <w:rsid w:val="00835F78"/>
    <w:rsid w:val="008365B8"/>
    <w:rsid w:val="00836B2A"/>
    <w:rsid w:val="00837815"/>
    <w:rsid w:val="00837D41"/>
    <w:rsid w:val="0084005E"/>
    <w:rsid w:val="0084016C"/>
    <w:rsid w:val="0084061A"/>
    <w:rsid w:val="0084080F"/>
    <w:rsid w:val="00840B1E"/>
    <w:rsid w:val="00840BC2"/>
    <w:rsid w:val="00840C6F"/>
    <w:rsid w:val="00840F8C"/>
    <w:rsid w:val="008410EF"/>
    <w:rsid w:val="00841140"/>
    <w:rsid w:val="0084176A"/>
    <w:rsid w:val="00841D33"/>
    <w:rsid w:val="008422E6"/>
    <w:rsid w:val="008429F5"/>
    <w:rsid w:val="00842F13"/>
    <w:rsid w:val="008435C9"/>
    <w:rsid w:val="008435F7"/>
    <w:rsid w:val="0084368A"/>
    <w:rsid w:val="00843A5D"/>
    <w:rsid w:val="00844D66"/>
    <w:rsid w:val="008452AC"/>
    <w:rsid w:val="00845792"/>
    <w:rsid w:val="008459AA"/>
    <w:rsid w:val="00845ADD"/>
    <w:rsid w:val="008460E3"/>
    <w:rsid w:val="008462C3"/>
    <w:rsid w:val="0084663A"/>
    <w:rsid w:val="008466BE"/>
    <w:rsid w:val="00846D72"/>
    <w:rsid w:val="00846D87"/>
    <w:rsid w:val="00846DBF"/>
    <w:rsid w:val="00847488"/>
    <w:rsid w:val="00847675"/>
    <w:rsid w:val="00847721"/>
    <w:rsid w:val="0084793A"/>
    <w:rsid w:val="00847B72"/>
    <w:rsid w:val="00850040"/>
    <w:rsid w:val="0085030A"/>
    <w:rsid w:val="008506C3"/>
    <w:rsid w:val="00850ACD"/>
    <w:rsid w:val="00850E21"/>
    <w:rsid w:val="00851353"/>
    <w:rsid w:val="00851538"/>
    <w:rsid w:val="008516C0"/>
    <w:rsid w:val="008518EC"/>
    <w:rsid w:val="0085231C"/>
    <w:rsid w:val="008523FA"/>
    <w:rsid w:val="00852760"/>
    <w:rsid w:val="00852925"/>
    <w:rsid w:val="0085299F"/>
    <w:rsid w:val="00852EC6"/>
    <w:rsid w:val="008537B4"/>
    <w:rsid w:val="00853D82"/>
    <w:rsid w:val="008547AD"/>
    <w:rsid w:val="00854A50"/>
    <w:rsid w:val="00854C93"/>
    <w:rsid w:val="00854D06"/>
    <w:rsid w:val="00854D24"/>
    <w:rsid w:val="008554CE"/>
    <w:rsid w:val="0085559A"/>
    <w:rsid w:val="00855E30"/>
    <w:rsid w:val="00855E41"/>
    <w:rsid w:val="00855EAE"/>
    <w:rsid w:val="008566CA"/>
    <w:rsid w:val="008568E7"/>
    <w:rsid w:val="00856BF7"/>
    <w:rsid w:val="00856C97"/>
    <w:rsid w:val="008572E4"/>
    <w:rsid w:val="008576F1"/>
    <w:rsid w:val="008576F7"/>
    <w:rsid w:val="00857893"/>
    <w:rsid w:val="00857A32"/>
    <w:rsid w:val="00857BDF"/>
    <w:rsid w:val="0086028B"/>
    <w:rsid w:val="008606E8"/>
    <w:rsid w:val="00860DE7"/>
    <w:rsid w:val="00861063"/>
    <w:rsid w:val="0086173B"/>
    <w:rsid w:val="00861DAE"/>
    <w:rsid w:val="008620F9"/>
    <w:rsid w:val="00862948"/>
    <w:rsid w:val="00863EB5"/>
    <w:rsid w:val="00864C74"/>
    <w:rsid w:val="0086527A"/>
    <w:rsid w:val="008653C3"/>
    <w:rsid w:val="00865620"/>
    <w:rsid w:val="00865C60"/>
    <w:rsid w:val="00866393"/>
    <w:rsid w:val="00866B24"/>
    <w:rsid w:val="008673DD"/>
    <w:rsid w:val="008674F3"/>
    <w:rsid w:val="00870946"/>
    <w:rsid w:val="00870A5E"/>
    <w:rsid w:val="00870D42"/>
    <w:rsid w:val="00871067"/>
    <w:rsid w:val="00871484"/>
    <w:rsid w:val="00871A49"/>
    <w:rsid w:val="00872175"/>
    <w:rsid w:val="0087232E"/>
    <w:rsid w:val="00873021"/>
    <w:rsid w:val="00873AC1"/>
    <w:rsid w:val="00873E30"/>
    <w:rsid w:val="00874222"/>
    <w:rsid w:val="008745D9"/>
    <w:rsid w:val="00874B79"/>
    <w:rsid w:val="00874E01"/>
    <w:rsid w:val="00874E23"/>
    <w:rsid w:val="008753DF"/>
    <w:rsid w:val="0087559E"/>
    <w:rsid w:val="0087574C"/>
    <w:rsid w:val="00875BB8"/>
    <w:rsid w:val="0087614A"/>
    <w:rsid w:val="0087617E"/>
    <w:rsid w:val="008766E0"/>
    <w:rsid w:val="00876D06"/>
    <w:rsid w:val="00876D42"/>
    <w:rsid w:val="0087724D"/>
    <w:rsid w:val="00877501"/>
    <w:rsid w:val="00877567"/>
    <w:rsid w:val="008775F2"/>
    <w:rsid w:val="00877766"/>
    <w:rsid w:val="00880178"/>
    <w:rsid w:val="0088028C"/>
    <w:rsid w:val="0088028F"/>
    <w:rsid w:val="008803C3"/>
    <w:rsid w:val="00880466"/>
    <w:rsid w:val="00880541"/>
    <w:rsid w:val="00880CE1"/>
    <w:rsid w:val="008810D4"/>
    <w:rsid w:val="00881249"/>
    <w:rsid w:val="00881532"/>
    <w:rsid w:val="008816C3"/>
    <w:rsid w:val="008818B5"/>
    <w:rsid w:val="00881B7D"/>
    <w:rsid w:val="00882511"/>
    <w:rsid w:val="00882515"/>
    <w:rsid w:val="008826F0"/>
    <w:rsid w:val="00882DC7"/>
    <w:rsid w:val="00882EA7"/>
    <w:rsid w:val="0088373C"/>
    <w:rsid w:val="008841DD"/>
    <w:rsid w:val="0088479A"/>
    <w:rsid w:val="008849DD"/>
    <w:rsid w:val="008849FD"/>
    <w:rsid w:val="00884AA8"/>
    <w:rsid w:val="00884E4F"/>
    <w:rsid w:val="00885022"/>
    <w:rsid w:val="008850E4"/>
    <w:rsid w:val="00885208"/>
    <w:rsid w:val="0088550A"/>
    <w:rsid w:val="00885579"/>
    <w:rsid w:val="008855E4"/>
    <w:rsid w:val="00885AEE"/>
    <w:rsid w:val="00885DB4"/>
    <w:rsid w:val="00885E8E"/>
    <w:rsid w:val="00885FA1"/>
    <w:rsid w:val="008868B1"/>
    <w:rsid w:val="00887EFC"/>
    <w:rsid w:val="00890092"/>
    <w:rsid w:val="00890152"/>
    <w:rsid w:val="00890445"/>
    <w:rsid w:val="00890497"/>
    <w:rsid w:val="0089086A"/>
    <w:rsid w:val="00890920"/>
    <w:rsid w:val="00890C8B"/>
    <w:rsid w:val="0089119B"/>
    <w:rsid w:val="008912C3"/>
    <w:rsid w:val="0089135A"/>
    <w:rsid w:val="008915E8"/>
    <w:rsid w:val="00891863"/>
    <w:rsid w:val="008918E3"/>
    <w:rsid w:val="00891B8D"/>
    <w:rsid w:val="00891DF4"/>
    <w:rsid w:val="00892851"/>
    <w:rsid w:val="00892950"/>
    <w:rsid w:val="0089302C"/>
    <w:rsid w:val="0089315C"/>
    <w:rsid w:val="00893242"/>
    <w:rsid w:val="0089331C"/>
    <w:rsid w:val="008935AD"/>
    <w:rsid w:val="00893D9A"/>
    <w:rsid w:val="008940A6"/>
    <w:rsid w:val="0089413B"/>
    <w:rsid w:val="008943F3"/>
    <w:rsid w:val="00894497"/>
    <w:rsid w:val="008949F1"/>
    <w:rsid w:val="00894B77"/>
    <w:rsid w:val="00894C15"/>
    <w:rsid w:val="00894EDF"/>
    <w:rsid w:val="00894EF8"/>
    <w:rsid w:val="0089579D"/>
    <w:rsid w:val="00895867"/>
    <w:rsid w:val="008958D6"/>
    <w:rsid w:val="008962AD"/>
    <w:rsid w:val="008965DA"/>
    <w:rsid w:val="00896BCD"/>
    <w:rsid w:val="00896D58"/>
    <w:rsid w:val="00896E38"/>
    <w:rsid w:val="00897111"/>
    <w:rsid w:val="00897E6A"/>
    <w:rsid w:val="00897EBD"/>
    <w:rsid w:val="00897F0B"/>
    <w:rsid w:val="00897F3D"/>
    <w:rsid w:val="008A00F0"/>
    <w:rsid w:val="008A05B8"/>
    <w:rsid w:val="008A06C4"/>
    <w:rsid w:val="008A06D6"/>
    <w:rsid w:val="008A0BC2"/>
    <w:rsid w:val="008A0C5B"/>
    <w:rsid w:val="008A0D34"/>
    <w:rsid w:val="008A0D36"/>
    <w:rsid w:val="008A15D2"/>
    <w:rsid w:val="008A1730"/>
    <w:rsid w:val="008A1BEF"/>
    <w:rsid w:val="008A2C6F"/>
    <w:rsid w:val="008A31B1"/>
    <w:rsid w:val="008A34CC"/>
    <w:rsid w:val="008A34DC"/>
    <w:rsid w:val="008A35AF"/>
    <w:rsid w:val="008A375C"/>
    <w:rsid w:val="008A3D6E"/>
    <w:rsid w:val="008A3E3C"/>
    <w:rsid w:val="008A40C6"/>
    <w:rsid w:val="008A44F4"/>
    <w:rsid w:val="008A44FF"/>
    <w:rsid w:val="008A4EE4"/>
    <w:rsid w:val="008A5318"/>
    <w:rsid w:val="008A5745"/>
    <w:rsid w:val="008A5B18"/>
    <w:rsid w:val="008A6A3A"/>
    <w:rsid w:val="008A6D63"/>
    <w:rsid w:val="008A6F0F"/>
    <w:rsid w:val="008A6FE6"/>
    <w:rsid w:val="008A76DF"/>
    <w:rsid w:val="008A78E9"/>
    <w:rsid w:val="008A792E"/>
    <w:rsid w:val="008A7D3D"/>
    <w:rsid w:val="008A7DD2"/>
    <w:rsid w:val="008A7F46"/>
    <w:rsid w:val="008B02B4"/>
    <w:rsid w:val="008B03AF"/>
    <w:rsid w:val="008B04CF"/>
    <w:rsid w:val="008B0D8A"/>
    <w:rsid w:val="008B1083"/>
    <w:rsid w:val="008B1293"/>
    <w:rsid w:val="008B153E"/>
    <w:rsid w:val="008B1627"/>
    <w:rsid w:val="008B1A29"/>
    <w:rsid w:val="008B1FB3"/>
    <w:rsid w:val="008B227E"/>
    <w:rsid w:val="008B22EC"/>
    <w:rsid w:val="008B2568"/>
    <w:rsid w:val="008B29D9"/>
    <w:rsid w:val="008B2A88"/>
    <w:rsid w:val="008B3423"/>
    <w:rsid w:val="008B3640"/>
    <w:rsid w:val="008B3A66"/>
    <w:rsid w:val="008B3C57"/>
    <w:rsid w:val="008B3E30"/>
    <w:rsid w:val="008B415D"/>
    <w:rsid w:val="008B425C"/>
    <w:rsid w:val="008B4403"/>
    <w:rsid w:val="008B4479"/>
    <w:rsid w:val="008B465F"/>
    <w:rsid w:val="008B4C7C"/>
    <w:rsid w:val="008B536D"/>
    <w:rsid w:val="008B5A18"/>
    <w:rsid w:val="008B6081"/>
    <w:rsid w:val="008B66E2"/>
    <w:rsid w:val="008B688D"/>
    <w:rsid w:val="008B6C66"/>
    <w:rsid w:val="008B6D05"/>
    <w:rsid w:val="008B6F35"/>
    <w:rsid w:val="008B77B8"/>
    <w:rsid w:val="008B797D"/>
    <w:rsid w:val="008B7D64"/>
    <w:rsid w:val="008B7ECE"/>
    <w:rsid w:val="008B7F44"/>
    <w:rsid w:val="008C0BCB"/>
    <w:rsid w:val="008C0CBB"/>
    <w:rsid w:val="008C0D51"/>
    <w:rsid w:val="008C10FD"/>
    <w:rsid w:val="008C14EA"/>
    <w:rsid w:val="008C19D9"/>
    <w:rsid w:val="008C1C68"/>
    <w:rsid w:val="008C2008"/>
    <w:rsid w:val="008C21AA"/>
    <w:rsid w:val="008C2257"/>
    <w:rsid w:val="008C2413"/>
    <w:rsid w:val="008C2530"/>
    <w:rsid w:val="008C298B"/>
    <w:rsid w:val="008C2C3A"/>
    <w:rsid w:val="008C2EE3"/>
    <w:rsid w:val="008C2F80"/>
    <w:rsid w:val="008C3049"/>
    <w:rsid w:val="008C33DE"/>
    <w:rsid w:val="008C3702"/>
    <w:rsid w:val="008C374A"/>
    <w:rsid w:val="008C3C61"/>
    <w:rsid w:val="008C4277"/>
    <w:rsid w:val="008C4496"/>
    <w:rsid w:val="008C455F"/>
    <w:rsid w:val="008C4AFD"/>
    <w:rsid w:val="008C5A09"/>
    <w:rsid w:val="008C6042"/>
    <w:rsid w:val="008C6210"/>
    <w:rsid w:val="008C62DB"/>
    <w:rsid w:val="008C7145"/>
    <w:rsid w:val="008C7346"/>
    <w:rsid w:val="008C7A6C"/>
    <w:rsid w:val="008D0086"/>
    <w:rsid w:val="008D0236"/>
    <w:rsid w:val="008D08C0"/>
    <w:rsid w:val="008D0B7C"/>
    <w:rsid w:val="008D136A"/>
    <w:rsid w:val="008D158C"/>
    <w:rsid w:val="008D19CC"/>
    <w:rsid w:val="008D217D"/>
    <w:rsid w:val="008D223F"/>
    <w:rsid w:val="008D2255"/>
    <w:rsid w:val="008D27AB"/>
    <w:rsid w:val="008D3321"/>
    <w:rsid w:val="008D35CA"/>
    <w:rsid w:val="008D3EB6"/>
    <w:rsid w:val="008D4911"/>
    <w:rsid w:val="008D4F64"/>
    <w:rsid w:val="008D5138"/>
    <w:rsid w:val="008D60DA"/>
    <w:rsid w:val="008D62E8"/>
    <w:rsid w:val="008D63D3"/>
    <w:rsid w:val="008D6742"/>
    <w:rsid w:val="008D68E6"/>
    <w:rsid w:val="008D6D51"/>
    <w:rsid w:val="008D6EB1"/>
    <w:rsid w:val="008D7DC2"/>
    <w:rsid w:val="008D7E2F"/>
    <w:rsid w:val="008D7E9A"/>
    <w:rsid w:val="008E03B1"/>
    <w:rsid w:val="008E0495"/>
    <w:rsid w:val="008E0542"/>
    <w:rsid w:val="008E0B0C"/>
    <w:rsid w:val="008E0D45"/>
    <w:rsid w:val="008E0DBE"/>
    <w:rsid w:val="008E135B"/>
    <w:rsid w:val="008E182B"/>
    <w:rsid w:val="008E24E6"/>
    <w:rsid w:val="008E26B2"/>
    <w:rsid w:val="008E2AFF"/>
    <w:rsid w:val="008E2BA5"/>
    <w:rsid w:val="008E3373"/>
    <w:rsid w:val="008E344A"/>
    <w:rsid w:val="008E3992"/>
    <w:rsid w:val="008E3AF5"/>
    <w:rsid w:val="008E3F43"/>
    <w:rsid w:val="008E4227"/>
    <w:rsid w:val="008E577B"/>
    <w:rsid w:val="008E5BB3"/>
    <w:rsid w:val="008E5CD4"/>
    <w:rsid w:val="008E60AF"/>
    <w:rsid w:val="008E61D1"/>
    <w:rsid w:val="008E6251"/>
    <w:rsid w:val="008E6265"/>
    <w:rsid w:val="008E6267"/>
    <w:rsid w:val="008E6CCB"/>
    <w:rsid w:val="008E6CD7"/>
    <w:rsid w:val="008E7030"/>
    <w:rsid w:val="008E71C7"/>
    <w:rsid w:val="008E7229"/>
    <w:rsid w:val="008E72DD"/>
    <w:rsid w:val="008E7355"/>
    <w:rsid w:val="008E74E3"/>
    <w:rsid w:val="008E797A"/>
    <w:rsid w:val="008E7B76"/>
    <w:rsid w:val="008E7E2D"/>
    <w:rsid w:val="008E7F61"/>
    <w:rsid w:val="008F0530"/>
    <w:rsid w:val="008F06AF"/>
    <w:rsid w:val="008F0798"/>
    <w:rsid w:val="008F0B94"/>
    <w:rsid w:val="008F0C06"/>
    <w:rsid w:val="008F0F75"/>
    <w:rsid w:val="008F127B"/>
    <w:rsid w:val="008F12F0"/>
    <w:rsid w:val="008F1D0B"/>
    <w:rsid w:val="008F2067"/>
    <w:rsid w:val="008F25EA"/>
    <w:rsid w:val="008F28B6"/>
    <w:rsid w:val="008F2B47"/>
    <w:rsid w:val="008F2EA0"/>
    <w:rsid w:val="008F30CB"/>
    <w:rsid w:val="008F3293"/>
    <w:rsid w:val="008F34F6"/>
    <w:rsid w:val="008F3856"/>
    <w:rsid w:val="008F38FF"/>
    <w:rsid w:val="008F3913"/>
    <w:rsid w:val="008F396C"/>
    <w:rsid w:val="008F3DCB"/>
    <w:rsid w:val="008F3EBA"/>
    <w:rsid w:val="008F4346"/>
    <w:rsid w:val="008F4ADC"/>
    <w:rsid w:val="008F50C8"/>
    <w:rsid w:val="008F5184"/>
    <w:rsid w:val="008F549A"/>
    <w:rsid w:val="008F54ED"/>
    <w:rsid w:val="008F5BCA"/>
    <w:rsid w:val="008F6371"/>
    <w:rsid w:val="008F6552"/>
    <w:rsid w:val="008F6ACD"/>
    <w:rsid w:val="008F6C85"/>
    <w:rsid w:val="008F6FD0"/>
    <w:rsid w:val="008F7259"/>
    <w:rsid w:val="008F7722"/>
    <w:rsid w:val="008F786A"/>
    <w:rsid w:val="008F79F1"/>
    <w:rsid w:val="008F79F3"/>
    <w:rsid w:val="008F7A8C"/>
    <w:rsid w:val="008F7B09"/>
    <w:rsid w:val="008F7C32"/>
    <w:rsid w:val="008F7F39"/>
    <w:rsid w:val="009009D6"/>
    <w:rsid w:val="00900B41"/>
    <w:rsid w:val="00900D35"/>
    <w:rsid w:val="00901615"/>
    <w:rsid w:val="00901B22"/>
    <w:rsid w:val="00902477"/>
    <w:rsid w:val="0090299D"/>
    <w:rsid w:val="00903158"/>
    <w:rsid w:val="0090333C"/>
    <w:rsid w:val="009034D1"/>
    <w:rsid w:val="009035E7"/>
    <w:rsid w:val="009038F8"/>
    <w:rsid w:val="00904F03"/>
    <w:rsid w:val="009051BC"/>
    <w:rsid w:val="009057B1"/>
    <w:rsid w:val="00905988"/>
    <w:rsid w:val="00905ECE"/>
    <w:rsid w:val="00905EE9"/>
    <w:rsid w:val="00906DD4"/>
    <w:rsid w:val="00907139"/>
    <w:rsid w:val="00907973"/>
    <w:rsid w:val="00907A6B"/>
    <w:rsid w:val="00907F6A"/>
    <w:rsid w:val="009105CD"/>
    <w:rsid w:val="00910B00"/>
    <w:rsid w:val="00910E7D"/>
    <w:rsid w:val="0091123A"/>
    <w:rsid w:val="0091247D"/>
    <w:rsid w:val="009124BC"/>
    <w:rsid w:val="009134EC"/>
    <w:rsid w:val="00913704"/>
    <w:rsid w:val="009138E7"/>
    <w:rsid w:val="00913ABD"/>
    <w:rsid w:val="00913B3A"/>
    <w:rsid w:val="00913D7D"/>
    <w:rsid w:val="0091448C"/>
    <w:rsid w:val="00914BA3"/>
    <w:rsid w:val="00914F9D"/>
    <w:rsid w:val="00915064"/>
    <w:rsid w:val="009155BF"/>
    <w:rsid w:val="0091595F"/>
    <w:rsid w:val="00915D28"/>
    <w:rsid w:val="00915FC6"/>
    <w:rsid w:val="009161FF"/>
    <w:rsid w:val="009164DA"/>
    <w:rsid w:val="00916863"/>
    <w:rsid w:val="00916A51"/>
    <w:rsid w:val="00916D6A"/>
    <w:rsid w:val="00916FCF"/>
    <w:rsid w:val="009172F7"/>
    <w:rsid w:val="009177E6"/>
    <w:rsid w:val="009179B1"/>
    <w:rsid w:val="00917A4C"/>
    <w:rsid w:val="0092009E"/>
    <w:rsid w:val="009203F6"/>
    <w:rsid w:val="009205CE"/>
    <w:rsid w:val="00920814"/>
    <w:rsid w:val="00920A2C"/>
    <w:rsid w:val="00921189"/>
    <w:rsid w:val="00921343"/>
    <w:rsid w:val="0092143E"/>
    <w:rsid w:val="0092243E"/>
    <w:rsid w:val="00922481"/>
    <w:rsid w:val="00922C2C"/>
    <w:rsid w:val="00923829"/>
    <w:rsid w:val="0092383E"/>
    <w:rsid w:val="009238AF"/>
    <w:rsid w:val="009240D1"/>
    <w:rsid w:val="00924AC5"/>
    <w:rsid w:val="00925097"/>
    <w:rsid w:val="0092542D"/>
    <w:rsid w:val="009255F9"/>
    <w:rsid w:val="00925674"/>
    <w:rsid w:val="009257E1"/>
    <w:rsid w:val="00925928"/>
    <w:rsid w:val="00925C84"/>
    <w:rsid w:val="00926688"/>
    <w:rsid w:val="009269B5"/>
    <w:rsid w:val="00926B3C"/>
    <w:rsid w:val="00926C58"/>
    <w:rsid w:val="00926C59"/>
    <w:rsid w:val="00927606"/>
    <w:rsid w:val="00927C34"/>
    <w:rsid w:val="009300AE"/>
    <w:rsid w:val="009300FF"/>
    <w:rsid w:val="00930221"/>
    <w:rsid w:val="00931038"/>
    <w:rsid w:val="009313EC"/>
    <w:rsid w:val="00931BC4"/>
    <w:rsid w:val="00932687"/>
    <w:rsid w:val="0093296D"/>
    <w:rsid w:val="00933B1A"/>
    <w:rsid w:val="00934174"/>
    <w:rsid w:val="009347C5"/>
    <w:rsid w:val="00934EAD"/>
    <w:rsid w:val="0093567E"/>
    <w:rsid w:val="00935D47"/>
    <w:rsid w:val="00936307"/>
    <w:rsid w:val="00936B5D"/>
    <w:rsid w:val="00936FA4"/>
    <w:rsid w:val="0093753A"/>
    <w:rsid w:val="0093778C"/>
    <w:rsid w:val="00937D50"/>
    <w:rsid w:val="00937F99"/>
    <w:rsid w:val="009402B7"/>
    <w:rsid w:val="0094032F"/>
    <w:rsid w:val="00940555"/>
    <w:rsid w:val="00940952"/>
    <w:rsid w:val="00940ABC"/>
    <w:rsid w:val="00940D42"/>
    <w:rsid w:val="00940E95"/>
    <w:rsid w:val="00940EF6"/>
    <w:rsid w:val="00940FB1"/>
    <w:rsid w:val="009413D0"/>
    <w:rsid w:val="00941426"/>
    <w:rsid w:val="0094143A"/>
    <w:rsid w:val="00941590"/>
    <w:rsid w:val="009416BA"/>
    <w:rsid w:val="00942063"/>
    <w:rsid w:val="00942A79"/>
    <w:rsid w:val="00943A26"/>
    <w:rsid w:val="00943C8C"/>
    <w:rsid w:val="00943CB8"/>
    <w:rsid w:val="00943E4A"/>
    <w:rsid w:val="00943E9E"/>
    <w:rsid w:val="00944A93"/>
    <w:rsid w:val="00944A96"/>
    <w:rsid w:val="00946236"/>
    <w:rsid w:val="0094689D"/>
    <w:rsid w:val="00946934"/>
    <w:rsid w:val="009469F4"/>
    <w:rsid w:val="00946CBE"/>
    <w:rsid w:val="00946D63"/>
    <w:rsid w:val="00946DF8"/>
    <w:rsid w:val="00947185"/>
    <w:rsid w:val="00947A5B"/>
    <w:rsid w:val="00947B16"/>
    <w:rsid w:val="00947C53"/>
    <w:rsid w:val="009506CB"/>
    <w:rsid w:val="00950D36"/>
    <w:rsid w:val="0095168C"/>
    <w:rsid w:val="00951AB9"/>
    <w:rsid w:val="00951C8B"/>
    <w:rsid w:val="00951E33"/>
    <w:rsid w:val="00951E5A"/>
    <w:rsid w:val="0095278D"/>
    <w:rsid w:val="00953581"/>
    <w:rsid w:val="00953815"/>
    <w:rsid w:val="00953CD8"/>
    <w:rsid w:val="00953D68"/>
    <w:rsid w:val="009540BE"/>
    <w:rsid w:val="00954321"/>
    <w:rsid w:val="0095439D"/>
    <w:rsid w:val="0095472F"/>
    <w:rsid w:val="0095529E"/>
    <w:rsid w:val="0095559B"/>
    <w:rsid w:val="009555D2"/>
    <w:rsid w:val="00955688"/>
    <w:rsid w:val="00955E9C"/>
    <w:rsid w:val="0095608F"/>
    <w:rsid w:val="00956517"/>
    <w:rsid w:val="009574FF"/>
    <w:rsid w:val="00957F67"/>
    <w:rsid w:val="00960863"/>
    <w:rsid w:val="00960B35"/>
    <w:rsid w:val="00960BFE"/>
    <w:rsid w:val="00961902"/>
    <w:rsid w:val="00961C5E"/>
    <w:rsid w:val="00961CB1"/>
    <w:rsid w:val="00961D0F"/>
    <w:rsid w:val="009620AE"/>
    <w:rsid w:val="00962111"/>
    <w:rsid w:val="00962132"/>
    <w:rsid w:val="00962257"/>
    <w:rsid w:val="00962544"/>
    <w:rsid w:val="00962A3E"/>
    <w:rsid w:val="00962D55"/>
    <w:rsid w:val="00963467"/>
    <w:rsid w:val="0096360D"/>
    <w:rsid w:val="009636EF"/>
    <w:rsid w:val="00963F67"/>
    <w:rsid w:val="009641E6"/>
    <w:rsid w:val="0096427B"/>
    <w:rsid w:val="0096449F"/>
    <w:rsid w:val="0096470E"/>
    <w:rsid w:val="0096472F"/>
    <w:rsid w:val="0096488C"/>
    <w:rsid w:val="0096491C"/>
    <w:rsid w:val="0096496A"/>
    <w:rsid w:val="0096579B"/>
    <w:rsid w:val="00965A78"/>
    <w:rsid w:val="00965BD1"/>
    <w:rsid w:val="00965C27"/>
    <w:rsid w:val="009661E7"/>
    <w:rsid w:val="009667DE"/>
    <w:rsid w:val="00966933"/>
    <w:rsid w:val="00966951"/>
    <w:rsid w:val="00967044"/>
    <w:rsid w:val="009674C6"/>
    <w:rsid w:val="00967A01"/>
    <w:rsid w:val="00970213"/>
    <w:rsid w:val="009704B5"/>
    <w:rsid w:val="0097063A"/>
    <w:rsid w:val="009707AF"/>
    <w:rsid w:val="009708A2"/>
    <w:rsid w:val="00970A0C"/>
    <w:rsid w:val="0097121F"/>
    <w:rsid w:val="0097158C"/>
    <w:rsid w:val="00971680"/>
    <w:rsid w:val="009719AB"/>
    <w:rsid w:val="00971B61"/>
    <w:rsid w:val="0097210B"/>
    <w:rsid w:val="009721B6"/>
    <w:rsid w:val="0097248F"/>
    <w:rsid w:val="009724E3"/>
    <w:rsid w:val="00973161"/>
    <w:rsid w:val="009737C5"/>
    <w:rsid w:val="009738E5"/>
    <w:rsid w:val="00973F34"/>
    <w:rsid w:val="00974038"/>
    <w:rsid w:val="00974127"/>
    <w:rsid w:val="00974675"/>
    <w:rsid w:val="009747C7"/>
    <w:rsid w:val="00974863"/>
    <w:rsid w:val="00975108"/>
    <w:rsid w:val="00975A7A"/>
    <w:rsid w:val="00975DE0"/>
    <w:rsid w:val="00976066"/>
    <w:rsid w:val="009764E6"/>
    <w:rsid w:val="00976529"/>
    <w:rsid w:val="00976DD5"/>
    <w:rsid w:val="00977136"/>
    <w:rsid w:val="009778EA"/>
    <w:rsid w:val="00977906"/>
    <w:rsid w:val="00977BF9"/>
    <w:rsid w:val="00977C6C"/>
    <w:rsid w:val="00977EF3"/>
    <w:rsid w:val="00980E80"/>
    <w:rsid w:val="00980FA7"/>
    <w:rsid w:val="00981051"/>
    <w:rsid w:val="0098182F"/>
    <w:rsid w:val="00981A3E"/>
    <w:rsid w:val="00982290"/>
    <w:rsid w:val="009823D7"/>
    <w:rsid w:val="009824CE"/>
    <w:rsid w:val="009825A1"/>
    <w:rsid w:val="009834B1"/>
    <w:rsid w:val="009837DB"/>
    <w:rsid w:val="00983A87"/>
    <w:rsid w:val="00983BB2"/>
    <w:rsid w:val="00983ED8"/>
    <w:rsid w:val="00984488"/>
    <w:rsid w:val="00984BD0"/>
    <w:rsid w:val="00984F36"/>
    <w:rsid w:val="009851DF"/>
    <w:rsid w:val="0098573E"/>
    <w:rsid w:val="009859CF"/>
    <w:rsid w:val="00985B8E"/>
    <w:rsid w:val="00985BE6"/>
    <w:rsid w:val="00986067"/>
    <w:rsid w:val="009864CC"/>
    <w:rsid w:val="009868FE"/>
    <w:rsid w:val="00986C5C"/>
    <w:rsid w:val="00987088"/>
    <w:rsid w:val="00987E5E"/>
    <w:rsid w:val="009904A3"/>
    <w:rsid w:val="0099085F"/>
    <w:rsid w:val="00990C93"/>
    <w:rsid w:val="00991750"/>
    <w:rsid w:val="00992E2B"/>
    <w:rsid w:val="00993063"/>
    <w:rsid w:val="009930D8"/>
    <w:rsid w:val="009933FD"/>
    <w:rsid w:val="009939E4"/>
    <w:rsid w:val="00993D5A"/>
    <w:rsid w:val="00993DDE"/>
    <w:rsid w:val="0099407C"/>
    <w:rsid w:val="009942AE"/>
    <w:rsid w:val="00994542"/>
    <w:rsid w:val="0099456B"/>
    <w:rsid w:val="00994589"/>
    <w:rsid w:val="0099510C"/>
    <w:rsid w:val="0099553D"/>
    <w:rsid w:val="00995839"/>
    <w:rsid w:val="00995C64"/>
    <w:rsid w:val="00995F81"/>
    <w:rsid w:val="00996176"/>
    <w:rsid w:val="00996257"/>
    <w:rsid w:val="00996694"/>
    <w:rsid w:val="00996980"/>
    <w:rsid w:val="00996A72"/>
    <w:rsid w:val="00996E28"/>
    <w:rsid w:val="0099742A"/>
    <w:rsid w:val="009974FC"/>
    <w:rsid w:val="009A07C4"/>
    <w:rsid w:val="009A08AF"/>
    <w:rsid w:val="009A0DC4"/>
    <w:rsid w:val="009A1898"/>
    <w:rsid w:val="009A1BCE"/>
    <w:rsid w:val="009A211B"/>
    <w:rsid w:val="009A2569"/>
    <w:rsid w:val="009A262E"/>
    <w:rsid w:val="009A2EDF"/>
    <w:rsid w:val="009A3628"/>
    <w:rsid w:val="009A3684"/>
    <w:rsid w:val="009A3E35"/>
    <w:rsid w:val="009A3EAA"/>
    <w:rsid w:val="009A3FAC"/>
    <w:rsid w:val="009A44BC"/>
    <w:rsid w:val="009A49E6"/>
    <w:rsid w:val="009A4C60"/>
    <w:rsid w:val="009A508E"/>
    <w:rsid w:val="009A53D1"/>
    <w:rsid w:val="009A54A7"/>
    <w:rsid w:val="009A569F"/>
    <w:rsid w:val="009A5A94"/>
    <w:rsid w:val="009A5ACE"/>
    <w:rsid w:val="009A5E50"/>
    <w:rsid w:val="009A622D"/>
    <w:rsid w:val="009A6B4B"/>
    <w:rsid w:val="009A6DC2"/>
    <w:rsid w:val="009A6DEA"/>
    <w:rsid w:val="009A7D02"/>
    <w:rsid w:val="009A7EA8"/>
    <w:rsid w:val="009B04B4"/>
    <w:rsid w:val="009B0900"/>
    <w:rsid w:val="009B0EBB"/>
    <w:rsid w:val="009B0FE6"/>
    <w:rsid w:val="009B10B6"/>
    <w:rsid w:val="009B156A"/>
    <w:rsid w:val="009B18FE"/>
    <w:rsid w:val="009B193E"/>
    <w:rsid w:val="009B2C53"/>
    <w:rsid w:val="009B2E0B"/>
    <w:rsid w:val="009B3221"/>
    <w:rsid w:val="009B346F"/>
    <w:rsid w:val="009B34F1"/>
    <w:rsid w:val="009B3678"/>
    <w:rsid w:val="009B39A2"/>
    <w:rsid w:val="009B3C70"/>
    <w:rsid w:val="009B4240"/>
    <w:rsid w:val="009B43A8"/>
    <w:rsid w:val="009B490C"/>
    <w:rsid w:val="009B4B63"/>
    <w:rsid w:val="009B5010"/>
    <w:rsid w:val="009B54FC"/>
    <w:rsid w:val="009B5671"/>
    <w:rsid w:val="009B585D"/>
    <w:rsid w:val="009B5963"/>
    <w:rsid w:val="009B5B61"/>
    <w:rsid w:val="009B5C97"/>
    <w:rsid w:val="009B63F5"/>
    <w:rsid w:val="009B68F2"/>
    <w:rsid w:val="009B69D1"/>
    <w:rsid w:val="009B6CBC"/>
    <w:rsid w:val="009B71EA"/>
    <w:rsid w:val="009B72B7"/>
    <w:rsid w:val="009B738D"/>
    <w:rsid w:val="009B73FD"/>
    <w:rsid w:val="009B7443"/>
    <w:rsid w:val="009B7570"/>
    <w:rsid w:val="009B75CF"/>
    <w:rsid w:val="009B7736"/>
    <w:rsid w:val="009B7C58"/>
    <w:rsid w:val="009B7FA7"/>
    <w:rsid w:val="009C02D2"/>
    <w:rsid w:val="009C07C3"/>
    <w:rsid w:val="009C10DF"/>
    <w:rsid w:val="009C137D"/>
    <w:rsid w:val="009C18C8"/>
    <w:rsid w:val="009C1B72"/>
    <w:rsid w:val="009C1E32"/>
    <w:rsid w:val="009C22B8"/>
    <w:rsid w:val="009C2407"/>
    <w:rsid w:val="009C2679"/>
    <w:rsid w:val="009C2E3A"/>
    <w:rsid w:val="009C2E3C"/>
    <w:rsid w:val="009C3086"/>
    <w:rsid w:val="009C4001"/>
    <w:rsid w:val="009C413C"/>
    <w:rsid w:val="009C4197"/>
    <w:rsid w:val="009C4808"/>
    <w:rsid w:val="009C575B"/>
    <w:rsid w:val="009C5CA2"/>
    <w:rsid w:val="009C5D84"/>
    <w:rsid w:val="009C5E85"/>
    <w:rsid w:val="009C6277"/>
    <w:rsid w:val="009C62F9"/>
    <w:rsid w:val="009C6861"/>
    <w:rsid w:val="009C7256"/>
    <w:rsid w:val="009C7787"/>
    <w:rsid w:val="009C78B5"/>
    <w:rsid w:val="009C7C91"/>
    <w:rsid w:val="009D0370"/>
    <w:rsid w:val="009D04FC"/>
    <w:rsid w:val="009D11A6"/>
    <w:rsid w:val="009D1253"/>
    <w:rsid w:val="009D12EC"/>
    <w:rsid w:val="009D258F"/>
    <w:rsid w:val="009D2B0E"/>
    <w:rsid w:val="009D4125"/>
    <w:rsid w:val="009D419C"/>
    <w:rsid w:val="009D4807"/>
    <w:rsid w:val="009D4966"/>
    <w:rsid w:val="009D496C"/>
    <w:rsid w:val="009D4B37"/>
    <w:rsid w:val="009D4DA6"/>
    <w:rsid w:val="009D5309"/>
    <w:rsid w:val="009D541A"/>
    <w:rsid w:val="009D58C6"/>
    <w:rsid w:val="009D594E"/>
    <w:rsid w:val="009D59AA"/>
    <w:rsid w:val="009D5CB7"/>
    <w:rsid w:val="009D6BE5"/>
    <w:rsid w:val="009D6E3E"/>
    <w:rsid w:val="009D73C7"/>
    <w:rsid w:val="009D743C"/>
    <w:rsid w:val="009D74AB"/>
    <w:rsid w:val="009D7D2C"/>
    <w:rsid w:val="009D7E4A"/>
    <w:rsid w:val="009E0D0B"/>
    <w:rsid w:val="009E104E"/>
    <w:rsid w:val="009E14B4"/>
    <w:rsid w:val="009E1543"/>
    <w:rsid w:val="009E180B"/>
    <w:rsid w:val="009E196E"/>
    <w:rsid w:val="009E1E24"/>
    <w:rsid w:val="009E2091"/>
    <w:rsid w:val="009E25E4"/>
    <w:rsid w:val="009E2845"/>
    <w:rsid w:val="009E2874"/>
    <w:rsid w:val="009E28B3"/>
    <w:rsid w:val="009E2932"/>
    <w:rsid w:val="009E294F"/>
    <w:rsid w:val="009E359F"/>
    <w:rsid w:val="009E408C"/>
    <w:rsid w:val="009E40E3"/>
    <w:rsid w:val="009E4291"/>
    <w:rsid w:val="009E4454"/>
    <w:rsid w:val="009E44AC"/>
    <w:rsid w:val="009E498A"/>
    <w:rsid w:val="009E4DA9"/>
    <w:rsid w:val="009E4DCA"/>
    <w:rsid w:val="009E50DD"/>
    <w:rsid w:val="009E55D9"/>
    <w:rsid w:val="009E55F6"/>
    <w:rsid w:val="009E56BB"/>
    <w:rsid w:val="009E5C24"/>
    <w:rsid w:val="009E5CB4"/>
    <w:rsid w:val="009E66BA"/>
    <w:rsid w:val="009E67F5"/>
    <w:rsid w:val="009E6AD9"/>
    <w:rsid w:val="009E6AF3"/>
    <w:rsid w:val="009E6BC2"/>
    <w:rsid w:val="009E6C85"/>
    <w:rsid w:val="009E7164"/>
    <w:rsid w:val="009E76F2"/>
    <w:rsid w:val="009F02F0"/>
    <w:rsid w:val="009F0534"/>
    <w:rsid w:val="009F08F0"/>
    <w:rsid w:val="009F095A"/>
    <w:rsid w:val="009F0E90"/>
    <w:rsid w:val="009F0F02"/>
    <w:rsid w:val="009F1619"/>
    <w:rsid w:val="009F1665"/>
    <w:rsid w:val="009F16CA"/>
    <w:rsid w:val="009F1779"/>
    <w:rsid w:val="009F2552"/>
    <w:rsid w:val="009F29CF"/>
    <w:rsid w:val="009F2B86"/>
    <w:rsid w:val="009F2BBC"/>
    <w:rsid w:val="009F39EC"/>
    <w:rsid w:val="009F3C66"/>
    <w:rsid w:val="009F3E64"/>
    <w:rsid w:val="009F4488"/>
    <w:rsid w:val="009F47A9"/>
    <w:rsid w:val="009F48B7"/>
    <w:rsid w:val="009F4DCC"/>
    <w:rsid w:val="009F50FB"/>
    <w:rsid w:val="009F5285"/>
    <w:rsid w:val="009F5C9B"/>
    <w:rsid w:val="009F600D"/>
    <w:rsid w:val="009F69DD"/>
    <w:rsid w:val="009F6AD3"/>
    <w:rsid w:val="009F6FE8"/>
    <w:rsid w:val="009F7519"/>
    <w:rsid w:val="009F7F00"/>
    <w:rsid w:val="00A00387"/>
    <w:rsid w:val="00A0079F"/>
    <w:rsid w:val="00A00BE7"/>
    <w:rsid w:val="00A00EED"/>
    <w:rsid w:val="00A014A7"/>
    <w:rsid w:val="00A01566"/>
    <w:rsid w:val="00A01914"/>
    <w:rsid w:val="00A01B61"/>
    <w:rsid w:val="00A01D0E"/>
    <w:rsid w:val="00A020AC"/>
    <w:rsid w:val="00A02134"/>
    <w:rsid w:val="00A023CA"/>
    <w:rsid w:val="00A02670"/>
    <w:rsid w:val="00A027EF"/>
    <w:rsid w:val="00A036E6"/>
    <w:rsid w:val="00A04465"/>
    <w:rsid w:val="00A04FC5"/>
    <w:rsid w:val="00A054C8"/>
    <w:rsid w:val="00A059A8"/>
    <w:rsid w:val="00A05C35"/>
    <w:rsid w:val="00A05C88"/>
    <w:rsid w:val="00A05E97"/>
    <w:rsid w:val="00A05F5A"/>
    <w:rsid w:val="00A0609A"/>
    <w:rsid w:val="00A060E2"/>
    <w:rsid w:val="00A0631E"/>
    <w:rsid w:val="00A06596"/>
    <w:rsid w:val="00A0682B"/>
    <w:rsid w:val="00A06900"/>
    <w:rsid w:val="00A06A3C"/>
    <w:rsid w:val="00A06ABB"/>
    <w:rsid w:val="00A0716B"/>
    <w:rsid w:val="00A07547"/>
    <w:rsid w:val="00A07684"/>
    <w:rsid w:val="00A07BDB"/>
    <w:rsid w:val="00A07E01"/>
    <w:rsid w:val="00A10A0E"/>
    <w:rsid w:val="00A10A35"/>
    <w:rsid w:val="00A11418"/>
    <w:rsid w:val="00A116D1"/>
    <w:rsid w:val="00A11782"/>
    <w:rsid w:val="00A119F6"/>
    <w:rsid w:val="00A11A6D"/>
    <w:rsid w:val="00A120A2"/>
    <w:rsid w:val="00A12166"/>
    <w:rsid w:val="00A123B4"/>
    <w:rsid w:val="00A124A8"/>
    <w:rsid w:val="00A12952"/>
    <w:rsid w:val="00A12B82"/>
    <w:rsid w:val="00A131B1"/>
    <w:rsid w:val="00A134F3"/>
    <w:rsid w:val="00A13577"/>
    <w:rsid w:val="00A13674"/>
    <w:rsid w:val="00A1381F"/>
    <w:rsid w:val="00A13898"/>
    <w:rsid w:val="00A139D1"/>
    <w:rsid w:val="00A13A3C"/>
    <w:rsid w:val="00A13A3D"/>
    <w:rsid w:val="00A13E71"/>
    <w:rsid w:val="00A142BC"/>
    <w:rsid w:val="00A143E4"/>
    <w:rsid w:val="00A1504E"/>
    <w:rsid w:val="00A1515C"/>
    <w:rsid w:val="00A15F0A"/>
    <w:rsid w:val="00A163A6"/>
    <w:rsid w:val="00A16562"/>
    <w:rsid w:val="00A16EE7"/>
    <w:rsid w:val="00A16FFA"/>
    <w:rsid w:val="00A1707A"/>
    <w:rsid w:val="00A201A3"/>
    <w:rsid w:val="00A216BC"/>
    <w:rsid w:val="00A21D81"/>
    <w:rsid w:val="00A220E4"/>
    <w:rsid w:val="00A22251"/>
    <w:rsid w:val="00A2248B"/>
    <w:rsid w:val="00A22CD3"/>
    <w:rsid w:val="00A22D9E"/>
    <w:rsid w:val="00A230E6"/>
    <w:rsid w:val="00A238C4"/>
    <w:rsid w:val="00A23BE1"/>
    <w:rsid w:val="00A23EA3"/>
    <w:rsid w:val="00A241BC"/>
    <w:rsid w:val="00A245EB"/>
    <w:rsid w:val="00A24BDF"/>
    <w:rsid w:val="00A251FD"/>
    <w:rsid w:val="00A25439"/>
    <w:rsid w:val="00A258E2"/>
    <w:rsid w:val="00A25C05"/>
    <w:rsid w:val="00A26026"/>
    <w:rsid w:val="00A2602A"/>
    <w:rsid w:val="00A264A4"/>
    <w:rsid w:val="00A26533"/>
    <w:rsid w:val="00A26557"/>
    <w:rsid w:val="00A26829"/>
    <w:rsid w:val="00A268DE"/>
    <w:rsid w:val="00A27916"/>
    <w:rsid w:val="00A27A45"/>
    <w:rsid w:val="00A27A8B"/>
    <w:rsid w:val="00A27C75"/>
    <w:rsid w:val="00A3061A"/>
    <w:rsid w:val="00A30AF7"/>
    <w:rsid w:val="00A30E9A"/>
    <w:rsid w:val="00A31136"/>
    <w:rsid w:val="00A3123E"/>
    <w:rsid w:val="00A31259"/>
    <w:rsid w:val="00A31AF1"/>
    <w:rsid w:val="00A31D28"/>
    <w:rsid w:val="00A31D9D"/>
    <w:rsid w:val="00A3257B"/>
    <w:rsid w:val="00A33083"/>
    <w:rsid w:val="00A33574"/>
    <w:rsid w:val="00A33C45"/>
    <w:rsid w:val="00A3408F"/>
    <w:rsid w:val="00A340C6"/>
    <w:rsid w:val="00A341D0"/>
    <w:rsid w:val="00A34374"/>
    <w:rsid w:val="00A3469F"/>
    <w:rsid w:val="00A34792"/>
    <w:rsid w:val="00A349D1"/>
    <w:rsid w:val="00A35132"/>
    <w:rsid w:val="00A3532E"/>
    <w:rsid w:val="00A3613D"/>
    <w:rsid w:val="00A361D6"/>
    <w:rsid w:val="00A3644A"/>
    <w:rsid w:val="00A36DBD"/>
    <w:rsid w:val="00A36E34"/>
    <w:rsid w:val="00A370CB"/>
    <w:rsid w:val="00A377CC"/>
    <w:rsid w:val="00A378D0"/>
    <w:rsid w:val="00A37EA4"/>
    <w:rsid w:val="00A40057"/>
    <w:rsid w:val="00A40548"/>
    <w:rsid w:val="00A40942"/>
    <w:rsid w:val="00A40D36"/>
    <w:rsid w:val="00A40DBB"/>
    <w:rsid w:val="00A411ED"/>
    <w:rsid w:val="00A41618"/>
    <w:rsid w:val="00A41A93"/>
    <w:rsid w:val="00A4218F"/>
    <w:rsid w:val="00A421A7"/>
    <w:rsid w:val="00A421AC"/>
    <w:rsid w:val="00A423A6"/>
    <w:rsid w:val="00A42637"/>
    <w:rsid w:val="00A4288A"/>
    <w:rsid w:val="00A4292D"/>
    <w:rsid w:val="00A42FED"/>
    <w:rsid w:val="00A431A9"/>
    <w:rsid w:val="00A436A7"/>
    <w:rsid w:val="00A43C16"/>
    <w:rsid w:val="00A43D5D"/>
    <w:rsid w:val="00A43DC4"/>
    <w:rsid w:val="00A43E66"/>
    <w:rsid w:val="00A44223"/>
    <w:rsid w:val="00A4488B"/>
    <w:rsid w:val="00A44920"/>
    <w:rsid w:val="00A44957"/>
    <w:rsid w:val="00A44DD3"/>
    <w:rsid w:val="00A4524D"/>
    <w:rsid w:val="00A452B1"/>
    <w:rsid w:val="00A4587B"/>
    <w:rsid w:val="00A458A5"/>
    <w:rsid w:val="00A458F0"/>
    <w:rsid w:val="00A46223"/>
    <w:rsid w:val="00A470B9"/>
    <w:rsid w:val="00A474A3"/>
    <w:rsid w:val="00A477B2"/>
    <w:rsid w:val="00A47923"/>
    <w:rsid w:val="00A5097F"/>
    <w:rsid w:val="00A50D60"/>
    <w:rsid w:val="00A50E42"/>
    <w:rsid w:val="00A511F9"/>
    <w:rsid w:val="00A5186F"/>
    <w:rsid w:val="00A51976"/>
    <w:rsid w:val="00A51E4D"/>
    <w:rsid w:val="00A51E62"/>
    <w:rsid w:val="00A51EC4"/>
    <w:rsid w:val="00A535EF"/>
    <w:rsid w:val="00A5396C"/>
    <w:rsid w:val="00A54073"/>
    <w:rsid w:val="00A54135"/>
    <w:rsid w:val="00A54260"/>
    <w:rsid w:val="00A54423"/>
    <w:rsid w:val="00A54553"/>
    <w:rsid w:val="00A54B21"/>
    <w:rsid w:val="00A54D9E"/>
    <w:rsid w:val="00A54DCA"/>
    <w:rsid w:val="00A55330"/>
    <w:rsid w:val="00A55586"/>
    <w:rsid w:val="00A55818"/>
    <w:rsid w:val="00A55B60"/>
    <w:rsid w:val="00A55DA3"/>
    <w:rsid w:val="00A56ADA"/>
    <w:rsid w:val="00A57655"/>
    <w:rsid w:val="00A57B65"/>
    <w:rsid w:val="00A57D32"/>
    <w:rsid w:val="00A600E9"/>
    <w:rsid w:val="00A60307"/>
    <w:rsid w:val="00A60476"/>
    <w:rsid w:val="00A60598"/>
    <w:rsid w:val="00A6080D"/>
    <w:rsid w:val="00A60908"/>
    <w:rsid w:val="00A60AF4"/>
    <w:rsid w:val="00A61061"/>
    <w:rsid w:val="00A610EB"/>
    <w:rsid w:val="00A61389"/>
    <w:rsid w:val="00A61C17"/>
    <w:rsid w:val="00A61FEE"/>
    <w:rsid w:val="00A6299E"/>
    <w:rsid w:val="00A62C01"/>
    <w:rsid w:val="00A62E1C"/>
    <w:rsid w:val="00A62F55"/>
    <w:rsid w:val="00A6308C"/>
    <w:rsid w:val="00A63533"/>
    <w:rsid w:val="00A636D5"/>
    <w:rsid w:val="00A639F3"/>
    <w:rsid w:val="00A63C7F"/>
    <w:rsid w:val="00A63D88"/>
    <w:rsid w:val="00A64101"/>
    <w:rsid w:val="00A642EA"/>
    <w:rsid w:val="00A64861"/>
    <w:rsid w:val="00A64DF5"/>
    <w:rsid w:val="00A64DFC"/>
    <w:rsid w:val="00A65908"/>
    <w:rsid w:val="00A6597A"/>
    <w:rsid w:val="00A659DC"/>
    <w:rsid w:val="00A65A53"/>
    <w:rsid w:val="00A65BE2"/>
    <w:rsid w:val="00A65E61"/>
    <w:rsid w:val="00A6640D"/>
    <w:rsid w:val="00A6649C"/>
    <w:rsid w:val="00A66836"/>
    <w:rsid w:val="00A6692E"/>
    <w:rsid w:val="00A66A86"/>
    <w:rsid w:val="00A66B0A"/>
    <w:rsid w:val="00A66B73"/>
    <w:rsid w:val="00A66F52"/>
    <w:rsid w:val="00A66F54"/>
    <w:rsid w:val="00A67420"/>
    <w:rsid w:val="00A67DDB"/>
    <w:rsid w:val="00A70305"/>
    <w:rsid w:val="00A705CE"/>
    <w:rsid w:val="00A70B42"/>
    <w:rsid w:val="00A71797"/>
    <w:rsid w:val="00A721D5"/>
    <w:rsid w:val="00A72464"/>
    <w:rsid w:val="00A7266E"/>
    <w:rsid w:val="00A73800"/>
    <w:rsid w:val="00A73F8C"/>
    <w:rsid w:val="00A740AF"/>
    <w:rsid w:val="00A741E5"/>
    <w:rsid w:val="00A7421E"/>
    <w:rsid w:val="00A74284"/>
    <w:rsid w:val="00A74766"/>
    <w:rsid w:val="00A75B33"/>
    <w:rsid w:val="00A7615D"/>
    <w:rsid w:val="00A76457"/>
    <w:rsid w:val="00A764EE"/>
    <w:rsid w:val="00A765A8"/>
    <w:rsid w:val="00A7663E"/>
    <w:rsid w:val="00A7665D"/>
    <w:rsid w:val="00A769A2"/>
    <w:rsid w:val="00A76A8C"/>
    <w:rsid w:val="00A773F4"/>
    <w:rsid w:val="00A776BC"/>
    <w:rsid w:val="00A77B0E"/>
    <w:rsid w:val="00A77B78"/>
    <w:rsid w:val="00A77F79"/>
    <w:rsid w:val="00A80260"/>
    <w:rsid w:val="00A80493"/>
    <w:rsid w:val="00A8069F"/>
    <w:rsid w:val="00A806BA"/>
    <w:rsid w:val="00A8086C"/>
    <w:rsid w:val="00A8091F"/>
    <w:rsid w:val="00A80B6C"/>
    <w:rsid w:val="00A8140A"/>
    <w:rsid w:val="00A81878"/>
    <w:rsid w:val="00A81BCB"/>
    <w:rsid w:val="00A81F14"/>
    <w:rsid w:val="00A8240C"/>
    <w:rsid w:val="00A8283F"/>
    <w:rsid w:val="00A82CB5"/>
    <w:rsid w:val="00A82D0D"/>
    <w:rsid w:val="00A82D34"/>
    <w:rsid w:val="00A8370E"/>
    <w:rsid w:val="00A83C08"/>
    <w:rsid w:val="00A83D7B"/>
    <w:rsid w:val="00A84213"/>
    <w:rsid w:val="00A8492E"/>
    <w:rsid w:val="00A849F5"/>
    <w:rsid w:val="00A84C6D"/>
    <w:rsid w:val="00A84E01"/>
    <w:rsid w:val="00A85145"/>
    <w:rsid w:val="00A8547B"/>
    <w:rsid w:val="00A8574C"/>
    <w:rsid w:val="00A85858"/>
    <w:rsid w:val="00A85DE2"/>
    <w:rsid w:val="00A86B37"/>
    <w:rsid w:val="00A874C4"/>
    <w:rsid w:val="00A879A7"/>
    <w:rsid w:val="00A87A21"/>
    <w:rsid w:val="00A87CAA"/>
    <w:rsid w:val="00A908EE"/>
    <w:rsid w:val="00A91167"/>
    <w:rsid w:val="00A91510"/>
    <w:rsid w:val="00A91531"/>
    <w:rsid w:val="00A919FB"/>
    <w:rsid w:val="00A91CA5"/>
    <w:rsid w:val="00A9291A"/>
    <w:rsid w:val="00A932C0"/>
    <w:rsid w:val="00A93998"/>
    <w:rsid w:val="00A93CD6"/>
    <w:rsid w:val="00A93E1B"/>
    <w:rsid w:val="00A93E8C"/>
    <w:rsid w:val="00A9456C"/>
    <w:rsid w:val="00A94B54"/>
    <w:rsid w:val="00A94BF6"/>
    <w:rsid w:val="00A94C9F"/>
    <w:rsid w:val="00A94CA2"/>
    <w:rsid w:val="00A94D08"/>
    <w:rsid w:val="00A94F97"/>
    <w:rsid w:val="00A950A1"/>
    <w:rsid w:val="00A9543E"/>
    <w:rsid w:val="00A95BB9"/>
    <w:rsid w:val="00A95D9A"/>
    <w:rsid w:val="00A95E5C"/>
    <w:rsid w:val="00A95F3A"/>
    <w:rsid w:val="00A95F46"/>
    <w:rsid w:val="00A962F7"/>
    <w:rsid w:val="00A963CA"/>
    <w:rsid w:val="00A96686"/>
    <w:rsid w:val="00A968C7"/>
    <w:rsid w:val="00A96BC1"/>
    <w:rsid w:val="00A9711F"/>
    <w:rsid w:val="00A97632"/>
    <w:rsid w:val="00AA0C3A"/>
    <w:rsid w:val="00AA1141"/>
    <w:rsid w:val="00AA116E"/>
    <w:rsid w:val="00AA1B88"/>
    <w:rsid w:val="00AA2136"/>
    <w:rsid w:val="00AA22FA"/>
    <w:rsid w:val="00AA2CA4"/>
    <w:rsid w:val="00AA30EC"/>
    <w:rsid w:val="00AA33B9"/>
    <w:rsid w:val="00AA3762"/>
    <w:rsid w:val="00AA37FF"/>
    <w:rsid w:val="00AA3968"/>
    <w:rsid w:val="00AA3A35"/>
    <w:rsid w:val="00AA3AD1"/>
    <w:rsid w:val="00AA448A"/>
    <w:rsid w:val="00AA47FF"/>
    <w:rsid w:val="00AA4C33"/>
    <w:rsid w:val="00AA4E89"/>
    <w:rsid w:val="00AA5390"/>
    <w:rsid w:val="00AA57AC"/>
    <w:rsid w:val="00AA6901"/>
    <w:rsid w:val="00AA7A63"/>
    <w:rsid w:val="00AB01AD"/>
    <w:rsid w:val="00AB0990"/>
    <w:rsid w:val="00AB0D64"/>
    <w:rsid w:val="00AB10FF"/>
    <w:rsid w:val="00AB140C"/>
    <w:rsid w:val="00AB2761"/>
    <w:rsid w:val="00AB2B66"/>
    <w:rsid w:val="00AB2B9A"/>
    <w:rsid w:val="00AB2DAC"/>
    <w:rsid w:val="00AB2E6B"/>
    <w:rsid w:val="00AB3003"/>
    <w:rsid w:val="00AB3191"/>
    <w:rsid w:val="00AB3DA7"/>
    <w:rsid w:val="00AB3E90"/>
    <w:rsid w:val="00AB425A"/>
    <w:rsid w:val="00AB43AA"/>
    <w:rsid w:val="00AB472D"/>
    <w:rsid w:val="00AB4989"/>
    <w:rsid w:val="00AB4A94"/>
    <w:rsid w:val="00AB4F71"/>
    <w:rsid w:val="00AB5169"/>
    <w:rsid w:val="00AB52B6"/>
    <w:rsid w:val="00AB5599"/>
    <w:rsid w:val="00AB569D"/>
    <w:rsid w:val="00AB5F5F"/>
    <w:rsid w:val="00AB626B"/>
    <w:rsid w:val="00AB68C9"/>
    <w:rsid w:val="00AB6963"/>
    <w:rsid w:val="00AB6969"/>
    <w:rsid w:val="00AB6CC0"/>
    <w:rsid w:val="00AB7294"/>
    <w:rsid w:val="00AB752F"/>
    <w:rsid w:val="00AB755D"/>
    <w:rsid w:val="00AC01F0"/>
    <w:rsid w:val="00AC02A4"/>
    <w:rsid w:val="00AC08BD"/>
    <w:rsid w:val="00AC1732"/>
    <w:rsid w:val="00AC1913"/>
    <w:rsid w:val="00AC2DAE"/>
    <w:rsid w:val="00AC3979"/>
    <w:rsid w:val="00AC3C6F"/>
    <w:rsid w:val="00AC3D53"/>
    <w:rsid w:val="00AC49DB"/>
    <w:rsid w:val="00AC4F41"/>
    <w:rsid w:val="00AC5F93"/>
    <w:rsid w:val="00AC63A0"/>
    <w:rsid w:val="00AC6652"/>
    <w:rsid w:val="00AC6779"/>
    <w:rsid w:val="00AC68AA"/>
    <w:rsid w:val="00AC69A6"/>
    <w:rsid w:val="00AC6C75"/>
    <w:rsid w:val="00AC70AF"/>
    <w:rsid w:val="00AC71E4"/>
    <w:rsid w:val="00AC7674"/>
    <w:rsid w:val="00AC7879"/>
    <w:rsid w:val="00AC78FF"/>
    <w:rsid w:val="00AC7B3F"/>
    <w:rsid w:val="00AC7B5E"/>
    <w:rsid w:val="00AC7CE1"/>
    <w:rsid w:val="00AC7DE4"/>
    <w:rsid w:val="00AC7E2F"/>
    <w:rsid w:val="00AD025D"/>
    <w:rsid w:val="00AD03CA"/>
    <w:rsid w:val="00AD08E4"/>
    <w:rsid w:val="00AD135B"/>
    <w:rsid w:val="00AD1BA9"/>
    <w:rsid w:val="00AD2139"/>
    <w:rsid w:val="00AD231E"/>
    <w:rsid w:val="00AD2FE0"/>
    <w:rsid w:val="00AD4066"/>
    <w:rsid w:val="00AD4206"/>
    <w:rsid w:val="00AD540B"/>
    <w:rsid w:val="00AD5464"/>
    <w:rsid w:val="00AD59C0"/>
    <w:rsid w:val="00AD5A92"/>
    <w:rsid w:val="00AD5AD7"/>
    <w:rsid w:val="00AD5B59"/>
    <w:rsid w:val="00AD5E61"/>
    <w:rsid w:val="00AD64D3"/>
    <w:rsid w:val="00AD6D4B"/>
    <w:rsid w:val="00AE0204"/>
    <w:rsid w:val="00AE030A"/>
    <w:rsid w:val="00AE066B"/>
    <w:rsid w:val="00AE07D5"/>
    <w:rsid w:val="00AE0B4C"/>
    <w:rsid w:val="00AE0D45"/>
    <w:rsid w:val="00AE112B"/>
    <w:rsid w:val="00AE12C8"/>
    <w:rsid w:val="00AE12E7"/>
    <w:rsid w:val="00AE170E"/>
    <w:rsid w:val="00AE17E9"/>
    <w:rsid w:val="00AE1A40"/>
    <w:rsid w:val="00AE1E87"/>
    <w:rsid w:val="00AE217E"/>
    <w:rsid w:val="00AE2319"/>
    <w:rsid w:val="00AE2340"/>
    <w:rsid w:val="00AE25DE"/>
    <w:rsid w:val="00AE2637"/>
    <w:rsid w:val="00AE2918"/>
    <w:rsid w:val="00AE29AB"/>
    <w:rsid w:val="00AE2DDA"/>
    <w:rsid w:val="00AE2F8A"/>
    <w:rsid w:val="00AE3203"/>
    <w:rsid w:val="00AE385C"/>
    <w:rsid w:val="00AE3E09"/>
    <w:rsid w:val="00AE3E7C"/>
    <w:rsid w:val="00AE3FB4"/>
    <w:rsid w:val="00AE494E"/>
    <w:rsid w:val="00AE5197"/>
    <w:rsid w:val="00AE5354"/>
    <w:rsid w:val="00AE5725"/>
    <w:rsid w:val="00AE5BA9"/>
    <w:rsid w:val="00AE69AC"/>
    <w:rsid w:val="00AE70E3"/>
    <w:rsid w:val="00AE7424"/>
    <w:rsid w:val="00AE745D"/>
    <w:rsid w:val="00AE7983"/>
    <w:rsid w:val="00AE7D5B"/>
    <w:rsid w:val="00AF0013"/>
    <w:rsid w:val="00AF04A8"/>
    <w:rsid w:val="00AF1240"/>
    <w:rsid w:val="00AF127F"/>
    <w:rsid w:val="00AF1799"/>
    <w:rsid w:val="00AF1AD0"/>
    <w:rsid w:val="00AF1CB0"/>
    <w:rsid w:val="00AF1F95"/>
    <w:rsid w:val="00AF2025"/>
    <w:rsid w:val="00AF254D"/>
    <w:rsid w:val="00AF2CBF"/>
    <w:rsid w:val="00AF2EAE"/>
    <w:rsid w:val="00AF306D"/>
    <w:rsid w:val="00AF3213"/>
    <w:rsid w:val="00AF345C"/>
    <w:rsid w:val="00AF377A"/>
    <w:rsid w:val="00AF38C6"/>
    <w:rsid w:val="00AF3B5D"/>
    <w:rsid w:val="00AF4007"/>
    <w:rsid w:val="00AF4012"/>
    <w:rsid w:val="00AF4746"/>
    <w:rsid w:val="00AF4A98"/>
    <w:rsid w:val="00AF4B7A"/>
    <w:rsid w:val="00AF4E35"/>
    <w:rsid w:val="00AF5602"/>
    <w:rsid w:val="00AF5D6F"/>
    <w:rsid w:val="00AF62FC"/>
    <w:rsid w:val="00AF699A"/>
    <w:rsid w:val="00AF6E90"/>
    <w:rsid w:val="00AF7255"/>
    <w:rsid w:val="00AF78EC"/>
    <w:rsid w:val="00B00157"/>
    <w:rsid w:val="00B001E1"/>
    <w:rsid w:val="00B00331"/>
    <w:rsid w:val="00B0096F"/>
    <w:rsid w:val="00B00B0E"/>
    <w:rsid w:val="00B00D5A"/>
    <w:rsid w:val="00B00DBF"/>
    <w:rsid w:val="00B010CF"/>
    <w:rsid w:val="00B01949"/>
    <w:rsid w:val="00B0275C"/>
    <w:rsid w:val="00B0285C"/>
    <w:rsid w:val="00B02A23"/>
    <w:rsid w:val="00B02A29"/>
    <w:rsid w:val="00B03886"/>
    <w:rsid w:val="00B043BF"/>
    <w:rsid w:val="00B04628"/>
    <w:rsid w:val="00B04A5D"/>
    <w:rsid w:val="00B04DBB"/>
    <w:rsid w:val="00B05459"/>
    <w:rsid w:val="00B056C0"/>
    <w:rsid w:val="00B05BC5"/>
    <w:rsid w:val="00B05CDF"/>
    <w:rsid w:val="00B05DE1"/>
    <w:rsid w:val="00B05FC9"/>
    <w:rsid w:val="00B060B6"/>
    <w:rsid w:val="00B06136"/>
    <w:rsid w:val="00B06138"/>
    <w:rsid w:val="00B063DE"/>
    <w:rsid w:val="00B06965"/>
    <w:rsid w:val="00B06970"/>
    <w:rsid w:val="00B06D70"/>
    <w:rsid w:val="00B06F3E"/>
    <w:rsid w:val="00B06F73"/>
    <w:rsid w:val="00B078C6"/>
    <w:rsid w:val="00B079FF"/>
    <w:rsid w:val="00B07BCD"/>
    <w:rsid w:val="00B107AC"/>
    <w:rsid w:val="00B10B07"/>
    <w:rsid w:val="00B11570"/>
    <w:rsid w:val="00B12310"/>
    <w:rsid w:val="00B12687"/>
    <w:rsid w:val="00B1292B"/>
    <w:rsid w:val="00B12DC3"/>
    <w:rsid w:val="00B12EC5"/>
    <w:rsid w:val="00B12F9A"/>
    <w:rsid w:val="00B12FB7"/>
    <w:rsid w:val="00B13174"/>
    <w:rsid w:val="00B133E5"/>
    <w:rsid w:val="00B13453"/>
    <w:rsid w:val="00B1365C"/>
    <w:rsid w:val="00B13BC7"/>
    <w:rsid w:val="00B13C7F"/>
    <w:rsid w:val="00B13EF0"/>
    <w:rsid w:val="00B141C8"/>
    <w:rsid w:val="00B14528"/>
    <w:rsid w:val="00B1476E"/>
    <w:rsid w:val="00B15351"/>
    <w:rsid w:val="00B158C8"/>
    <w:rsid w:val="00B15962"/>
    <w:rsid w:val="00B15F35"/>
    <w:rsid w:val="00B16069"/>
    <w:rsid w:val="00B1611E"/>
    <w:rsid w:val="00B16939"/>
    <w:rsid w:val="00B169F6"/>
    <w:rsid w:val="00B16CF2"/>
    <w:rsid w:val="00B16FA4"/>
    <w:rsid w:val="00B16FF9"/>
    <w:rsid w:val="00B1710B"/>
    <w:rsid w:val="00B1711D"/>
    <w:rsid w:val="00B1759E"/>
    <w:rsid w:val="00B1768E"/>
    <w:rsid w:val="00B20A72"/>
    <w:rsid w:val="00B21046"/>
    <w:rsid w:val="00B211CC"/>
    <w:rsid w:val="00B213D4"/>
    <w:rsid w:val="00B214E2"/>
    <w:rsid w:val="00B2187A"/>
    <w:rsid w:val="00B21A03"/>
    <w:rsid w:val="00B21B56"/>
    <w:rsid w:val="00B22A26"/>
    <w:rsid w:val="00B22CEC"/>
    <w:rsid w:val="00B23133"/>
    <w:rsid w:val="00B23678"/>
    <w:rsid w:val="00B23819"/>
    <w:rsid w:val="00B2385D"/>
    <w:rsid w:val="00B23F69"/>
    <w:rsid w:val="00B24641"/>
    <w:rsid w:val="00B24907"/>
    <w:rsid w:val="00B25128"/>
    <w:rsid w:val="00B2517B"/>
    <w:rsid w:val="00B254CD"/>
    <w:rsid w:val="00B26029"/>
    <w:rsid w:val="00B264DB"/>
    <w:rsid w:val="00B26719"/>
    <w:rsid w:val="00B26A38"/>
    <w:rsid w:val="00B26D16"/>
    <w:rsid w:val="00B270E2"/>
    <w:rsid w:val="00B2737F"/>
    <w:rsid w:val="00B2748D"/>
    <w:rsid w:val="00B2752A"/>
    <w:rsid w:val="00B27DDB"/>
    <w:rsid w:val="00B303C6"/>
    <w:rsid w:val="00B31AF5"/>
    <w:rsid w:val="00B31FC9"/>
    <w:rsid w:val="00B31FD6"/>
    <w:rsid w:val="00B3219C"/>
    <w:rsid w:val="00B32323"/>
    <w:rsid w:val="00B323FD"/>
    <w:rsid w:val="00B325D6"/>
    <w:rsid w:val="00B32924"/>
    <w:rsid w:val="00B32B7D"/>
    <w:rsid w:val="00B32CAB"/>
    <w:rsid w:val="00B33615"/>
    <w:rsid w:val="00B3373A"/>
    <w:rsid w:val="00B337B2"/>
    <w:rsid w:val="00B34008"/>
    <w:rsid w:val="00B343EC"/>
    <w:rsid w:val="00B3475D"/>
    <w:rsid w:val="00B34839"/>
    <w:rsid w:val="00B34C66"/>
    <w:rsid w:val="00B358A6"/>
    <w:rsid w:val="00B35A36"/>
    <w:rsid w:val="00B361C6"/>
    <w:rsid w:val="00B365F6"/>
    <w:rsid w:val="00B36DCC"/>
    <w:rsid w:val="00B37227"/>
    <w:rsid w:val="00B37C72"/>
    <w:rsid w:val="00B409DB"/>
    <w:rsid w:val="00B40A92"/>
    <w:rsid w:val="00B413C7"/>
    <w:rsid w:val="00B41592"/>
    <w:rsid w:val="00B416DD"/>
    <w:rsid w:val="00B4171E"/>
    <w:rsid w:val="00B41781"/>
    <w:rsid w:val="00B41960"/>
    <w:rsid w:val="00B41D49"/>
    <w:rsid w:val="00B42851"/>
    <w:rsid w:val="00B42C28"/>
    <w:rsid w:val="00B4306D"/>
    <w:rsid w:val="00B431AB"/>
    <w:rsid w:val="00B442CD"/>
    <w:rsid w:val="00B4454F"/>
    <w:rsid w:val="00B44726"/>
    <w:rsid w:val="00B44EF2"/>
    <w:rsid w:val="00B45196"/>
    <w:rsid w:val="00B45242"/>
    <w:rsid w:val="00B45329"/>
    <w:rsid w:val="00B45339"/>
    <w:rsid w:val="00B45844"/>
    <w:rsid w:val="00B4585C"/>
    <w:rsid w:val="00B45989"/>
    <w:rsid w:val="00B45DFF"/>
    <w:rsid w:val="00B46BCD"/>
    <w:rsid w:val="00B4748C"/>
    <w:rsid w:val="00B47A1F"/>
    <w:rsid w:val="00B509D7"/>
    <w:rsid w:val="00B50B74"/>
    <w:rsid w:val="00B50B78"/>
    <w:rsid w:val="00B51604"/>
    <w:rsid w:val="00B5174C"/>
    <w:rsid w:val="00B51979"/>
    <w:rsid w:val="00B51BE0"/>
    <w:rsid w:val="00B51DC9"/>
    <w:rsid w:val="00B52182"/>
    <w:rsid w:val="00B52A9D"/>
    <w:rsid w:val="00B52AC5"/>
    <w:rsid w:val="00B531AD"/>
    <w:rsid w:val="00B532A0"/>
    <w:rsid w:val="00B5344C"/>
    <w:rsid w:val="00B53558"/>
    <w:rsid w:val="00B53FDA"/>
    <w:rsid w:val="00B54282"/>
    <w:rsid w:val="00B544E4"/>
    <w:rsid w:val="00B54E3B"/>
    <w:rsid w:val="00B55000"/>
    <w:rsid w:val="00B557C4"/>
    <w:rsid w:val="00B55AA6"/>
    <w:rsid w:val="00B55D69"/>
    <w:rsid w:val="00B55D97"/>
    <w:rsid w:val="00B560F5"/>
    <w:rsid w:val="00B561B2"/>
    <w:rsid w:val="00B56411"/>
    <w:rsid w:val="00B56612"/>
    <w:rsid w:val="00B5667F"/>
    <w:rsid w:val="00B568EA"/>
    <w:rsid w:val="00B56D1C"/>
    <w:rsid w:val="00B5751B"/>
    <w:rsid w:val="00B576C7"/>
    <w:rsid w:val="00B57ABE"/>
    <w:rsid w:val="00B57E9D"/>
    <w:rsid w:val="00B57FBD"/>
    <w:rsid w:val="00B602FA"/>
    <w:rsid w:val="00B6036B"/>
    <w:rsid w:val="00B603D5"/>
    <w:rsid w:val="00B60404"/>
    <w:rsid w:val="00B60457"/>
    <w:rsid w:val="00B607A9"/>
    <w:rsid w:val="00B610BB"/>
    <w:rsid w:val="00B61793"/>
    <w:rsid w:val="00B618B6"/>
    <w:rsid w:val="00B61E3D"/>
    <w:rsid w:val="00B61E72"/>
    <w:rsid w:val="00B62CC7"/>
    <w:rsid w:val="00B62E1F"/>
    <w:rsid w:val="00B62FF8"/>
    <w:rsid w:val="00B632AD"/>
    <w:rsid w:val="00B63371"/>
    <w:rsid w:val="00B637A1"/>
    <w:rsid w:val="00B63ABE"/>
    <w:rsid w:val="00B63B4B"/>
    <w:rsid w:val="00B63B54"/>
    <w:rsid w:val="00B63D9E"/>
    <w:rsid w:val="00B64518"/>
    <w:rsid w:val="00B6486B"/>
    <w:rsid w:val="00B64DA6"/>
    <w:rsid w:val="00B64ED3"/>
    <w:rsid w:val="00B6569C"/>
    <w:rsid w:val="00B65AAE"/>
    <w:rsid w:val="00B65BCE"/>
    <w:rsid w:val="00B660D9"/>
    <w:rsid w:val="00B66245"/>
    <w:rsid w:val="00B6687E"/>
    <w:rsid w:val="00B66BAF"/>
    <w:rsid w:val="00B66C1A"/>
    <w:rsid w:val="00B66EB2"/>
    <w:rsid w:val="00B67267"/>
    <w:rsid w:val="00B67B47"/>
    <w:rsid w:val="00B67C79"/>
    <w:rsid w:val="00B7051C"/>
    <w:rsid w:val="00B70ACE"/>
    <w:rsid w:val="00B71038"/>
    <w:rsid w:val="00B71732"/>
    <w:rsid w:val="00B71A63"/>
    <w:rsid w:val="00B71D14"/>
    <w:rsid w:val="00B72836"/>
    <w:rsid w:val="00B7329E"/>
    <w:rsid w:val="00B74056"/>
    <w:rsid w:val="00B7414E"/>
    <w:rsid w:val="00B744EB"/>
    <w:rsid w:val="00B7475B"/>
    <w:rsid w:val="00B74911"/>
    <w:rsid w:val="00B749C3"/>
    <w:rsid w:val="00B75535"/>
    <w:rsid w:val="00B75853"/>
    <w:rsid w:val="00B759A7"/>
    <w:rsid w:val="00B75E96"/>
    <w:rsid w:val="00B75F1E"/>
    <w:rsid w:val="00B766C6"/>
    <w:rsid w:val="00B76F43"/>
    <w:rsid w:val="00B77015"/>
    <w:rsid w:val="00B7702D"/>
    <w:rsid w:val="00B772D6"/>
    <w:rsid w:val="00B773FD"/>
    <w:rsid w:val="00B77743"/>
    <w:rsid w:val="00B800D5"/>
    <w:rsid w:val="00B801AE"/>
    <w:rsid w:val="00B809A0"/>
    <w:rsid w:val="00B80E22"/>
    <w:rsid w:val="00B812A8"/>
    <w:rsid w:val="00B81A4D"/>
    <w:rsid w:val="00B81E93"/>
    <w:rsid w:val="00B8219B"/>
    <w:rsid w:val="00B82278"/>
    <w:rsid w:val="00B83627"/>
    <w:rsid w:val="00B8389D"/>
    <w:rsid w:val="00B838EB"/>
    <w:rsid w:val="00B83E4D"/>
    <w:rsid w:val="00B84517"/>
    <w:rsid w:val="00B84699"/>
    <w:rsid w:val="00B84B08"/>
    <w:rsid w:val="00B84DBA"/>
    <w:rsid w:val="00B84E2A"/>
    <w:rsid w:val="00B8524C"/>
    <w:rsid w:val="00B855D1"/>
    <w:rsid w:val="00B8589A"/>
    <w:rsid w:val="00B85CBC"/>
    <w:rsid w:val="00B8658B"/>
    <w:rsid w:val="00B86765"/>
    <w:rsid w:val="00B86C89"/>
    <w:rsid w:val="00B86D17"/>
    <w:rsid w:val="00B86E92"/>
    <w:rsid w:val="00B86FB9"/>
    <w:rsid w:val="00B871A5"/>
    <w:rsid w:val="00B87716"/>
    <w:rsid w:val="00B87C31"/>
    <w:rsid w:val="00B90041"/>
    <w:rsid w:val="00B90A7E"/>
    <w:rsid w:val="00B90F4D"/>
    <w:rsid w:val="00B913F6"/>
    <w:rsid w:val="00B914CC"/>
    <w:rsid w:val="00B9160A"/>
    <w:rsid w:val="00B9169A"/>
    <w:rsid w:val="00B91DAE"/>
    <w:rsid w:val="00B92132"/>
    <w:rsid w:val="00B924D8"/>
    <w:rsid w:val="00B92EB0"/>
    <w:rsid w:val="00B92EB8"/>
    <w:rsid w:val="00B93419"/>
    <w:rsid w:val="00B936FE"/>
    <w:rsid w:val="00B93919"/>
    <w:rsid w:val="00B93BAF"/>
    <w:rsid w:val="00B94179"/>
    <w:rsid w:val="00B941C3"/>
    <w:rsid w:val="00B9445F"/>
    <w:rsid w:val="00B94650"/>
    <w:rsid w:val="00B94A42"/>
    <w:rsid w:val="00B94B98"/>
    <w:rsid w:val="00B94CCF"/>
    <w:rsid w:val="00B9558A"/>
    <w:rsid w:val="00B9570C"/>
    <w:rsid w:val="00B95B3A"/>
    <w:rsid w:val="00B95B4B"/>
    <w:rsid w:val="00B95C1B"/>
    <w:rsid w:val="00B95F30"/>
    <w:rsid w:val="00B960E3"/>
    <w:rsid w:val="00B962EC"/>
    <w:rsid w:val="00B968D5"/>
    <w:rsid w:val="00B96E37"/>
    <w:rsid w:val="00B9748C"/>
    <w:rsid w:val="00B9770B"/>
    <w:rsid w:val="00B97B76"/>
    <w:rsid w:val="00B97BFC"/>
    <w:rsid w:val="00B97E18"/>
    <w:rsid w:val="00B97E71"/>
    <w:rsid w:val="00B97ECB"/>
    <w:rsid w:val="00BA075B"/>
    <w:rsid w:val="00BA07CE"/>
    <w:rsid w:val="00BA0AE9"/>
    <w:rsid w:val="00BA0B9A"/>
    <w:rsid w:val="00BA13D3"/>
    <w:rsid w:val="00BA14AD"/>
    <w:rsid w:val="00BA1621"/>
    <w:rsid w:val="00BA1855"/>
    <w:rsid w:val="00BA189B"/>
    <w:rsid w:val="00BA2488"/>
    <w:rsid w:val="00BA2755"/>
    <w:rsid w:val="00BA2998"/>
    <w:rsid w:val="00BA2E83"/>
    <w:rsid w:val="00BA361F"/>
    <w:rsid w:val="00BA3838"/>
    <w:rsid w:val="00BA3AA4"/>
    <w:rsid w:val="00BA3AB6"/>
    <w:rsid w:val="00BA3F58"/>
    <w:rsid w:val="00BA3F8B"/>
    <w:rsid w:val="00BA45F9"/>
    <w:rsid w:val="00BA47D7"/>
    <w:rsid w:val="00BA4A55"/>
    <w:rsid w:val="00BA4ACB"/>
    <w:rsid w:val="00BA4D9B"/>
    <w:rsid w:val="00BA4E11"/>
    <w:rsid w:val="00BA4FDD"/>
    <w:rsid w:val="00BA66BD"/>
    <w:rsid w:val="00BA68B9"/>
    <w:rsid w:val="00BA69EA"/>
    <w:rsid w:val="00BA6C33"/>
    <w:rsid w:val="00BA6DE7"/>
    <w:rsid w:val="00BA7415"/>
    <w:rsid w:val="00BA77F1"/>
    <w:rsid w:val="00BA79F6"/>
    <w:rsid w:val="00BA7E18"/>
    <w:rsid w:val="00BB01CC"/>
    <w:rsid w:val="00BB0AC4"/>
    <w:rsid w:val="00BB0CD7"/>
    <w:rsid w:val="00BB0E0C"/>
    <w:rsid w:val="00BB0F16"/>
    <w:rsid w:val="00BB13C7"/>
    <w:rsid w:val="00BB1FBB"/>
    <w:rsid w:val="00BB21A3"/>
    <w:rsid w:val="00BB2271"/>
    <w:rsid w:val="00BB22D8"/>
    <w:rsid w:val="00BB28F1"/>
    <w:rsid w:val="00BB2B5A"/>
    <w:rsid w:val="00BB2B7E"/>
    <w:rsid w:val="00BB30CF"/>
    <w:rsid w:val="00BB3422"/>
    <w:rsid w:val="00BB3C7D"/>
    <w:rsid w:val="00BB4644"/>
    <w:rsid w:val="00BB4EFA"/>
    <w:rsid w:val="00BB514E"/>
    <w:rsid w:val="00BB5393"/>
    <w:rsid w:val="00BB556B"/>
    <w:rsid w:val="00BB56C3"/>
    <w:rsid w:val="00BB5ECA"/>
    <w:rsid w:val="00BB6575"/>
    <w:rsid w:val="00BB69EC"/>
    <w:rsid w:val="00BB6D3E"/>
    <w:rsid w:val="00BB6E50"/>
    <w:rsid w:val="00BB6FDC"/>
    <w:rsid w:val="00BB709E"/>
    <w:rsid w:val="00BB7357"/>
    <w:rsid w:val="00BB7AAD"/>
    <w:rsid w:val="00BB7C94"/>
    <w:rsid w:val="00BC00FD"/>
    <w:rsid w:val="00BC04A6"/>
    <w:rsid w:val="00BC0530"/>
    <w:rsid w:val="00BC0F8D"/>
    <w:rsid w:val="00BC0FE8"/>
    <w:rsid w:val="00BC1241"/>
    <w:rsid w:val="00BC1374"/>
    <w:rsid w:val="00BC14DA"/>
    <w:rsid w:val="00BC1747"/>
    <w:rsid w:val="00BC2604"/>
    <w:rsid w:val="00BC284D"/>
    <w:rsid w:val="00BC2920"/>
    <w:rsid w:val="00BC339C"/>
    <w:rsid w:val="00BC37F7"/>
    <w:rsid w:val="00BC474A"/>
    <w:rsid w:val="00BC49CA"/>
    <w:rsid w:val="00BC4A63"/>
    <w:rsid w:val="00BC4FD0"/>
    <w:rsid w:val="00BC5011"/>
    <w:rsid w:val="00BC59E3"/>
    <w:rsid w:val="00BC5A5B"/>
    <w:rsid w:val="00BC5AE0"/>
    <w:rsid w:val="00BC5F1D"/>
    <w:rsid w:val="00BC622F"/>
    <w:rsid w:val="00BC6531"/>
    <w:rsid w:val="00BC6561"/>
    <w:rsid w:val="00BC669B"/>
    <w:rsid w:val="00BC6EC3"/>
    <w:rsid w:val="00BC715C"/>
    <w:rsid w:val="00BC779A"/>
    <w:rsid w:val="00BC7F4F"/>
    <w:rsid w:val="00BD03C1"/>
    <w:rsid w:val="00BD0D4C"/>
    <w:rsid w:val="00BD0F4F"/>
    <w:rsid w:val="00BD172F"/>
    <w:rsid w:val="00BD189C"/>
    <w:rsid w:val="00BD1B17"/>
    <w:rsid w:val="00BD1B51"/>
    <w:rsid w:val="00BD2F57"/>
    <w:rsid w:val="00BD31B8"/>
    <w:rsid w:val="00BD32A6"/>
    <w:rsid w:val="00BD3C3A"/>
    <w:rsid w:val="00BD40B0"/>
    <w:rsid w:val="00BD457C"/>
    <w:rsid w:val="00BD4C5C"/>
    <w:rsid w:val="00BD4FEC"/>
    <w:rsid w:val="00BD50B2"/>
    <w:rsid w:val="00BD53AE"/>
    <w:rsid w:val="00BD5456"/>
    <w:rsid w:val="00BD570F"/>
    <w:rsid w:val="00BD5B35"/>
    <w:rsid w:val="00BD6061"/>
    <w:rsid w:val="00BD6302"/>
    <w:rsid w:val="00BD63E5"/>
    <w:rsid w:val="00BD6486"/>
    <w:rsid w:val="00BD7AB1"/>
    <w:rsid w:val="00BD7AF2"/>
    <w:rsid w:val="00BD7B9B"/>
    <w:rsid w:val="00BD7D57"/>
    <w:rsid w:val="00BD7EE7"/>
    <w:rsid w:val="00BE00D3"/>
    <w:rsid w:val="00BE09D6"/>
    <w:rsid w:val="00BE118A"/>
    <w:rsid w:val="00BE13B6"/>
    <w:rsid w:val="00BE1470"/>
    <w:rsid w:val="00BE151A"/>
    <w:rsid w:val="00BE1658"/>
    <w:rsid w:val="00BE168A"/>
    <w:rsid w:val="00BE1A47"/>
    <w:rsid w:val="00BE2449"/>
    <w:rsid w:val="00BE274D"/>
    <w:rsid w:val="00BE2E6D"/>
    <w:rsid w:val="00BE3771"/>
    <w:rsid w:val="00BE3C29"/>
    <w:rsid w:val="00BE3E54"/>
    <w:rsid w:val="00BE443E"/>
    <w:rsid w:val="00BE47B3"/>
    <w:rsid w:val="00BE536A"/>
    <w:rsid w:val="00BE5B2A"/>
    <w:rsid w:val="00BE5FCF"/>
    <w:rsid w:val="00BE62DE"/>
    <w:rsid w:val="00BE639E"/>
    <w:rsid w:val="00BE63C7"/>
    <w:rsid w:val="00BE6D26"/>
    <w:rsid w:val="00BE6DAC"/>
    <w:rsid w:val="00BE6F03"/>
    <w:rsid w:val="00BE7133"/>
    <w:rsid w:val="00BE742A"/>
    <w:rsid w:val="00BE77BF"/>
    <w:rsid w:val="00BE7B83"/>
    <w:rsid w:val="00BE7DEB"/>
    <w:rsid w:val="00BF03A5"/>
    <w:rsid w:val="00BF03B1"/>
    <w:rsid w:val="00BF061A"/>
    <w:rsid w:val="00BF07CB"/>
    <w:rsid w:val="00BF0DDD"/>
    <w:rsid w:val="00BF0E4D"/>
    <w:rsid w:val="00BF0F88"/>
    <w:rsid w:val="00BF11BC"/>
    <w:rsid w:val="00BF1254"/>
    <w:rsid w:val="00BF1493"/>
    <w:rsid w:val="00BF18D3"/>
    <w:rsid w:val="00BF21E1"/>
    <w:rsid w:val="00BF29CB"/>
    <w:rsid w:val="00BF2A7A"/>
    <w:rsid w:val="00BF2BDC"/>
    <w:rsid w:val="00BF2E8C"/>
    <w:rsid w:val="00BF38EB"/>
    <w:rsid w:val="00BF3D48"/>
    <w:rsid w:val="00BF4D8C"/>
    <w:rsid w:val="00BF5852"/>
    <w:rsid w:val="00BF58D5"/>
    <w:rsid w:val="00BF60DE"/>
    <w:rsid w:val="00BF682D"/>
    <w:rsid w:val="00BF7113"/>
    <w:rsid w:val="00BF746B"/>
    <w:rsid w:val="00BF7885"/>
    <w:rsid w:val="00BF7C65"/>
    <w:rsid w:val="00C009D6"/>
    <w:rsid w:val="00C00F35"/>
    <w:rsid w:val="00C01535"/>
    <w:rsid w:val="00C01AFC"/>
    <w:rsid w:val="00C01B17"/>
    <w:rsid w:val="00C026B8"/>
    <w:rsid w:val="00C02A12"/>
    <w:rsid w:val="00C02D8B"/>
    <w:rsid w:val="00C02DC8"/>
    <w:rsid w:val="00C030B8"/>
    <w:rsid w:val="00C03168"/>
    <w:rsid w:val="00C03516"/>
    <w:rsid w:val="00C03916"/>
    <w:rsid w:val="00C0506F"/>
    <w:rsid w:val="00C052A6"/>
    <w:rsid w:val="00C05302"/>
    <w:rsid w:val="00C053C3"/>
    <w:rsid w:val="00C05459"/>
    <w:rsid w:val="00C0550A"/>
    <w:rsid w:val="00C06153"/>
    <w:rsid w:val="00C069D4"/>
    <w:rsid w:val="00C072AB"/>
    <w:rsid w:val="00C076CA"/>
    <w:rsid w:val="00C07B75"/>
    <w:rsid w:val="00C07EB9"/>
    <w:rsid w:val="00C100FB"/>
    <w:rsid w:val="00C1013F"/>
    <w:rsid w:val="00C10257"/>
    <w:rsid w:val="00C102A4"/>
    <w:rsid w:val="00C115BD"/>
    <w:rsid w:val="00C11C11"/>
    <w:rsid w:val="00C11F5A"/>
    <w:rsid w:val="00C127DA"/>
    <w:rsid w:val="00C1284E"/>
    <w:rsid w:val="00C12862"/>
    <w:rsid w:val="00C128D8"/>
    <w:rsid w:val="00C12B7A"/>
    <w:rsid w:val="00C12CE5"/>
    <w:rsid w:val="00C13348"/>
    <w:rsid w:val="00C13485"/>
    <w:rsid w:val="00C143BE"/>
    <w:rsid w:val="00C1440C"/>
    <w:rsid w:val="00C14BEF"/>
    <w:rsid w:val="00C15476"/>
    <w:rsid w:val="00C1610A"/>
    <w:rsid w:val="00C163E2"/>
    <w:rsid w:val="00C16494"/>
    <w:rsid w:val="00C168F2"/>
    <w:rsid w:val="00C1714B"/>
    <w:rsid w:val="00C172DC"/>
    <w:rsid w:val="00C1740E"/>
    <w:rsid w:val="00C174B4"/>
    <w:rsid w:val="00C17978"/>
    <w:rsid w:val="00C20125"/>
    <w:rsid w:val="00C20854"/>
    <w:rsid w:val="00C20B71"/>
    <w:rsid w:val="00C20F93"/>
    <w:rsid w:val="00C20FE5"/>
    <w:rsid w:val="00C21485"/>
    <w:rsid w:val="00C2149D"/>
    <w:rsid w:val="00C215E4"/>
    <w:rsid w:val="00C2172D"/>
    <w:rsid w:val="00C2186E"/>
    <w:rsid w:val="00C2204A"/>
    <w:rsid w:val="00C22295"/>
    <w:rsid w:val="00C222A1"/>
    <w:rsid w:val="00C225D2"/>
    <w:rsid w:val="00C22709"/>
    <w:rsid w:val="00C22B47"/>
    <w:rsid w:val="00C233FF"/>
    <w:rsid w:val="00C23439"/>
    <w:rsid w:val="00C23570"/>
    <w:rsid w:val="00C23C1D"/>
    <w:rsid w:val="00C24060"/>
    <w:rsid w:val="00C24363"/>
    <w:rsid w:val="00C246D4"/>
    <w:rsid w:val="00C24897"/>
    <w:rsid w:val="00C249A6"/>
    <w:rsid w:val="00C249CA"/>
    <w:rsid w:val="00C25432"/>
    <w:rsid w:val="00C25A74"/>
    <w:rsid w:val="00C260E5"/>
    <w:rsid w:val="00C2667E"/>
    <w:rsid w:val="00C2679D"/>
    <w:rsid w:val="00C26A78"/>
    <w:rsid w:val="00C26B81"/>
    <w:rsid w:val="00C26FBB"/>
    <w:rsid w:val="00C273F2"/>
    <w:rsid w:val="00C2751F"/>
    <w:rsid w:val="00C30340"/>
    <w:rsid w:val="00C30643"/>
    <w:rsid w:val="00C30E41"/>
    <w:rsid w:val="00C3104E"/>
    <w:rsid w:val="00C313DD"/>
    <w:rsid w:val="00C31AF4"/>
    <w:rsid w:val="00C32083"/>
    <w:rsid w:val="00C327DD"/>
    <w:rsid w:val="00C32C5F"/>
    <w:rsid w:val="00C32FB9"/>
    <w:rsid w:val="00C333DE"/>
    <w:rsid w:val="00C33A00"/>
    <w:rsid w:val="00C33CED"/>
    <w:rsid w:val="00C33D58"/>
    <w:rsid w:val="00C344C9"/>
    <w:rsid w:val="00C3465D"/>
    <w:rsid w:val="00C3470A"/>
    <w:rsid w:val="00C350CE"/>
    <w:rsid w:val="00C35BB3"/>
    <w:rsid w:val="00C35D19"/>
    <w:rsid w:val="00C35FBC"/>
    <w:rsid w:val="00C365BC"/>
    <w:rsid w:val="00C36771"/>
    <w:rsid w:val="00C36A9E"/>
    <w:rsid w:val="00C36F91"/>
    <w:rsid w:val="00C37227"/>
    <w:rsid w:val="00C374DB"/>
    <w:rsid w:val="00C37DE8"/>
    <w:rsid w:val="00C37E12"/>
    <w:rsid w:val="00C40520"/>
    <w:rsid w:val="00C40A4A"/>
    <w:rsid w:val="00C40BE7"/>
    <w:rsid w:val="00C411DE"/>
    <w:rsid w:val="00C4134B"/>
    <w:rsid w:val="00C4208C"/>
    <w:rsid w:val="00C42187"/>
    <w:rsid w:val="00C42811"/>
    <w:rsid w:val="00C42919"/>
    <w:rsid w:val="00C4330D"/>
    <w:rsid w:val="00C438DE"/>
    <w:rsid w:val="00C43CD8"/>
    <w:rsid w:val="00C43EF8"/>
    <w:rsid w:val="00C440BC"/>
    <w:rsid w:val="00C440C1"/>
    <w:rsid w:val="00C44417"/>
    <w:rsid w:val="00C44A86"/>
    <w:rsid w:val="00C453B0"/>
    <w:rsid w:val="00C45B67"/>
    <w:rsid w:val="00C46B9E"/>
    <w:rsid w:val="00C46D15"/>
    <w:rsid w:val="00C46D69"/>
    <w:rsid w:val="00C4781A"/>
    <w:rsid w:val="00C47D6C"/>
    <w:rsid w:val="00C47D85"/>
    <w:rsid w:val="00C47F81"/>
    <w:rsid w:val="00C50873"/>
    <w:rsid w:val="00C50AC0"/>
    <w:rsid w:val="00C50B0E"/>
    <w:rsid w:val="00C50CB5"/>
    <w:rsid w:val="00C515B5"/>
    <w:rsid w:val="00C51E67"/>
    <w:rsid w:val="00C522A2"/>
    <w:rsid w:val="00C52368"/>
    <w:rsid w:val="00C5240A"/>
    <w:rsid w:val="00C52786"/>
    <w:rsid w:val="00C529B4"/>
    <w:rsid w:val="00C53A92"/>
    <w:rsid w:val="00C53E01"/>
    <w:rsid w:val="00C53ECB"/>
    <w:rsid w:val="00C53F26"/>
    <w:rsid w:val="00C5419C"/>
    <w:rsid w:val="00C548D0"/>
    <w:rsid w:val="00C54D65"/>
    <w:rsid w:val="00C54F6B"/>
    <w:rsid w:val="00C55040"/>
    <w:rsid w:val="00C550FD"/>
    <w:rsid w:val="00C55598"/>
    <w:rsid w:val="00C555A4"/>
    <w:rsid w:val="00C559F9"/>
    <w:rsid w:val="00C55A83"/>
    <w:rsid w:val="00C55B70"/>
    <w:rsid w:val="00C55B76"/>
    <w:rsid w:val="00C55BBF"/>
    <w:rsid w:val="00C55D22"/>
    <w:rsid w:val="00C569E2"/>
    <w:rsid w:val="00C56D96"/>
    <w:rsid w:val="00C56DF9"/>
    <w:rsid w:val="00C56EAB"/>
    <w:rsid w:val="00C574BF"/>
    <w:rsid w:val="00C5779C"/>
    <w:rsid w:val="00C57EB7"/>
    <w:rsid w:val="00C57EDA"/>
    <w:rsid w:val="00C6032E"/>
    <w:rsid w:val="00C603F7"/>
    <w:rsid w:val="00C604D0"/>
    <w:rsid w:val="00C605CD"/>
    <w:rsid w:val="00C60693"/>
    <w:rsid w:val="00C60857"/>
    <w:rsid w:val="00C60D93"/>
    <w:rsid w:val="00C61149"/>
    <w:rsid w:val="00C61AFF"/>
    <w:rsid w:val="00C61F4E"/>
    <w:rsid w:val="00C6229C"/>
    <w:rsid w:val="00C62E46"/>
    <w:rsid w:val="00C62F0C"/>
    <w:rsid w:val="00C63302"/>
    <w:rsid w:val="00C63336"/>
    <w:rsid w:val="00C63C19"/>
    <w:rsid w:val="00C64174"/>
    <w:rsid w:val="00C643C5"/>
    <w:rsid w:val="00C645BE"/>
    <w:rsid w:val="00C65670"/>
    <w:rsid w:val="00C6604C"/>
    <w:rsid w:val="00C6642D"/>
    <w:rsid w:val="00C6692D"/>
    <w:rsid w:val="00C66BF0"/>
    <w:rsid w:val="00C674BA"/>
    <w:rsid w:val="00C67928"/>
    <w:rsid w:val="00C67AC1"/>
    <w:rsid w:val="00C67B07"/>
    <w:rsid w:val="00C7051F"/>
    <w:rsid w:val="00C70845"/>
    <w:rsid w:val="00C70E55"/>
    <w:rsid w:val="00C70F33"/>
    <w:rsid w:val="00C71194"/>
    <w:rsid w:val="00C71890"/>
    <w:rsid w:val="00C7191E"/>
    <w:rsid w:val="00C71B13"/>
    <w:rsid w:val="00C71C59"/>
    <w:rsid w:val="00C71DCD"/>
    <w:rsid w:val="00C723A9"/>
    <w:rsid w:val="00C725D3"/>
    <w:rsid w:val="00C72869"/>
    <w:rsid w:val="00C733C8"/>
    <w:rsid w:val="00C73E58"/>
    <w:rsid w:val="00C7411D"/>
    <w:rsid w:val="00C742B6"/>
    <w:rsid w:val="00C7457D"/>
    <w:rsid w:val="00C74AD5"/>
    <w:rsid w:val="00C74E1B"/>
    <w:rsid w:val="00C75E68"/>
    <w:rsid w:val="00C7683D"/>
    <w:rsid w:val="00C76A58"/>
    <w:rsid w:val="00C76B6B"/>
    <w:rsid w:val="00C76CDE"/>
    <w:rsid w:val="00C76F89"/>
    <w:rsid w:val="00C76FF7"/>
    <w:rsid w:val="00C770B6"/>
    <w:rsid w:val="00C775AB"/>
    <w:rsid w:val="00C800C4"/>
    <w:rsid w:val="00C80CC5"/>
    <w:rsid w:val="00C812B0"/>
    <w:rsid w:val="00C81C24"/>
    <w:rsid w:val="00C82065"/>
    <w:rsid w:val="00C82112"/>
    <w:rsid w:val="00C82118"/>
    <w:rsid w:val="00C827A6"/>
    <w:rsid w:val="00C827AB"/>
    <w:rsid w:val="00C8293B"/>
    <w:rsid w:val="00C82A37"/>
    <w:rsid w:val="00C82A6E"/>
    <w:rsid w:val="00C82C73"/>
    <w:rsid w:val="00C82E91"/>
    <w:rsid w:val="00C83084"/>
    <w:rsid w:val="00C838BE"/>
    <w:rsid w:val="00C838E0"/>
    <w:rsid w:val="00C83A2E"/>
    <w:rsid w:val="00C83A7C"/>
    <w:rsid w:val="00C83DE7"/>
    <w:rsid w:val="00C845A3"/>
    <w:rsid w:val="00C84ABC"/>
    <w:rsid w:val="00C8560D"/>
    <w:rsid w:val="00C85A0A"/>
    <w:rsid w:val="00C85E82"/>
    <w:rsid w:val="00C860D0"/>
    <w:rsid w:val="00C862CD"/>
    <w:rsid w:val="00C866E4"/>
    <w:rsid w:val="00C86A64"/>
    <w:rsid w:val="00C86C46"/>
    <w:rsid w:val="00C87E83"/>
    <w:rsid w:val="00C87F79"/>
    <w:rsid w:val="00C87FD1"/>
    <w:rsid w:val="00C90389"/>
    <w:rsid w:val="00C90BC5"/>
    <w:rsid w:val="00C9194B"/>
    <w:rsid w:val="00C91AB0"/>
    <w:rsid w:val="00C91E49"/>
    <w:rsid w:val="00C92003"/>
    <w:rsid w:val="00C92234"/>
    <w:rsid w:val="00C925B7"/>
    <w:rsid w:val="00C93248"/>
    <w:rsid w:val="00C932E3"/>
    <w:rsid w:val="00C9389F"/>
    <w:rsid w:val="00C93A12"/>
    <w:rsid w:val="00C93BFB"/>
    <w:rsid w:val="00C95546"/>
    <w:rsid w:val="00C958D4"/>
    <w:rsid w:val="00C95CBF"/>
    <w:rsid w:val="00C95E5C"/>
    <w:rsid w:val="00C96516"/>
    <w:rsid w:val="00C9665C"/>
    <w:rsid w:val="00C96B5F"/>
    <w:rsid w:val="00C96D9A"/>
    <w:rsid w:val="00C976DA"/>
    <w:rsid w:val="00C97A39"/>
    <w:rsid w:val="00C97D3E"/>
    <w:rsid w:val="00CA027C"/>
    <w:rsid w:val="00CA03EE"/>
    <w:rsid w:val="00CA066A"/>
    <w:rsid w:val="00CA09DC"/>
    <w:rsid w:val="00CA17FD"/>
    <w:rsid w:val="00CA1ABF"/>
    <w:rsid w:val="00CA1CA9"/>
    <w:rsid w:val="00CA2124"/>
    <w:rsid w:val="00CA287D"/>
    <w:rsid w:val="00CA2A25"/>
    <w:rsid w:val="00CA2ADF"/>
    <w:rsid w:val="00CA2C99"/>
    <w:rsid w:val="00CA2D15"/>
    <w:rsid w:val="00CA2D71"/>
    <w:rsid w:val="00CA2FDC"/>
    <w:rsid w:val="00CA3400"/>
    <w:rsid w:val="00CA3495"/>
    <w:rsid w:val="00CA3500"/>
    <w:rsid w:val="00CA3B44"/>
    <w:rsid w:val="00CA47CB"/>
    <w:rsid w:val="00CA4890"/>
    <w:rsid w:val="00CA4C2B"/>
    <w:rsid w:val="00CA52CF"/>
    <w:rsid w:val="00CA535F"/>
    <w:rsid w:val="00CA5648"/>
    <w:rsid w:val="00CA5B2A"/>
    <w:rsid w:val="00CA6121"/>
    <w:rsid w:val="00CA6263"/>
    <w:rsid w:val="00CA6426"/>
    <w:rsid w:val="00CA6969"/>
    <w:rsid w:val="00CA6BB7"/>
    <w:rsid w:val="00CA706F"/>
    <w:rsid w:val="00CA74B7"/>
    <w:rsid w:val="00CA780C"/>
    <w:rsid w:val="00CB03CA"/>
    <w:rsid w:val="00CB078E"/>
    <w:rsid w:val="00CB1084"/>
    <w:rsid w:val="00CB1449"/>
    <w:rsid w:val="00CB1912"/>
    <w:rsid w:val="00CB1A8E"/>
    <w:rsid w:val="00CB2070"/>
    <w:rsid w:val="00CB257F"/>
    <w:rsid w:val="00CB36F1"/>
    <w:rsid w:val="00CB3B18"/>
    <w:rsid w:val="00CB462C"/>
    <w:rsid w:val="00CB4A71"/>
    <w:rsid w:val="00CB4A83"/>
    <w:rsid w:val="00CB5355"/>
    <w:rsid w:val="00CB5B1A"/>
    <w:rsid w:val="00CB5D00"/>
    <w:rsid w:val="00CB5DE0"/>
    <w:rsid w:val="00CB672A"/>
    <w:rsid w:val="00CB684A"/>
    <w:rsid w:val="00CB6B08"/>
    <w:rsid w:val="00CB6F7B"/>
    <w:rsid w:val="00CB757E"/>
    <w:rsid w:val="00CB75AD"/>
    <w:rsid w:val="00CB7689"/>
    <w:rsid w:val="00CB7A1A"/>
    <w:rsid w:val="00CC01A7"/>
    <w:rsid w:val="00CC06E7"/>
    <w:rsid w:val="00CC0E88"/>
    <w:rsid w:val="00CC12BC"/>
    <w:rsid w:val="00CC1C6A"/>
    <w:rsid w:val="00CC1C86"/>
    <w:rsid w:val="00CC218A"/>
    <w:rsid w:val="00CC260D"/>
    <w:rsid w:val="00CC2696"/>
    <w:rsid w:val="00CC2A09"/>
    <w:rsid w:val="00CC2DCD"/>
    <w:rsid w:val="00CC33E0"/>
    <w:rsid w:val="00CC3504"/>
    <w:rsid w:val="00CC3ADA"/>
    <w:rsid w:val="00CC3C26"/>
    <w:rsid w:val="00CC4696"/>
    <w:rsid w:val="00CC4E66"/>
    <w:rsid w:val="00CC4FF8"/>
    <w:rsid w:val="00CC5D3E"/>
    <w:rsid w:val="00CC6678"/>
    <w:rsid w:val="00CC66D5"/>
    <w:rsid w:val="00CC6BC9"/>
    <w:rsid w:val="00CC723C"/>
    <w:rsid w:val="00CC7479"/>
    <w:rsid w:val="00CC7B0B"/>
    <w:rsid w:val="00CD049D"/>
    <w:rsid w:val="00CD0822"/>
    <w:rsid w:val="00CD0B32"/>
    <w:rsid w:val="00CD1177"/>
    <w:rsid w:val="00CD1B21"/>
    <w:rsid w:val="00CD1B49"/>
    <w:rsid w:val="00CD2270"/>
    <w:rsid w:val="00CD250C"/>
    <w:rsid w:val="00CD2948"/>
    <w:rsid w:val="00CD2964"/>
    <w:rsid w:val="00CD2B42"/>
    <w:rsid w:val="00CD2BB5"/>
    <w:rsid w:val="00CD2CA4"/>
    <w:rsid w:val="00CD3822"/>
    <w:rsid w:val="00CD3BC5"/>
    <w:rsid w:val="00CD3EE1"/>
    <w:rsid w:val="00CD40A2"/>
    <w:rsid w:val="00CD4115"/>
    <w:rsid w:val="00CD412F"/>
    <w:rsid w:val="00CD4146"/>
    <w:rsid w:val="00CD47BF"/>
    <w:rsid w:val="00CD4AC6"/>
    <w:rsid w:val="00CD4EBF"/>
    <w:rsid w:val="00CD4F42"/>
    <w:rsid w:val="00CD5768"/>
    <w:rsid w:val="00CD5F0B"/>
    <w:rsid w:val="00CD5F84"/>
    <w:rsid w:val="00CD650F"/>
    <w:rsid w:val="00CD65BA"/>
    <w:rsid w:val="00CD686D"/>
    <w:rsid w:val="00CD6924"/>
    <w:rsid w:val="00CD6F63"/>
    <w:rsid w:val="00CD75F2"/>
    <w:rsid w:val="00CD75FB"/>
    <w:rsid w:val="00CE0359"/>
    <w:rsid w:val="00CE058D"/>
    <w:rsid w:val="00CE06A1"/>
    <w:rsid w:val="00CE07D1"/>
    <w:rsid w:val="00CE0E68"/>
    <w:rsid w:val="00CE1022"/>
    <w:rsid w:val="00CE12AC"/>
    <w:rsid w:val="00CE1453"/>
    <w:rsid w:val="00CE1825"/>
    <w:rsid w:val="00CE187A"/>
    <w:rsid w:val="00CE1C74"/>
    <w:rsid w:val="00CE2039"/>
    <w:rsid w:val="00CE22F2"/>
    <w:rsid w:val="00CE268D"/>
    <w:rsid w:val="00CE284B"/>
    <w:rsid w:val="00CE2BAE"/>
    <w:rsid w:val="00CE3315"/>
    <w:rsid w:val="00CE335D"/>
    <w:rsid w:val="00CE3FEC"/>
    <w:rsid w:val="00CE4491"/>
    <w:rsid w:val="00CE45CA"/>
    <w:rsid w:val="00CE4B31"/>
    <w:rsid w:val="00CE4D00"/>
    <w:rsid w:val="00CE4E0D"/>
    <w:rsid w:val="00CE4E66"/>
    <w:rsid w:val="00CE515D"/>
    <w:rsid w:val="00CE5605"/>
    <w:rsid w:val="00CE5614"/>
    <w:rsid w:val="00CE5676"/>
    <w:rsid w:val="00CE59AE"/>
    <w:rsid w:val="00CE5A3C"/>
    <w:rsid w:val="00CE5DAA"/>
    <w:rsid w:val="00CE5DBC"/>
    <w:rsid w:val="00CE62A9"/>
    <w:rsid w:val="00CE6A77"/>
    <w:rsid w:val="00CE6D1A"/>
    <w:rsid w:val="00CE72C4"/>
    <w:rsid w:val="00CE77FC"/>
    <w:rsid w:val="00CE7A79"/>
    <w:rsid w:val="00CE7CC5"/>
    <w:rsid w:val="00CE7D84"/>
    <w:rsid w:val="00CE7EC2"/>
    <w:rsid w:val="00CE7F8E"/>
    <w:rsid w:val="00CF0081"/>
    <w:rsid w:val="00CF01FA"/>
    <w:rsid w:val="00CF0399"/>
    <w:rsid w:val="00CF06FB"/>
    <w:rsid w:val="00CF1342"/>
    <w:rsid w:val="00CF256F"/>
    <w:rsid w:val="00CF257C"/>
    <w:rsid w:val="00CF3B17"/>
    <w:rsid w:val="00CF4741"/>
    <w:rsid w:val="00CF4E04"/>
    <w:rsid w:val="00CF4E92"/>
    <w:rsid w:val="00CF5195"/>
    <w:rsid w:val="00CF522D"/>
    <w:rsid w:val="00CF5777"/>
    <w:rsid w:val="00CF5897"/>
    <w:rsid w:val="00CF64F2"/>
    <w:rsid w:val="00CF65A1"/>
    <w:rsid w:val="00CF6C45"/>
    <w:rsid w:val="00CF6CDA"/>
    <w:rsid w:val="00CF7668"/>
    <w:rsid w:val="00CF7CBD"/>
    <w:rsid w:val="00D000B0"/>
    <w:rsid w:val="00D000CB"/>
    <w:rsid w:val="00D0034E"/>
    <w:rsid w:val="00D00535"/>
    <w:rsid w:val="00D00F07"/>
    <w:rsid w:val="00D012DA"/>
    <w:rsid w:val="00D014E4"/>
    <w:rsid w:val="00D017A5"/>
    <w:rsid w:val="00D018EA"/>
    <w:rsid w:val="00D01F99"/>
    <w:rsid w:val="00D02D77"/>
    <w:rsid w:val="00D03164"/>
    <w:rsid w:val="00D03695"/>
    <w:rsid w:val="00D0377A"/>
    <w:rsid w:val="00D03AB4"/>
    <w:rsid w:val="00D03CB1"/>
    <w:rsid w:val="00D03E5F"/>
    <w:rsid w:val="00D03EBD"/>
    <w:rsid w:val="00D0416D"/>
    <w:rsid w:val="00D04230"/>
    <w:rsid w:val="00D045EB"/>
    <w:rsid w:val="00D049FB"/>
    <w:rsid w:val="00D04B01"/>
    <w:rsid w:val="00D04BDA"/>
    <w:rsid w:val="00D05157"/>
    <w:rsid w:val="00D05709"/>
    <w:rsid w:val="00D059C5"/>
    <w:rsid w:val="00D063EB"/>
    <w:rsid w:val="00D0661B"/>
    <w:rsid w:val="00D066DA"/>
    <w:rsid w:val="00D0737D"/>
    <w:rsid w:val="00D07A3B"/>
    <w:rsid w:val="00D07CF7"/>
    <w:rsid w:val="00D07D5F"/>
    <w:rsid w:val="00D10479"/>
    <w:rsid w:val="00D1056D"/>
    <w:rsid w:val="00D10783"/>
    <w:rsid w:val="00D11166"/>
    <w:rsid w:val="00D11ABF"/>
    <w:rsid w:val="00D11D80"/>
    <w:rsid w:val="00D123D4"/>
    <w:rsid w:val="00D134D3"/>
    <w:rsid w:val="00D138F0"/>
    <w:rsid w:val="00D13B31"/>
    <w:rsid w:val="00D1402D"/>
    <w:rsid w:val="00D14986"/>
    <w:rsid w:val="00D14E08"/>
    <w:rsid w:val="00D14E48"/>
    <w:rsid w:val="00D1529E"/>
    <w:rsid w:val="00D15349"/>
    <w:rsid w:val="00D15FF8"/>
    <w:rsid w:val="00D160BB"/>
    <w:rsid w:val="00D168B6"/>
    <w:rsid w:val="00D16996"/>
    <w:rsid w:val="00D169E5"/>
    <w:rsid w:val="00D1731A"/>
    <w:rsid w:val="00D17339"/>
    <w:rsid w:val="00D17AE1"/>
    <w:rsid w:val="00D17E44"/>
    <w:rsid w:val="00D20356"/>
    <w:rsid w:val="00D20D9A"/>
    <w:rsid w:val="00D20EB1"/>
    <w:rsid w:val="00D20F04"/>
    <w:rsid w:val="00D21E79"/>
    <w:rsid w:val="00D220C9"/>
    <w:rsid w:val="00D237B1"/>
    <w:rsid w:val="00D237BE"/>
    <w:rsid w:val="00D23D64"/>
    <w:rsid w:val="00D23DCB"/>
    <w:rsid w:val="00D241F2"/>
    <w:rsid w:val="00D2496A"/>
    <w:rsid w:val="00D24E5F"/>
    <w:rsid w:val="00D2523A"/>
    <w:rsid w:val="00D25656"/>
    <w:rsid w:val="00D2589C"/>
    <w:rsid w:val="00D2599A"/>
    <w:rsid w:val="00D26009"/>
    <w:rsid w:val="00D261F3"/>
    <w:rsid w:val="00D266B5"/>
    <w:rsid w:val="00D2692A"/>
    <w:rsid w:val="00D26C6F"/>
    <w:rsid w:val="00D26F50"/>
    <w:rsid w:val="00D273C8"/>
    <w:rsid w:val="00D274D9"/>
    <w:rsid w:val="00D27978"/>
    <w:rsid w:val="00D27A6D"/>
    <w:rsid w:val="00D27AD1"/>
    <w:rsid w:val="00D27D4E"/>
    <w:rsid w:val="00D27EAA"/>
    <w:rsid w:val="00D30356"/>
    <w:rsid w:val="00D303D4"/>
    <w:rsid w:val="00D308BE"/>
    <w:rsid w:val="00D30F79"/>
    <w:rsid w:val="00D310BF"/>
    <w:rsid w:val="00D314C5"/>
    <w:rsid w:val="00D31932"/>
    <w:rsid w:val="00D31B6B"/>
    <w:rsid w:val="00D31D6B"/>
    <w:rsid w:val="00D31EB9"/>
    <w:rsid w:val="00D326EE"/>
    <w:rsid w:val="00D327B2"/>
    <w:rsid w:val="00D328FA"/>
    <w:rsid w:val="00D32B04"/>
    <w:rsid w:val="00D3318B"/>
    <w:rsid w:val="00D3447F"/>
    <w:rsid w:val="00D34CCD"/>
    <w:rsid w:val="00D3528F"/>
    <w:rsid w:val="00D355A5"/>
    <w:rsid w:val="00D356D3"/>
    <w:rsid w:val="00D35A3A"/>
    <w:rsid w:val="00D3653A"/>
    <w:rsid w:val="00D36D79"/>
    <w:rsid w:val="00D36EA6"/>
    <w:rsid w:val="00D3730E"/>
    <w:rsid w:val="00D3733A"/>
    <w:rsid w:val="00D37A3A"/>
    <w:rsid w:val="00D37F2E"/>
    <w:rsid w:val="00D404BF"/>
    <w:rsid w:val="00D4153D"/>
    <w:rsid w:val="00D41D59"/>
    <w:rsid w:val="00D41DE0"/>
    <w:rsid w:val="00D41EF6"/>
    <w:rsid w:val="00D420DC"/>
    <w:rsid w:val="00D433C5"/>
    <w:rsid w:val="00D43403"/>
    <w:rsid w:val="00D434D1"/>
    <w:rsid w:val="00D4365D"/>
    <w:rsid w:val="00D438BA"/>
    <w:rsid w:val="00D4447F"/>
    <w:rsid w:val="00D445EF"/>
    <w:rsid w:val="00D446ED"/>
    <w:rsid w:val="00D44957"/>
    <w:rsid w:val="00D4536B"/>
    <w:rsid w:val="00D45F84"/>
    <w:rsid w:val="00D46138"/>
    <w:rsid w:val="00D46832"/>
    <w:rsid w:val="00D46F38"/>
    <w:rsid w:val="00D47436"/>
    <w:rsid w:val="00D474F9"/>
    <w:rsid w:val="00D4773F"/>
    <w:rsid w:val="00D47A26"/>
    <w:rsid w:val="00D47D62"/>
    <w:rsid w:val="00D47E23"/>
    <w:rsid w:val="00D50304"/>
    <w:rsid w:val="00D505B9"/>
    <w:rsid w:val="00D50A70"/>
    <w:rsid w:val="00D51682"/>
    <w:rsid w:val="00D516E7"/>
    <w:rsid w:val="00D51990"/>
    <w:rsid w:val="00D51A25"/>
    <w:rsid w:val="00D51A44"/>
    <w:rsid w:val="00D51BF3"/>
    <w:rsid w:val="00D51E7F"/>
    <w:rsid w:val="00D520DD"/>
    <w:rsid w:val="00D52DA5"/>
    <w:rsid w:val="00D530FE"/>
    <w:rsid w:val="00D531D1"/>
    <w:rsid w:val="00D5334A"/>
    <w:rsid w:val="00D53AF2"/>
    <w:rsid w:val="00D54593"/>
    <w:rsid w:val="00D54B53"/>
    <w:rsid w:val="00D556D5"/>
    <w:rsid w:val="00D5592B"/>
    <w:rsid w:val="00D55FBD"/>
    <w:rsid w:val="00D567B2"/>
    <w:rsid w:val="00D56A62"/>
    <w:rsid w:val="00D56BBF"/>
    <w:rsid w:val="00D57232"/>
    <w:rsid w:val="00D5751F"/>
    <w:rsid w:val="00D575A9"/>
    <w:rsid w:val="00D57604"/>
    <w:rsid w:val="00D57793"/>
    <w:rsid w:val="00D5799B"/>
    <w:rsid w:val="00D6052F"/>
    <w:rsid w:val="00D60EAB"/>
    <w:rsid w:val="00D610FF"/>
    <w:rsid w:val="00D6184D"/>
    <w:rsid w:val="00D623ED"/>
    <w:rsid w:val="00D62452"/>
    <w:rsid w:val="00D62504"/>
    <w:rsid w:val="00D62513"/>
    <w:rsid w:val="00D62E98"/>
    <w:rsid w:val="00D62FDD"/>
    <w:rsid w:val="00D6307D"/>
    <w:rsid w:val="00D63083"/>
    <w:rsid w:val="00D63537"/>
    <w:rsid w:val="00D63CA9"/>
    <w:rsid w:val="00D64055"/>
    <w:rsid w:val="00D64073"/>
    <w:rsid w:val="00D641B6"/>
    <w:rsid w:val="00D643B4"/>
    <w:rsid w:val="00D644B4"/>
    <w:rsid w:val="00D645BE"/>
    <w:rsid w:val="00D6526B"/>
    <w:rsid w:val="00D65CC9"/>
    <w:rsid w:val="00D65EFF"/>
    <w:rsid w:val="00D665FB"/>
    <w:rsid w:val="00D66FEC"/>
    <w:rsid w:val="00D675FF"/>
    <w:rsid w:val="00D6765B"/>
    <w:rsid w:val="00D67730"/>
    <w:rsid w:val="00D67825"/>
    <w:rsid w:val="00D67E86"/>
    <w:rsid w:val="00D7037F"/>
    <w:rsid w:val="00D705EC"/>
    <w:rsid w:val="00D70A16"/>
    <w:rsid w:val="00D70F17"/>
    <w:rsid w:val="00D71175"/>
    <w:rsid w:val="00D718DD"/>
    <w:rsid w:val="00D71E2C"/>
    <w:rsid w:val="00D71EE3"/>
    <w:rsid w:val="00D7250E"/>
    <w:rsid w:val="00D72CA9"/>
    <w:rsid w:val="00D7333E"/>
    <w:rsid w:val="00D73701"/>
    <w:rsid w:val="00D73D76"/>
    <w:rsid w:val="00D73EF5"/>
    <w:rsid w:val="00D73FC2"/>
    <w:rsid w:val="00D74397"/>
    <w:rsid w:val="00D74415"/>
    <w:rsid w:val="00D74580"/>
    <w:rsid w:val="00D7479A"/>
    <w:rsid w:val="00D74FE5"/>
    <w:rsid w:val="00D752BF"/>
    <w:rsid w:val="00D7543F"/>
    <w:rsid w:val="00D759DE"/>
    <w:rsid w:val="00D765A7"/>
    <w:rsid w:val="00D7711C"/>
    <w:rsid w:val="00D77149"/>
    <w:rsid w:val="00D77882"/>
    <w:rsid w:val="00D77B3F"/>
    <w:rsid w:val="00D800A9"/>
    <w:rsid w:val="00D80452"/>
    <w:rsid w:val="00D80E78"/>
    <w:rsid w:val="00D812D0"/>
    <w:rsid w:val="00D817E4"/>
    <w:rsid w:val="00D81A79"/>
    <w:rsid w:val="00D81B43"/>
    <w:rsid w:val="00D81BE0"/>
    <w:rsid w:val="00D81DC6"/>
    <w:rsid w:val="00D82355"/>
    <w:rsid w:val="00D8261A"/>
    <w:rsid w:val="00D82769"/>
    <w:rsid w:val="00D82D2D"/>
    <w:rsid w:val="00D83327"/>
    <w:rsid w:val="00D8332E"/>
    <w:rsid w:val="00D83B60"/>
    <w:rsid w:val="00D83CD5"/>
    <w:rsid w:val="00D83D36"/>
    <w:rsid w:val="00D84272"/>
    <w:rsid w:val="00D850DF"/>
    <w:rsid w:val="00D85A37"/>
    <w:rsid w:val="00D85BC0"/>
    <w:rsid w:val="00D85FBE"/>
    <w:rsid w:val="00D861C5"/>
    <w:rsid w:val="00D8622A"/>
    <w:rsid w:val="00D86511"/>
    <w:rsid w:val="00D86652"/>
    <w:rsid w:val="00D86941"/>
    <w:rsid w:val="00D8706D"/>
    <w:rsid w:val="00D871F1"/>
    <w:rsid w:val="00D87218"/>
    <w:rsid w:val="00D874EC"/>
    <w:rsid w:val="00D87714"/>
    <w:rsid w:val="00D8786B"/>
    <w:rsid w:val="00D87A11"/>
    <w:rsid w:val="00D87B34"/>
    <w:rsid w:val="00D87B5B"/>
    <w:rsid w:val="00D87B61"/>
    <w:rsid w:val="00D87ECF"/>
    <w:rsid w:val="00D90823"/>
    <w:rsid w:val="00D912AA"/>
    <w:rsid w:val="00D91468"/>
    <w:rsid w:val="00D91E5B"/>
    <w:rsid w:val="00D92859"/>
    <w:rsid w:val="00D92883"/>
    <w:rsid w:val="00D92F91"/>
    <w:rsid w:val="00D9300B"/>
    <w:rsid w:val="00D932C6"/>
    <w:rsid w:val="00D9343D"/>
    <w:rsid w:val="00D937FC"/>
    <w:rsid w:val="00D9380C"/>
    <w:rsid w:val="00D93924"/>
    <w:rsid w:val="00D93A69"/>
    <w:rsid w:val="00D93B8E"/>
    <w:rsid w:val="00D94070"/>
    <w:rsid w:val="00D9459E"/>
    <w:rsid w:val="00D94EB5"/>
    <w:rsid w:val="00D95278"/>
    <w:rsid w:val="00D959B2"/>
    <w:rsid w:val="00D9615D"/>
    <w:rsid w:val="00D96629"/>
    <w:rsid w:val="00D96997"/>
    <w:rsid w:val="00D97389"/>
    <w:rsid w:val="00D9754A"/>
    <w:rsid w:val="00D97D87"/>
    <w:rsid w:val="00DA0337"/>
    <w:rsid w:val="00DA07F9"/>
    <w:rsid w:val="00DA0936"/>
    <w:rsid w:val="00DA102B"/>
    <w:rsid w:val="00DA15E8"/>
    <w:rsid w:val="00DA1AC5"/>
    <w:rsid w:val="00DA2130"/>
    <w:rsid w:val="00DA258F"/>
    <w:rsid w:val="00DA3183"/>
    <w:rsid w:val="00DA38E3"/>
    <w:rsid w:val="00DA393D"/>
    <w:rsid w:val="00DA3B0E"/>
    <w:rsid w:val="00DA3DC4"/>
    <w:rsid w:val="00DA3DF8"/>
    <w:rsid w:val="00DA49FC"/>
    <w:rsid w:val="00DA4C10"/>
    <w:rsid w:val="00DA4E59"/>
    <w:rsid w:val="00DA52C1"/>
    <w:rsid w:val="00DA550A"/>
    <w:rsid w:val="00DA55B6"/>
    <w:rsid w:val="00DA57CC"/>
    <w:rsid w:val="00DA5BBC"/>
    <w:rsid w:val="00DA5C11"/>
    <w:rsid w:val="00DA5E04"/>
    <w:rsid w:val="00DA628A"/>
    <w:rsid w:val="00DA667B"/>
    <w:rsid w:val="00DA6737"/>
    <w:rsid w:val="00DA6E27"/>
    <w:rsid w:val="00DA76DC"/>
    <w:rsid w:val="00DA7A82"/>
    <w:rsid w:val="00DB0678"/>
    <w:rsid w:val="00DB0AD7"/>
    <w:rsid w:val="00DB0CA5"/>
    <w:rsid w:val="00DB0EC1"/>
    <w:rsid w:val="00DB15BF"/>
    <w:rsid w:val="00DB1716"/>
    <w:rsid w:val="00DB1D2B"/>
    <w:rsid w:val="00DB1FB7"/>
    <w:rsid w:val="00DB21BB"/>
    <w:rsid w:val="00DB2A75"/>
    <w:rsid w:val="00DB2C9B"/>
    <w:rsid w:val="00DB2DF5"/>
    <w:rsid w:val="00DB2E51"/>
    <w:rsid w:val="00DB3145"/>
    <w:rsid w:val="00DB4238"/>
    <w:rsid w:val="00DB4609"/>
    <w:rsid w:val="00DB5E33"/>
    <w:rsid w:val="00DB5F36"/>
    <w:rsid w:val="00DB63ED"/>
    <w:rsid w:val="00DB64F6"/>
    <w:rsid w:val="00DB6FB6"/>
    <w:rsid w:val="00DC0FA6"/>
    <w:rsid w:val="00DC130C"/>
    <w:rsid w:val="00DC17B1"/>
    <w:rsid w:val="00DC1A87"/>
    <w:rsid w:val="00DC2292"/>
    <w:rsid w:val="00DC2E98"/>
    <w:rsid w:val="00DC311A"/>
    <w:rsid w:val="00DC3725"/>
    <w:rsid w:val="00DC459C"/>
    <w:rsid w:val="00DC4992"/>
    <w:rsid w:val="00DC4BB8"/>
    <w:rsid w:val="00DC508E"/>
    <w:rsid w:val="00DC5487"/>
    <w:rsid w:val="00DC5BEF"/>
    <w:rsid w:val="00DC5DC9"/>
    <w:rsid w:val="00DC6760"/>
    <w:rsid w:val="00DC68FA"/>
    <w:rsid w:val="00DC6B2C"/>
    <w:rsid w:val="00DC6E2A"/>
    <w:rsid w:val="00DC70C6"/>
    <w:rsid w:val="00DC714C"/>
    <w:rsid w:val="00DC7F60"/>
    <w:rsid w:val="00DC7F96"/>
    <w:rsid w:val="00DD0342"/>
    <w:rsid w:val="00DD06BF"/>
    <w:rsid w:val="00DD0737"/>
    <w:rsid w:val="00DD1E85"/>
    <w:rsid w:val="00DD2359"/>
    <w:rsid w:val="00DD2E08"/>
    <w:rsid w:val="00DD2F7B"/>
    <w:rsid w:val="00DD30D9"/>
    <w:rsid w:val="00DD3126"/>
    <w:rsid w:val="00DD38E5"/>
    <w:rsid w:val="00DD3B3D"/>
    <w:rsid w:val="00DD42D5"/>
    <w:rsid w:val="00DD4A2C"/>
    <w:rsid w:val="00DD4C42"/>
    <w:rsid w:val="00DD4CEA"/>
    <w:rsid w:val="00DD4F7C"/>
    <w:rsid w:val="00DD665E"/>
    <w:rsid w:val="00DD6A4B"/>
    <w:rsid w:val="00DD6A85"/>
    <w:rsid w:val="00DD6E06"/>
    <w:rsid w:val="00DD6E24"/>
    <w:rsid w:val="00DD6FE1"/>
    <w:rsid w:val="00DD70FD"/>
    <w:rsid w:val="00DD78D6"/>
    <w:rsid w:val="00DD7BF7"/>
    <w:rsid w:val="00DD7C2C"/>
    <w:rsid w:val="00DD7D69"/>
    <w:rsid w:val="00DE04FA"/>
    <w:rsid w:val="00DE0C23"/>
    <w:rsid w:val="00DE138F"/>
    <w:rsid w:val="00DE148A"/>
    <w:rsid w:val="00DE14A2"/>
    <w:rsid w:val="00DE19E2"/>
    <w:rsid w:val="00DE23C8"/>
    <w:rsid w:val="00DE25AF"/>
    <w:rsid w:val="00DE28F8"/>
    <w:rsid w:val="00DE29BA"/>
    <w:rsid w:val="00DE2E79"/>
    <w:rsid w:val="00DE31BD"/>
    <w:rsid w:val="00DE34B7"/>
    <w:rsid w:val="00DE37BC"/>
    <w:rsid w:val="00DE3893"/>
    <w:rsid w:val="00DE38F1"/>
    <w:rsid w:val="00DE3939"/>
    <w:rsid w:val="00DE3AD4"/>
    <w:rsid w:val="00DE3B79"/>
    <w:rsid w:val="00DE3E13"/>
    <w:rsid w:val="00DE418C"/>
    <w:rsid w:val="00DE45F2"/>
    <w:rsid w:val="00DE4DC3"/>
    <w:rsid w:val="00DE5060"/>
    <w:rsid w:val="00DE52B0"/>
    <w:rsid w:val="00DE54D1"/>
    <w:rsid w:val="00DE5631"/>
    <w:rsid w:val="00DE56D0"/>
    <w:rsid w:val="00DE588D"/>
    <w:rsid w:val="00DE5C7B"/>
    <w:rsid w:val="00DE5E67"/>
    <w:rsid w:val="00DE5F97"/>
    <w:rsid w:val="00DE74B8"/>
    <w:rsid w:val="00DE78B3"/>
    <w:rsid w:val="00DE7BE0"/>
    <w:rsid w:val="00DE7F07"/>
    <w:rsid w:val="00DE7FE1"/>
    <w:rsid w:val="00DF05A4"/>
    <w:rsid w:val="00DF05E6"/>
    <w:rsid w:val="00DF06CA"/>
    <w:rsid w:val="00DF1303"/>
    <w:rsid w:val="00DF1386"/>
    <w:rsid w:val="00DF1623"/>
    <w:rsid w:val="00DF16CC"/>
    <w:rsid w:val="00DF2260"/>
    <w:rsid w:val="00DF24CC"/>
    <w:rsid w:val="00DF2D3E"/>
    <w:rsid w:val="00DF2D9E"/>
    <w:rsid w:val="00DF2E4E"/>
    <w:rsid w:val="00DF3245"/>
    <w:rsid w:val="00DF34A4"/>
    <w:rsid w:val="00DF363F"/>
    <w:rsid w:val="00DF36FD"/>
    <w:rsid w:val="00DF3A8E"/>
    <w:rsid w:val="00DF3B1D"/>
    <w:rsid w:val="00DF3BB9"/>
    <w:rsid w:val="00DF3F89"/>
    <w:rsid w:val="00DF4216"/>
    <w:rsid w:val="00DF44CB"/>
    <w:rsid w:val="00DF46C4"/>
    <w:rsid w:val="00DF4B56"/>
    <w:rsid w:val="00DF4BDE"/>
    <w:rsid w:val="00DF4BED"/>
    <w:rsid w:val="00DF4CB7"/>
    <w:rsid w:val="00DF4D59"/>
    <w:rsid w:val="00DF4E27"/>
    <w:rsid w:val="00DF4E88"/>
    <w:rsid w:val="00DF509C"/>
    <w:rsid w:val="00DF5423"/>
    <w:rsid w:val="00DF5C7D"/>
    <w:rsid w:val="00DF5E3A"/>
    <w:rsid w:val="00DF6D18"/>
    <w:rsid w:val="00DF7236"/>
    <w:rsid w:val="00DF726A"/>
    <w:rsid w:val="00DF77F2"/>
    <w:rsid w:val="00DF7851"/>
    <w:rsid w:val="00DF7F7A"/>
    <w:rsid w:val="00E00365"/>
    <w:rsid w:val="00E00618"/>
    <w:rsid w:val="00E00897"/>
    <w:rsid w:val="00E00CE5"/>
    <w:rsid w:val="00E0250F"/>
    <w:rsid w:val="00E02660"/>
    <w:rsid w:val="00E027FF"/>
    <w:rsid w:val="00E02817"/>
    <w:rsid w:val="00E02B83"/>
    <w:rsid w:val="00E02F56"/>
    <w:rsid w:val="00E02F68"/>
    <w:rsid w:val="00E038C5"/>
    <w:rsid w:val="00E03E3B"/>
    <w:rsid w:val="00E043E0"/>
    <w:rsid w:val="00E0448C"/>
    <w:rsid w:val="00E04589"/>
    <w:rsid w:val="00E05EFE"/>
    <w:rsid w:val="00E05FDE"/>
    <w:rsid w:val="00E06031"/>
    <w:rsid w:val="00E0639E"/>
    <w:rsid w:val="00E06501"/>
    <w:rsid w:val="00E06AC7"/>
    <w:rsid w:val="00E06B38"/>
    <w:rsid w:val="00E07340"/>
    <w:rsid w:val="00E0747D"/>
    <w:rsid w:val="00E078A9"/>
    <w:rsid w:val="00E07D8D"/>
    <w:rsid w:val="00E102E4"/>
    <w:rsid w:val="00E1040F"/>
    <w:rsid w:val="00E10694"/>
    <w:rsid w:val="00E107E7"/>
    <w:rsid w:val="00E11A2D"/>
    <w:rsid w:val="00E11D36"/>
    <w:rsid w:val="00E121B7"/>
    <w:rsid w:val="00E12346"/>
    <w:rsid w:val="00E12621"/>
    <w:rsid w:val="00E128D8"/>
    <w:rsid w:val="00E12C42"/>
    <w:rsid w:val="00E132D9"/>
    <w:rsid w:val="00E13E74"/>
    <w:rsid w:val="00E14410"/>
    <w:rsid w:val="00E148DE"/>
    <w:rsid w:val="00E14B11"/>
    <w:rsid w:val="00E15315"/>
    <w:rsid w:val="00E153C3"/>
    <w:rsid w:val="00E154A3"/>
    <w:rsid w:val="00E155A9"/>
    <w:rsid w:val="00E15A50"/>
    <w:rsid w:val="00E15D68"/>
    <w:rsid w:val="00E15E54"/>
    <w:rsid w:val="00E161F5"/>
    <w:rsid w:val="00E165B5"/>
    <w:rsid w:val="00E1688A"/>
    <w:rsid w:val="00E16B02"/>
    <w:rsid w:val="00E170B3"/>
    <w:rsid w:val="00E1728C"/>
    <w:rsid w:val="00E17A0A"/>
    <w:rsid w:val="00E17ED6"/>
    <w:rsid w:val="00E200F0"/>
    <w:rsid w:val="00E20278"/>
    <w:rsid w:val="00E20EEF"/>
    <w:rsid w:val="00E2161B"/>
    <w:rsid w:val="00E21952"/>
    <w:rsid w:val="00E227EA"/>
    <w:rsid w:val="00E232AF"/>
    <w:rsid w:val="00E232BB"/>
    <w:rsid w:val="00E2333B"/>
    <w:rsid w:val="00E2363D"/>
    <w:rsid w:val="00E23756"/>
    <w:rsid w:val="00E23CA4"/>
    <w:rsid w:val="00E24145"/>
    <w:rsid w:val="00E24353"/>
    <w:rsid w:val="00E247A9"/>
    <w:rsid w:val="00E2484E"/>
    <w:rsid w:val="00E24D39"/>
    <w:rsid w:val="00E25107"/>
    <w:rsid w:val="00E251ED"/>
    <w:rsid w:val="00E25724"/>
    <w:rsid w:val="00E25996"/>
    <w:rsid w:val="00E25B33"/>
    <w:rsid w:val="00E25B63"/>
    <w:rsid w:val="00E25BF8"/>
    <w:rsid w:val="00E26053"/>
    <w:rsid w:val="00E26343"/>
    <w:rsid w:val="00E265F0"/>
    <w:rsid w:val="00E26758"/>
    <w:rsid w:val="00E26DC0"/>
    <w:rsid w:val="00E2754E"/>
    <w:rsid w:val="00E2785E"/>
    <w:rsid w:val="00E27BDF"/>
    <w:rsid w:val="00E27DCF"/>
    <w:rsid w:val="00E300E3"/>
    <w:rsid w:val="00E3012B"/>
    <w:rsid w:val="00E3034E"/>
    <w:rsid w:val="00E307BD"/>
    <w:rsid w:val="00E30CBE"/>
    <w:rsid w:val="00E30D9B"/>
    <w:rsid w:val="00E3128A"/>
    <w:rsid w:val="00E32413"/>
    <w:rsid w:val="00E32693"/>
    <w:rsid w:val="00E326EA"/>
    <w:rsid w:val="00E32AD7"/>
    <w:rsid w:val="00E32B31"/>
    <w:rsid w:val="00E32BC6"/>
    <w:rsid w:val="00E32BEA"/>
    <w:rsid w:val="00E32F09"/>
    <w:rsid w:val="00E330DD"/>
    <w:rsid w:val="00E3315C"/>
    <w:rsid w:val="00E33D93"/>
    <w:rsid w:val="00E33F20"/>
    <w:rsid w:val="00E342A8"/>
    <w:rsid w:val="00E346C4"/>
    <w:rsid w:val="00E3560E"/>
    <w:rsid w:val="00E3577C"/>
    <w:rsid w:val="00E36124"/>
    <w:rsid w:val="00E3666C"/>
    <w:rsid w:val="00E3706E"/>
    <w:rsid w:val="00E37140"/>
    <w:rsid w:val="00E37150"/>
    <w:rsid w:val="00E37193"/>
    <w:rsid w:val="00E379D2"/>
    <w:rsid w:val="00E37CBC"/>
    <w:rsid w:val="00E37CC1"/>
    <w:rsid w:val="00E409C1"/>
    <w:rsid w:val="00E40B43"/>
    <w:rsid w:val="00E40F2E"/>
    <w:rsid w:val="00E40F5E"/>
    <w:rsid w:val="00E410C2"/>
    <w:rsid w:val="00E415E8"/>
    <w:rsid w:val="00E416FC"/>
    <w:rsid w:val="00E4174D"/>
    <w:rsid w:val="00E417DB"/>
    <w:rsid w:val="00E418E4"/>
    <w:rsid w:val="00E42214"/>
    <w:rsid w:val="00E422FF"/>
    <w:rsid w:val="00E42729"/>
    <w:rsid w:val="00E42CF8"/>
    <w:rsid w:val="00E42F75"/>
    <w:rsid w:val="00E43275"/>
    <w:rsid w:val="00E432AF"/>
    <w:rsid w:val="00E43FC0"/>
    <w:rsid w:val="00E44494"/>
    <w:rsid w:val="00E44920"/>
    <w:rsid w:val="00E44BD1"/>
    <w:rsid w:val="00E45B37"/>
    <w:rsid w:val="00E45DFA"/>
    <w:rsid w:val="00E45E54"/>
    <w:rsid w:val="00E46641"/>
    <w:rsid w:val="00E4669C"/>
    <w:rsid w:val="00E4692F"/>
    <w:rsid w:val="00E46FAF"/>
    <w:rsid w:val="00E46FDA"/>
    <w:rsid w:val="00E47078"/>
    <w:rsid w:val="00E47A1E"/>
    <w:rsid w:val="00E47A71"/>
    <w:rsid w:val="00E47EFE"/>
    <w:rsid w:val="00E50262"/>
    <w:rsid w:val="00E5057A"/>
    <w:rsid w:val="00E50712"/>
    <w:rsid w:val="00E50895"/>
    <w:rsid w:val="00E50A78"/>
    <w:rsid w:val="00E50BE2"/>
    <w:rsid w:val="00E50EA3"/>
    <w:rsid w:val="00E5168B"/>
    <w:rsid w:val="00E517DA"/>
    <w:rsid w:val="00E51AB7"/>
    <w:rsid w:val="00E51C1C"/>
    <w:rsid w:val="00E51F1C"/>
    <w:rsid w:val="00E52028"/>
    <w:rsid w:val="00E525AB"/>
    <w:rsid w:val="00E52D3A"/>
    <w:rsid w:val="00E52F52"/>
    <w:rsid w:val="00E52FA6"/>
    <w:rsid w:val="00E5327C"/>
    <w:rsid w:val="00E53379"/>
    <w:rsid w:val="00E53481"/>
    <w:rsid w:val="00E54055"/>
    <w:rsid w:val="00E548A5"/>
    <w:rsid w:val="00E54955"/>
    <w:rsid w:val="00E553A5"/>
    <w:rsid w:val="00E559E3"/>
    <w:rsid w:val="00E5686D"/>
    <w:rsid w:val="00E56B4A"/>
    <w:rsid w:val="00E56E54"/>
    <w:rsid w:val="00E572CD"/>
    <w:rsid w:val="00E57EEC"/>
    <w:rsid w:val="00E601E9"/>
    <w:rsid w:val="00E60646"/>
    <w:rsid w:val="00E60675"/>
    <w:rsid w:val="00E60AF7"/>
    <w:rsid w:val="00E60F0F"/>
    <w:rsid w:val="00E615DE"/>
    <w:rsid w:val="00E61D87"/>
    <w:rsid w:val="00E628F2"/>
    <w:rsid w:val="00E62D18"/>
    <w:rsid w:val="00E62D84"/>
    <w:rsid w:val="00E6300C"/>
    <w:rsid w:val="00E63107"/>
    <w:rsid w:val="00E6349A"/>
    <w:rsid w:val="00E63C7B"/>
    <w:rsid w:val="00E64046"/>
    <w:rsid w:val="00E64099"/>
    <w:rsid w:val="00E64120"/>
    <w:rsid w:val="00E641AC"/>
    <w:rsid w:val="00E6552A"/>
    <w:rsid w:val="00E658B1"/>
    <w:rsid w:val="00E65C55"/>
    <w:rsid w:val="00E65C68"/>
    <w:rsid w:val="00E65E1E"/>
    <w:rsid w:val="00E665BF"/>
    <w:rsid w:val="00E668B8"/>
    <w:rsid w:val="00E700D9"/>
    <w:rsid w:val="00E70853"/>
    <w:rsid w:val="00E70C63"/>
    <w:rsid w:val="00E70D3A"/>
    <w:rsid w:val="00E71C85"/>
    <w:rsid w:val="00E71F1D"/>
    <w:rsid w:val="00E71FC9"/>
    <w:rsid w:val="00E72067"/>
    <w:rsid w:val="00E72174"/>
    <w:rsid w:val="00E72680"/>
    <w:rsid w:val="00E72B34"/>
    <w:rsid w:val="00E736CD"/>
    <w:rsid w:val="00E7391A"/>
    <w:rsid w:val="00E73CC4"/>
    <w:rsid w:val="00E73F81"/>
    <w:rsid w:val="00E745B7"/>
    <w:rsid w:val="00E74A90"/>
    <w:rsid w:val="00E750EC"/>
    <w:rsid w:val="00E753DE"/>
    <w:rsid w:val="00E756C1"/>
    <w:rsid w:val="00E75A44"/>
    <w:rsid w:val="00E76018"/>
    <w:rsid w:val="00E76063"/>
    <w:rsid w:val="00E766A7"/>
    <w:rsid w:val="00E768C2"/>
    <w:rsid w:val="00E77136"/>
    <w:rsid w:val="00E77164"/>
    <w:rsid w:val="00E77A23"/>
    <w:rsid w:val="00E77BF5"/>
    <w:rsid w:val="00E77E4D"/>
    <w:rsid w:val="00E80981"/>
    <w:rsid w:val="00E81542"/>
    <w:rsid w:val="00E81A2C"/>
    <w:rsid w:val="00E822F6"/>
    <w:rsid w:val="00E82938"/>
    <w:rsid w:val="00E834A6"/>
    <w:rsid w:val="00E839AF"/>
    <w:rsid w:val="00E83D6D"/>
    <w:rsid w:val="00E843D7"/>
    <w:rsid w:val="00E844D0"/>
    <w:rsid w:val="00E84CE4"/>
    <w:rsid w:val="00E84DA3"/>
    <w:rsid w:val="00E84FC2"/>
    <w:rsid w:val="00E85092"/>
    <w:rsid w:val="00E85D3B"/>
    <w:rsid w:val="00E85EC9"/>
    <w:rsid w:val="00E85EF5"/>
    <w:rsid w:val="00E85F04"/>
    <w:rsid w:val="00E85F0E"/>
    <w:rsid w:val="00E8696D"/>
    <w:rsid w:val="00E86A3F"/>
    <w:rsid w:val="00E86C0D"/>
    <w:rsid w:val="00E86FC1"/>
    <w:rsid w:val="00E86FE6"/>
    <w:rsid w:val="00E871B1"/>
    <w:rsid w:val="00E876DE"/>
    <w:rsid w:val="00E877F8"/>
    <w:rsid w:val="00E87967"/>
    <w:rsid w:val="00E87FB8"/>
    <w:rsid w:val="00E90059"/>
    <w:rsid w:val="00E90C9E"/>
    <w:rsid w:val="00E90E08"/>
    <w:rsid w:val="00E9147D"/>
    <w:rsid w:val="00E918DD"/>
    <w:rsid w:val="00E91C34"/>
    <w:rsid w:val="00E91D13"/>
    <w:rsid w:val="00E9258F"/>
    <w:rsid w:val="00E92ADD"/>
    <w:rsid w:val="00E92F6A"/>
    <w:rsid w:val="00E93610"/>
    <w:rsid w:val="00E9398C"/>
    <w:rsid w:val="00E9472A"/>
    <w:rsid w:val="00E9479E"/>
    <w:rsid w:val="00E94DB2"/>
    <w:rsid w:val="00E9531F"/>
    <w:rsid w:val="00E95CD4"/>
    <w:rsid w:val="00E95FA5"/>
    <w:rsid w:val="00E96B41"/>
    <w:rsid w:val="00E96B47"/>
    <w:rsid w:val="00E96FC3"/>
    <w:rsid w:val="00E972A2"/>
    <w:rsid w:val="00E978D4"/>
    <w:rsid w:val="00E9791F"/>
    <w:rsid w:val="00E97B6F"/>
    <w:rsid w:val="00E97DDD"/>
    <w:rsid w:val="00EA0918"/>
    <w:rsid w:val="00EA1022"/>
    <w:rsid w:val="00EA104A"/>
    <w:rsid w:val="00EA162A"/>
    <w:rsid w:val="00EA16A3"/>
    <w:rsid w:val="00EA1701"/>
    <w:rsid w:val="00EA19DA"/>
    <w:rsid w:val="00EA1B94"/>
    <w:rsid w:val="00EA1F70"/>
    <w:rsid w:val="00EA22B4"/>
    <w:rsid w:val="00EA25B4"/>
    <w:rsid w:val="00EA2BE7"/>
    <w:rsid w:val="00EA2D07"/>
    <w:rsid w:val="00EA2D6F"/>
    <w:rsid w:val="00EA2F4F"/>
    <w:rsid w:val="00EA2F7B"/>
    <w:rsid w:val="00EA3055"/>
    <w:rsid w:val="00EA3AF2"/>
    <w:rsid w:val="00EA3D4E"/>
    <w:rsid w:val="00EA44C0"/>
    <w:rsid w:val="00EA4A29"/>
    <w:rsid w:val="00EA4A2E"/>
    <w:rsid w:val="00EA4EBE"/>
    <w:rsid w:val="00EA5B8C"/>
    <w:rsid w:val="00EA5F1C"/>
    <w:rsid w:val="00EA5FC2"/>
    <w:rsid w:val="00EA5FEC"/>
    <w:rsid w:val="00EA641A"/>
    <w:rsid w:val="00EA6772"/>
    <w:rsid w:val="00EA758C"/>
    <w:rsid w:val="00EA7863"/>
    <w:rsid w:val="00EA7928"/>
    <w:rsid w:val="00EA7C92"/>
    <w:rsid w:val="00EB01FC"/>
    <w:rsid w:val="00EB0916"/>
    <w:rsid w:val="00EB0C21"/>
    <w:rsid w:val="00EB183A"/>
    <w:rsid w:val="00EB2648"/>
    <w:rsid w:val="00EB2679"/>
    <w:rsid w:val="00EB282F"/>
    <w:rsid w:val="00EB2C49"/>
    <w:rsid w:val="00EB39B4"/>
    <w:rsid w:val="00EB3AD2"/>
    <w:rsid w:val="00EB408E"/>
    <w:rsid w:val="00EB4325"/>
    <w:rsid w:val="00EB43AE"/>
    <w:rsid w:val="00EB44B6"/>
    <w:rsid w:val="00EB5466"/>
    <w:rsid w:val="00EB5489"/>
    <w:rsid w:val="00EB551A"/>
    <w:rsid w:val="00EB5FB8"/>
    <w:rsid w:val="00EB6111"/>
    <w:rsid w:val="00EB6F90"/>
    <w:rsid w:val="00EB71F8"/>
    <w:rsid w:val="00EB76A4"/>
    <w:rsid w:val="00EC028F"/>
    <w:rsid w:val="00EC02F7"/>
    <w:rsid w:val="00EC0AF7"/>
    <w:rsid w:val="00EC0F1C"/>
    <w:rsid w:val="00EC0FB3"/>
    <w:rsid w:val="00EC145E"/>
    <w:rsid w:val="00EC190D"/>
    <w:rsid w:val="00EC1AAA"/>
    <w:rsid w:val="00EC1C2F"/>
    <w:rsid w:val="00EC1F88"/>
    <w:rsid w:val="00EC2575"/>
    <w:rsid w:val="00EC276B"/>
    <w:rsid w:val="00EC2805"/>
    <w:rsid w:val="00EC2B54"/>
    <w:rsid w:val="00EC2F3C"/>
    <w:rsid w:val="00EC3332"/>
    <w:rsid w:val="00EC38DD"/>
    <w:rsid w:val="00EC3F4E"/>
    <w:rsid w:val="00EC44FB"/>
    <w:rsid w:val="00EC532A"/>
    <w:rsid w:val="00EC5457"/>
    <w:rsid w:val="00EC5495"/>
    <w:rsid w:val="00EC5587"/>
    <w:rsid w:val="00EC5882"/>
    <w:rsid w:val="00EC5AAE"/>
    <w:rsid w:val="00EC5D6D"/>
    <w:rsid w:val="00EC5EEF"/>
    <w:rsid w:val="00EC67CA"/>
    <w:rsid w:val="00EC684D"/>
    <w:rsid w:val="00EC686D"/>
    <w:rsid w:val="00EC6AF0"/>
    <w:rsid w:val="00EC703D"/>
    <w:rsid w:val="00EC74E0"/>
    <w:rsid w:val="00EC78C3"/>
    <w:rsid w:val="00EC7CB1"/>
    <w:rsid w:val="00EC7E1C"/>
    <w:rsid w:val="00EC7EB9"/>
    <w:rsid w:val="00ED04AA"/>
    <w:rsid w:val="00ED0B2F"/>
    <w:rsid w:val="00ED1285"/>
    <w:rsid w:val="00ED1786"/>
    <w:rsid w:val="00ED1A48"/>
    <w:rsid w:val="00ED1AC3"/>
    <w:rsid w:val="00ED1B11"/>
    <w:rsid w:val="00ED1B94"/>
    <w:rsid w:val="00ED277D"/>
    <w:rsid w:val="00ED2E48"/>
    <w:rsid w:val="00ED323D"/>
    <w:rsid w:val="00ED33E8"/>
    <w:rsid w:val="00ED3B9D"/>
    <w:rsid w:val="00ED3FCC"/>
    <w:rsid w:val="00ED4319"/>
    <w:rsid w:val="00ED47E3"/>
    <w:rsid w:val="00ED4E0B"/>
    <w:rsid w:val="00ED4F75"/>
    <w:rsid w:val="00ED54D8"/>
    <w:rsid w:val="00ED58FB"/>
    <w:rsid w:val="00ED61B9"/>
    <w:rsid w:val="00ED6303"/>
    <w:rsid w:val="00ED6637"/>
    <w:rsid w:val="00ED69D0"/>
    <w:rsid w:val="00ED6CCD"/>
    <w:rsid w:val="00ED7135"/>
    <w:rsid w:val="00ED7217"/>
    <w:rsid w:val="00ED796C"/>
    <w:rsid w:val="00ED7BA2"/>
    <w:rsid w:val="00EE0E53"/>
    <w:rsid w:val="00EE1479"/>
    <w:rsid w:val="00EE16AD"/>
    <w:rsid w:val="00EE1739"/>
    <w:rsid w:val="00EE1BF2"/>
    <w:rsid w:val="00EE1D4E"/>
    <w:rsid w:val="00EE23B0"/>
    <w:rsid w:val="00EE24A9"/>
    <w:rsid w:val="00EE2E20"/>
    <w:rsid w:val="00EE2F90"/>
    <w:rsid w:val="00EE3070"/>
    <w:rsid w:val="00EE3563"/>
    <w:rsid w:val="00EE3964"/>
    <w:rsid w:val="00EE3CA8"/>
    <w:rsid w:val="00EE4399"/>
    <w:rsid w:val="00EE5EF1"/>
    <w:rsid w:val="00EE60CE"/>
    <w:rsid w:val="00EE66FC"/>
    <w:rsid w:val="00EE6E84"/>
    <w:rsid w:val="00EE6F77"/>
    <w:rsid w:val="00EE704A"/>
    <w:rsid w:val="00EF08A9"/>
    <w:rsid w:val="00EF0ECE"/>
    <w:rsid w:val="00EF1063"/>
    <w:rsid w:val="00EF148A"/>
    <w:rsid w:val="00EF160F"/>
    <w:rsid w:val="00EF2138"/>
    <w:rsid w:val="00EF2140"/>
    <w:rsid w:val="00EF2424"/>
    <w:rsid w:val="00EF269E"/>
    <w:rsid w:val="00EF2DFA"/>
    <w:rsid w:val="00EF30BF"/>
    <w:rsid w:val="00EF37C6"/>
    <w:rsid w:val="00EF386B"/>
    <w:rsid w:val="00EF3B72"/>
    <w:rsid w:val="00EF3C17"/>
    <w:rsid w:val="00EF45C2"/>
    <w:rsid w:val="00EF4A69"/>
    <w:rsid w:val="00EF50DE"/>
    <w:rsid w:val="00EF56F5"/>
    <w:rsid w:val="00EF59A1"/>
    <w:rsid w:val="00EF5A5C"/>
    <w:rsid w:val="00EF616C"/>
    <w:rsid w:val="00EF6435"/>
    <w:rsid w:val="00EF6FBA"/>
    <w:rsid w:val="00EF7573"/>
    <w:rsid w:val="00EF762C"/>
    <w:rsid w:val="00EF7738"/>
    <w:rsid w:val="00EF78A5"/>
    <w:rsid w:val="00EF79EC"/>
    <w:rsid w:val="00EF7A8A"/>
    <w:rsid w:val="00EF7FE0"/>
    <w:rsid w:val="00F00159"/>
    <w:rsid w:val="00F0075F"/>
    <w:rsid w:val="00F008A1"/>
    <w:rsid w:val="00F00C88"/>
    <w:rsid w:val="00F00DEA"/>
    <w:rsid w:val="00F01000"/>
    <w:rsid w:val="00F0106E"/>
    <w:rsid w:val="00F019CE"/>
    <w:rsid w:val="00F01F38"/>
    <w:rsid w:val="00F020B9"/>
    <w:rsid w:val="00F02C3C"/>
    <w:rsid w:val="00F02CE3"/>
    <w:rsid w:val="00F03092"/>
    <w:rsid w:val="00F03326"/>
    <w:rsid w:val="00F036B3"/>
    <w:rsid w:val="00F04924"/>
    <w:rsid w:val="00F05848"/>
    <w:rsid w:val="00F05EBA"/>
    <w:rsid w:val="00F06009"/>
    <w:rsid w:val="00F060B7"/>
    <w:rsid w:val="00F067EC"/>
    <w:rsid w:val="00F06ADB"/>
    <w:rsid w:val="00F06CE3"/>
    <w:rsid w:val="00F06DDE"/>
    <w:rsid w:val="00F06F2F"/>
    <w:rsid w:val="00F07B7B"/>
    <w:rsid w:val="00F1016C"/>
    <w:rsid w:val="00F10518"/>
    <w:rsid w:val="00F10FE7"/>
    <w:rsid w:val="00F110B3"/>
    <w:rsid w:val="00F11176"/>
    <w:rsid w:val="00F115D3"/>
    <w:rsid w:val="00F11607"/>
    <w:rsid w:val="00F11BEC"/>
    <w:rsid w:val="00F126A0"/>
    <w:rsid w:val="00F126D9"/>
    <w:rsid w:val="00F12760"/>
    <w:rsid w:val="00F1287E"/>
    <w:rsid w:val="00F12927"/>
    <w:rsid w:val="00F12EA2"/>
    <w:rsid w:val="00F13245"/>
    <w:rsid w:val="00F137DC"/>
    <w:rsid w:val="00F13AA4"/>
    <w:rsid w:val="00F13BE2"/>
    <w:rsid w:val="00F13C76"/>
    <w:rsid w:val="00F13F3D"/>
    <w:rsid w:val="00F145D2"/>
    <w:rsid w:val="00F1477A"/>
    <w:rsid w:val="00F14922"/>
    <w:rsid w:val="00F14AE8"/>
    <w:rsid w:val="00F14D66"/>
    <w:rsid w:val="00F15AB2"/>
    <w:rsid w:val="00F16419"/>
    <w:rsid w:val="00F1653A"/>
    <w:rsid w:val="00F16568"/>
    <w:rsid w:val="00F165D1"/>
    <w:rsid w:val="00F1685C"/>
    <w:rsid w:val="00F16CC3"/>
    <w:rsid w:val="00F16ECB"/>
    <w:rsid w:val="00F173F3"/>
    <w:rsid w:val="00F1747C"/>
    <w:rsid w:val="00F175D8"/>
    <w:rsid w:val="00F175FB"/>
    <w:rsid w:val="00F17955"/>
    <w:rsid w:val="00F17E3B"/>
    <w:rsid w:val="00F17F69"/>
    <w:rsid w:val="00F203CB"/>
    <w:rsid w:val="00F209DE"/>
    <w:rsid w:val="00F212D7"/>
    <w:rsid w:val="00F219DD"/>
    <w:rsid w:val="00F22261"/>
    <w:rsid w:val="00F22439"/>
    <w:rsid w:val="00F22529"/>
    <w:rsid w:val="00F225E5"/>
    <w:rsid w:val="00F227B3"/>
    <w:rsid w:val="00F22A84"/>
    <w:rsid w:val="00F22B98"/>
    <w:rsid w:val="00F234E5"/>
    <w:rsid w:val="00F2366F"/>
    <w:rsid w:val="00F236A6"/>
    <w:rsid w:val="00F23733"/>
    <w:rsid w:val="00F23B90"/>
    <w:rsid w:val="00F23C3D"/>
    <w:rsid w:val="00F23ECB"/>
    <w:rsid w:val="00F242A6"/>
    <w:rsid w:val="00F2441F"/>
    <w:rsid w:val="00F24730"/>
    <w:rsid w:val="00F249F7"/>
    <w:rsid w:val="00F24F0D"/>
    <w:rsid w:val="00F2524B"/>
    <w:rsid w:val="00F253BB"/>
    <w:rsid w:val="00F25745"/>
    <w:rsid w:val="00F25B21"/>
    <w:rsid w:val="00F25C64"/>
    <w:rsid w:val="00F25C65"/>
    <w:rsid w:val="00F26056"/>
    <w:rsid w:val="00F2657C"/>
    <w:rsid w:val="00F266AD"/>
    <w:rsid w:val="00F267E4"/>
    <w:rsid w:val="00F26807"/>
    <w:rsid w:val="00F26954"/>
    <w:rsid w:val="00F26C10"/>
    <w:rsid w:val="00F26E66"/>
    <w:rsid w:val="00F26F67"/>
    <w:rsid w:val="00F271AC"/>
    <w:rsid w:val="00F27B91"/>
    <w:rsid w:val="00F300E8"/>
    <w:rsid w:val="00F304A5"/>
    <w:rsid w:val="00F30ABD"/>
    <w:rsid w:val="00F30D6A"/>
    <w:rsid w:val="00F31440"/>
    <w:rsid w:val="00F31FF4"/>
    <w:rsid w:val="00F322C3"/>
    <w:rsid w:val="00F32BCF"/>
    <w:rsid w:val="00F32BD9"/>
    <w:rsid w:val="00F3311A"/>
    <w:rsid w:val="00F334B7"/>
    <w:rsid w:val="00F33FCE"/>
    <w:rsid w:val="00F341F6"/>
    <w:rsid w:val="00F343A1"/>
    <w:rsid w:val="00F345FB"/>
    <w:rsid w:val="00F347A4"/>
    <w:rsid w:val="00F3485F"/>
    <w:rsid w:val="00F352AA"/>
    <w:rsid w:val="00F35627"/>
    <w:rsid w:val="00F35878"/>
    <w:rsid w:val="00F359B3"/>
    <w:rsid w:val="00F35A7F"/>
    <w:rsid w:val="00F369A6"/>
    <w:rsid w:val="00F37139"/>
    <w:rsid w:val="00F371B3"/>
    <w:rsid w:val="00F3758F"/>
    <w:rsid w:val="00F37832"/>
    <w:rsid w:val="00F3788B"/>
    <w:rsid w:val="00F379E1"/>
    <w:rsid w:val="00F37BB4"/>
    <w:rsid w:val="00F401D5"/>
    <w:rsid w:val="00F40CB3"/>
    <w:rsid w:val="00F40CD8"/>
    <w:rsid w:val="00F410AA"/>
    <w:rsid w:val="00F4147C"/>
    <w:rsid w:val="00F41AB2"/>
    <w:rsid w:val="00F41ADB"/>
    <w:rsid w:val="00F425B1"/>
    <w:rsid w:val="00F42786"/>
    <w:rsid w:val="00F4291C"/>
    <w:rsid w:val="00F42A00"/>
    <w:rsid w:val="00F42F8D"/>
    <w:rsid w:val="00F42FEE"/>
    <w:rsid w:val="00F43146"/>
    <w:rsid w:val="00F435AE"/>
    <w:rsid w:val="00F438FE"/>
    <w:rsid w:val="00F43DE6"/>
    <w:rsid w:val="00F43E18"/>
    <w:rsid w:val="00F4414E"/>
    <w:rsid w:val="00F4437D"/>
    <w:rsid w:val="00F446D3"/>
    <w:rsid w:val="00F44806"/>
    <w:rsid w:val="00F44EE2"/>
    <w:rsid w:val="00F45065"/>
    <w:rsid w:val="00F45271"/>
    <w:rsid w:val="00F4546F"/>
    <w:rsid w:val="00F45ED5"/>
    <w:rsid w:val="00F4685D"/>
    <w:rsid w:val="00F46F00"/>
    <w:rsid w:val="00F47702"/>
    <w:rsid w:val="00F479C0"/>
    <w:rsid w:val="00F506BC"/>
    <w:rsid w:val="00F5086A"/>
    <w:rsid w:val="00F509B7"/>
    <w:rsid w:val="00F50F54"/>
    <w:rsid w:val="00F51121"/>
    <w:rsid w:val="00F51405"/>
    <w:rsid w:val="00F51D44"/>
    <w:rsid w:val="00F5205B"/>
    <w:rsid w:val="00F52478"/>
    <w:rsid w:val="00F52891"/>
    <w:rsid w:val="00F52FB1"/>
    <w:rsid w:val="00F53281"/>
    <w:rsid w:val="00F5336C"/>
    <w:rsid w:val="00F5342F"/>
    <w:rsid w:val="00F53599"/>
    <w:rsid w:val="00F53C5C"/>
    <w:rsid w:val="00F53CEE"/>
    <w:rsid w:val="00F5423C"/>
    <w:rsid w:val="00F5447B"/>
    <w:rsid w:val="00F54549"/>
    <w:rsid w:val="00F54B9D"/>
    <w:rsid w:val="00F54DFC"/>
    <w:rsid w:val="00F55871"/>
    <w:rsid w:val="00F5626C"/>
    <w:rsid w:val="00F56270"/>
    <w:rsid w:val="00F56D5F"/>
    <w:rsid w:val="00F57F6B"/>
    <w:rsid w:val="00F57FEF"/>
    <w:rsid w:val="00F6025D"/>
    <w:rsid w:val="00F6044E"/>
    <w:rsid w:val="00F6068B"/>
    <w:rsid w:val="00F60875"/>
    <w:rsid w:val="00F60980"/>
    <w:rsid w:val="00F60A4B"/>
    <w:rsid w:val="00F61107"/>
    <w:rsid w:val="00F61300"/>
    <w:rsid w:val="00F614E5"/>
    <w:rsid w:val="00F61591"/>
    <w:rsid w:val="00F61657"/>
    <w:rsid w:val="00F619E2"/>
    <w:rsid w:val="00F61A12"/>
    <w:rsid w:val="00F62051"/>
    <w:rsid w:val="00F6244B"/>
    <w:rsid w:val="00F62CB1"/>
    <w:rsid w:val="00F62FAA"/>
    <w:rsid w:val="00F630C5"/>
    <w:rsid w:val="00F6367F"/>
    <w:rsid w:val="00F63723"/>
    <w:rsid w:val="00F6386A"/>
    <w:rsid w:val="00F638BF"/>
    <w:rsid w:val="00F63AC5"/>
    <w:rsid w:val="00F63DBB"/>
    <w:rsid w:val="00F63E49"/>
    <w:rsid w:val="00F63F53"/>
    <w:rsid w:val="00F64150"/>
    <w:rsid w:val="00F64CBB"/>
    <w:rsid w:val="00F6539B"/>
    <w:rsid w:val="00F65863"/>
    <w:rsid w:val="00F658D4"/>
    <w:rsid w:val="00F6641F"/>
    <w:rsid w:val="00F668E9"/>
    <w:rsid w:val="00F66BF9"/>
    <w:rsid w:val="00F6710C"/>
    <w:rsid w:val="00F67123"/>
    <w:rsid w:val="00F67702"/>
    <w:rsid w:val="00F678B6"/>
    <w:rsid w:val="00F67F08"/>
    <w:rsid w:val="00F67F82"/>
    <w:rsid w:val="00F7028D"/>
    <w:rsid w:val="00F7055C"/>
    <w:rsid w:val="00F7058B"/>
    <w:rsid w:val="00F709C7"/>
    <w:rsid w:val="00F70E5F"/>
    <w:rsid w:val="00F7150C"/>
    <w:rsid w:val="00F715FB"/>
    <w:rsid w:val="00F71753"/>
    <w:rsid w:val="00F71AEB"/>
    <w:rsid w:val="00F71D74"/>
    <w:rsid w:val="00F72644"/>
    <w:rsid w:val="00F72CBE"/>
    <w:rsid w:val="00F72CD0"/>
    <w:rsid w:val="00F72CE1"/>
    <w:rsid w:val="00F72F4B"/>
    <w:rsid w:val="00F7303D"/>
    <w:rsid w:val="00F73773"/>
    <w:rsid w:val="00F73F7E"/>
    <w:rsid w:val="00F74A07"/>
    <w:rsid w:val="00F751E0"/>
    <w:rsid w:val="00F753F8"/>
    <w:rsid w:val="00F75546"/>
    <w:rsid w:val="00F75970"/>
    <w:rsid w:val="00F75C30"/>
    <w:rsid w:val="00F762FD"/>
    <w:rsid w:val="00F76364"/>
    <w:rsid w:val="00F7755E"/>
    <w:rsid w:val="00F77718"/>
    <w:rsid w:val="00F77A71"/>
    <w:rsid w:val="00F77DB4"/>
    <w:rsid w:val="00F80D46"/>
    <w:rsid w:val="00F80EB8"/>
    <w:rsid w:val="00F8139F"/>
    <w:rsid w:val="00F81C34"/>
    <w:rsid w:val="00F81EC2"/>
    <w:rsid w:val="00F81F73"/>
    <w:rsid w:val="00F82E9A"/>
    <w:rsid w:val="00F83049"/>
    <w:rsid w:val="00F835AA"/>
    <w:rsid w:val="00F83821"/>
    <w:rsid w:val="00F83854"/>
    <w:rsid w:val="00F838F8"/>
    <w:rsid w:val="00F84983"/>
    <w:rsid w:val="00F85057"/>
    <w:rsid w:val="00F85CCB"/>
    <w:rsid w:val="00F871C6"/>
    <w:rsid w:val="00F8775B"/>
    <w:rsid w:val="00F90A98"/>
    <w:rsid w:val="00F90EA1"/>
    <w:rsid w:val="00F915A2"/>
    <w:rsid w:val="00F91893"/>
    <w:rsid w:val="00F91DF3"/>
    <w:rsid w:val="00F91E13"/>
    <w:rsid w:val="00F91E18"/>
    <w:rsid w:val="00F91FA8"/>
    <w:rsid w:val="00F9213E"/>
    <w:rsid w:val="00F927E5"/>
    <w:rsid w:val="00F92E88"/>
    <w:rsid w:val="00F92EB9"/>
    <w:rsid w:val="00F937E6"/>
    <w:rsid w:val="00F93D47"/>
    <w:rsid w:val="00F93FB2"/>
    <w:rsid w:val="00F94293"/>
    <w:rsid w:val="00F94728"/>
    <w:rsid w:val="00F94830"/>
    <w:rsid w:val="00F94A88"/>
    <w:rsid w:val="00F959C5"/>
    <w:rsid w:val="00F95A51"/>
    <w:rsid w:val="00F95BFD"/>
    <w:rsid w:val="00F95F3A"/>
    <w:rsid w:val="00F965DD"/>
    <w:rsid w:val="00F9698D"/>
    <w:rsid w:val="00F96B9D"/>
    <w:rsid w:val="00F96C14"/>
    <w:rsid w:val="00F96E8A"/>
    <w:rsid w:val="00F971B5"/>
    <w:rsid w:val="00F9742A"/>
    <w:rsid w:val="00F9779A"/>
    <w:rsid w:val="00F97C49"/>
    <w:rsid w:val="00FA04C8"/>
    <w:rsid w:val="00FA06A5"/>
    <w:rsid w:val="00FA0B99"/>
    <w:rsid w:val="00FA0E49"/>
    <w:rsid w:val="00FA1975"/>
    <w:rsid w:val="00FA19EB"/>
    <w:rsid w:val="00FA1ADF"/>
    <w:rsid w:val="00FA1CB9"/>
    <w:rsid w:val="00FA250B"/>
    <w:rsid w:val="00FA27A3"/>
    <w:rsid w:val="00FA2A3E"/>
    <w:rsid w:val="00FA2B97"/>
    <w:rsid w:val="00FA2D3A"/>
    <w:rsid w:val="00FA3411"/>
    <w:rsid w:val="00FA3534"/>
    <w:rsid w:val="00FA3786"/>
    <w:rsid w:val="00FA3803"/>
    <w:rsid w:val="00FA39EB"/>
    <w:rsid w:val="00FA3B1B"/>
    <w:rsid w:val="00FA3DB2"/>
    <w:rsid w:val="00FA3E39"/>
    <w:rsid w:val="00FA4145"/>
    <w:rsid w:val="00FA42FC"/>
    <w:rsid w:val="00FA4718"/>
    <w:rsid w:val="00FA48FD"/>
    <w:rsid w:val="00FA4926"/>
    <w:rsid w:val="00FA4AF8"/>
    <w:rsid w:val="00FA51B5"/>
    <w:rsid w:val="00FA5453"/>
    <w:rsid w:val="00FA5690"/>
    <w:rsid w:val="00FA57C3"/>
    <w:rsid w:val="00FA5D7C"/>
    <w:rsid w:val="00FA6276"/>
    <w:rsid w:val="00FA6357"/>
    <w:rsid w:val="00FA6763"/>
    <w:rsid w:val="00FA68E4"/>
    <w:rsid w:val="00FA6AB6"/>
    <w:rsid w:val="00FA6B5E"/>
    <w:rsid w:val="00FA6DE3"/>
    <w:rsid w:val="00FA707F"/>
    <w:rsid w:val="00FA7768"/>
    <w:rsid w:val="00FA7EC2"/>
    <w:rsid w:val="00FB024B"/>
    <w:rsid w:val="00FB05E8"/>
    <w:rsid w:val="00FB11A7"/>
    <w:rsid w:val="00FB150F"/>
    <w:rsid w:val="00FB21EE"/>
    <w:rsid w:val="00FB22D7"/>
    <w:rsid w:val="00FB2330"/>
    <w:rsid w:val="00FB2622"/>
    <w:rsid w:val="00FB2AC2"/>
    <w:rsid w:val="00FB2F1E"/>
    <w:rsid w:val="00FB2F8E"/>
    <w:rsid w:val="00FB34AE"/>
    <w:rsid w:val="00FB3604"/>
    <w:rsid w:val="00FB3FD4"/>
    <w:rsid w:val="00FB3FDC"/>
    <w:rsid w:val="00FB40AE"/>
    <w:rsid w:val="00FB410A"/>
    <w:rsid w:val="00FB4291"/>
    <w:rsid w:val="00FB4576"/>
    <w:rsid w:val="00FB4646"/>
    <w:rsid w:val="00FB467E"/>
    <w:rsid w:val="00FB4907"/>
    <w:rsid w:val="00FB4A82"/>
    <w:rsid w:val="00FB4C34"/>
    <w:rsid w:val="00FB4C83"/>
    <w:rsid w:val="00FB50F6"/>
    <w:rsid w:val="00FB59AE"/>
    <w:rsid w:val="00FB6314"/>
    <w:rsid w:val="00FB634D"/>
    <w:rsid w:val="00FB64A3"/>
    <w:rsid w:val="00FB6983"/>
    <w:rsid w:val="00FB69CA"/>
    <w:rsid w:val="00FB70FC"/>
    <w:rsid w:val="00FB795F"/>
    <w:rsid w:val="00FB7BAA"/>
    <w:rsid w:val="00FB7CCA"/>
    <w:rsid w:val="00FB7D07"/>
    <w:rsid w:val="00FB7E77"/>
    <w:rsid w:val="00FC005D"/>
    <w:rsid w:val="00FC0265"/>
    <w:rsid w:val="00FC0267"/>
    <w:rsid w:val="00FC04C9"/>
    <w:rsid w:val="00FC074A"/>
    <w:rsid w:val="00FC0872"/>
    <w:rsid w:val="00FC122F"/>
    <w:rsid w:val="00FC17F7"/>
    <w:rsid w:val="00FC1976"/>
    <w:rsid w:val="00FC1E45"/>
    <w:rsid w:val="00FC24CD"/>
    <w:rsid w:val="00FC2B54"/>
    <w:rsid w:val="00FC2FCB"/>
    <w:rsid w:val="00FC313F"/>
    <w:rsid w:val="00FC32DB"/>
    <w:rsid w:val="00FC3592"/>
    <w:rsid w:val="00FC39DF"/>
    <w:rsid w:val="00FC410F"/>
    <w:rsid w:val="00FC44A0"/>
    <w:rsid w:val="00FC44E2"/>
    <w:rsid w:val="00FC49BA"/>
    <w:rsid w:val="00FC4B99"/>
    <w:rsid w:val="00FC5097"/>
    <w:rsid w:val="00FC5119"/>
    <w:rsid w:val="00FC53C1"/>
    <w:rsid w:val="00FC5424"/>
    <w:rsid w:val="00FC54D0"/>
    <w:rsid w:val="00FC56D6"/>
    <w:rsid w:val="00FC61C6"/>
    <w:rsid w:val="00FC6392"/>
    <w:rsid w:val="00FC6ADB"/>
    <w:rsid w:val="00FC6F0B"/>
    <w:rsid w:val="00FC7019"/>
    <w:rsid w:val="00FC706E"/>
    <w:rsid w:val="00FC75AC"/>
    <w:rsid w:val="00FC77CF"/>
    <w:rsid w:val="00FC77D1"/>
    <w:rsid w:val="00FC7940"/>
    <w:rsid w:val="00FD03C4"/>
    <w:rsid w:val="00FD06C8"/>
    <w:rsid w:val="00FD1000"/>
    <w:rsid w:val="00FD195E"/>
    <w:rsid w:val="00FD19EC"/>
    <w:rsid w:val="00FD1F1B"/>
    <w:rsid w:val="00FD30FB"/>
    <w:rsid w:val="00FD326D"/>
    <w:rsid w:val="00FD3DAA"/>
    <w:rsid w:val="00FD4BE8"/>
    <w:rsid w:val="00FD4E73"/>
    <w:rsid w:val="00FD5357"/>
    <w:rsid w:val="00FD5968"/>
    <w:rsid w:val="00FD5BC3"/>
    <w:rsid w:val="00FD5BF3"/>
    <w:rsid w:val="00FD5C37"/>
    <w:rsid w:val="00FD5DCB"/>
    <w:rsid w:val="00FD5FB2"/>
    <w:rsid w:val="00FD6135"/>
    <w:rsid w:val="00FD656E"/>
    <w:rsid w:val="00FD657C"/>
    <w:rsid w:val="00FD6586"/>
    <w:rsid w:val="00FD6989"/>
    <w:rsid w:val="00FD7221"/>
    <w:rsid w:val="00FD7609"/>
    <w:rsid w:val="00FE0180"/>
    <w:rsid w:val="00FE038D"/>
    <w:rsid w:val="00FE088C"/>
    <w:rsid w:val="00FE08C4"/>
    <w:rsid w:val="00FE0EE1"/>
    <w:rsid w:val="00FE1340"/>
    <w:rsid w:val="00FE136E"/>
    <w:rsid w:val="00FE1C48"/>
    <w:rsid w:val="00FE2A0B"/>
    <w:rsid w:val="00FE33FD"/>
    <w:rsid w:val="00FE37B5"/>
    <w:rsid w:val="00FE382B"/>
    <w:rsid w:val="00FE3A56"/>
    <w:rsid w:val="00FE3ADD"/>
    <w:rsid w:val="00FE3FA4"/>
    <w:rsid w:val="00FE5321"/>
    <w:rsid w:val="00FE5B08"/>
    <w:rsid w:val="00FE5F5A"/>
    <w:rsid w:val="00FE60E9"/>
    <w:rsid w:val="00FE6404"/>
    <w:rsid w:val="00FE6651"/>
    <w:rsid w:val="00FE674D"/>
    <w:rsid w:val="00FE683D"/>
    <w:rsid w:val="00FE6F32"/>
    <w:rsid w:val="00FE7163"/>
    <w:rsid w:val="00FE71EF"/>
    <w:rsid w:val="00FE77C6"/>
    <w:rsid w:val="00FF03CA"/>
    <w:rsid w:val="00FF04B8"/>
    <w:rsid w:val="00FF05C8"/>
    <w:rsid w:val="00FF0994"/>
    <w:rsid w:val="00FF0CF0"/>
    <w:rsid w:val="00FF0DE2"/>
    <w:rsid w:val="00FF0F8B"/>
    <w:rsid w:val="00FF1600"/>
    <w:rsid w:val="00FF1A3A"/>
    <w:rsid w:val="00FF1BE8"/>
    <w:rsid w:val="00FF1CE2"/>
    <w:rsid w:val="00FF2899"/>
    <w:rsid w:val="00FF2AA9"/>
    <w:rsid w:val="00FF2AB0"/>
    <w:rsid w:val="00FF2C9A"/>
    <w:rsid w:val="00FF2D5C"/>
    <w:rsid w:val="00FF2EF6"/>
    <w:rsid w:val="00FF301E"/>
    <w:rsid w:val="00FF4A69"/>
    <w:rsid w:val="00FF4FEF"/>
    <w:rsid w:val="00FF5283"/>
    <w:rsid w:val="00FF53AC"/>
    <w:rsid w:val="00FF58D2"/>
    <w:rsid w:val="00FF5BC9"/>
    <w:rsid w:val="00FF669C"/>
    <w:rsid w:val="00FF67C8"/>
    <w:rsid w:val="00FF6892"/>
    <w:rsid w:val="00FF69DD"/>
    <w:rsid w:val="00FF6C93"/>
    <w:rsid w:val="00FF73B3"/>
    <w:rsid w:val="00FF742B"/>
    <w:rsid w:val="00FF76D7"/>
    <w:rsid w:val="00FF7E33"/>
    <w:rsid w:val="00FF7F14"/>
    <w:rsid w:val="00FF7FA1"/>
    <w:rsid w:val="00FF7FE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8F696A"/>
  <w15:docId w15:val="{D0AA8AAD-A553-440D-8F08-679EB83A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74" w:unhideWhenUsed="1"/>
    <w:lsdException w:name="endnote text" w:semiHidden="1" w:uiPriority="7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74"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74"/>
    <w:lsdException w:name="Body Text First Indent" w:uiPriority="74"/>
    <w:lsdException w:name="Body Text First Indent 2" w:semiHidden="1" w:uiPriority="74" w:unhideWhenUsed="1"/>
    <w:lsdException w:name="Note Heading" w:semiHidden="1"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74" w:unhideWhenUsed="1"/>
    <w:lsdException w:name="Strong" w:uiPriority="22" w:qFormat="1"/>
    <w:lsdException w:name="Emphasis" w:uiPriority="20" w:qFormat="1"/>
    <w:lsdException w:name="Document Map" w:semiHidden="1" w:uiPriority="74"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E2"/>
    <w:pPr>
      <w:spacing w:before="200" w:after="60"/>
    </w:pPr>
    <w:rPr>
      <w:rFonts w:asciiTheme="minorHAnsi" w:hAnsiTheme="minorHAnsi"/>
      <w:sz w:val="22"/>
      <w:szCs w:val="24"/>
      <w:lang w:val="en-GB"/>
    </w:rPr>
  </w:style>
  <w:style w:type="paragraph" w:styleId="Heading1">
    <w:name w:val="heading 1"/>
    <w:basedOn w:val="Normal"/>
    <w:next w:val="Normal"/>
    <w:link w:val="Heading1Char"/>
    <w:qFormat/>
    <w:rsid w:val="008855E4"/>
    <w:pPr>
      <w:keepNext/>
      <w:numPr>
        <w:numId w:val="2"/>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5E1FCF"/>
    <w:pPr>
      <w:keepNext/>
      <w:numPr>
        <w:ilvl w:val="1"/>
        <w:numId w:val="2"/>
      </w:numPr>
      <w:spacing w:before="320"/>
      <w:ind w:left="567"/>
      <w:outlineLvl w:val="1"/>
    </w:pPr>
    <w:rPr>
      <w:rFonts w:eastAsiaTheme="minorHAnsi" w:cs="Arial"/>
      <w:b/>
      <w:bCs/>
      <w:iCs/>
      <w:color w:val="01653F"/>
      <w:sz w:val="28"/>
      <w:szCs w:val="22"/>
      <w:lang w:val="en-AU" w:eastAsia="en-US"/>
    </w:rPr>
  </w:style>
  <w:style w:type="paragraph" w:styleId="Heading3">
    <w:name w:val="heading 3"/>
    <w:basedOn w:val="Normal"/>
    <w:next w:val="Normal"/>
    <w:link w:val="Heading3Char"/>
    <w:qFormat/>
    <w:rsid w:val="008460E3"/>
    <w:pPr>
      <w:keepNext/>
      <w:numPr>
        <w:ilvl w:val="2"/>
        <w:numId w:val="2"/>
      </w:numPr>
      <w:spacing w:before="240"/>
      <w:outlineLvl w:val="2"/>
    </w:pPr>
    <w:rPr>
      <w:rFonts w:eastAsiaTheme="minorHAnsi" w:cs="Arial"/>
      <w:b/>
      <w:bCs/>
      <w:i/>
      <w:color w:val="B66113"/>
      <w:sz w:val="24"/>
      <w:lang w:val="en-US" w:eastAsia="en-US"/>
    </w:rPr>
  </w:style>
  <w:style w:type="paragraph" w:styleId="Heading4">
    <w:name w:val="heading 4"/>
    <w:basedOn w:val="Normal"/>
    <w:next w:val="Normal"/>
    <w:link w:val="Heading4Char"/>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rsid w:val="00AF127F"/>
    <w:rPr>
      <w:rFonts w:asciiTheme="majorHAnsi" w:eastAsiaTheme="majorEastAsia" w:hAnsiTheme="majorHAnsi" w:cstheme="majorBidi"/>
      <w:iCs/>
      <w:spacing w:val="15"/>
      <w:sz w:val="24"/>
    </w:rPr>
  </w:style>
  <w:style w:type="paragraph" w:styleId="Title">
    <w:name w:val="Title"/>
    <w:basedOn w:val="Normal"/>
    <w:next w:val="Normal"/>
    <w:link w:val="TitleChar"/>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F127F"/>
    <w:rPr>
      <w:rFonts w:ascii="Arial" w:eastAsiaTheme="majorEastAsia" w:hAnsi="Arial" w:cstheme="majorBidi"/>
      <w:b/>
      <w:kern w:val="28"/>
      <w:sz w:val="32"/>
      <w:szCs w:val="5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D93924"/>
    <w:pPr>
      <w:tabs>
        <w:tab w:val="right" w:leader="dot" w:pos="9016"/>
      </w:tabs>
      <w:ind w:left="284" w:right="284" w:hanging="284"/>
    </w:pPr>
    <w:rPr>
      <w:b/>
      <w:bCs/>
      <w:sz w:val="20"/>
      <w:szCs w:val="20"/>
    </w:rPr>
  </w:style>
  <w:style w:type="paragraph" w:styleId="TOC2">
    <w:name w:val="toc 2"/>
    <w:basedOn w:val="Normal"/>
    <w:next w:val="Normal"/>
    <w:autoRedefine/>
    <w:uiPriority w:val="39"/>
    <w:qFormat/>
    <w:rsid w:val="00380966"/>
    <w:pPr>
      <w:tabs>
        <w:tab w:val="left" w:pos="880"/>
        <w:tab w:val="right" w:leader="dot" w:pos="9016"/>
      </w:tabs>
      <w:spacing w:before="120"/>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99"/>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B7051C"/>
    <w:rPr>
      <w:rFonts w:ascii="Tahoma" w:eastAsiaTheme="minorHAnsi" w:hAnsi="Tahoma" w:cs="Tahoma"/>
      <w:sz w:val="16"/>
      <w:szCs w:val="16"/>
      <w:lang w:val="en-GB"/>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DC17B1"/>
    <w:pPr>
      <w:keepNext/>
      <w:spacing w:after="20"/>
    </w:pPr>
    <w:rPr>
      <w:rFonts w:ascii="Arial" w:eastAsiaTheme="minorHAnsi" w:hAnsi="Arial" w:cs="Arial"/>
      <w:b/>
      <w:sz w:val="18"/>
      <w:szCs w:val="18"/>
      <w:lang w:val="en-AU"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lang w:val="en-GB"/>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74"/>
    <w:rsid w:val="006C0049"/>
    <w:pPr>
      <w:spacing w:after="120"/>
    </w:pPr>
    <w:rPr>
      <w:rFonts w:eastAsiaTheme="minorHAnsi" w:cs="Arial"/>
      <w:szCs w:val="20"/>
    </w:rPr>
  </w:style>
  <w:style w:type="character" w:customStyle="1" w:styleId="BodyTextChar">
    <w:name w:val="Body Text Char"/>
    <w:basedOn w:val="DefaultParagraphFont"/>
    <w:link w:val="BodyText"/>
    <w:uiPriority w:val="74"/>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74"/>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74"/>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74"/>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74"/>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rsid w:val="0015052B"/>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74"/>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74"/>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74"/>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before="120" w:after="60" w:line="240" w:lineRule="auto"/>
      <w:ind w:left="357"/>
    </w:pPr>
  </w:style>
  <w:style w:type="paragraph" w:customStyle="1" w:styleId="Bullet2">
    <w:name w:val="Bullet 2"/>
    <w:basedOn w:val="ListParagraph"/>
    <w:qFormat/>
    <w:rsid w:val="00BD7AF2"/>
    <w:pPr>
      <w:numPr>
        <w:ilvl w:val="1"/>
        <w:numId w:val="4"/>
      </w:numPr>
      <w:spacing w:before="120"/>
      <w:contextualSpacing w:val="0"/>
    </w:pPr>
  </w:style>
  <w:style w:type="paragraph" w:customStyle="1" w:styleId="Bullet3">
    <w:name w:val="Bullet 3"/>
    <w:basedOn w:val="02dash"/>
    <w:uiPriority w:val="74"/>
    <w:qFormat/>
    <w:rsid w:val="008460E3"/>
    <w:pPr>
      <w:numPr>
        <w:ilvl w:val="2"/>
      </w:numPr>
    </w:pPr>
  </w:style>
  <w:style w:type="paragraph" w:styleId="TOC4">
    <w:name w:val="toc 4"/>
    <w:basedOn w:val="Normal"/>
    <w:next w:val="Normal"/>
    <w:autoRedefine/>
    <w:unhideWhenUsed/>
    <w:rsid w:val="008460E3"/>
    <w:pPr>
      <w:spacing w:before="0" w:after="0"/>
      <w:ind w:left="660"/>
    </w:pPr>
    <w:rPr>
      <w:sz w:val="20"/>
      <w:szCs w:val="20"/>
    </w:rPr>
  </w:style>
  <w:style w:type="paragraph" w:styleId="TOC5">
    <w:name w:val="toc 5"/>
    <w:basedOn w:val="Normal"/>
    <w:next w:val="Normal"/>
    <w:autoRedefine/>
    <w:unhideWhenUsed/>
    <w:rsid w:val="008460E3"/>
    <w:pPr>
      <w:spacing w:before="0" w:after="0"/>
      <w:ind w:left="880"/>
    </w:pPr>
    <w:rPr>
      <w:sz w:val="20"/>
      <w:szCs w:val="20"/>
    </w:rPr>
  </w:style>
  <w:style w:type="paragraph" w:styleId="TOC6">
    <w:name w:val="toc 6"/>
    <w:basedOn w:val="Normal"/>
    <w:next w:val="Normal"/>
    <w:autoRedefine/>
    <w:unhideWhenUsed/>
    <w:rsid w:val="008460E3"/>
    <w:pPr>
      <w:spacing w:before="0" w:after="0"/>
      <w:ind w:left="1100"/>
    </w:pPr>
    <w:rPr>
      <w:sz w:val="20"/>
      <w:szCs w:val="20"/>
    </w:rPr>
  </w:style>
  <w:style w:type="paragraph" w:styleId="TOC7">
    <w:name w:val="toc 7"/>
    <w:basedOn w:val="Normal"/>
    <w:next w:val="Normal"/>
    <w:autoRedefine/>
    <w:unhideWhenUsed/>
    <w:rsid w:val="008460E3"/>
    <w:pPr>
      <w:spacing w:before="0" w:after="0"/>
      <w:ind w:left="1320"/>
    </w:pPr>
    <w:rPr>
      <w:sz w:val="20"/>
      <w:szCs w:val="20"/>
    </w:rPr>
  </w:style>
  <w:style w:type="paragraph" w:styleId="TOC8">
    <w:name w:val="toc 8"/>
    <w:basedOn w:val="Normal"/>
    <w:next w:val="Normal"/>
    <w:autoRedefine/>
    <w:unhideWhenUsed/>
    <w:rsid w:val="008460E3"/>
    <w:pPr>
      <w:spacing w:before="0" w:after="0"/>
      <w:ind w:left="1540"/>
    </w:pPr>
    <w:rPr>
      <w:sz w:val="20"/>
      <w:szCs w:val="20"/>
    </w:rPr>
  </w:style>
  <w:style w:type="paragraph" w:styleId="TOC9">
    <w:name w:val="toc 9"/>
    <w:basedOn w:val="Normal"/>
    <w:next w:val="Normal"/>
    <w:autoRedefine/>
    <w:unhideWhenUsed/>
    <w:rsid w:val="008460E3"/>
    <w:pPr>
      <w:spacing w:before="0" w:after="0"/>
      <w:ind w:left="1760"/>
    </w:pPr>
    <w:rPr>
      <w:sz w:val="20"/>
      <w:szCs w:val="20"/>
    </w:rPr>
  </w:style>
  <w:style w:type="character" w:styleId="CommentReference">
    <w:name w:val="annotation reference"/>
    <w:basedOn w:val="DefaultParagraphFont"/>
    <w:uiPriority w:val="99"/>
    <w:unhideWhenUsed/>
    <w:rsid w:val="000337EF"/>
    <w:rPr>
      <w:sz w:val="16"/>
      <w:szCs w:val="16"/>
    </w:rPr>
  </w:style>
  <w:style w:type="paragraph" w:styleId="CommentText">
    <w:name w:val="annotation text"/>
    <w:basedOn w:val="Normal"/>
    <w:link w:val="CommentTextChar"/>
    <w:uiPriority w:val="99"/>
    <w:unhideWhenUsed/>
    <w:rsid w:val="000337EF"/>
    <w:rPr>
      <w:sz w:val="20"/>
      <w:szCs w:val="20"/>
    </w:rPr>
  </w:style>
  <w:style w:type="character" w:customStyle="1" w:styleId="CommentTextChar">
    <w:name w:val="Comment Text Char"/>
    <w:basedOn w:val="DefaultParagraphFont"/>
    <w:link w:val="CommentText"/>
    <w:uiPriority w:val="99"/>
    <w:rsid w:val="00B7051C"/>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0337EF"/>
    <w:rPr>
      <w:b/>
      <w:bCs/>
    </w:rPr>
  </w:style>
  <w:style w:type="character" w:customStyle="1" w:styleId="CommentSubjectChar">
    <w:name w:val="Comment Subject Char"/>
    <w:basedOn w:val="CommentTextChar"/>
    <w:link w:val="CommentSubject"/>
    <w:uiPriority w:val="99"/>
    <w:semiHidden/>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uiPriority w:val="39"/>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8460E3"/>
    <w:pPr>
      <w:numPr>
        <w:numId w:val="17"/>
      </w:numPr>
      <w:spacing w:before="120"/>
      <w:ind w:right="142"/>
    </w:pPr>
    <w:rPr>
      <w:szCs w:val="20"/>
      <w:lang w:val="en-US" w:eastAsia="en-US"/>
    </w:rPr>
  </w:style>
  <w:style w:type="paragraph" w:customStyle="1" w:styleId="02dash">
    <w:name w:val="02 dash"/>
    <w:basedOn w:val="01squarebullet"/>
    <w:uiPriority w:val="4"/>
    <w:qFormat/>
    <w:rsid w:val="008460E3"/>
    <w:pPr>
      <w:numPr>
        <w:ilvl w:val="1"/>
        <w:numId w:val="6"/>
      </w:numPr>
    </w:pPr>
    <w:rPr>
      <w:rFonts w:eastAsiaTheme="minorHAnsi"/>
    </w:rPr>
  </w:style>
  <w:style w:type="paragraph" w:customStyle="1" w:styleId="03opensquarebullet">
    <w:name w:val="03 open square bullet"/>
    <w:basedOn w:val="02dash"/>
    <w:uiPriority w:val="5"/>
    <w:qFormat/>
    <w:rsid w:val="00C60693"/>
    <w:pPr>
      <w:numPr>
        <w:numId w:val="7"/>
      </w:numPr>
      <w:tabs>
        <w:tab w:val="left" w:pos="924"/>
      </w:tabs>
      <w:ind w:left="925" w:hanging="284"/>
    </w:pPr>
  </w:style>
  <w:style w:type="paragraph" w:customStyle="1" w:styleId="04shortdash">
    <w:name w:val="04 short dash"/>
    <w:basedOn w:val="03opensquarebullet"/>
    <w:uiPriority w:val="6"/>
    <w:qFormat/>
    <w:rsid w:val="00C60693"/>
    <w:pPr>
      <w:numPr>
        <w:numId w:val="8"/>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D10783"/>
    <w:pPr>
      <w:keepNext/>
      <w:numPr>
        <w:numId w:val="5"/>
      </w:numPr>
      <w:spacing w:before="0" w:after="120"/>
      <w:ind w:left="357" w:hanging="357"/>
      <w:outlineLvl w:val="0"/>
    </w:pPr>
    <w:rPr>
      <w:b/>
      <w:color w:val="01653F"/>
      <w:sz w:val="32"/>
      <w:lang w:val="en-AU" w:eastAsia="en-US"/>
    </w:rPr>
  </w:style>
  <w:style w:type="table" w:customStyle="1" w:styleId="TableGrid3">
    <w:name w:val="Table Grid3"/>
    <w:basedOn w:val="TableNormal"/>
    <w:next w:val="TableGrid"/>
    <w:uiPriority w:val="59"/>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C60693"/>
    <w:pPr>
      <w:numPr>
        <w:numId w:val="9"/>
      </w:numPr>
      <w:spacing w:before="120" w:line="264" w:lineRule="auto"/>
      <w:ind w:left="357" w:hanging="357"/>
    </w:pPr>
    <w:rPr>
      <w:szCs w:val="20"/>
      <w:lang w:val="en-US" w:eastAsia="en-US"/>
    </w:rPr>
  </w:style>
  <w:style w:type="paragraph" w:customStyle="1" w:styleId="06letter2">
    <w:name w:val="06 letter/2"/>
    <w:basedOn w:val="Normal"/>
    <w:uiPriority w:val="8"/>
    <w:qFormat/>
    <w:rsid w:val="00C60693"/>
    <w:pPr>
      <w:numPr>
        <w:numId w:val="10"/>
      </w:numPr>
      <w:spacing w:before="120" w:line="264" w:lineRule="auto"/>
      <w:ind w:left="641" w:hanging="284"/>
    </w:pPr>
    <w:rPr>
      <w:szCs w:val="20"/>
      <w:lang w:val="en-US" w:eastAsia="en-US"/>
    </w:rPr>
  </w:style>
  <w:style w:type="paragraph" w:customStyle="1" w:styleId="07number3">
    <w:name w:val="07 number/3"/>
    <w:basedOn w:val="Normal"/>
    <w:uiPriority w:val="8"/>
    <w:qFormat/>
    <w:rsid w:val="00C60693"/>
    <w:pPr>
      <w:numPr>
        <w:numId w:val="11"/>
      </w:numPr>
      <w:spacing w:before="120"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2"/>
      </w:numPr>
      <w:spacing w:before="120" w:line="264" w:lineRule="auto"/>
      <w:ind w:left="1208" w:hanging="284"/>
    </w:pPr>
    <w:rPr>
      <w:szCs w:val="20"/>
      <w:lang w:val="en-US" w:eastAsia="en-US"/>
    </w:rPr>
  </w:style>
  <w:style w:type="paragraph" w:customStyle="1" w:styleId="20major">
    <w:name w:val="20 major"/>
    <w:basedOn w:val="Normal"/>
    <w:next w:val="Normal"/>
    <w:uiPriority w:val="1"/>
    <w:qFormat/>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qFormat/>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8855E4"/>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AB752F"/>
    <w:rPr>
      <w:rFonts w:asciiTheme="minorHAnsi" w:eastAsiaTheme="minorHAnsi" w:hAnsiTheme="minorHAnsi" w:cs="Arial"/>
      <w:b/>
      <w:bCs/>
      <w:i/>
      <w:color w:val="B66113"/>
      <w:sz w:val="24"/>
      <w:szCs w:val="24"/>
      <w:lang w:val="en-US" w:eastAsia="en-US"/>
    </w:rPr>
  </w:style>
  <w:style w:type="character" w:customStyle="1" w:styleId="Heading2Char">
    <w:name w:val="Heading 2 Char"/>
    <w:basedOn w:val="DefaultParagraphFont"/>
    <w:link w:val="Heading2"/>
    <w:rsid w:val="005E1FCF"/>
    <w:rPr>
      <w:rFonts w:asciiTheme="minorHAnsi" w:eastAsiaTheme="minorHAnsi" w:hAnsiTheme="minorHAnsi" w:cs="Arial"/>
      <w:b/>
      <w:bCs/>
      <w:iCs/>
      <w:color w:val="01653F"/>
      <w:sz w:val="28"/>
      <w:szCs w:val="22"/>
      <w:lang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4"/>
      </w:numPr>
      <w:spacing w:before="0" w:after="0"/>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8460E3"/>
    <w:pPr>
      <w:numPr>
        <w:numId w:val="15"/>
      </w:numPr>
      <w:spacing w:before="180" w:line="312" w:lineRule="auto"/>
    </w:pPr>
  </w:style>
  <w:style w:type="character" w:customStyle="1" w:styleId="NormalBulletedChar">
    <w:name w:val="Normal Bulleted Char"/>
    <w:basedOn w:val="DefaultParagraphFont"/>
    <w:link w:val="NormalBulleted"/>
    <w:rsid w:val="00082595"/>
    <w:rPr>
      <w:rFonts w:asciiTheme="minorHAnsi" w:hAnsiTheme="minorHAnsi"/>
      <w:sz w:val="22"/>
      <w:szCs w:val="24"/>
      <w:lang w:val="en-GB"/>
    </w:rPr>
  </w:style>
  <w:style w:type="paragraph" w:styleId="ListContinue">
    <w:name w:val="List Continue"/>
    <w:basedOn w:val="Normal"/>
    <w:uiPriority w:val="99"/>
    <w:semiHidden/>
    <w:unhideWhenUsed/>
    <w:rsid w:val="00082595"/>
    <w:pPr>
      <w:spacing w:after="120"/>
      <w:ind w:left="283"/>
      <w:contextualSpacing/>
    </w:pPr>
  </w:style>
  <w:style w:type="numbering" w:customStyle="1" w:styleId="Style2">
    <w:name w:val="Style2"/>
    <w:uiPriority w:val="99"/>
    <w:rsid w:val="00E15A50"/>
    <w:pPr>
      <w:numPr>
        <w:numId w:val="16"/>
      </w:numPr>
    </w:pPr>
  </w:style>
  <w:style w:type="paragraph" w:customStyle="1" w:styleId="AppendixStyle2">
    <w:name w:val="Appendix Style2"/>
    <w:basedOn w:val="Normal"/>
    <w:qFormat/>
    <w:rsid w:val="00A1707A"/>
    <w:pPr>
      <w:keepNext/>
      <w:spacing w:before="120" w:line="312" w:lineRule="auto"/>
      <w:outlineLvl w:val="1"/>
    </w:pPr>
    <w:rPr>
      <w:rFonts w:eastAsiaTheme="minorHAnsi" w:cs="Arial"/>
      <w:b/>
      <w:bCs/>
      <w:iCs/>
      <w:sz w:val="26"/>
      <w:szCs w:val="22"/>
      <w:lang w:val="en-US" w:eastAsia="en-US"/>
    </w:rPr>
  </w:style>
  <w:style w:type="paragraph" w:styleId="PlainText">
    <w:name w:val="Plain Text"/>
    <w:basedOn w:val="Normal"/>
    <w:link w:val="PlainTextChar"/>
    <w:uiPriority w:val="99"/>
    <w:unhideWhenUsed/>
    <w:rsid w:val="00B409DB"/>
    <w:pPr>
      <w:spacing w:before="0" w:after="0"/>
    </w:pPr>
    <w:rPr>
      <w:rFonts w:ascii="Consolas" w:eastAsiaTheme="minorHAnsi" w:hAnsi="Consolas" w:cs="Consolas"/>
      <w:sz w:val="21"/>
      <w:szCs w:val="21"/>
      <w:lang w:val="en-AU" w:eastAsia="en-US"/>
    </w:rPr>
  </w:style>
  <w:style w:type="character" w:customStyle="1" w:styleId="PlainTextChar">
    <w:name w:val="Plain Text Char"/>
    <w:basedOn w:val="DefaultParagraphFont"/>
    <w:link w:val="PlainText"/>
    <w:uiPriority w:val="99"/>
    <w:rsid w:val="00B409DB"/>
    <w:rPr>
      <w:rFonts w:ascii="Consolas" w:eastAsiaTheme="minorHAnsi" w:hAnsi="Consolas" w:cs="Consolas"/>
      <w:sz w:val="21"/>
      <w:szCs w:val="21"/>
      <w:lang w:eastAsia="en-US"/>
    </w:rPr>
  </w:style>
  <w:style w:type="paragraph" w:customStyle="1" w:styleId="BoxText">
    <w:name w:val="BoxText"/>
    <w:basedOn w:val="Normal"/>
    <w:qFormat/>
    <w:rsid w:val="002D172E"/>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lang w:val="en-AU"/>
    </w:rPr>
  </w:style>
  <w:style w:type="paragraph" w:customStyle="1" w:styleId="BoxBullet">
    <w:name w:val="BoxBullet"/>
    <w:basedOn w:val="BoxText"/>
    <w:rsid w:val="002D172E"/>
    <w:pPr>
      <w:numPr>
        <w:numId w:val="18"/>
      </w:numPr>
    </w:pPr>
  </w:style>
  <w:style w:type="paragraph" w:customStyle="1" w:styleId="Normalpara">
    <w:name w:val="Normal para"/>
    <w:basedOn w:val="Normal"/>
    <w:link w:val="NormalparaChar"/>
    <w:qFormat/>
    <w:rsid w:val="00E15D68"/>
    <w:rPr>
      <w:lang w:val="en-AU"/>
    </w:rPr>
  </w:style>
  <w:style w:type="character" w:customStyle="1" w:styleId="NormalparaChar">
    <w:name w:val="Normal para Char"/>
    <w:basedOn w:val="DefaultParagraphFont"/>
    <w:link w:val="Normalpara"/>
    <w:rsid w:val="00E15D68"/>
    <w:rPr>
      <w:rFonts w:asciiTheme="minorHAnsi" w:hAnsiTheme="minorHAnsi"/>
      <w:sz w:val="22"/>
      <w:szCs w:val="24"/>
    </w:rPr>
  </w:style>
  <w:style w:type="character" w:customStyle="1" w:styleId="Heading4Char">
    <w:name w:val="Heading 4 Char"/>
    <w:basedOn w:val="DefaultParagraphFont"/>
    <w:link w:val="Heading4"/>
    <w:uiPriority w:val="9"/>
    <w:rsid w:val="0033420E"/>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33420E"/>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33420E"/>
    <w:rPr>
      <w:rFonts w:asciiTheme="minorHAnsi" w:eastAsiaTheme="minorHAnsi" w:hAnsiTheme="minorHAnsi" w:cs="Arial"/>
      <w:b/>
      <w:bCs/>
      <w:i/>
      <w:sz w:val="22"/>
      <w:szCs w:val="22"/>
      <w:lang w:val="en-US" w:eastAsia="en-US"/>
    </w:rPr>
  </w:style>
  <w:style w:type="character" w:customStyle="1" w:styleId="01squarebulletChar">
    <w:name w:val="01 square bullet Char"/>
    <w:basedOn w:val="DefaultParagraphFont"/>
    <w:link w:val="01squarebullet"/>
    <w:uiPriority w:val="3"/>
    <w:rsid w:val="0033420E"/>
    <w:rPr>
      <w:rFonts w:asciiTheme="minorHAnsi" w:hAnsiTheme="minorHAnsi"/>
      <w:sz w:val="22"/>
      <w:lang w:val="en-US" w:eastAsia="en-US"/>
    </w:rPr>
  </w:style>
  <w:style w:type="paragraph" w:customStyle="1" w:styleId="03Tableundertext">
    <w:name w:val="03 Table under text"/>
    <w:basedOn w:val="Normal"/>
    <w:rsid w:val="0033420E"/>
    <w:pPr>
      <w:spacing w:before="0" w:line="312" w:lineRule="auto"/>
    </w:pPr>
    <w:rPr>
      <w:bCs/>
      <w:sz w:val="18"/>
      <w:szCs w:val="16"/>
      <w:lang w:val="en-US"/>
    </w:rPr>
  </w:style>
  <w:style w:type="paragraph" w:customStyle="1" w:styleId="xmsonormal">
    <w:name w:val="x_msonormal"/>
    <w:basedOn w:val="Normal"/>
    <w:rsid w:val="00A85858"/>
    <w:pPr>
      <w:spacing w:before="100" w:beforeAutospacing="1" w:after="100" w:afterAutospacing="1"/>
    </w:pPr>
    <w:rPr>
      <w:rFonts w:ascii="Times New Roman" w:hAnsi="Times New Roman"/>
      <w:sz w:val="24"/>
      <w:lang w:val="en-AU"/>
    </w:rPr>
  </w:style>
  <w:style w:type="character" w:customStyle="1" w:styleId="Mention1">
    <w:name w:val="Mention1"/>
    <w:basedOn w:val="DefaultParagraphFont"/>
    <w:uiPriority w:val="99"/>
    <w:semiHidden/>
    <w:unhideWhenUsed/>
    <w:rsid w:val="008915E8"/>
    <w:rPr>
      <w:color w:val="2B579A"/>
      <w:shd w:val="clear" w:color="auto" w:fill="E6E6E6"/>
    </w:rPr>
  </w:style>
  <w:style w:type="paragraph" w:customStyle="1" w:styleId="Char1">
    <w:name w:val="Char1"/>
    <w:basedOn w:val="Normal"/>
    <w:rsid w:val="00EF0ECE"/>
    <w:pPr>
      <w:spacing w:before="0" w:after="0"/>
    </w:pPr>
    <w:rPr>
      <w:rFonts w:ascii="Arial" w:hAnsi="Arial" w:cs="Arial"/>
      <w:szCs w:val="22"/>
      <w:lang w:val="en-AU" w:eastAsia="en-US"/>
    </w:rPr>
  </w:style>
  <w:style w:type="paragraph" w:customStyle="1" w:styleId="Char10">
    <w:name w:val="Char1"/>
    <w:basedOn w:val="Normal"/>
    <w:rsid w:val="00DA4C10"/>
    <w:pPr>
      <w:spacing w:before="0" w:after="0"/>
    </w:pPr>
    <w:rPr>
      <w:rFonts w:ascii="Arial" w:hAnsi="Arial" w:cs="Arial"/>
      <w:szCs w:val="22"/>
      <w:lang w:val="en-AU" w:eastAsia="en-US"/>
    </w:rPr>
  </w:style>
  <w:style w:type="character" w:customStyle="1" w:styleId="Mention2">
    <w:name w:val="Mention2"/>
    <w:basedOn w:val="DefaultParagraphFont"/>
    <w:uiPriority w:val="99"/>
    <w:semiHidden/>
    <w:unhideWhenUsed/>
    <w:rsid w:val="00504DD0"/>
    <w:rPr>
      <w:color w:val="2B579A"/>
      <w:shd w:val="clear" w:color="auto" w:fill="E6E6E6"/>
    </w:rPr>
  </w:style>
  <w:style w:type="character" w:customStyle="1" w:styleId="N1Char">
    <w:name w:val="N 1 Char"/>
    <w:basedOn w:val="DefaultParagraphFont"/>
    <w:link w:val="N1"/>
    <w:locked/>
    <w:rsid w:val="002A6EE9"/>
  </w:style>
  <w:style w:type="paragraph" w:customStyle="1" w:styleId="N1">
    <w:name w:val="N 1"/>
    <w:basedOn w:val="Normal"/>
    <w:link w:val="N1Char"/>
    <w:rsid w:val="002A6EE9"/>
    <w:pPr>
      <w:spacing w:before="180"/>
    </w:pPr>
    <w:rPr>
      <w:rFonts w:ascii="Times New Roman" w:hAnsi="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99495763">
      <w:bodyDiv w:val="1"/>
      <w:marLeft w:val="0"/>
      <w:marRight w:val="0"/>
      <w:marTop w:val="0"/>
      <w:marBottom w:val="0"/>
      <w:divBdr>
        <w:top w:val="none" w:sz="0" w:space="0" w:color="auto"/>
        <w:left w:val="none" w:sz="0" w:space="0" w:color="auto"/>
        <w:bottom w:val="none" w:sz="0" w:space="0" w:color="auto"/>
        <w:right w:val="none" w:sz="0" w:space="0" w:color="auto"/>
      </w:divBdr>
    </w:div>
    <w:div w:id="105122325">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42745142">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1681467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 w:id="86269325">
          <w:marLeft w:val="44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76695234">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0259281">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596596997">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09898804">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67170819">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47379">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8169249">
      <w:bodyDiv w:val="1"/>
      <w:marLeft w:val="0"/>
      <w:marRight w:val="0"/>
      <w:marTop w:val="0"/>
      <w:marBottom w:val="0"/>
      <w:divBdr>
        <w:top w:val="none" w:sz="0" w:space="0" w:color="auto"/>
        <w:left w:val="none" w:sz="0" w:space="0" w:color="auto"/>
        <w:bottom w:val="none" w:sz="0" w:space="0" w:color="auto"/>
        <w:right w:val="none" w:sz="0" w:space="0" w:color="auto"/>
      </w:divBdr>
      <w:divsChild>
        <w:div w:id="847644932">
          <w:marLeft w:val="0"/>
          <w:marRight w:val="0"/>
          <w:marTop w:val="0"/>
          <w:marBottom w:val="0"/>
          <w:divBdr>
            <w:top w:val="single" w:sz="6" w:space="16" w:color="414141"/>
            <w:left w:val="single" w:sz="6" w:space="18" w:color="414141"/>
            <w:bottom w:val="single" w:sz="6" w:space="0" w:color="414141"/>
            <w:right w:val="single" w:sz="6" w:space="31" w:color="414141"/>
          </w:divBdr>
          <w:divsChild>
            <w:div w:id="1789664933">
              <w:marLeft w:val="0"/>
              <w:marRight w:val="0"/>
              <w:marTop w:val="0"/>
              <w:marBottom w:val="0"/>
              <w:divBdr>
                <w:top w:val="none" w:sz="0" w:space="0" w:color="auto"/>
                <w:left w:val="none" w:sz="0" w:space="0" w:color="auto"/>
                <w:bottom w:val="none" w:sz="0" w:space="0" w:color="auto"/>
                <w:right w:val="none" w:sz="0" w:space="0" w:color="auto"/>
              </w:divBdr>
            </w:div>
          </w:divsChild>
        </w:div>
        <w:div w:id="1727296251">
          <w:marLeft w:val="0"/>
          <w:marRight w:val="0"/>
          <w:marTop w:val="0"/>
          <w:marBottom w:val="0"/>
          <w:divBdr>
            <w:top w:val="single" w:sz="6" w:space="16" w:color="414141"/>
            <w:left w:val="single" w:sz="6" w:space="18" w:color="414141"/>
            <w:bottom w:val="single" w:sz="6" w:space="0" w:color="414141"/>
            <w:right w:val="single" w:sz="6" w:space="31" w:color="414141"/>
          </w:divBdr>
          <w:divsChild>
            <w:div w:id="2082436460">
              <w:marLeft w:val="0"/>
              <w:marRight w:val="0"/>
              <w:marTop w:val="0"/>
              <w:marBottom w:val="0"/>
              <w:divBdr>
                <w:top w:val="none" w:sz="0" w:space="0" w:color="auto"/>
                <w:left w:val="none" w:sz="0" w:space="0" w:color="auto"/>
                <w:bottom w:val="none" w:sz="0" w:space="0" w:color="auto"/>
                <w:right w:val="none" w:sz="0" w:space="0" w:color="auto"/>
              </w:divBdr>
            </w:div>
          </w:divsChild>
        </w:div>
        <w:div w:id="60445062">
          <w:marLeft w:val="0"/>
          <w:marRight w:val="0"/>
          <w:marTop w:val="0"/>
          <w:marBottom w:val="0"/>
          <w:divBdr>
            <w:top w:val="single" w:sz="6" w:space="16" w:color="414141"/>
            <w:left w:val="single" w:sz="6" w:space="18" w:color="414141"/>
            <w:bottom w:val="single" w:sz="6" w:space="0" w:color="414141"/>
            <w:right w:val="single" w:sz="6" w:space="31" w:color="414141"/>
          </w:divBdr>
          <w:divsChild>
            <w:div w:id="1096099202">
              <w:marLeft w:val="0"/>
              <w:marRight w:val="0"/>
              <w:marTop w:val="0"/>
              <w:marBottom w:val="0"/>
              <w:divBdr>
                <w:top w:val="none" w:sz="0" w:space="0" w:color="auto"/>
                <w:left w:val="none" w:sz="0" w:space="0" w:color="auto"/>
                <w:bottom w:val="none" w:sz="0" w:space="0" w:color="auto"/>
                <w:right w:val="none" w:sz="0" w:space="0" w:color="auto"/>
              </w:divBdr>
            </w:div>
          </w:divsChild>
        </w:div>
        <w:div w:id="649091954">
          <w:marLeft w:val="0"/>
          <w:marRight w:val="0"/>
          <w:marTop w:val="0"/>
          <w:marBottom w:val="0"/>
          <w:divBdr>
            <w:top w:val="single" w:sz="6" w:space="16" w:color="414141"/>
            <w:left w:val="single" w:sz="6" w:space="18" w:color="414141"/>
            <w:bottom w:val="single" w:sz="6" w:space="0" w:color="414141"/>
            <w:right w:val="single" w:sz="6" w:space="31" w:color="414141"/>
          </w:divBdr>
          <w:divsChild>
            <w:div w:id="405306865">
              <w:marLeft w:val="0"/>
              <w:marRight w:val="0"/>
              <w:marTop w:val="0"/>
              <w:marBottom w:val="0"/>
              <w:divBdr>
                <w:top w:val="none" w:sz="0" w:space="0" w:color="auto"/>
                <w:left w:val="none" w:sz="0" w:space="0" w:color="auto"/>
                <w:bottom w:val="none" w:sz="0" w:space="0" w:color="auto"/>
                <w:right w:val="none" w:sz="0" w:space="0" w:color="auto"/>
              </w:divBdr>
            </w:div>
          </w:divsChild>
        </w:div>
        <w:div w:id="984627605">
          <w:marLeft w:val="0"/>
          <w:marRight w:val="0"/>
          <w:marTop w:val="0"/>
          <w:marBottom w:val="0"/>
          <w:divBdr>
            <w:top w:val="single" w:sz="6" w:space="16" w:color="414141"/>
            <w:left w:val="single" w:sz="6" w:space="18" w:color="414141"/>
            <w:bottom w:val="single" w:sz="6" w:space="0" w:color="414141"/>
            <w:right w:val="single" w:sz="6" w:space="31" w:color="414141"/>
          </w:divBdr>
          <w:divsChild>
            <w:div w:id="1490826956">
              <w:marLeft w:val="0"/>
              <w:marRight w:val="0"/>
              <w:marTop w:val="0"/>
              <w:marBottom w:val="0"/>
              <w:divBdr>
                <w:top w:val="none" w:sz="0" w:space="0" w:color="auto"/>
                <w:left w:val="none" w:sz="0" w:space="0" w:color="auto"/>
                <w:bottom w:val="none" w:sz="0" w:space="0" w:color="auto"/>
                <w:right w:val="none" w:sz="0" w:space="0" w:color="auto"/>
              </w:divBdr>
            </w:div>
          </w:divsChild>
        </w:div>
        <w:div w:id="379406532">
          <w:marLeft w:val="0"/>
          <w:marRight w:val="0"/>
          <w:marTop w:val="0"/>
          <w:marBottom w:val="0"/>
          <w:divBdr>
            <w:top w:val="single" w:sz="6" w:space="16" w:color="414141"/>
            <w:left w:val="single" w:sz="6" w:space="18" w:color="414141"/>
            <w:bottom w:val="single" w:sz="6" w:space="0" w:color="414141"/>
            <w:right w:val="single" w:sz="6" w:space="31" w:color="414141"/>
          </w:divBdr>
          <w:divsChild>
            <w:div w:id="287668763">
              <w:marLeft w:val="0"/>
              <w:marRight w:val="0"/>
              <w:marTop w:val="0"/>
              <w:marBottom w:val="0"/>
              <w:divBdr>
                <w:top w:val="none" w:sz="0" w:space="0" w:color="auto"/>
                <w:left w:val="none" w:sz="0" w:space="0" w:color="auto"/>
                <w:bottom w:val="none" w:sz="0" w:space="0" w:color="auto"/>
                <w:right w:val="none" w:sz="0" w:space="0" w:color="auto"/>
              </w:divBdr>
            </w:div>
          </w:divsChild>
        </w:div>
        <w:div w:id="482159136">
          <w:marLeft w:val="0"/>
          <w:marRight w:val="0"/>
          <w:marTop w:val="0"/>
          <w:marBottom w:val="0"/>
          <w:divBdr>
            <w:top w:val="single" w:sz="6" w:space="16" w:color="414141"/>
            <w:left w:val="single" w:sz="6" w:space="18" w:color="414141"/>
            <w:bottom w:val="single" w:sz="6" w:space="0" w:color="414141"/>
            <w:right w:val="single" w:sz="6" w:space="31" w:color="414141"/>
          </w:divBdr>
          <w:divsChild>
            <w:div w:id="414667709">
              <w:marLeft w:val="0"/>
              <w:marRight w:val="0"/>
              <w:marTop w:val="0"/>
              <w:marBottom w:val="0"/>
              <w:divBdr>
                <w:top w:val="none" w:sz="0" w:space="0" w:color="auto"/>
                <w:left w:val="none" w:sz="0" w:space="0" w:color="auto"/>
                <w:bottom w:val="none" w:sz="0" w:space="0" w:color="auto"/>
                <w:right w:val="none" w:sz="0" w:space="0" w:color="auto"/>
              </w:divBdr>
            </w:div>
          </w:divsChild>
        </w:div>
        <w:div w:id="1806703411">
          <w:marLeft w:val="0"/>
          <w:marRight w:val="0"/>
          <w:marTop w:val="0"/>
          <w:marBottom w:val="0"/>
          <w:divBdr>
            <w:top w:val="single" w:sz="6" w:space="16" w:color="414141"/>
            <w:left w:val="single" w:sz="6" w:space="18" w:color="414141"/>
            <w:bottom w:val="single" w:sz="6" w:space="0" w:color="414141"/>
            <w:right w:val="single" w:sz="6" w:space="31" w:color="414141"/>
          </w:divBdr>
          <w:divsChild>
            <w:div w:id="894123088">
              <w:marLeft w:val="0"/>
              <w:marRight w:val="0"/>
              <w:marTop w:val="0"/>
              <w:marBottom w:val="0"/>
              <w:divBdr>
                <w:top w:val="none" w:sz="0" w:space="0" w:color="auto"/>
                <w:left w:val="none" w:sz="0" w:space="0" w:color="auto"/>
                <w:bottom w:val="none" w:sz="0" w:space="0" w:color="auto"/>
                <w:right w:val="none" w:sz="0" w:space="0" w:color="auto"/>
              </w:divBdr>
            </w:div>
          </w:divsChild>
        </w:div>
        <w:div w:id="308822309">
          <w:marLeft w:val="0"/>
          <w:marRight w:val="0"/>
          <w:marTop w:val="0"/>
          <w:marBottom w:val="0"/>
          <w:divBdr>
            <w:top w:val="single" w:sz="6" w:space="16" w:color="414141"/>
            <w:left w:val="single" w:sz="6" w:space="18" w:color="414141"/>
            <w:bottom w:val="single" w:sz="6" w:space="0" w:color="414141"/>
            <w:right w:val="single" w:sz="6" w:space="31" w:color="414141"/>
          </w:divBdr>
          <w:divsChild>
            <w:div w:id="147475602">
              <w:marLeft w:val="0"/>
              <w:marRight w:val="0"/>
              <w:marTop w:val="0"/>
              <w:marBottom w:val="0"/>
              <w:divBdr>
                <w:top w:val="none" w:sz="0" w:space="0" w:color="auto"/>
                <w:left w:val="none" w:sz="0" w:space="0" w:color="auto"/>
                <w:bottom w:val="none" w:sz="0" w:space="0" w:color="auto"/>
                <w:right w:val="none" w:sz="0" w:space="0" w:color="auto"/>
              </w:divBdr>
            </w:div>
          </w:divsChild>
        </w:div>
        <w:div w:id="884558992">
          <w:marLeft w:val="0"/>
          <w:marRight w:val="0"/>
          <w:marTop w:val="0"/>
          <w:marBottom w:val="0"/>
          <w:divBdr>
            <w:top w:val="single" w:sz="6" w:space="16" w:color="414141"/>
            <w:left w:val="single" w:sz="6" w:space="18" w:color="414141"/>
            <w:bottom w:val="single" w:sz="6" w:space="0" w:color="414141"/>
            <w:right w:val="single" w:sz="6" w:space="31" w:color="414141"/>
          </w:divBdr>
          <w:divsChild>
            <w:div w:id="1069235085">
              <w:marLeft w:val="0"/>
              <w:marRight w:val="0"/>
              <w:marTop w:val="0"/>
              <w:marBottom w:val="0"/>
              <w:divBdr>
                <w:top w:val="none" w:sz="0" w:space="0" w:color="auto"/>
                <w:left w:val="none" w:sz="0" w:space="0" w:color="auto"/>
                <w:bottom w:val="none" w:sz="0" w:space="0" w:color="auto"/>
                <w:right w:val="none" w:sz="0" w:space="0" w:color="auto"/>
              </w:divBdr>
            </w:div>
          </w:divsChild>
        </w:div>
        <w:div w:id="1383481441">
          <w:marLeft w:val="0"/>
          <w:marRight w:val="0"/>
          <w:marTop w:val="0"/>
          <w:marBottom w:val="0"/>
          <w:divBdr>
            <w:top w:val="single" w:sz="6" w:space="16" w:color="414141"/>
            <w:left w:val="single" w:sz="6" w:space="18" w:color="414141"/>
            <w:bottom w:val="single" w:sz="6" w:space="0" w:color="414141"/>
            <w:right w:val="single" w:sz="6" w:space="31" w:color="414141"/>
          </w:divBdr>
          <w:divsChild>
            <w:div w:id="1435974592">
              <w:marLeft w:val="0"/>
              <w:marRight w:val="0"/>
              <w:marTop w:val="0"/>
              <w:marBottom w:val="0"/>
              <w:divBdr>
                <w:top w:val="none" w:sz="0" w:space="0" w:color="auto"/>
                <w:left w:val="none" w:sz="0" w:space="0" w:color="auto"/>
                <w:bottom w:val="none" w:sz="0" w:space="0" w:color="auto"/>
                <w:right w:val="none" w:sz="0" w:space="0" w:color="auto"/>
              </w:divBdr>
            </w:div>
          </w:divsChild>
        </w:div>
        <w:div w:id="691342388">
          <w:marLeft w:val="0"/>
          <w:marRight w:val="0"/>
          <w:marTop w:val="0"/>
          <w:marBottom w:val="0"/>
          <w:divBdr>
            <w:top w:val="single" w:sz="6" w:space="16" w:color="414141"/>
            <w:left w:val="single" w:sz="6" w:space="18" w:color="414141"/>
            <w:bottom w:val="single" w:sz="6" w:space="0" w:color="414141"/>
            <w:right w:val="single" w:sz="6" w:space="31" w:color="414141"/>
          </w:divBdr>
          <w:divsChild>
            <w:div w:id="1978337725">
              <w:marLeft w:val="0"/>
              <w:marRight w:val="0"/>
              <w:marTop w:val="0"/>
              <w:marBottom w:val="0"/>
              <w:divBdr>
                <w:top w:val="none" w:sz="0" w:space="0" w:color="auto"/>
                <w:left w:val="none" w:sz="0" w:space="0" w:color="auto"/>
                <w:bottom w:val="none" w:sz="0" w:space="0" w:color="auto"/>
                <w:right w:val="none" w:sz="0" w:space="0" w:color="auto"/>
              </w:divBdr>
            </w:div>
          </w:divsChild>
        </w:div>
        <w:div w:id="1265767848">
          <w:marLeft w:val="0"/>
          <w:marRight w:val="0"/>
          <w:marTop w:val="0"/>
          <w:marBottom w:val="0"/>
          <w:divBdr>
            <w:top w:val="single" w:sz="6" w:space="16" w:color="414141"/>
            <w:left w:val="single" w:sz="6" w:space="18" w:color="414141"/>
            <w:bottom w:val="single" w:sz="6" w:space="0" w:color="414141"/>
            <w:right w:val="single" w:sz="6" w:space="31" w:color="414141"/>
          </w:divBdr>
          <w:divsChild>
            <w:div w:id="623195986">
              <w:marLeft w:val="0"/>
              <w:marRight w:val="0"/>
              <w:marTop w:val="0"/>
              <w:marBottom w:val="0"/>
              <w:divBdr>
                <w:top w:val="none" w:sz="0" w:space="0" w:color="auto"/>
                <w:left w:val="none" w:sz="0" w:space="0" w:color="auto"/>
                <w:bottom w:val="none" w:sz="0" w:space="0" w:color="auto"/>
                <w:right w:val="none" w:sz="0" w:space="0" w:color="auto"/>
              </w:divBdr>
            </w:div>
          </w:divsChild>
        </w:div>
        <w:div w:id="551772455">
          <w:marLeft w:val="0"/>
          <w:marRight w:val="0"/>
          <w:marTop w:val="0"/>
          <w:marBottom w:val="0"/>
          <w:divBdr>
            <w:top w:val="single" w:sz="6" w:space="16" w:color="414141"/>
            <w:left w:val="single" w:sz="6" w:space="18" w:color="414141"/>
            <w:bottom w:val="single" w:sz="6" w:space="0" w:color="414141"/>
            <w:right w:val="single" w:sz="6" w:space="31" w:color="414141"/>
          </w:divBdr>
          <w:divsChild>
            <w:div w:id="1322854944">
              <w:marLeft w:val="0"/>
              <w:marRight w:val="0"/>
              <w:marTop w:val="0"/>
              <w:marBottom w:val="0"/>
              <w:divBdr>
                <w:top w:val="none" w:sz="0" w:space="0" w:color="auto"/>
                <w:left w:val="none" w:sz="0" w:space="0" w:color="auto"/>
                <w:bottom w:val="none" w:sz="0" w:space="0" w:color="auto"/>
                <w:right w:val="none" w:sz="0" w:space="0" w:color="auto"/>
              </w:divBdr>
            </w:div>
          </w:divsChild>
        </w:div>
        <w:div w:id="991643104">
          <w:marLeft w:val="0"/>
          <w:marRight w:val="0"/>
          <w:marTop w:val="0"/>
          <w:marBottom w:val="0"/>
          <w:divBdr>
            <w:top w:val="single" w:sz="6" w:space="16" w:color="414141"/>
            <w:left w:val="single" w:sz="6" w:space="18" w:color="414141"/>
            <w:bottom w:val="single" w:sz="6" w:space="0" w:color="414141"/>
            <w:right w:val="single" w:sz="6" w:space="31" w:color="414141"/>
          </w:divBdr>
          <w:divsChild>
            <w:div w:id="959648464">
              <w:marLeft w:val="0"/>
              <w:marRight w:val="0"/>
              <w:marTop w:val="0"/>
              <w:marBottom w:val="0"/>
              <w:divBdr>
                <w:top w:val="none" w:sz="0" w:space="0" w:color="auto"/>
                <w:left w:val="none" w:sz="0" w:space="0" w:color="auto"/>
                <w:bottom w:val="none" w:sz="0" w:space="0" w:color="auto"/>
                <w:right w:val="none" w:sz="0" w:space="0" w:color="auto"/>
              </w:divBdr>
            </w:div>
          </w:divsChild>
        </w:div>
        <w:div w:id="1819764978">
          <w:marLeft w:val="0"/>
          <w:marRight w:val="0"/>
          <w:marTop w:val="0"/>
          <w:marBottom w:val="0"/>
          <w:divBdr>
            <w:top w:val="single" w:sz="6" w:space="16" w:color="414141"/>
            <w:left w:val="single" w:sz="6" w:space="18" w:color="414141"/>
            <w:bottom w:val="single" w:sz="6" w:space="0" w:color="414141"/>
            <w:right w:val="single" w:sz="6" w:space="31" w:color="414141"/>
          </w:divBdr>
          <w:divsChild>
            <w:div w:id="890769098">
              <w:marLeft w:val="0"/>
              <w:marRight w:val="0"/>
              <w:marTop w:val="0"/>
              <w:marBottom w:val="0"/>
              <w:divBdr>
                <w:top w:val="none" w:sz="0" w:space="0" w:color="auto"/>
                <w:left w:val="none" w:sz="0" w:space="0" w:color="auto"/>
                <w:bottom w:val="none" w:sz="0" w:space="0" w:color="auto"/>
                <w:right w:val="none" w:sz="0" w:space="0" w:color="auto"/>
              </w:divBdr>
            </w:div>
          </w:divsChild>
        </w:div>
        <w:div w:id="1288466915">
          <w:marLeft w:val="0"/>
          <w:marRight w:val="0"/>
          <w:marTop w:val="0"/>
          <w:marBottom w:val="0"/>
          <w:divBdr>
            <w:top w:val="single" w:sz="6" w:space="16" w:color="414141"/>
            <w:left w:val="single" w:sz="6" w:space="18" w:color="414141"/>
            <w:bottom w:val="single" w:sz="6" w:space="0" w:color="414141"/>
            <w:right w:val="single" w:sz="6" w:space="31" w:color="414141"/>
          </w:divBdr>
          <w:divsChild>
            <w:div w:id="733237969">
              <w:marLeft w:val="0"/>
              <w:marRight w:val="0"/>
              <w:marTop w:val="0"/>
              <w:marBottom w:val="0"/>
              <w:divBdr>
                <w:top w:val="none" w:sz="0" w:space="0" w:color="auto"/>
                <w:left w:val="none" w:sz="0" w:space="0" w:color="auto"/>
                <w:bottom w:val="none" w:sz="0" w:space="0" w:color="auto"/>
                <w:right w:val="none" w:sz="0" w:space="0" w:color="auto"/>
              </w:divBdr>
            </w:div>
          </w:divsChild>
        </w:div>
        <w:div w:id="923958251">
          <w:marLeft w:val="0"/>
          <w:marRight w:val="0"/>
          <w:marTop w:val="0"/>
          <w:marBottom w:val="0"/>
          <w:divBdr>
            <w:top w:val="single" w:sz="6" w:space="16" w:color="414141"/>
            <w:left w:val="single" w:sz="6" w:space="18" w:color="414141"/>
            <w:bottom w:val="single" w:sz="6" w:space="0" w:color="414141"/>
            <w:right w:val="single" w:sz="6" w:space="31" w:color="414141"/>
          </w:divBdr>
          <w:divsChild>
            <w:div w:id="824510639">
              <w:marLeft w:val="0"/>
              <w:marRight w:val="0"/>
              <w:marTop w:val="0"/>
              <w:marBottom w:val="0"/>
              <w:divBdr>
                <w:top w:val="none" w:sz="0" w:space="0" w:color="auto"/>
                <w:left w:val="none" w:sz="0" w:space="0" w:color="auto"/>
                <w:bottom w:val="none" w:sz="0" w:space="0" w:color="auto"/>
                <w:right w:val="none" w:sz="0" w:space="0" w:color="auto"/>
              </w:divBdr>
            </w:div>
          </w:divsChild>
        </w:div>
        <w:div w:id="845435638">
          <w:marLeft w:val="0"/>
          <w:marRight w:val="0"/>
          <w:marTop w:val="0"/>
          <w:marBottom w:val="0"/>
          <w:divBdr>
            <w:top w:val="single" w:sz="6" w:space="16" w:color="414141"/>
            <w:left w:val="single" w:sz="6" w:space="18" w:color="414141"/>
            <w:bottom w:val="single" w:sz="6" w:space="0" w:color="414141"/>
            <w:right w:val="single" w:sz="6" w:space="31" w:color="414141"/>
          </w:divBdr>
          <w:divsChild>
            <w:div w:id="213003865">
              <w:marLeft w:val="0"/>
              <w:marRight w:val="0"/>
              <w:marTop w:val="0"/>
              <w:marBottom w:val="0"/>
              <w:divBdr>
                <w:top w:val="none" w:sz="0" w:space="0" w:color="auto"/>
                <w:left w:val="none" w:sz="0" w:space="0" w:color="auto"/>
                <w:bottom w:val="none" w:sz="0" w:space="0" w:color="auto"/>
                <w:right w:val="none" w:sz="0" w:space="0" w:color="auto"/>
              </w:divBdr>
            </w:div>
          </w:divsChild>
        </w:div>
        <w:div w:id="1569875079">
          <w:marLeft w:val="0"/>
          <w:marRight w:val="0"/>
          <w:marTop w:val="0"/>
          <w:marBottom w:val="0"/>
          <w:divBdr>
            <w:top w:val="single" w:sz="6" w:space="16" w:color="414141"/>
            <w:left w:val="single" w:sz="6" w:space="18" w:color="414141"/>
            <w:bottom w:val="single" w:sz="6" w:space="0" w:color="414141"/>
            <w:right w:val="single" w:sz="6" w:space="31" w:color="414141"/>
          </w:divBdr>
          <w:divsChild>
            <w:div w:id="1173493324">
              <w:marLeft w:val="0"/>
              <w:marRight w:val="0"/>
              <w:marTop w:val="0"/>
              <w:marBottom w:val="0"/>
              <w:divBdr>
                <w:top w:val="none" w:sz="0" w:space="0" w:color="auto"/>
                <w:left w:val="none" w:sz="0" w:space="0" w:color="auto"/>
                <w:bottom w:val="none" w:sz="0" w:space="0" w:color="auto"/>
                <w:right w:val="none" w:sz="0" w:space="0" w:color="auto"/>
              </w:divBdr>
            </w:div>
          </w:divsChild>
        </w:div>
        <w:div w:id="1464931601">
          <w:marLeft w:val="0"/>
          <w:marRight w:val="0"/>
          <w:marTop w:val="0"/>
          <w:marBottom w:val="0"/>
          <w:divBdr>
            <w:top w:val="single" w:sz="6" w:space="16" w:color="414141"/>
            <w:left w:val="single" w:sz="6" w:space="18" w:color="414141"/>
            <w:bottom w:val="single" w:sz="6" w:space="0" w:color="414141"/>
            <w:right w:val="single" w:sz="6" w:space="31" w:color="414141"/>
          </w:divBdr>
          <w:divsChild>
            <w:div w:id="719205775">
              <w:marLeft w:val="0"/>
              <w:marRight w:val="0"/>
              <w:marTop w:val="0"/>
              <w:marBottom w:val="0"/>
              <w:divBdr>
                <w:top w:val="none" w:sz="0" w:space="0" w:color="auto"/>
                <w:left w:val="none" w:sz="0" w:space="0" w:color="auto"/>
                <w:bottom w:val="none" w:sz="0" w:space="0" w:color="auto"/>
                <w:right w:val="none" w:sz="0" w:space="0" w:color="auto"/>
              </w:divBdr>
            </w:div>
          </w:divsChild>
        </w:div>
        <w:div w:id="1938247166">
          <w:marLeft w:val="0"/>
          <w:marRight w:val="0"/>
          <w:marTop w:val="0"/>
          <w:marBottom w:val="0"/>
          <w:divBdr>
            <w:top w:val="single" w:sz="6" w:space="16" w:color="414141"/>
            <w:left w:val="single" w:sz="6" w:space="18" w:color="414141"/>
            <w:bottom w:val="single" w:sz="6" w:space="0" w:color="414141"/>
            <w:right w:val="single" w:sz="6" w:space="31" w:color="414141"/>
          </w:divBdr>
          <w:divsChild>
            <w:div w:id="13010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68623990">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7327673">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6115440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2262757">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01100008">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98381225">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6753057">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4335190">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42942790">
      <w:bodyDiv w:val="1"/>
      <w:marLeft w:val="0"/>
      <w:marRight w:val="0"/>
      <w:marTop w:val="0"/>
      <w:marBottom w:val="0"/>
      <w:divBdr>
        <w:top w:val="none" w:sz="0" w:space="0" w:color="auto"/>
        <w:left w:val="none" w:sz="0" w:space="0" w:color="auto"/>
        <w:bottom w:val="none" w:sz="0" w:space="0" w:color="auto"/>
        <w:right w:val="none" w:sz="0" w:space="0" w:color="auto"/>
      </w:divBdr>
    </w:div>
    <w:div w:id="1781486362">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17330682">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3176004">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5938299">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75005795">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333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sac.gov.au/internet/msac/publishing.nsf/Content/5E4A15936099EB2ECA25801000123B8A/$File/1163%20-%20PSD-HER2geneamplificationforuseoftrastuzumabingastriccancer%20(D13-1647473).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ncbi.nlm.nih.gov/pubmed/2514597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mbsreviews@health.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ac.gov.au/internet/msac/publishing.nsf/Content/3DD7F0626C7ECA4CCA25801000123C10/$File/1163%201-Final%20PSD-July%202015-HER2%20status%20for%20gastric%20cancer%20for%20access.pdf"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
    <b:Tag>Mil10</b:Tag>
    <b:SourceType>Report</b:SourceType>
    <b:Guid>{0E55BD48-023A-4975-BB25-4A78E6975001}</b:Guid>
    <b:Title>Consensus Statement: Chromosomal Microarray Is a First-Tier Diagnostic Test for Individuals with Developmental Disabilities of Congenital Anomalies</b:Title>
    <b:Year>2010</b:Year>
    <b:Publisher>American Journal of Human Genetics</b:Publisher>
    <b:Author>
      <b:Author>
        <b:NameList>
          <b:Person>
            <b:Last>Miller</b:Last>
            <b:First>D</b:First>
          </b:Person>
        </b:NameList>
      </b:Author>
    </b:Author>
    <b:RefOrder>1</b:RefOrder>
  </b:Source>
</b:Sources>
</file>

<file path=customXml/itemProps1.xml><?xml version="1.0" encoding="utf-8"?>
<ds:datastoreItem xmlns:ds="http://schemas.openxmlformats.org/officeDocument/2006/customXml" ds:itemID="{D44DD698-44B0-409A-8131-F3EA7729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19325</Words>
  <Characters>110153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Pathology Clinical Committee—Genetics</vt:lpstr>
    </vt:vector>
  </TitlesOfParts>
  <Company/>
  <LinksUpToDate>false</LinksUpToDate>
  <CharactersWithSpaces>129220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Pathology Clinical Committee—Genetics</dc:title>
  <dc:subject>Medicare Benefits Schedule</dc:subject>
  <dc:creator>Australian Government Department of Health </dc:creator>
  <dc:description>_x000d_
</dc:description>
  <cp:lastModifiedBy>SMEDLEY, Tyne</cp:lastModifiedBy>
  <cp:revision>2</cp:revision>
  <cp:lastPrinted>2017-08-08T03:46:00Z</cp:lastPrinted>
  <dcterms:created xsi:type="dcterms:W3CDTF">2021-06-29T01:32:00Z</dcterms:created>
  <dcterms:modified xsi:type="dcterms:W3CDTF">2021-06-29T01:32:00Z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7b34cf94-a2f4-3b72-87b6-90a8bb5c4388</vt:lpwstr>
  </property>
  <property fmtid="{D5CDD505-2E9C-101B-9397-08002B2CF9AE}" pid="25" name="DMSDOCTYPE">
    <vt:lpwstr/>
  </property>
  <property fmtid="{D5CDD505-2E9C-101B-9397-08002B2CF9AE}" pid="26" name="DraftType">
    <vt:lpwstr/>
  </property>
  <property fmtid="{D5CDD505-2E9C-101B-9397-08002B2CF9AE}" pid="27" name="WPLUSServerName">
    <vt:lpwstr/>
  </property>
  <property fmtid="{D5CDD505-2E9C-101B-9397-08002B2CF9AE}" pid="28" name="WPLUSDataBaseName">
    <vt:lpwstr/>
  </property>
  <property fmtid="{D5CDD505-2E9C-101B-9397-08002B2CF9AE}" pid="29" name="WPLUSDocumentUNID">
    <vt:lpwstr/>
  </property>
  <property fmtid="{D5CDD505-2E9C-101B-9397-08002B2CF9AE}" pid="30" name="NeverSavedToNT">
    <vt:lpwstr/>
  </property>
</Properties>
</file>